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pPr>
        <w:spacing w:before="100" w:beforeAutospacing="1" w:after="100" w:afterAutospacing="1"/>
        <w:rPr>
          <w:rFonts w:ascii="宋体" w:eastAsia="宋体" w:hAnsi="宋体" w:cs="宋体" w:hint="eastAsia"/>
          <w:b/>
          <w:bCs/>
          <w:color w:val="000000" w:themeColor="text1"/>
          <w:sz w:val="40"/>
          <w:szCs w:val="40"/>
          <w14:textFill>
            <w14:solidFill>
              <w14:schemeClr w14:val="tx1"/>
            </w14:solidFill>
          </w14:textFill>
        </w:rPr>
      </w:pPr>
    </w:p>
    <w:p>
      <w:pPr>
        <w:jc w:val="right"/>
        <w:rPr>
          <w:rFonts w:ascii="宋体" w:eastAsia="宋体" w:hAnsi="宋体" w:cs="宋体" w:hint="eastAsia"/>
          <w:b/>
          <w:spacing w:val="20"/>
          <w:sz w:val="28"/>
        </w:rPr>
        <w:sectPr>
          <w:pgSz w:w="11906" w:h="16838"/>
          <w:pgMar w:top="1440" w:right="1800" w:bottom="1440" w:left="1800" w:header="720" w:footer="720" w:gutter="0"/>
          <w:cols w:num="1" w:space="720"/>
        </w:sectPr>
      </w:pPr>
    </w:p>
    <w:p>
      <w:pPr>
        <w:jc w:val="right"/>
        <w:rPr>
          <w:rFonts w:ascii="宋体" w:eastAsia="宋体" w:hAnsi="宋体" w:cs="宋体" w:hint="eastAsia"/>
          <w:sz w:val="52"/>
          <w:szCs w:val="52"/>
        </w:rPr>
      </w:pPr>
      <w:r>
        <w:rPr>
          <w:rFonts w:ascii="宋体" w:eastAsia="宋体" w:hAnsi="宋体" w:cs="宋体" w:hint="eastAsia"/>
          <w:b/>
          <w:spacing w:val="20"/>
          <w:sz w:val="28"/>
        </w:rPr>
        <w:t xml:space="preserve">项目编号：BADL2024000325 </w:t>
      </w:r>
    </w:p>
    <w:p>
      <w:pPr>
        <w:pStyle w:val="BodyText"/>
        <w:rPr>
          <w:rFonts w:ascii="宋体" w:eastAsia="宋体" w:hAnsi="宋体" w:cs="宋体" w:hint="eastAsia"/>
        </w:rPr>
      </w:pPr>
    </w:p>
    <w:p>
      <w:pPr>
        <w:jc w:val="center"/>
        <w:rPr>
          <w:rFonts w:ascii="宋体" w:eastAsia="宋体" w:hAnsi="宋体" w:cs="宋体" w:hint="eastAsia"/>
          <w:sz w:val="52"/>
          <w:szCs w:val="52"/>
        </w:rPr>
      </w:pPr>
    </w:p>
    <w:p>
      <w:pPr>
        <w:pStyle w:val="BodyText2"/>
        <w:rPr>
          <w:rFonts w:ascii="宋体" w:eastAsia="宋体" w:hAnsi="宋体" w:cs="宋体" w:hint="eastAsia"/>
        </w:rPr>
      </w:pPr>
    </w:p>
    <w:p>
      <w:pPr>
        <w:pStyle w:val="BodyText2"/>
        <w:rPr>
          <w:rFonts w:ascii="宋体" w:eastAsia="宋体" w:hAnsi="宋体" w:cs="宋体" w:hint="eastAsia"/>
        </w:rPr>
      </w:pPr>
    </w:p>
    <w:p>
      <w:pPr>
        <w:jc w:val="center"/>
        <w:rPr>
          <w:rFonts w:ascii="宋体" w:eastAsia="宋体" w:hAnsi="宋体" w:cs="宋体" w:hint="eastAsia"/>
          <w:sz w:val="52"/>
          <w:szCs w:val="52"/>
        </w:rPr>
      </w:pPr>
      <w:r>
        <w:rPr>
          <w:rFonts w:ascii="宋体" w:eastAsia="宋体" w:hAnsi="宋体" w:cs="宋体" w:hint="eastAsia"/>
          <w:sz w:val="52"/>
          <w:szCs w:val="52"/>
        </w:rPr>
        <w:t>【服务类】</w:t>
      </w:r>
    </w:p>
    <w:p>
      <w:pPr>
        <w:jc w:val="center"/>
        <w:rPr>
          <w:rFonts w:ascii="宋体" w:eastAsia="宋体" w:hAnsi="宋体" w:cs="宋体" w:hint="eastAsia"/>
          <w:sz w:val="52"/>
          <w:szCs w:val="52"/>
        </w:rPr>
      </w:pPr>
      <w:r>
        <w:rPr>
          <w:rFonts w:ascii="宋体" w:eastAsia="宋体" w:hAnsi="宋体" w:cs="宋体" w:hint="eastAsia"/>
          <w:sz w:val="52"/>
          <w:szCs w:val="52"/>
        </w:rPr>
        <w:t>智慧宝安交通提升工程一期（第三方测评）项目</w:t>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widowControl w:val="0"/>
        <w:spacing w:after="96" w:afterLines="40"/>
        <w:jc w:val="center"/>
        <w:rPr>
          <w:rFonts w:ascii="宋体" w:eastAsia="宋体" w:hAnsi="宋体" w:cs="宋体" w:hint="eastAsia"/>
          <w:color w:val="000000" w:themeColor="text1"/>
          <w:sz w:val="72"/>
          <w:szCs w:val="52"/>
          <w14:textFill>
            <w14:solidFill>
              <w14:schemeClr w14:val="tx1"/>
            </w14:solidFill>
          </w14:textFill>
        </w:rPr>
      </w:pPr>
      <w:r>
        <w:rPr>
          <w:rFonts w:ascii="宋体" w:eastAsia="宋体" w:hAnsi="宋体" w:cs="宋体" w:hint="eastAsia"/>
          <w:color w:val="000000" w:themeColor="text1"/>
          <w:sz w:val="72"/>
          <w:szCs w:val="52"/>
          <w14:textFill>
            <w14:solidFill>
              <w14:schemeClr w14:val="tx1"/>
            </w14:solidFill>
          </w14:textFill>
        </w:rPr>
        <w:t>招 标 文 件</w:t>
      </w: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rPr>
          <w:rFonts w:ascii="宋体" w:eastAsia="宋体" w:hAnsi="宋体" w:cs="宋体" w:hint="eastAsia"/>
        </w:rPr>
      </w:pPr>
    </w:p>
    <w:p>
      <w:pPr>
        <w:pStyle w:val="BodyText2"/>
        <w:widowControl w:val="0"/>
        <w:jc w:val="center"/>
        <w:rPr>
          <w:rFonts w:ascii="宋体" w:eastAsia="宋体" w:hAnsi="宋体" w:cs="宋体" w:hint="eastAsia"/>
        </w:rPr>
      </w:pPr>
      <w:r>
        <w:rPr>
          <w:rFonts w:ascii="宋体" w:eastAsia="宋体" w:hAnsi="宋体" w:cs="宋体" w:hint="eastAsia"/>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5"/>
                    <a:stretch>
                      <a:fillRect/>
                    </a:stretch>
                  </pic:blipFill>
                  <pic:spPr>
                    <a:xfrm>
                      <a:off x="0" y="0"/>
                      <a:ext cx="1210945" cy="1210945"/>
                    </a:xfrm>
                    <a:prstGeom prst="rect">
                      <a:avLst/>
                    </a:prstGeom>
                  </pic:spPr>
                </pic:pic>
              </a:graphicData>
            </a:graphic>
          </wp:inline>
        </w:drawing>
      </w:r>
    </w:p>
    <w:p>
      <w:pPr>
        <w:pStyle w:val="BodyText2"/>
        <w:widowControl w:val="0"/>
        <w:rPr>
          <w:rFonts w:ascii="宋体" w:eastAsia="宋体" w:hAnsi="宋体" w:cs="宋体" w:hint="eastAsia"/>
        </w:rPr>
      </w:pPr>
    </w:p>
    <w:p>
      <w:pPr>
        <w:pStyle w:val="BodyText2"/>
        <w:widowControl w:val="0"/>
        <w:rPr>
          <w:rFonts w:ascii="宋体" w:eastAsia="宋体" w:hAnsi="宋体" w:cs="宋体" w:hint="eastAsia"/>
        </w:rPr>
      </w:pPr>
    </w:p>
    <w:p>
      <w:pPr>
        <w:snapToGrid w:val="0"/>
        <w:jc w:val="center"/>
        <w:rPr>
          <w:rFonts w:ascii="宋体" w:eastAsia="宋体" w:hAnsi="宋体" w:cs="宋体" w:hint="eastAsia"/>
          <w:b/>
          <w:bCs/>
          <w:sz w:val="36"/>
          <w:szCs w:val="36"/>
        </w:rPr>
      </w:pPr>
      <w:r>
        <w:rPr>
          <w:rFonts w:ascii="宋体" w:eastAsia="宋体" w:hAnsi="宋体" w:cs="宋体" w:hint="eastAsia"/>
          <w:b/>
          <w:bCs/>
          <w:sz w:val="36"/>
          <w:szCs w:val="36"/>
        </w:rPr>
        <w:t>友和保险经纪有限公司</w:t>
      </w:r>
    </w:p>
    <w:p>
      <w:pPr>
        <w:snapToGrid w:val="0"/>
        <w:jc w:val="center"/>
        <w:rPr>
          <w:rFonts w:ascii="宋体" w:eastAsia="宋体" w:hAnsi="宋体" w:cs="宋体" w:hint="eastAsia"/>
          <w:b/>
          <w:bCs/>
          <w:sz w:val="21"/>
          <w:szCs w:val="21"/>
        </w:rPr>
      </w:pPr>
    </w:p>
    <w:p>
      <w:pPr>
        <w:jc w:val="center"/>
        <w:rPr>
          <w:rFonts w:ascii="宋体" w:eastAsia="宋体" w:hAnsi="宋体" w:cs="宋体" w:hint="eastAsia"/>
          <w:b/>
          <w:bCs/>
          <w:color w:val="000000" w:themeColor="text1"/>
          <w:sz w:val="40"/>
          <w:szCs w:val="40"/>
          <w14:textFill>
            <w14:solidFill>
              <w14:schemeClr w14:val="tx1"/>
            </w14:solidFill>
          </w14:textFill>
        </w:rPr>
      </w:pPr>
      <w:r>
        <w:rPr>
          <w:rFonts w:ascii="宋体" w:eastAsia="宋体" w:hAnsi="宋体" w:cs="宋体" w:hint="eastAsia"/>
          <w:b/>
          <w:bCs/>
          <w:sz w:val="36"/>
          <w:szCs w:val="36"/>
        </w:rPr>
        <w:t>二〇二四年十月</w:t>
      </w:r>
    </w:p>
    <w:p>
      <w:pPr>
        <w:spacing w:beforeAutospacing="1" w:afterAutospacing="1"/>
        <w:jc w:val="center"/>
        <w:outlineLvl w:val="1"/>
        <w:rPr>
          <w:rFonts w:ascii="宋体" w:eastAsia="宋体" w:hAnsi="宋体" w:cs="宋体" w:hint="eastAsia"/>
          <w:b/>
          <w:bCs/>
          <w:color w:val="000000" w:themeColor="text1"/>
          <w:sz w:val="40"/>
          <w:szCs w:val="40"/>
          <w14:textFill>
            <w14:solidFill>
              <w14:schemeClr w14:val="tx1"/>
            </w14:solidFill>
          </w14:textFill>
        </w:rPr>
        <w:sectPr>
          <w:footerReference w:type="default" r:id="rId6"/>
          <w:type w:val="continuous"/>
          <w:pgSz w:w="11906" w:h="16838"/>
          <w:pgMar w:top="1440" w:right="1800" w:bottom="1440" w:left="1800" w:header="720" w:footer="720" w:gutter="0"/>
          <w:cols w:num="1" w:space="720"/>
        </w:sectPr>
      </w:pPr>
    </w:p>
    <w:p>
      <w:pPr>
        <w:spacing w:beforeAutospacing="1" w:afterAutospacing="1"/>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b/>
          <w:bCs/>
          <w:color w:val="000000" w:themeColor="text1"/>
          <w:sz w:val="40"/>
          <w:szCs w:val="40"/>
          <w14:textFill>
            <w14:solidFill>
              <w14:schemeClr w14:val="tx1"/>
            </w14:solidFill>
          </w14:textFill>
        </w:rPr>
        <w:t>招</w:t>
      </w:r>
      <w:r>
        <w:rPr>
          <w:rFonts w:ascii="宋体" w:eastAsia="宋体" w:hAnsi="宋体" w:cs="宋体" w:hint="eastAsia"/>
          <w:color w:val="000000" w:themeColor="text1"/>
          <w:sz w:val="40"/>
          <w:szCs w:val="40"/>
          <w14:textFill>
            <w14:solidFill>
              <w14:schemeClr w14:val="tx1"/>
            </w14:solidFill>
          </w14:textFill>
        </w:rPr>
        <w:t>标文件信息</w:t>
      </w:r>
    </w:p>
    <w:tbl>
      <w:tblPr>
        <w:tblStyle w:val="TableNormal"/>
        <w:tblW w:w="7943" w:type="dxa"/>
        <w:jc w:val="center"/>
        <w:tblCellSpacing w:w="0" w:type="dxa"/>
        <w:tblLayout w:type="fixed"/>
        <w:tblCellMar>
          <w:top w:w="45" w:type="dxa"/>
          <w:left w:w="45" w:type="dxa"/>
          <w:bottom w:w="45" w:type="dxa"/>
          <w:right w:w="45" w:type="dxa"/>
        </w:tblCellMar>
      </w:tblPr>
      <w:tblGrid>
        <w:gridCol w:w="2723"/>
        <w:gridCol w:w="5220"/>
      </w:tblGrid>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项目编号：</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BADL2024000325</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项目名称：</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智慧宝安交通提升工程一期（第三方测评）项目</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包   号：</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A</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项目类型：</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服务类</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采购方式：</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公开招标</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货币类型：</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人民币</w:t>
            </w:r>
          </w:p>
        </w:tc>
      </w:tr>
      <w:tr>
        <w:tblPrEx>
          <w:tblW w:w="7943" w:type="dxa"/>
          <w:jc w:val="center"/>
          <w:tblCellSpacing w:w="0" w:type="dxa"/>
          <w:tblLayout w:type="fixed"/>
          <w:tblCellMar>
            <w:top w:w="45" w:type="dxa"/>
            <w:left w:w="45" w:type="dxa"/>
            <w:bottom w:w="45" w:type="dxa"/>
            <w:right w:w="45" w:type="dxa"/>
          </w:tblCellMar>
        </w:tblPrEx>
        <w:trPr>
          <w:trHeight w:val="738"/>
          <w:tblCellSpacing w:w="0" w:type="dxa"/>
          <w:jc w:val="center"/>
        </w:trPr>
        <w:tc>
          <w:tcPr>
            <w:tcW w:w="2723" w:type="dxa"/>
            <w:shd w:val="clear" w:color="auto" w:fill="auto"/>
            <w:vAlign w:val="center"/>
          </w:tcPr>
          <w:p>
            <w:pPr>
              <w:jc w:val="right"/>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评标方法：</w:t>
            </w:r>
          </w:p>
        </w:tc>
        <w:tc>
          <w:tcPr>
            <w:tcW w:w="5220" w:type="dxa"/>
            <w:shd w:val="clear" w:color="auto" w:fill="auto"/>
            <w:vAlign w:val="center"/>
          </w:tcPr>
          <w:p>
            <w:pPr>
              <w:rPr>
                <w:rFonts w:ascii="宋体" w:eastAsia="宋体" w:hAnsi="宋体" w:cs="宋体" w:hint="eastAsia"/>
                <w:color w:val="000000" w:themeColor="text1"/>
                <w:sz w:val="30"/>
                <w:szCs w:val="30"/>
                <w14:textFill>
                  <w14:solidFill>
                    <w14:schemeClr w14:val="tx1"/>
                  </w14:solidFill>
                </w14:textFill>
              </w:rPr>
            </w:pPr>
            <w:r>
              <w:rPr>
                <w:rFonts w:ascii="宋体" w:eastAsia="宋体" w:hAnsi="宋体" w:cs="宋体" w:hint="eastAsia"/>
                <w:color w:val="000000" w:themeColor="text1"/>
                <w:sz w:val="30"/>
                <w:szCs w:val="30"/>
                <w14:textFill>
                  <w14:solidFill>
                    <w14:schemeClr w14:val="tx1"/>
                  </w14:solidFill>
                </w14:textFill>
              </w:rPr>
              <w:t>综合评分法（新价格分算法）</w:t>
            </w:r>
          </w:p>
        </w:tc>
      </w:tr>
    </w:tbl>
    <w:p>
      <w:pPr>
        <w:pStyle w:val="NormalWeb"/>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资格性审查表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投标人不符合资格要求，或未提交相应的资格证明资料（详见招标公告投标人资格要求，即申请人的资格要求）</w:t>
            </w:r>
          </w:p>
        </w:tc>
      </w:tr>
    </w:tbl>
    <w:p>
      <w:pPr>
        <w:pStyle w:val="NormalWeb"/>
        <w:spacing w:before="280"/>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符合性审查表</w:t>
      </w:r>
    </w:p>
    <w:tbl>
      <w:tblPr>
        <w:tblStyle w:val="TableNormal"/>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pPr>
              <w:jc w:val="cente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t>内容</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将一个包或一个标段的内容拆开投标；</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对同一项目投标时，提供两套以上的投标方案（招标文件另有规定的除外）；</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rPr>
              <w:t>分项报价或投标总价高于</w:t>
            </w:r>
            <w:bookmarkStart w:id="0" w:name="_Hlk71832186"/>
            <w:r>
              <w:rPr>
                <w:rFonts w:ascii="宋体" w:eastAsia="宋体" w:hAnsi="宋体" w:cs="宋体" w:hint="eastAsia"/>
              </w:rPr>
              <w:t>相应财政预算金额（或设定的财政预算金额下的最高限价）</w:t>
            </w:r>
            <w:bookmarkEnd w:id="0"/>
            <w:r>
              <w:rPr>
                <w:rFonts w:ascii="宋体" w:eastAsia="宋体" w:hAnsi="宋体" w:cs="宋体" w:hint="eastAsia"/>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rPr>
              <w:t>所投货物、服务在技术、商务等方面没有实质性满足招标文件要求的（是否实质性满足招标文件要求，由评审委员会根据《实质性条款响应情况表》做出评判），投标文件的轻微瑕疵、非关键内容不得作为认定投标无效的依据）；</w:t>
            </w:r>
          </w:p>
        </w:tc>
      </w:tr>
      <w:tr>
        <w:tblPrEx>
          <w:tblW w:w="9072" w:type="dxa"/>
          <w:jc w:val="center"/>
          <w:tblLayout w:type="fixed"/>
          <w:tblCellMar>
            <w:top w:w="20" w:type="dxa"/>
            <w:left w:w="108" w:type="dxa"/>
            <w:bottom w:w="20" w:type="dxa"/>
            <w:right w:w="108" w:type="dxa"/>
          </w:tblCellMar>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未按招标文件所提供的样式填写《投标函》；</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未按招标文件所提供的《政府采购投标及履约承诺函》进行承诺</w:t>
            </w:r>
            <w:r>
              <w:rPr>
                <w:rFonts w:ascii="宋体" w:eastAsia="宋体" w:hAnsi="宋体" w:cs="宋体" w:hint="eastAsia"/>
              </w:rPr>
              <w:t>或不符合承诺的</w:t>
            </w:r>
            <w:r>
              <w:rPr>
                <w:rFonts w:ascii="宋体" w:eastAsia="宋体" w:hAnsi="宋体" w:cs="宋体"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rPr>
              <w:t>投标文件对</w:t>
            </w:r>
            <w:r>
              <w:rPr>
                <w:rFonts w:ascii="宋体" w:eastAsia="宋体" w:hAnsi="宋体" w:cs="宋体" w:hint="eastAsia"/>
              </w:rPr>
              <w:t>采购标的响应不全（响应不全情形包括：</w:t>
            </w:r>
            <w:r>
              <w:rPr>
                <w:rFonts w:ascii="宋体" w:eastAsia="宋体" w:hAnsi="宋体" w:cs="宋体" w:hint="eastAsia"/>
              </w:rPr>
              <w:t>投标报价有缺漏项，对招标文件规定的项目需求内容或者需求数量进行修改</w:t>
            </w:r>
            <w:r>
              <w:rPr>
                <w:rFonts w:ascii="宋体" w:eastAsia="宋体" w:hAnsi="宋体" w:cs="宋体" w:hint="eastAsia"/>
              </w:rPr>
              <w:t>），</w:t>
            </w:r>
            <w:r>
              <w:rPr>
                <w:rFonts w:ascii="宋体" w:eastAsia="宋体" w:hAnsi="宋体" w:cs="宋体" w:hint="eastAsia"/>
              </w:rPr>
              <w:t>由评审委员会根据《项目详细报价》做出评判）</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9</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投标文件存在列放位置错误，导致属于信息公开情形的没有被公开；</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10</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投标文件电子文档带病毒；</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11</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投标文件用不属于本公司的电子密钥进行加密的；</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rPr>
              <w:t>不同投标供应商投标文件“文件制作机器码”或“文件创建标识码”一致的</w:t>
            </w:r>
            <w:r>
              <w:rPr>
                <w:rFonts w:ascii="宋体" w:eastAsia="宋体" w:hAnsi="宋体" w:cs="宋体" w:hint="eastAsia"/>
                <w:color w:val="000000" w:themeColor="text1"/>
                <w14:textFill>
                  <w14:solidFill>
                    <w14:schemeClr w14:val="tx1"/>
                  </w14:solidFill>
                </w14:textFill>
              </w:rPr>
              <w:t>；</w:t>
            </w:r>
          </w:p>
        </w:tc>
      </w:tr>
      <w:tr>
        <w:tblPrEx>
          <w:tblW w:w="9072" w:type="dxa"/>
          <w:jc w:val="center"/>
          <w:tblLayout w:type="fixed"/>
          <w:tblCellMar>
            <w:top w:w="20" w:type="dxa"/>
            <w:left w:w="108" w:type="dxa"/>
            <w:bottom w:w="20" w:type="dxa"/>
            <w:right w:w="108" w:type="dxa"/>
          </w:tblCellMar>
        </w:tblPrEx>
        <w:trPr>
          <w:jc w:val="center"/>
        </w:trPr>
        <w:tc>
          <w:tcPr>
            <w:tcW w:w="794" w:type="dxa"/>
            <w:tcBorders>
              <w:top w:val="single" w:sz="8" w:space="0" w:color="000000"/>
              <w:left w:val="single" w:sz="8" w:space="0" w:color="000000"/>
              <w:bottom w:val="single" w:sz="8" w:space="0" w:color="000000"/>
              <w:right w:val="single" w:sz="8" w:space="0" w:color="000000"/>
            </w:tcBorders>
          </w:tcPr>
          <w:p>
            <w:pPr>
              <w:jc w:val="center"/>
              <w:textAlignment w:val="top"/>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13</w:t>
            </w:r>
          </w:p>
        </w:tc>
        <w:tc>
          <w:tcPr>
            <w:tcW w:w="8278" w:type="dxa"/>
            <w:tcBorders>
              <w:top w:val="single" w:sz="8" w:space="0" w:color="000000"/>
              <w:left w:val="single" w:sz="8" w:space="0" w:color="000000"/>
              <w:bottom w:val="single" w:sz="8" w:space="0" w:color="000000"/>
              <w:right w:val="single" w:sz="8" w:space="0" w:color="000000"/>
            </w:tcBorders>
          </w:tcPr>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法律、法规、规章、规范性文件规定的其他情形。</w:t>
            </w:r>
          </w:p>
        </w:tc>
      </w:tr>
    </w:tbl>
    <w:p>
      <w:pPr>
        <w:pStyle w:val="NormalWeb"/>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评标信息</w:t>
      </w:r>
    </w:p>
    <w:tbl>
      <w:tblPr>
        <w:tblStyle w:val="TableNormal"/>
        <w:tblW w:w="9072" w:type="dxa"/>
        <w:jc w:val="center"/>
        <w:tblCellSpacing w:w="0" w:type="dxa"/>
        <w:tblCellMar>
          <w:top w:w="45" w:type="dxa"/>
          <w:left w:w="45" w:type="dxa"/>
          <w:bottom w:w="45" w:type="dxa"/>
          <w:right w:w="45" w:type="dxa"/>
        </w:tblCellMar>
      </w:tblPr>
      <w:tblGrid>
        <w:gridCol w:w="8867"/>
        <w:gridCol w:w="205"/>
      </w:tblGrid>
      <w:tr>
        <w:tblPrEx>
          <w:tblW w:w="9072" w:type="dxa"/>
          <w:jc w:val="center"/>
          <w:tblCellSpacing w:w="0" w:type="dxa"/>
          <w:tblCellMar>
            <w:top w:w="45" w:type="dxa"/>
            <w:left w:w="45" w:type="dxa"/>
            <w:bottom w:w="45" w:type="dxa"/>
            <w:right w:w="45" w:type="dxa"/>
          </w:tblCellMar>
        </w:tblPrEx>
        <w:trPr>
          <w:tblCellSpacing w:w="0" w:type="dxa"/>
          <w:jc w:val="center"/>
        </w:trPr>
        <w:tc>
          <w:tcPr>
            <w:tcW w:w="8867" w:type="dxa"/>
            <w:tcBorders>
              <w:top w:val="nil"/>
              <w:left w:val="nil"/>
              <w:bottom w:val="nil"/>
              <w:right w:val="nil"/>
            </w:tcBorders>
            <w:vAlign w:val="center"/>
          </w:tcPr>
          <w:p>
            <w:pP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评标方法：最低价法/综合评分法（新价格分算法）</w:t>
            </w:r>
          </w:p>
        </w:tc>
        <w:tc>
          <w:tcPr>
            <w:tcW w:w="205" w:type="dxa"/>
            <w:tcBorders>
              <w:top w:val="nil"/>
              <w:left w:val="nil"/>
              <w:bottom w:val="nil"/>
              <w:right w:val="nil"/>
            </w:tcBorders>
            <w:vAlign w:val="center"/>
          </w:tcPr>
          <w:p>
            <w:pPr>
              <w:jc w:val="right"/>
              <w:rPr>
                <w:rFonts w:ascii="宋体" w:eastAsia="宋体" w:hAnsi="宋体" w:cs="宋体" w:hint="eastAsia"/>
                <w:b/>
                <w:bCs/>
                <w:color w:val="000000" w:themeColor="text1"/>
                <w14:textFill>
                  <w14:solidFill>
                    <w14:schemeClr w14:val="tx1"/>
                  </w14:solidFill>
                </w14:textFill>
              </w:rPr>
            </w:pP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p>
            <w:pPr>
              <w:pStyle w:val="NormalWeb"/>
              <w:ind w:firstLine="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综合评分法，是指投标文件满足招标文件全部实质性要求，且按照评审因素的量化指标评审得分最高的投标人为中标候选人的评标方法。 </w:t>
            </w:r>
          </w:p>
          <w:p>
            <w:pPr>
              <w:pStyle w:val="NormalWeb"/>
              <w:ind w:firstLine="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价格分计算方法：</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采用低价优先法计算，即满足招标文件要求且投标价格最低的投标报价为评标基准价，其价格分为满分。其他投标人的价格分统一按照下列公式计算： </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投标报价得分=(评标基准价／投标报价)×100 </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评标总得分＝F1×A1＋F2×A2＋……＋Fn×An </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F1、F2……Fn分别为各项评审因素的得分； </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A1、A2、……An 分别为各项评审因素所占的权重(A1＋A2＋……＋An＝1)。 </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评标过程中，不得去掉报价中的最高报价和最低报价。 </w:t>
            </w:r>
          </w:p>
          <w:p>
            <w:pPr>
              <w:pStyle w:val="NormalWeb"/>
              <w:ind w:left="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此方法适用于货物类、服务类、工程类项目。 </w:t>
            </w:r>
          </w:p>
        </w:tc>
      </w:tr>
      <w:tr>
        <w:tblPrEx>
          <w:tblW w:w="9072" w:type="dxa"/>
          <w:jc w:val="center"/>
          <w:tblCellSpacing w:w="0" w:type="dxa"/>
          <w:tblCellMar>
            <w:top w:w="45" w:type="dxa"/>
            <w:left w:w="45" w:type="dxa"/>
            <w:bottom w:w="45" w:type="dxa"/>
            <w:right w:w="45" w:type="dxa"/>
          </w:tblCellMar>
        </w:tblPrEx>
        <w:trPr>
          <w:tblCellSpacing w:w="0" w:type="dxa"/>
          <w:jc w:val="center"/>
        </w:trPr>
        <w:tc>
          <w:tcPr>
            <w:tcW w:w="9072" w:type="dxa"/>
            <w:gridSpan w:val="2"/>
            <w:tcBorders>
              <w:top w:val="nil"/>
              <w:left w:val="nil"/>
              <w:bottom w:val="nil"/>
              <w:right w:val="nil"/>
            </w:tcBorders>
            <w:vAlign w:val="center"/>
          </w:tcPr>
          <w:tbl>
            <w:tblPr>
              <w:tblStyle w:val="TableNormal"/>
              <w:tblW w:w="8982" w:type="dxa"/>
              <w:jc w:val="center"/>
              <w:tblCellMar>
                <w:top w:w="0" w:type="dxa"/>
                <w:left w:w="108" w:type="dxa"/>
                <w:bottom w:w="0" w:type="dxa"/>
                <w:right w:w="108" w:type="dxa"/>
              </w:tblCellMar>
            </w:tblPr>
            <w:tblGrid>
              <w:gridCol w:w="698"/>
              <w:gridCol w:w="2623"/>
              <w:gridCol w:w="969"/>
              <w:gridCol w:w="4692"/>
            </w:tblGrid>
            <w:tr>
              <w:tblPrEx>
                <w:tblW w:w="8982" w:type="dxa"/>
                <w:jc w:val="center"/>
                <w:tblCellMar>
                  <w:top w:w="0" w:type="dxa"/>
                  <w:left w:w="108" w:type="dxa"/>
                  <w:bottom w:w="0" w:type="dxa"/>
                  <w:right w:w="108" w:type="dxa"/>
                </w:tblCellMar>
              </w:tblPrEx>
              <w:trPr>
                <w:trHeight w:val="255"/>
                <w:jc w:val="center"/>
              </w:trPr>
              <w:tc>
                <w:tcPr>
                  <w:tcW w:w="42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rPr>
                    <w:t>评分项</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rPr>
                    <w:t>权重</w:t>
                  </w:r>
                </w:p>
              </w:tc>
            </w:tr>
            <w:tr>
              <w:tblPrEx>
                <w:tblW w:w="8982" w:type="dxa"/>
                <w:jc w:val="center"/>
                <w:tblCellMar>
                  <w:top w:w="0" w:type="dxa"/>
                  <w:left w:w="108" w:type="dxa"/>
                  <w:bottom w:w="0" w:type="dxa"/>
                  <w:right w:w="108" w:type="dxa"/>
                </w:tblCellMar>
              </w:tblPrEx>
              <w:trPr>
                <w:trHeight w:val="255"/>
                <w:jc w:val="center"/>
              </w:trPr>
              <w:tc>
                <w:tcPr>
                  <w:tcW w:w="698" w:type="dxa"/>
                  <w:tcBorders>
                    <w:top w:val="single" w:sz="4" w:space="0" w:color="000000"/>
                    <w:left w:val="single" w:sz="4" w:space="0" w:color="000000"/>
                    <w:bottom w:val="single" w:sz="4" w:space="0" w:color="000000"/>
                    <w:right w:val="single" w:sz="4" w:space="0" w:color="000000"/>
                  </w:tcBorders>
                  <w:shd w:val="clear" w:color="auto" w:fill="auto"/>
                </w:tcPr>
                <w:p>
                  <w:pPr>
                    <w:spacing w:line="460" w:lineRule="exact"/>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rPr>
                    <w:t>一</w:t>
                  </w:r>
                </w:p>
              </w:tc>
              <w:tc>
                <w:tcPr>
                  <w:tcW w:w="3592"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line="460" w:lineRule="exact"/>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rPr>
                    <w:t>价格</w:t>
                  </w:r>
                </w:p>
              </w:tc>
              <w:tc>
                <w:tcPr>
                  <w:tcW w:w="4692" w:type="dxa"/>
                  <w:tcBorders>
                    <w:top w:val="single" w:sz="4" w:space="0" w:color="000000"/>
                    <w:left w:val="single" w:sz="4" w:space="0" w:color="000000"/>
                    <w:bottom w:val="single" w:sz="4" w:space="0" w:color="000000"/>
                    <w:right w:val="single" w:sz="4" w:space="0" w:color="000000"/>
                  </w:tcBorders>
                  <w:shd w:val="clear" w:color="auto" w:fill="auto"/>
                </w:tcPr>
                <w:p>
                  <w:pPr>
                    <w:spacing w:line="460" w:lineRule="exact"/>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rPr>
                    <w:t>10</w:t>
                  </w:r>
                </w:p>
              </w:tc>
            </w:tr>
            <w:tr>
              <w:tblPrEx>
                <w:tblW w:w="8982" w:type="dxa"/>
                <w:jc w:val="center"/>
                <w:tblCellMar>
                  <w:top w:w="0" w:type="dxa"/>
                  <w:left w:w="108" w:type="dxa"/>
                  <w:bottom w:w="0" w:type="dxa"/>
                  <w:right w:w="108" w:type="dxa"/>
                </w:tblCellMar>
              </w:tblPrEx>
              <w:trPr>
                <w:trHeight w:val="255"/>
                <w:jc w:val="center"/>
              </w:trPr>
              <w:tc>
                <w:tcPr>
                  <w:tcW w:w="698" w:type="dxa"/>
                  <w:tcBorders>
                    <w:top w:val="single" w:sz="4" w:space="0" w:color="000000"/>
                    <w:left w:val="single" w:sz="4" w:space="0" w:color="000000"/>
                    <w:bottom w:val="single" w:sz="4" w:space="0" w:color="000000"/>
                    <w:right w:val="single" w:sz="4" w:space="0" w:color="000000"/>
                  </w:tcBorders>
                  <w:shd w:val="clear" w:color="auto" w:fill="auto"/>
                </w:tcPr>
                <w:p>
                  <w:pPr>
                    <w:spacing w:line="460" w:lineRule="exact"/>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rPr>
                    <w:t>二</w:t>
                  </w:r>
                </w:p>
              </w:tc>
              <w:tc>
                <w:tcPr>
                  <w:tcW w:w="3592" w:type="dxa"/>
                  <w:gridSpan w:val="2"/>
                  <w:tcBorders>
                    <w:top w:val="single" w:sz="4" w:space="0" w:color="000000"/>
                    <w:left w:val="single" w:sz="4" w:space="0" w:color="000000"/>
                    <w:bottom w:val="single" w:sz="4" w:space="0" w:color="000000"/>
                    <w:right w:val="single" w:sz="4" w:space="0" w:color="000000"/>
                  </w:tcBorders>
                  <w:shd w:val="clear" w:color="auto" w:fill="auto"/>
                </w:tcPr>
                <w:p>
                  <w:pPr>
                    <w:spacing w:line="460" w:lineRule="exact"/>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rPr>
                    <w:t>技术部分</w:t>
                  </w:r>
                </w:p>
              </w:tc>
              <w:tc>
                <w:tcPr>
                  <w:tcW w:w="4692" w:type="dxa"/>
                  <w:tcBorders>
                    <w:top w:val="single" w:sz="4" w:space="0" w:color="000000"/>
                    <w:left w:val="single" w:sz="4" w:space="0" w:color="000000"/>
                    <w:bottom w:val="single" w:sz="4" w:space="0" w:color="000000"/>
                    <w:right w:val="single" w:sz="4" w:space="0" w:color="000000"/>
                  </w:tcBorders>
                  <w:shd w:val="clear" w:color="auto" w:fill="auto"/>
                </w:tcPr>
                <w:p>
                  <w:pPr>
                    <w:spacing w:line="460" w:lineRule="exact"/>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rPr>
                    <w:t>40</w:t>
                  </w:r>
                </w:p>
              </w:tc>
            </w:tr>
            <w:tr>
              <w:tblPrEx>
                <w:tblW w:w="8982" w:type="dxa"/>
                <w:jc w:val="center"/>
                <w:tblCellMar>
                  <w:top w:w="0" w:type="dxa"/>
                  <w:left w:w="108" w:type="dxa"/>
                  <w:bottom w:w="0" w:type="dxa"/>
                  <w:right w:w="108" w:type="dxa"/>
                </w:tblCellMar>
              </w:tblPrEx>
              <w:trPr>
                <w:trHeight w:val="25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序号</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评分因素</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权重</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评分准则</w:t>
                  </w:r>
                </w:p>
              </w:tc>
            </w:tr>
            <w:tr>
              <w:tblPrEx>
                <w:tblW w:w="8982" w:type="dxa"/>
                <w:jc w:val="center"/>
                <w:tblCellMar>
                  <w:top w:w="0" w:type="dxa"/>
                  <w:left w:w="108" w:type="dxa"/>
                  <w:bottom w:w="0" w:type="dxa"/>
                  <w:right w:w="108" w:type="dxa"/>
                </w:tblCellMar>
              </w:tblPrEx>
              <w:trPr>
                <w:trHeight w:val="384"/>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供应商资格</w:t>
                  </w:r>
                </w:p>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（资质、认证）情况</w:t>
                  </w:r>
                </w:p>
              </w:tc>
              <w:tc>
                <w:tcPr>
                  <w:tcW w:w="969" w:type="dxa"/>
                  <w:tcBorders>
                    <w:top w:val="single" w:sz="4" w:space="0" w:color="000000"/>
                    <w:left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w:t>
                  </w:r>
                </w:p>
              </w:tc>
              <w:tc>
                <w:tcPr>
                  <w:tcW w:w="4692" w:type="dxa"/>
                  <w:tcBorders>
                    <w:top w:val="single" w:sz="4" w:space="0" w:color="000000"/>
                    <w:left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具有质量管理体系认证证书、环境管理体系认证证书、职业健康安全管理体</w:t>
                  </w:r>
                  <w:r>
                    <w:rPr>
                      <w:rFonts w:ascii="宋体" w:eastAsia="宋体" w:hAnsi="宋体" w:cs="宋体" w:hint="eastAsia"/>
                      <w:color w:val="000000" w:themeColor="text1"/>
                      <w14:textFill>
                        <w14:solidFill>
                          <w14:schemeClr w14:val="tx1"/>
                        </w14:solidFill>
                      </w14:textFill>
                    </w:rPr>
                    <w:t>系认证证书、公安部或下属单位颁发的网络安全等级测评与检测评估机构服务认证证书。</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以上每个证书，每</w:t>
                  </w:r>
                  <w:r>
                    <w:rPr>
                      <w:rStyle w:val="font41"/>
                      <w:color w:val="000000" w:themeColor="text1"/>
                      <w:sz w:val="24"/>
                      <w:szCs w:val="24"/>
                      <w14:textFill>
                        <w14:solidFill>
                          <w14:schemeClr w14:val="tx1"/>
                        </w14:solidFill>
                      </w14:textFill>
                    </w:rPr>
                    <w:t>有一项</w:t>
                  </w:r>
                  <w:r>
                    <w:rPr>
                      <w:rFonts w:ascii="宋体" w:eastAsia="宋体" w:hAnsi="宋体" w:cs="宋体" w:hint="eastAsia"/>
                      <w:color w:val="000000" w:themeColor="text1"/>
                      <w14:textFill>
                        <w14:solidFill>
                          <w14:schemeClr w14:val="tx1"/>
                        </w14:solidFill>
                      </w14:textFill>
                    </w:rPr>
                    <w:t>得25%分，满分100%分。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提供相关认证机构颁发的有效期内的认证证书扫描件，原件备查。</w:t>
                  </w:r>
                </w:p>
              </w:tc>
            </w:tr>
            <w:tr>
              <w:tblPrEx>
                <w:tblW w:w="8982" w:type="dxa"/>
                <w:jc w:val="center"/>
                <w:tblCellMar>
                  <w:top w:w="0" w:type="dxa"/>
                  <w:left w:w="108" w:type="dxa"/>
                  <w:bottom w:w="0" w:type="dxa"/>
                  <w:right w:w="108" w:type="dxa"/>
                </w:tblCellMar>
              </w:tblPrEx>
              <w:trPr>
                <w:trHeight w:val="9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供应商同类项目业绩情况</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自2020年1月1日至本项目投标截止时间（以合同签订日期为准），副省级城市（或以上）的交通类信息化（或智慧交通）系统检测项目业绩：</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每具有一项第三方测评项目业绩得10%分，最多得50%分；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每具有一项网络安全等级保护测评服务业绩的得10%分，最多得50%分；以上两项合计得100%分。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Style w:val="font41"/>
                      <w:color w:val="000000" w:themeColor="text1"/>
                      <w:sz w:val="24"/>
                      <w:szCs w:val="24"/>
                      <w14:textFill>
                        <w14:solidFill>
                          <w14:schemeClr w14:val="tx1"/>
                        </w14:solidFill>
                      </w14:textFill>
                    </w:rPr>
                    <w:t>提供合同关键信息（内容至少包括合同首页、服务内容页、签字盖章页）扫描件或甲方出具的并加盖公章的证明原件扫描件作为业绩证明资料，原件备查，未提供或提供不全或证明材料不符合要求的，不予计取。</w:t>
                  </w:r>
                </w:p>
              </w:tc>
            </w:tr>
            <w:tr>
              <w:tblPrEx>
                <w:tblW w:w="8982" w:type="dxa"/>
                <w:jc w:val="center"/>
                <w:tblCellMar>
                  <w:top w:w="0" w:type="dxa"/>
                  <w:left w:w="108" w:type="dxa"/>
                  <w:bottom w:w="0" w:type="dxa"/>
                  <w:right w:w="108" w:type="dxa"/>
                </w:tblCellMar>
              </w:tblPrEx>
              <w:trPr>
                <w:trHeight w:val="17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供应商履约能力情况</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人取得有效的中国合格评定国家认可委员会实验室认可证书（CNAS），认可的检测能力范围包含行业应用软件、移动智能终端应用软件、机房工程、综合布线系统等，认可的检测能力范围每包含一项得5%分，最高得20%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人取得有效的中国合格评定国家认可委员会检验机构认可证书（CNAS），认可的检测能力范围包含视频监控系统、信号传输系统、道路车辆监测、会议系统、计算机网络系统、机房工程、综合布线系统、信息安全风险评估等，认可的检测能力范围每包含一项得5%分，最高得40%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投标人取得省级或以上质量技术监督部门或市场监督管理局颁发的检验检测机构资质认定证书（CMA），检测范围包含计算机信息系统、计算机网络系统、综合布线系统、计算机机房工程、视频安防监控系统、闯红灯自动记录系统、会议系统、网络信息安全等，认可的检测能力范围每包含一项得5%分，最高得40%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以上3项累计得分，最高得100%分。</w:t>
                  </w:r>
                </w:p>
                <w:p>
                  <w:pPr>
                    <w:textAlignment w:val="center"/>
                    <w:rPr>
                      <w:rStyle w:val="font41"/>
                      <w:rFonts w:hint="default"/>
                      <w:color w:val="000000" w:themeColor="text1"/>
                      <w:sz w:val="24"/>
                      <w:szCs w:val="24"/>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以上资质证书须在有效期内，提供相关认证机构颁发的有效期内的认证证书扫描件及能力附表扫描件，并在全国认证认可信息公共服务平台（cx.cnca.cn）查询截图，原件备查。</w:t>
                  </w:r>
                </w:p>
              </w:tc>
            </w:tr>
            <w:tr>
              <w:tblPrEx>
                <w:tblW w:w="8982" w:type="dxa"/>
                <w:jc w:val="center"/>
                <w:tblCellMar>
                  <w:top w:w="0" w:type="dxa"/>
                  <w:left w:w="108" w:type="dxa"/>
                  <w:bottom w:w="0" w:type="dxa"/>
                  <w:right w:w="108" w:type="dxa"/>
                </w:tblCellMar>
              </w:tblPrEx>
              <w:trPr>
                <w:trHeight w:val="54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拟安排的项目经理情况（仅限一人）</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（一）评分内容：</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拟投入一名负责本项目的项目经理情况：</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1、具有计算机类或系统类相关专业研究生学历的，得12.5%</w:t>
                  </w:r>
                  <w:r>
                    <w:rPr>
                      <w:rStyle w:val="font41"/>
                      <w:color w:val="000000" w:themeColor="text1"/>
                      <w:sz w:val="24"/>
                      <w:szCs w:val="24"/>
                      <w14:textFill>
                        <w14:solidFill>
                          <w14:schemeClr w14:val="tx1"/>
                        </w14:solidFill>
                      </w14:textFill>
                    </w:rPr>
                    <w:t>分；</w:t>
                  </w:r>
                  <w:r>
                    <w:rPr>
                      <w:rStyle w:val="font41"/>
                      <w:color w:val="000000" w:themeColor="text1"/>
                      <w:sz w:val="24"/>
                      <w:szCs w:val="24"/>
                      <w14:textFill>
                        <w14:solidFill>
                          <w14:schemeClr w14:val="tx1"/>
                        </w14:solidFill>
                      </w14:textFill>
                    </w:rPr>
                    <w:t>从事相关检测工作10年或以上（工作年限从取得学历证书时间开始计算），得12.5%分；本小项最高得25%分；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2、具有中关村信息安全测评联盟或公安部下属单位颁发的网络安全等级保护测评师（中级及以上）证书的，得25%分；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3、具有人力资源和社会保障部门颁发的计算机技术与软件专业技术资格信息系统项目管理师（高级）证书，得25%分；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4、具有人力资源和社会保障部门颁发的检测类的高级工程师（副高级职称）或以上职称证书，得25%分。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以上4项累计得分，最高得100%分。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（二）评分依据：</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1.要求提供上述人员通过投标人缴纳的近三个月内任意一个月的社保证明（如投标人为新成立单位且成立时间不足一个月的，可提供加盖公章的情况说明或者证明材料亦视为符合。如为退休返聘人员则提供劳动合同或返聘协议扫描件）；</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2.提供人员学历证明、资格证书、职称证书扫描件作为得分依据，学历证明提供：①毕业证书扫描件、②学历认证报告或学信网（https://www.chsi.com.cn/）查询截图。学信网无法查询的，可提供其他佐证材料（如毕业院校、人社部门等颁发机构或监管机构等单位出具的证明），留学归国人员如无法提供学信网查询记录截图，提供国（境）外学历证书扫描件（以及中文翻译件）和教育部留学服务中心出具的国外学历学位认证书扫描件【或教育部留学服务中心网站（http://zwfw.cscse.edu.cn/）在线查询截图】也予以认可；</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3.颁发单位为协会（学会）的，需提供在</w:t>
                  </w:r>
                  <w:r>
                    <w:fldChar w:fldCharType="begin"/>
                  </w:r>
                  <w:r>
                    <w:instrText xml:space="preserve"> HYPERLINK "https://xxgs.chinanpo.mca.gov.cn/gsxt/newList" </w:instrText>
                  </w:r>
                  <w:r>
                    <w:fldChar w:fldCharType="separate"/>
                  </w:r>
                  <w:r>
                    <w:rPr>
                      <w:rStyle w:val="font41"/>
                      <w:color w:val="000000" w:themeColor="text1"/>
                      <w:sz w:val="24"/>
                      <w:szCs w:val="24"/>
                      <w14:textFill>
                        <w14:solidFill>
                          <w14:schemeClr w14:val="tx1"/>
                        </w14:solidFill>
                      </w14:textFill>
                    </w:rPr>
                    <w:t>全国社会组织信用信息公示平台 (mca.gov.cn)</w:t>
                  </w:r>
                  <w:r>
                    <w:rPr>
                      <w:rStyle w:val="font41"/>
                      <w:color w:val="000000" w:themeColor="text1"/>
                      <w:sz w:val="24"/>
                      <w:szCs w:val="24"/>
                      <w14:textFill>
                        <w14:solidFill>
                          <w14:schemeClr w14:val="tx1"/>
                        </w14:solidFill>
                      </w14:textFill>
                    </w:rPr>
                    <w:fldChar w:fldCharType="end"/>
                  </w:r>
                  <w:r>
                    <w:rPr>
                      <w:rStyle w:val="font41"/>
                      <w:color w:val="000000" w:themeColor="text1"/>
                      <w:sz w:val="24"/>
                      <w:szCs w:val="24"/>
                      <w14:textFill>
                        <w14:solidFill>
                          <w14:schemeClr w14:val="tx1"/>
                        </w14:solidFill>
                      </w14:textFill>
                    </w:rPr>
                    <w:t>已合法登记且状态正常的截图（或机构由政府部门或行政事业单位审批的证明文件扫描件），否则一律作不得分处理；</w:t>
                  </w:r>
                </w:p>
                <w:p>
                  <w:pPr>
                    <w:textAlignment w:val="center"/>
                    <w:rPr>
                      <w:rFonts w:ascii="宋体" w:eastAsia="宋体" w:hAnsi="宋体" w:cs="宋体" w:hint="eastAsia"/>
                      <w:color w:val="000000" w:themeColor="text1"/>
                      <w14:textFill>
                        <w14:solidFill>
                          <w14:schemeClr w14:val="tx1"/>
                        </w14:solidFill>
                      </w14:textFill>
                    </w:rPr>
                  </w:pPr>
                  <w:r>
                    <w:rPr>
                      <w:rStyle w:val="font41"/>
                      <w:color w:val="000000" w:themeColor="text1"/>
                      <w:sz w:val="24"/>
                      <w:szCs w:val="24"/>
                      <w14:textFill>
                        <w14:solidFill>
                          <w14:schemeClr w14:val="tx1"/>
                        </w14:solidFill>
                      </w14:textFill>
                    </w:rPr>
                    <w:t>4.以上资料均要求提供扫描件（或官方网站截图），原件备查。评分中出现无证明资料或专家无法凭所提供资料判断是否得分的情况，一律作不得分处理。</w:t>
                  </w:r>
                </w:p>
              </w:tc>
            </w:tr>
            <w:tr>
              <w:tblPrEx>
                <w:tblW w:w="8982" w:type="dxa"/>
                <w:jc w:val="center"/>
                <w:tblCellMar>
                  <w:top w:w="0" w:type="dxa"/>
                  <w:left w:w="108" w:type="dxa"/>
                  <w:bottom w:w="0" w:type="dxa"/>
                  <w:right w:w="108" w:type="dxa"/>
                </w:tblCellMar>
              </w:tblPrEx>
              <w:trPr>
                <w:trHeight w:val="18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拟安排的项目技术负责人情况（仅限一人）</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（一）评分内容：</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拟投入一名本项目的技术负责人情况：</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1、具有中国网络安全审查技术与认证中心颁发的数据安全官证书，得25%分；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2、具有人力资源和社会保障部门颁发的计算机技术与软件专业技术资格信息安全工程师证书，得25%分；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3、具有人力资源和社会保障部门颁发的计算机技术与软件专业技术资格网络工程师证书，得25%分；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4、具有中关村信息安全测评联盟或公安部下属单位颁发的网络安全等级保护测评师（中级及以上）</w:t>
                  </w:r>
                  <w:bookmarkStart w:id="1" w:name="_GoBack"/>
                  <w:bookmarkEnd w:id="1"/>
                  <w:r>
                    <w:rPr>
                      <w:rStyle w:val="font41"/>
                      <w:color w:val="000000" w:themeColor="text1"/>
                      <w:sz w:val="24"/>
                      <w:szCs w:val="24"/>
                      <w14:textFill>
                        <w14:solidFill>
                          <w14:schemeClr w14:val="tx1"/>
                        </w14:solidFill>
                      </w14:textFill>
                    </w:rPr>
                    <w:t>证书的，得25%分；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以上4项累计得分，最高得100%分。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（二）评分依据：</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1.要求提供上述人员通过投标人缴纳的近三个月内任意一个月的社保证明（如投标人为新成立单位且成立时间不足一个月的，可提供加盖公章的情况说明或者证明材料亦视为符合。如为退休返聘人员则提供劳动合同或返聘协议扫描件）；</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2.提供人员资格证书等相关证书扫描件作为得分依据，原件备查。颁发单位为协会（学会）的，需提供在</w:t>
                  </w:r>
                  <w:r>
                    <w:fldChar w:fldCharType="begin"/>
                  </w:r>
                  <w:r>
                    <w:instrText xml:space="preserve"> HYPERLINK "https://xxgs.chinanpo.mca.gov.cn/gsxt/newList" </w:instrText>
                  </w:r>
                  <w:r>
                    <w:fldChar w:fldCharType="separate"/>
                  </w:r>
                  <w:r>
                    <w:rPr>
                      <w:rStyle w:val="font41"/>
                      <w:color w:val="000000" w:themeColor="text1"/>
                      <w:sz w:val="24"/>
                      <w:szCs w:val="24"/>
                      <w14:textFill>
                        <w14:solidFill>
                          <w14:schemeClr w14:val="tx1"/>
                        </w14:solidFill>
                      </w14:textFill>
                    </w:rPr>
                    <w:t>全国社会组织信用信息公示平台 (mca.gov.cn)</w:t>
                  </w:r>
                  <w:r>
                    <w:rPr>
                      <w:rStyle w:val="font41"/>
                      <w:color w:val="000000" w:themeColor="text1"/>
                      <w:sz w:val="24"/>
                      <w:szCs w:val="24"/>
                      <w14:textFill>
                        <w14:solidFill>
                          <w14:schemeClr w14:val="tx1"/>
                        </w14:solidFill>
                      </w14:textFill>
                    </w:rPr>
                    <w:fldChar w:fldCharType="end"/>
                  </w:r>
                  <w:r>
                    <w:rPr>
                      <w:rStyle w:val="font41"/>
                      <w:color w:val="000000" w:themeColor="text1"/>
                      <w:sz w:val="24"/>
                      <w:szCs w:val="24"/>
                      <w14:textFill>
                        <w14:solidFill>
                          <w14:schemeClr w14:val="tx1"/>
                        </w14:solidFill>
                      </w14:textFill>
                    </w:rPr>
                    <w:t>已合法登记且状态正常的截图（或机构由政府部门或行政事业单位审批的证明文件扫描件），否则一律作不得分处理；</w:t>
                  </w:r>
                </w:p>
                <w:p>
                  <w:pPr>
                    <w:textAlignment w:val="center"/>
                    <w:rPr>
                      <w:rFonts w:ascii="宋体" w:eastAsia="宋体" w:hAnsi="宋体" w:cs="宋体" w:hint="eastAsia"/>
                      <w:color w:val="000000" w:themeColor="text1"/>
                      <w14:textFill>
                        <w14:solidFill>
                          <w14:schemeClr w14:val="tx1"/>
                        </w14:solidFill>
                      </w14:textFill>
                    </w:rPr>
                  </w:pPr>
                  <w:r>
                    <w:rPr>
                      <w:rStyle w:val="font41"/>
                      <w:color w:val="000000" w:themeColor="text1"/>
                      <w:sz w:val="24"/>
                      <w:szCs w:val="24"/>
                      <w14:textFill>
                        <w14:solidFill>
                          <w14:schemeClr w14:val="tx1"/>
                        </w14:solidFill>
                      </w14:textFill>
                    </w:rPr>
                    <w:t>3.以上资料均要求提供扫描件（或官方网站截图），原件备查。评分中出现无证明资料或专家无法凭所提供资料判断是否得分的情况，一律作不得分处理。</w:t>
                  </w:r>
                </w:p>
              </w:tc>
            </w:tr>
            <w:tr>
              <w:tblPrEx>
                <w:tblW w:w="8982" w:type="dxa"/>
                <w:jc w:val="center"/>
                <w:tblCellMar>
                  <w:top w:w="0" w:type="dxa"/>
                  <w:left w:w="108" w:type="dxa"/>
                  <w:bottom w:w="0" w:type="dxa"/>
                  <w:right w:w="108" w:type="dxa"/>
                </w:tblCellMar>
              </w:tblPrEx>
              <w:trPr>
                <w:trHeight w:val="15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拟安排的项目主要团队成员（主要技术人员）情况（</w:t>
                  </w:r>
                  <w:r>
                    <w:rPr>
                      <w:rStyle w:val="font41"/>
                      <w:color w:val="000000" w:themeColor="text1"/>
                      <w:sz w:val="24"/>
                      <w:szCs w:val="24"/>
                      <w14:textFill>
                        <w14:solidFill>
                          <w14:schemeClr w14:val="tx1"/>
                        </w14:solidFill>
                      </w14:textFill>
                    </w:rPr>
                    <w:t>项目经理、</w:t>
                  </w:r>
                  <w:r>
                    <w:rPr>
                      <w:rFonts w:ascii="宋体" w:eastAsia="宋体" w:hAnsi="宋体" w:cs="宋体" w:hint="eastAsia"/>
                      <w:color w:val="000000" w:themeColor="text1"/>
                      <w14:textFill>
                        <w14:solidFill>
                          <w14:schemeClr w14:val="tx1"/>
                        </w14:solidFill>
                      </w14:textFill>
                    </w:rPr>
                    <w:t>项目技术负责人</w:t>
                  </w:r>
                  <w:r>
                    <w:rPr>
                      <w:rStyle w:val="font41"/>
                      <w:color w:val="000000" w:themeColor="text1"/>
                      <w:sz w:val="24"/>
                      <w:szCs w:val="24"/>
                      <w14:textFill>
                        <w14:solidFill>
                          <w14:schemeClr w14:val="tx1"/>
                        </w14:solidFill>
                      </w14:textFill>
                    </w:rPr>
                    <w:t>除外</w:t>
                  </w:r>
                  <w:r>
                    <w:rPr>
                      <w:rFonts w:ascii="宋体" w:eastAsia="宋体" w:hAnsi="宋体" w:cs="宋体" w:hint="eastAsia"/>
                      <w:color w:val="000000" w:themeColor="text1"/>
                      <w14:textFill>
                        <w14:solidFill>
                          <w14:schemeClr w14:val="tx1"/>
                        </w14:solidFill>
                      </w14:textFill>
                    </w:rPr>
                    <w:t>）</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（一）评分内容：</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项目团队成员（项目经理、</w:t>
                  </w:r>
                  <w:r>
                    <w:rPr>
                      <w:rFonts w:ascii="宋体" w:eastAsia="宋体" w:hAnsi="宋体" w:cs="宋体" w:hint="eastAsia"/>
                      <w:color w:val="000000" w:themeColor="text1"/>
                      <w14:textFill>
                        <w14:solidFill>
                          <w14:schemeClr w14:val="tx1"/>
                        </w14:solidFill>
                      </w14:textFill>
                    </w:rPr>
                    <w:t>项目技术负责人</w:t>
                  </w:r>
                  <w:r>
                    <w:rPr>
                      <w:rStyle w:val="font41"/>
                      <w:color w:val="000000" w:themeColor="text1"/>
                      <w:sz w:val="24"/>
                      <w:szCs w:val="24"/>
                      <w14:textFill>
                        <w14:solidFill>
                          <w14:schemeClr w14:val="tx1"/>
                        </w14:solidFill>
                      </w14:textFill>
                    </w:rPr>
                    <w:t>除外）中：</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1.具有人力资源和社会保障部门颁发的检测类高级（含副高）职称的，每人得12.5%分；具有中级职称的，每人得6.25%分；本项最高得50%分。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2.具有中关村信息安全测评联盟或公安部下属单位颁发的网络安全等级保护测评师（高级）证书的，每人得12.5%分；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具有中关村信息安全测评联盟或公安部下属单位颁发的网络安全等级保护测评师（中级）证书的，每人得6.25%分；本项最高得50%分。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以上2项累计得分，最高得100%分。</w:t>
                  </w:r>
                </w:p>
                <w:p>
                  <w:pPr>
                    <w:textAlignment w:val="center"/>
                    <w:rPr>
                      <w:rStyle w:val="font41"/>
                      <w:rFonts w:hint="default"/>
                      <w:color w:val="000000" w:themeColor="text1"/>
                      <w:sz w:val="24"/>
                      <w:szCs w:val="24"/>
                      <w14:textFill>
                        <w14:solidFill>
                          <w14:schemeClr w14:val="tx1"/>
                        </w14:solidFill>
                      </w14:textFill>
                    </w:rPr>
                  </w:pPr>
                  <w:r>
                    <w:rPr>
                      <w:rStyle w:val="font41"/>
                      <w:color w:val="000000" w:themeColor="text1"/>
                      <w:sz w:val="24"/>
                      <w:szCs w:val="24"/>
                      <w14:textFill>
                        <w14:solidFill>
                          <w14:schemeClr w14:val="tx1"/>
                        </w14:solidFill>
                      </w14:textFill>
                    </w:rPr>
                    <w:t>（二）评分依据：</w:t>
                  </w:r>
                </w:p>
                <w:p>
                  <w:pPr>
                    <w:textAlignment w:val="center"/>
                    <w:rPr>
                      <w:rStyle w:val="font21"/>
                      <w:rFonts w:hint="default"/>
                      <w:color w:val="000000" w:themeColor="text1"/>
                      <w:sz w:val="24"/>
                      <w:szCs w:val="24"/>
                      <w14:textFill>
                        <w14:solidFill>
                          <w14:schemeClr w14:val="tx1"/>
                        </w14:solidFill>
                      </w14:textFill>
                    </w:rPr>
                  </w:pPr>
                  <w:r>
                    <w:rPr>
                      <w:rStyle w:val="font21"/>
                      <w:color w:val="000000" w:themeColor="text1"/>
                      <w:sz w:val="24"/>
                      <w:szCs w:val="24"/>
                      <w14:textFill>
                        <w14:solidFill>
                          <w14:schemeClr w14:val="tx1"/>
                        </w14:solidFill>
                      </w14:textFill>
                    </w:rPr>
                    <w:t>1.要求提供上述人员通过投标人缴纳的近三个月内任意一个月的社保证明（如</w:t>
                  </w:r>
                  <w:r>
                    <w:rPr>
                      <w:rStyle w:val="font41"/>
                      <w:color w:val="000000" w:themeColor="text1"/>
                      <w:sz w:val="24"/>
                      <w:szCs w:val="24"/>
                      <w14:textFill>
                        <w14:solidFill>
                          <w14:schemeClr w14:val="tx1"/>
                        </w14:solidFill>
                      </w14:textFill>
                    </w:rPr>
                    <w:t>投标人</w:t>
                  </w:r>
                  <w:r>
                    <w:rPr>
                      <w:rStyle w:val="font21"/>
                      <w:color w:val="000000" w:themeColor="text1"/>
                      <w:sz w:val="24"/>
                      <w:szCs w:val="24"/>
                      <w14:textFill>
                        <w14:solidFill>
                          <w14:schemeClr w14:val="tx1"/>
                        </w14:solidFill>
                      </w14:textFill>
                    </w:rPr>
                    <w:t>为新成立单位且成立时间不足一个月的，可提供加盖公章的情况说明或者证明材料亦视为符合。如为退休返聘人员则提供劳动合同或返聘协议扫描件）；</w:t>
                  </w:r>
                </w:p>
                <w:p>
                  <w:pPr>
                    <w:textAlignment w:val="center"/>
                    <w:rPr>
                      <w:rStyle w:val="font21"/>
                      <w:rFonts w:hint="default"/>
                      <w:color w:val="000000" w:themeColor="text1"/>
                      <w:sz w:val="24"/>
                      <w:szCs w:val="24"/>
                      <w14:textFill>
                        <w14:solidFill>
                          <w14:schemeClr w14:val="tx1"/>
                        </w14:solidFill>
                      </w14:textFill>
                    </w:rPr>
                  </w:pPr>
                  <w:r>
                    <w:rPr>
                      <w:rStyle w:val="font21"/>
                      <w:color w:val="000000" w:themeColor="text1"/>
                      <w:sz w:val="24"/>
                      <w:szCs w:val="24"/>
                      <w14:textFill>
                        <w14:solidFill>
                          <w14:schemeClr w14:val="tx1"/>
                        </w14:solidFill>
                      </w14:textFill>
                    </w:rPr>
                    <w:t>2.提供人员资格证书、职称证书等相关证书扫描件作为得分依据，原件备查。颁发单位为协会（学会）的，需提供在</w:t>
                  </w:r>
                  <w:r>
                    <w:fldChar w:fldCharType="begin"/>
                  </w:r>
                  <w:r>
                    <w:instrText xml:space="preserve"> HYPERLINK "https://xxgs.chinanpo.mca.gov.cn/gsxt/newList" </w:instrText>
                  </w:r>
                  <w:r>
                    <w:fldChar w:fldCharType="separate"/>
                  </w:r>
                  <w:r>
                    <w:rPr>
                      <w:rStyle w:val="font21"/>
                      <w:color w:val="000000" w:themeColor="text1"/>
                      <w:sz w:val="24"/>
                      <w:szCs w:val="24"/>
                      <w14:textFill>
                        <w14:solidFill>
                          <w14:schemeClr w14:val="tx1"/>
                        </w14:solidFill>
                      </w14:textFill>
                    </w:rPr>
                    <w:t>全国社会组织信用信息公示平台 (mca.gov.cn)</w:t>
                  </w:r>
                  <w:r>
                    <w:rPr>
                      <w:rStyle w:val="font21"/>
                      <w:color w:val="000000" w:themeColor="text1"/>
                      <w:sz w:val="24"/>
                      <w:szCs w:val="24"/>
                      <w14:textFill>
                        <w14:solidFill>
                          <w14:schemeClr w14:val="tx1"/>
                        </w14:solidFill>
                      </w14:textFill>
                    </w:rPr>
                    <w:fldChar w:fldCharType="end"/>
                  </w:r>
                  <w:r>
                    <w:rPr>
                      <w:rStyle w:val="font21"/>
                      <w:color w:val="000000" w:themeColor="text1"/>
                      <w:sz w:val="24"/>
                      <w:szCs w:val="24"/>
                      <w14:textFill>
                        <w14:solidFill>
                          <w14:schemeClr w14:val="tx1"/>
                        </w14:solidFill>
                      </w14:textFill>
                    </w:rPr>
                    <w:t>已合法登记且状态正常的截图（或机构由政府部门或行政事业单位审批的证明文件扫描件），否则一律作不得分处理；</w:t>
                  </w:r>
                </w:p>
                <w:p>
                  <w:pPr>
                    <w:textAlignment w:val="center"/>
                    <w:rPr>
                      <w:rFonts w:ascii="宋体" w:eastAsia="宋体" w:hAnsi="宋体" w:cs="宋体" w:hint="eastAsia"/>
                      <w:color w:val="000000" w:themeColor="text1"/>
                      <w14:textFill>
                        <w14:solidFill>
                          <w14:schemeClr w14:val="tx1"/>
                        </w14:solidFill>
                      </w14:textFill>
                    </w:rPr>
                  </w:pPr>
                  <w:r>
                    <w:rPr>
                      <w:rStyle w:val="font21"/>
                      <w:color w:val="000000" w:themeColor="text1"/>
                      <w:sz w:val="24"/>
                      <w:szCs w:val="24"/>
                      <w14:textFill>
                        <w14:solidFill>
                          <w14:schemeClr w14:val="tx1"/>
                        </w14:solidFill>
                      </w14:textFill>
                    </w:rPr>
                    <w:t>3.以上资料均要求提供扫描件（或官方网站截图），原件备查。评分中出现无证明资料或专家无法凭所提供资料判断是否得分的情况，一律作不得分处理。</w:t>
                  </w:r>
                </w:p>
              </w:tc>
            </w:tr>
            <w:tr>
              <w:tblPrEx>
                <w:tblW w:w="8982" w:type="dxa"/>
                <w:jc w:val="center"/>
                <w:tblCellMar>
                  <w:top w:w="0" w:type="dxa"/>
                  <w:left w:w="108" w:type="dxa"/>
                  <w:bottom w:w="0" w:type="dxa"/>
                  <w:right w:w="108" w:type="dxa"/>
                </w:tblCellMar>
              </w:tblPrEx>
              <w:trPr>
                <w:trHeight w:val="25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二</w:t>
                  </w:r>
                </w:p>
              </w:tc>
              <w:tc>
                <w:tcPr>
                  <w:tcW w:w="3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技术部分</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45</w:t>
                  </w:r>
                </w:p>
              </w:tc>
            </w:tr>
            <w:tr>
              <w:tblPrEx>
                <w:tblW w:w="8982" w:type="dxa"/>
                <w:jc w:val="center"/>
                <w:tblCellMar>
                  <w:top w:w="0" w:type="dxa"/>
                  <w:left w:w="108" w:type="dxa"/>
                  <w:bottom w:w="0" w:type="dxa"/>
                  <w:right w:w="108" w:type="dxa"/>
                </w:tblCellMar>
              </w:tblPrEx>
              <w:trPr>
                <w:trHeight w:val="13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整体实施方案</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15</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1.针对本项目的需求制定实施方案；</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2.阐述在项目开展过程中所采用的工作流程、工作方法与手段。</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1.满足两点得20%分，满足任意一点得10%分，未满足不得分。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2.在此基础上，根据各投标人的具体相应内容按照量化的评审因素指标进一步评审：</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方案内容全面、清晰、针对性强、科学合理、可操作性强，得80%分；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方案内容较全面、较清晰、针对性较强、较科学合理、可操作性较强，得40%分；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方案内容基本完整，针对性一般，可操作性一般，得10%分；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方案内容缺失或与项目关联度不大，不得分。</w:t>
                  </w:r>
                </w:p>
              </w:tc>
            </w:tr>
            <w:tr>
              <w:tblPrEx>
                <w:tblW w:w="8982" w:type="dxa"/>
                <w:jc w:val="center"/>
                <w:tblCellMar>
                  <w:top w:w="0" w:type="dxa"/>
                  <w:left w:w="108" w:type="dxa"/>
                  <w:bottom w:w="0" w:type="dxa"/>
                  <w:right w:w="108" w:type="dxa"/>
                </w:tblCellMar>
              </w:tblPrEx>
              <w:trPr>
                <w:trHeight w:val="8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项目的重点、难点分析及解决措施</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15</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根据投标文件对本项目服务特点的相关重点难点分析、应对措施及相关的解决措施。包括但不限于以下内容：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1.项目重点难点分析；</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2.重点难点应对措施；</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3.提出初步的研究思路及解决方案；</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4.向采购人提出项目实施及与其他建设项目协调的具体建议。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1.满足四点得40%分，满足任意三点得30%分，满足任意两点得20%分，满足任意一点得10%分，不满足不得分。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2.在此基础上，根据各投标人的具体相应内容按照量化的评审因素指标进一步评审：</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重点、难点分析及解决措施详细、完整、针对性强，得60%分；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重点、难点分析及解决措施较详细、较完整、针对性较强，得30%分；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重点、难点分析及解决措施不详细、不完整、针对性不强，得10%分；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未提供，不得分。</w:t>
                  </w:r>
                </w:p>
              </w:tc>
            </w:tr>
            <w:tr>
              <w:tblPrEx>
                <w:tblW w:w="8982" w:type="dxa"/>
                <w:jc w:val="center"/>
                <w:tblCellMar>
                  <w:top w:w="0" w:type="dxa"/>
                  <w:left w:w="108" w:type="dxa"/>
                  <w:bottom w:w="0" w:type="dxa"/>
                  <w:right w:w="108" w:type="dxa"/>
                </w:tblCellMar>
              </w:tblPrEx>
              <w:trPr>
                <w:trHeight w:val="88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专用测试工具情况</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针对为完成本项目服务目标拟使用的专用测试工具情况如下：</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1、具备主机及应用漏洞扫描专业工具,得10%分；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2、具备代码审计工具,得10%分；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3、具备应用系统软件功能测试用例相关管理工具,得10%分；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4、具备硬件测试工具辉度计,得10%分；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5、具备硬件测试工具电磁辐射监测仪,得10%分；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6、具备硬件测试工具磁场测试仪,得10%分；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7、具备硬件测试工具接地电阻测试仪（校准量程需覆盖0.1Ω）,得10%分； </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8、具备人脸识别检测技术及数据处理方面工具,得10%分；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9、具备网络监控方面工具,得10%分；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10、具备公共设备安全检测方面工具,得10%分。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注：所用工具应取得合法使用授权（非免费、开源或社区授权）或通过购买或租赁方式取得使用权，需提供工具加盖公章的采购合同扫描件或采购发票扫描件或租赁合同扫描件，硬件测试工具还需提供计量单位出具的检定校准证书复印件。如工具为自行开发的，则提供软件著作权证书扫描件。</w:t>
                  </w:r>
                </w:p>
              </w:tc>
            </w:tr>
            <w:tr>
              <w:tblPrEx>
                <w:tblW w:w="8982" w:type="dxa"/>
                <w:jc w:val="center"/>
                <w:tblCellMar>
                  <w:top w:w="0" w:type="dxa"/>
                  <w:left w:w="108" w:type="dxa"/>
                  <w:bottom w:w="0" w:type="dxa"/>
                  <w:right w:w="108" w:type="dxa"/>
                </w:tblCellMar>
              </w:tblPrEx>
              <w:trPr>
                <w:trHeight w:val="92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质量管理体系与保证措施</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投标人提供的方案应当包括以下内容：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1.人员配备方案；</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2.质量控制和进度控制的方法和措施；</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3.完成服务保障方案；</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1.投标人提供的方案满足全部三点内容得40%分，满足任意二点内容得30%分，满足任意一点内容得10%分，不满足不得分。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2.在此基础上，专家根据各投标人的具体响应内容按照量化的评审因素指标进一步评审：</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方案及措施详细、完整、针对性强，得60%分；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方案及措施合理，具有一定的针对性，得30%分；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方案及措施不完整，无针对性，得10%分；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未提供，不得分。</w:t>
                  </w:r>
                </w:p>
              </w:tc>
            </w:tr>
            <w:tr>
              <w:tblPrEx>
                <w:tblW w:w="8982" w:type="dxa"/>
                <w:jc w:val="center"/>
                <w:tblCellMar>
                  <w:top w:w="0" w:type="dxa"/>
                  <w:left w:w="108" w:type="dxa"/>
                  <w:bottom w:w="0" w:type="dxa"/>
                  <w:right w:w="108" w:type="dxa"/>
                </w:tblCellMar>
              </w:tblPrEx>
              <w:trPr>
                <w:trHeight w:val="255"/>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三</w:t>
                  </w:r>
                </w:p>
              </w:tc>
              <w:tc>
                <w:tcPr>
                  <w:tcW w:w="359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诚信情况</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5</w:t>
                  </w:r>
                </w:p>
              </w:tc>
            </w:tr>
            <w:tr>
              <w:tblPrEx>
                <w:tblW w:w="8982" w:type="dxa"/>
                <w:jc w:val="center"/>
                <w:tblCellMar>
                  <w:top w:w="0" w:type="dxa"/>
                  <w:left w:w="108" w:type="dxa"/>
                  <w:bottom w:w="0" w:type="dxa"/>
                  <w:right w:w="108" w:type="dxa"/>
                </w:tblCellMar>
              </w:tblPrEx>
              <w:trPr>
                <w:trHeight w:val="700"/>
                <w:jc w:val="center"/>
              </w:trPr>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p>
              </w:tc>
              <w:tc>
                <w:tcPr>
                  <w:tcW w:w="2623"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市财政局诚信管理情况</w:t>
                  </w:r>
                </w:p>
              </w:tc>
              <w:tc>
                <w:tcPr>
                  <w:tcW w:w="969" w:type="dxa"/>
                  <w:tcBorders>
                    <w:top w:val="single" w:sz="4" w:space="0" w:color="000000"/>
                    <w:left w:val="single" w:sz="4" w:space="0" w:color="000000"/>
                    <w:bottom w:val="single" w:sz="4" w:space="0" w:color="000000"/>
                    <w:right w:val="single" w:sz="4" w:space="0" w:color="000000"/>
                  </w:tcBorders>
                  <w:shd w:val="clear" w:color="auto" w:fill="auto"/>
                  <w:vAlign w:val="center"/>
                </w:tcPr>
                <w:p>
                  <w:pPr>
                    <w:jc w:val="cente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w:t>
                  </w:r>
                </w:p>
              </w:tc>
              <w:tc>
                <w:tcPr>
                  <w:tcW w:w="4692" w:type="dxa"/>
                  <w:tcBorders>
                    <w:top w:val="single" w:sz="4" w:space="0" w:color="000000"/>
                    <w:left w:val="single" w:sz="4" w:space="0" w:color="000000"/>
                    <w:bottom w:val="single" w:sz="4" w:space="0" w:color="000000"/>
                    <w:right w:val="single" w:sz="4" w:space="0" w:color="000000"/>
                  </w:tcBorders>
                  <w:shd w:val="clear" w:color="auto" w:fill="auto"/>
                  <w:vAlign w:val="center"/>
                </w:tcPr>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（一）评分内容：</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根据《深圳市财政局关于印发&lt;深圳市财政局政府采购供应商信用信息管理办法&gt;的通知》（深财规〔2023〕3号）相关规定，如供应商在全国范围内存在因政府采购违法、违规行为受到财政部门罚款等一般行政处罚信息，或者存在该办法第十一条所称在本市集中采购活动中的一般违法失信行为记录信息，且在公示期内的，本项不得分，否则得满分。</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（二）评分依据:</w:t>
                  </w:r>
                </w:p>
                <w:p>
                  <w:pPr>
                    <w:textAlignment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采购代理机构通过“信用中国”、“中国政府采购网”、“深圳市政府采购监管网”以及市、区财政部门认定的其他渠道查询供应商信用信息，投标人无需提供证明材料。</w:t>
                  </w:r>
                </w:p>
              </w:tc>
            </w:tr>
          </w:tbl>
          <w:p>
            <w:pPr>
              <w:pStyle w:val="NormalWeb"/>
              <w:ind w:left="420"/>
              <w:rPr>
                <w:rFonts w:ascii="宋体" w:eastAsia="宋体" w:hAnsi="宋体" w:cs="宋体" w:hint="eastAsia"/>
                <w:color w:val="000000" w:themeColor="text1"/>
                <w14:textFill>
                  <w14:solidFill>
                    <w14:schemeClr w14:val="tx1"/>
                  </w14:solidFill>
                </w14:textFill>
              </w:rPr>
            </w:pPr>
          </w:p>
        </w:tc>
      </w:tr>
    </w:tbl>
    <w:p>
      <w:pPr>
        <w:rPr>
          <w:rFonts w:ascii="宋体" w:eastAsia="宋体" w:hAnsi="宋体" w:cs="宋体" w:hint="eastAsia"/>
          <w:vanish/>
          <w:color w:val="000000" w:themeColor="text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pStyle w:val="NormalWeb"/>
        <w:spacing w:line="360" w:lineRule="auto"/>
        <w:jc w:val="center"/>
        <w:outlineLvl w:val="1"/>
        <w:rPr>
          <w:rFonts w:ascii="宋体" w:eastAsia="宋体" w:hAnsi="宋体" w:cs="宋体" w:hint="eastAsia"/>
          <w:color w:val="000000" w:themeColor="text1"/>
          <w:sz w:val="40"/>
          <w:szCs w:val="40"/>
          <w14:textFill>
            <w14:solidFill>
              <w14:schemeClr w14:val="tx1"/>
            </w14:solidFill>
          </w14:textFill>
        </w:rPr>
      </w:pPr>
      <w:r>
        <w:rPr>
          <w:rFonts w:ascii="宋体" w:eastAsia="宋体" w:hAnsi="宋体" w:cs="宋体" w:hint="eastAsia"/>
          <w:color w:val="000000" w:themeColor="text1"/>
          <w:sz w:val="40"/>
          <w:szCs w:val="40"/>
          <w14:textFill>
            <w14:solidFill>
              <w14:schemeClr w14:val="tx1"/>
            </w14:solidFill>
          </w14:textFill>
        </w:rPr>
        <w:t>投标书目录</w:t>
      </w:r>
    </w:p>
    <w:tbl>
      <w:tblPr>
        <w:tblStyle w:val="TableNormal"/>
        <w:tblW w:w="9072" w:type="dxa"/>
        <w:jc w:val="center"/>
        <w:tblCellSpacing w:w="0" w:type="dxa"/>
        <w:tblLayout w:type="fixed"/>
        <w:tblCellMar>
          <w:top w:w="45" w:type="dxa"/>
          <w:left w:w="45" w:type="dxa"/>
          <w:bottom w:w="45" w:type="dxa"/>
          <w:right w:w="45" w:type="dxa"/>
        </w:tblCellMar>
      </w:tblPr>
      <w:tblGrid>
        <w:gridCol w:w="9072"/>
      </w:tblGrid>
      <w:tr>
        <w:tblPrEx>
          <w:tblW w:w="9072" w:type="dxa"/>
          <w:jc w:val="center"/>
          <w:tblCellSpacing w:w="0" w:type="dxa"/>
          <w:tblLayout w:type="fixed"/>
          <w:tblCellMar>
            <w:top w:w="45" w:type="dxa"/>
            <w:left w:w="45" w:type="dxa"/>
            <w:bottom w:w="45" w:type="dxa"/>
            <w:right w:w="45" w:type="dxa"/>
          </w:tblCellMar>
        </w:tblPrEx>
        <w:trPr>
          <w:trHeight w:val="11432"/>
          <w:tblCellSpacing w:w="0" w:type="dxa"/>
          <w:jc w:val="center"/>
        </w:trPr>
        <w:tc>
          <w:tcPr>
            <w:tcW w:w="9072" w:type="dxa"/>
            <w:vAlign w:val="center"/>
          </w:tcPr>
          <w:p>
            <w:pPr>
              <w:outlineLvl w:val="1"/>
              <w:rPr>
                <w:rFonts w:ascii="宋体" w:eastAsia="宋体" w:hAnsi="宋体" w:cs="宋体" w:hint="eastAsia"/>
                <w:b/>
                <w:bCs/>
                <w:color w:val="FF0000"/>
                <w:sz w:val="28"/>
                <w:szCs w:val="28"/>
              </w:rPr>
            </w:pPr>
            <w:r>
              <w:rPr>
                <w:rFonts w:ascii="宋体" w:eastAsia="宋体" w:hAnsi="宋体" w:cs="宋体" w:hint="eastAsia"/>
                <w:b/>
                <w:bCs/>
                <w:color w:val="FF0000"/>
                <w:sz w:val="28"/>
                <w:szCs w:val="28"/>
              </w:rPr>
              <w:t>1.投标文件正文（信息公开部分）：</w:t>
            </w:r>
          </w:p>
          <w:p>
            <w:pPr>
              <w:outlineLvl w:val="1"/>
              <w:rPr>
                <w:rFonts w:ascii="宋体" w:eastAsia="宋体" w:hAnsi="宋体" w:cs="宋体" w:hint="eastAsia"/>
                <w:sz w:val="28"/>
                <w:szCs w:val="28"/>
              </w:rPr>
            </w:pPr>
            <w:r>
              <w:rPr>
                <w:rFonts w:ascii="宋体" w:eastAsia="宋体" w:hAnsi="宋体" w:cs="宋体" w:hint="eastAsia"/>
                <w:sz w:val="28"/>
                <w:szCs w:val="28"/>
              </w:rPr>
              <w:t>（1）投标函</w:t>
            </w:r>
          </w:p>
          <w:p>
            <w:pPr>
              <w:outlineLvl w:val="1"/>
              <w:rPr>
                <w:rFonts w:ascii="宋体" w:eastAsia="宋体" w:hAnsi="宋体" w:cs="宋体" w:hint="eastAsia"/>
                <w:sz w:val="28"/>
                <w:szCs w:val="28"/>
              </w:rPr>
            </w:pPr>
            <w:r>
              <w:rPr>
                <w:rFonts w:ascii="宋体" w:eastAsia="宋体" w:hAnsi="宋体" w:cs="宋体" w:hint="eastAsia"/>
                <w:sz w:val="28"/>
                <w:szCs w:val="28"/>
              </w:rPr>
              <w:t>（2）政府采购投标及履约承诺函</w:t>
            </w:r>
          </w:p>
          <w:p>
            <w:pPr>
              <w:outlineLvl w:val="1"/>
              <w:rPr>
                <w:rFonts w:ascii="宋体" w:eastAsia="宋体" w:hAnsi="宋体" w:cs="宋体" w:hint="eastAsia"/>
                <w:sz w:val="28"/>
                <w:szCs w:val="28"/>
              </w:rPr>
            </w:pPr>
            <w:r>
              <w:rPr>
                <w:rFonts w:ascii="宋体" w:eastAsia="宋体" w:hAnsi="宋体" w:cs="宋体" w:hint="eastAsia"/>
                <w:sz w:val="28"/>
                <w:szCs w:val="28"/>
              </w:rPr>
              <w:t>（3）投标人情况及资格证明文件</w:t>
            </w:r>
          </w:p>
          <w:p>
            <w:pPr>
              <w:outlineLvl w:val="1"/>
              <w:rPr>
                <w:rFonts w:ascii="宋体" w:eastAsia="宋体" w:hAnsi="宋体" w:cs="宋体" w:hint="eastAsia"/>
                <w:sz w:val="28"/>
                <w:szCs w:val="28"/>
              </w:rPr>
            </w:pPr>
            <w:r>
              <w:rPr>
                <w:rFonts w:ascii="宋体" w:eastAsia="宋体" w:hAnsi="宋体" w:cs="宋体" w:hint="eastAsia"/>
                <w:sz w:val="28"/>
                <w:szCs w:val="28"/>
              </w:rPr>
              <w:t>（4）项目详细报价</w:t>
            </w:r>
          </w:p>
          <w:p>
            <w:pPr>
              <w:outlineLvl w:val="1"/>
              <w:rPr>
                <w:rFonts w:ascii="宋体" w:eastAsia="宋体" w:hAnsi="宋体" w:cs="宋体" w:hint="eastAsia"/>
                <w:sz w:val="28"/>
                <w:szCs w:val="28"/>
              </w:rPr>
            </w:pPr>
            <w:r>
              <w:rPr>
                <w:rFonts w:ascii="宋体" w:eastAsia="宋体" w:hAnsi="宋体" w:cs="宋体" w:hint="eastAsia"/>
                <w:sz w:val="28"/>
                <w:szCs w:val="28"/>
              </w:rPr>
              <w:t>（5）供应商资格（资质、认证）情况</w:t>
            </w:r>
          </w:p>
          <w:p>
            <w:pPr>
              <w:tabs>
                <w:tab w:val="left" w:pos="5723"/>
              </w:tabs>
              <w:outlineLvl w:val="1"/>
              <w:rPr>
                <w:rFonts w:ascii="宋体" w:eastAsia="宋体" w:hAnsi="宋体" w:cs="宋体" w:hint="eastAsia"/>
                <w:sz w:val="28"/>
                <w:szCs w:val="28"/>
              </w:rPr>
            </w:pPr>
            <w:r>
              <w:rPr>
                <w:rFonts w:ascii="宋体" w:eastAsia="宋体" w:hAnsi="宋体" w:cs="宋体" w:hint="eastAsia"/>
                <w:sz w:val="28"/>
                <w:szCs w:val="28"/>
              </w:rPr>
              <w:t>（6）供应商同类项目业绩情况</w:t>
            </w:r>
            <w:r>
              <w:rPr>
                <w:rFonts w:ascii="宋体" w:eastAsia="宋体" w:hAnsi="宋体" w:cs="宋体" w:hint="eastAsia"/>
                <w:sz w:val="28"/>
                <w:szCs w:val="28"/>
              </w:rPr>
              <w:tab/>
            </w:r>
          </w:p>
          <w:p>
            <w:pPr>
              <w:outlineLvl w:val="1"/>
              <w:rPr>
                <w:rFonts w:ascii="宋体" w:eastAsia="宋体" w:hAnsi="宋体" w:cs="宋体" w:hint="eastAsia"/>
                <w:sz w:val="28"/>
                <w:szCs w:val="28"/>
              </w:rPr>
            </w:pPr>
            <w:r>
              <w:rPr>
                <w:rFonts w:ascii="宋体" w:eastAsia="宋体" w:hAnsi="宋体" w:cs="宋体" w:hint="eastAsia"/>
                <w:sz w:val="28"/>
                <w:szCs w:val="28"/>
              </w:rPr>
              <w:t>（7）供应商履约能力情况</w:t>
            </w:r>
          </w:p>
          <w:p>
            <w:pPr>
              <w:outlineLvl w:val="1"/>
              <w:rPr>
                <w:rFonts w:ascii="宋体" w:eastAsia="宋体" w:hAnsi="宋体" w:cs="宋体" w:hint="eastAsia"/>
                <w:sz w:val="28"/>
                <w:szCs w:val="28"/>
              </w:rPr>
            </w:pPr>
            <w:r>
              <w:rPr>
                <w:rFonts w:ascii="宋体" w:eastAsia="宋体" w:hAnsi="宋体" w:cs="宋体" w:hint="eastAsia"/>
                <w:sz w:val="28"/>
                <w:szCs w:val="28"/>
              </w:rPr>
              <w:t>（8）投标人认为需要加以说明的其他内容（格式自定）</w:t>
            </w:r>
          </w:p>
          <w:p>
            <w:pPr>
              <w:outlineLvl w:val="1"/>
              <w:rPr>
                <w:rFonts w:ascii="宋体" w:eastAsia="宋体" w:hAnsi="宋体" w:cs="宋体" w:hint="eastAsia"/>
                <w:b/>
                <w:bCs/>
                <w:color w:val="FF0000"/>
                <w:sz w:val="28"/>
                <w:szCs w:val="28"/>
              </w:rPr>
            </w:pPr>
            <w:r>
              <w:rPr>
                <w:rFonts w:ascii="宋体" w:eastAsia="宋体" w:hAnsi="宋体" w:cs="宋体" w:hint="eastAsia"/>
                <w:b/>
                <w:bCs/>
                <w:color w:val="FF0000"/>
                <w:sz w:val="28"/>
                <w:szCs w:val="28"/>
              </w:rPr>
              <w:t>2.投标文件附件（信息不公开部分）：</w:t>
            </w:r>
          </w:p>
          <w:p>
            <w:pPr>
              <w:outlineLvl w:val="1"/>
              <w:rPr>
                <w:rFonts w:ascii="宋体" w:eastAsia="宋体" w:hAnsi="宋体" w:cs="宋体" w:hint="eastAsia"/>
                <w:sz w:val="28"/>
                <w:szCs w:val="28"/>
              </w:rPr>
            </w:pPr>
            <w:r>
              <w:rPr>
                <w:rFonts w:ascii="宋体" w:eastAsia="宋体" w:hAnsi="宋体" w:cs="宋体" w:hint="eastAsia"/>
                <w:sz w:val="28"/>
                <w:szCs w:val="28"/>
              </w:rPr>
              <w:t>（1）法定代表人（负责人或执行事务合伙人）资格证明书</w:t>
            </w:r>
          </w:p>
          <w:p>
            <w:pPr>
              <w:outlineLvl w:val="1"/>
              <w:rPr>
                <w:rFonts w:ascii="宋体" w:eastAsia="宋体" w:hAnsi="宋体" w:cs="宋体" w:hint="eastAsia"/>
                <w:sz w:val="28"/>
                <w:szCs w:val="28"/>
              </w:rPr>
            </w:pPr>
            <w:r>
              <w:rPr>
                <w:rFonts w:ascii="宋体" w:eastAsia="宋体" w:hAnsi="宋体" w:cs="宋体" w:hint="eastAsia"/>
                <w:sz w:val="28"/>
                <w:szCs w:val="28"/>
              </w:rPr>
              <w:t>（2）投标文件签署授权委托书</w:t>
            </w:r>
          </w:p>
          <w:p>
            <w:pPr>
              <w:outlineLvl w:val="1"/>
              <w:rPr>
                <w:rFonts w:ascii="宋体" w:eastAsia="宋体" w:hAnsi="宋体" w:cs="宋体" w:hint="eastAsia"/>
                <w:sz w:val="28"/>
                <w:szCs w:val="28"/>
              </w:rPr>
            </w:pPr>
            <w:r>
              <w:rPr>
                <w:rFonts w:ascii="宋体" w:eastAsia="宋体" w:hAnsi="宋体" w:cs="宋体" w:hint="eastAsia"/>
                <w:sz w:val="28"/>
                <w:szCs w:val="28"/>
              </w:rPr>
              <w:t>（3）实质性条款响应情况表</w:t>
            </w:r>
          </w:p>
          <w:p>
            <w:pPr>
              <w:outlineLvl w:val="1"/>
              <w:rPr>
                <w:rFonts w:ascii="宋体" w:eastAsia="宋体" w:hAnsi="宋体" w:cs="宋体" w:hint="eastAsia"/>
                <w:sz w:val="28"/>
                <w:szCs w:val="28"/>
              </w:rPr>
            </w:pPr>
            <w:r>
              <w:rPr>
                <w:rFonts w:ascii="宋体" w:eastAsia="宋体" w:hAnsi="宋体" w:cs="宋体" w:hint="eastAsia"/>
                <w:sz w:val="28"/>
                <w:szCs w:val="28"/>
              </w:rPr>
              <w:t>（4）商务、技术条款偏离表</w:t>
            </w:r>
          </w:p>
          <w:p>
            <w:pPr>
              <w:outlineLvl w:val="1"/>
              <w:rPr>
                <w:rFonts w:ascii="宋体" w:eastAsia="宋体" w:hAnsi="宋体" w:cs="宋体" w:hint="eastAsia"/>
                <w:sz w:val="28"/>
                <w:szCs w:val="28"/>
              </w:rPr>
            </w:pPr>
            <w:r>
              <w:rPr>
                <w:rFonts w:ascii="宋体" w:eastAsia="宋体" w:hAnsi="宋体" w:cs="宋体" w:hint="eastAsia"/>
                <w:sz w:val="28"/>
                <w:szCs w:val="28"/>
              </w:rPr>
              <w:t>（5）拟安排的项目经理情况（仅限一人）</w:t>
            </w:r>
          </w:p>
          <w:p>
            <w:pPr>
              <w:outlineLvl w:val="1"/>
              <w:rPr>
                <w:rFonts w:ascii="宋体" w:eastAsia="宋体" w:hAnsi="宋体" w:cs="宋体" w:hint="eastAsia"/>
                <w:sz w:val="28"/>
                <w:szCs w:val="28"/>
              </w:rPr>
            </w:pPr>
            <w:r>
              <w:rPr>
                <w:rFonts w:ascii="宋体" w:eastAsia="宋体" w:hAnsi="宋体" w:cs="宋体" w:hint="eastAsia"/>
                <w:sz w:val="28"/>
                <w:szCs w:val="28"/>
              </w:rPr>
              <w:t>（6）拟安排的项目技术负责人情况（仅限一人）</w:t>
            </w:r>
          </w:p>
          <w:p>
            <w:pPr>
              <w:outlineLvl w:val="1"/>
              <w:rPr>
                <w:rFonts w:ascii="宋体" w:eastAsia="宋体" w:hAnsi="宋体" w:cs="宋体" w:hint="eastAsia"/>
                <w:sz w:val="28"/>
                <w:szCs w:val="28"/>
              </w:rPr>
            </w:pPr>
            <w:r>
              <w:rPr>
                <w:rFonts w:ascii="宋体" w:eastAsia="宋体" w:hAnsi="宋体" w:cs="宋体" w:hint="eastAsia"/>
                <w:sz w:val="28"/>
                <w:szCs w:val="28"/>
              </w:rPr>
              <w:t>（7）拟安排的项目主要团队成员（主要技术人员）情况（项目经理、项目技术负责人除外）</w:t>
            </w:r>
          </w:p>
          <w:p>
            <w:pPr>
              <w:outlineLvl w:val="1"/>
              <w:rPr>
                <w:rFonts w:ascii="宋体" w:eastAsia="宋体" w:hAnsi="宋体" w:cs="宋体" w:hint="eastAsia"/>
                <w:sz w:val="28"/>
                <w:szCs w:val="28"/>
              </w:rPr>
            </w:pPr>
            <w:r>
              <w:rPr>
                <w:rFonts w:ascii="宋体" w:eastAsia="宋体" w:hAnsi="宋体" w:cs="宋体" w:hint="eastAsia"/>
                <w:sz w:val="28"/>
                <w:szCs w:val="28"/>
              </w:rPr>
              <w:t>（8）整体实施方案（格式自定）</w:t>
            </w:r>
          </w:p>
          <w:p>
            <w:pPr>
              <w:outlineLvl w:val="1"/>
              <w:rPr>
                <w:rFonts w:ascii="宋体" w:eastAsia="宋体" w:hAnsi="宋体" w:cs="宋体" w:hint="eastAsia"/>
                <w:sz w:val="28"/>
                <w:szCs w:val="28"/>
              </w:rPr>
            </w:pPr>
            <w:r>
              <w:rPr>
                <w:rFonts w:ascii="宋体" w:eastAsia="宋体" w:hAnsi="宋体" w:cs="宋体" w:hint="eastAsia"/>
                <w:sz w:val="28"/>
                <w:szCs w:val="28"/>
              </w:rPr>
              <w:t>（9）项目的重点、难点分析及解决措施（格式自定）</w:t>
            </w:r>
          </w:p>
          <w:p>
            <w:pPr>
              <w:outlineLvl w:val="1"/>
              <w:rPr>
                <w:rFonts w:ascii="宋体" w:eastAsia="宋体" w:hAnsi="宋体" w:cs="宋体" w:hint="eastAsia"/>
                <w:sz w:val="28"/>
                <w:szCs w:val="28"/>
              </w:rPr>
            </w:pPr>
            <w:r>
              <w:rPr>
                <w:rFonts w:ascii="宋体" w:eastAsia="宋体" w:hAnsi="宋体" w:cs="宋体" w:hint="eastAsia"/>
                <w:sz w:val="28"/>
                <w:szCs w:val="28"/>
              </w:rPr>
              <w:t>（10）专用测试工具情况（格式自定）</w:t>
            </w:r>
          </w:p>
          <w:p>
            <w:pPr>
              <w:outlineLvl w:val="1"/>
              <w:rPr>
                <w:rFonts w:ascii="宋体" w:eastAsia="宋体" w:hAnsi="宋体" w:cs="宋体" w:hint="eastAsia"/>
                <w:sz w:val="28"/>
                <w:szCs w:val="28"/>
              </w:rPr>
            </w:pPr>
            <w:r>
              <w:rPr>
                <w:rFonts w:ascii="宋体" w:eastAsia="宋体" w:hAnsi="宋体" w:cs="宋体" w:hint="eastAsia"/>
                <w:sz w:val="28"/>
                <w:szCs w:val="28"/>
              </w:rPr>
              <w:t>（11）质量管理体系与保证措施（格式自定）</w:t>
            </w:r>
          </w:p>
          <w:p>
            <w:pPr>
              <w:outlineLvl w:val="1"/>
              <w:rPr>
                <w:rFonts w:ascii="宋体" w:eastAsia="宋体" w:hAnsi="宋体" w:cs="宋体" w:hint="eastAsia"/>
              </w:rPr>
            </w:pPr>
            <w:r>
              <w:rPr>
                <w:rFonts w:ascii="宋体" w:eastAsia="宋体" w:hAnsi="宋体" w:cs="宋体" w:hint="eastAsia"/>
                <w:sz w:val="28"/>
                <w:szCs w:val="28"/>
              </w:rPr>
              <w:t>（12）投标人认为需要加以说明的其他内容（格式自定）</w:t>
            </w:r>
          </w:p>
        </w:tc>
      </w:tr>
    </w:tbl>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政府采购</w:t>
      </w:r>
    </w:p>
    <w:p>
      <w:pPr>
        <w:jc w:val="center"/>
        <w:rPr>
          <w:rFonts w:ascii="宋体" w:eastAsia="宋体" w:hAnsi="宋体" w:cs="宋体" w:hint="eastAsia"/>
          <w:b/>
          <w:color w:val="000000" w:themeColor="text1"/>
          <w:sz w:val="120"/>
          <w:szCs w:val="120"/>
          <w14:textFill>
            <w14:solidFill>
              <w14:schemeClr w14:val="tx1"/>
            </w14:solidFill>
          </w14:textFill>
        </w:rPr>
      </w:pPr>
      <w:r>
        <w:rPr>
          <w:rFonts w:ascii="宋体" w:eastAsia="宋体" w:hAnsi="宋体" w:cs="宋体" w:hint="eastAsia"/>
          <w:b/>
          <w:color w:val="000000" w:themeColor="text1"/>
          <w:sz w:val="120"/>
          <w:szCs w:val="120"/>
          <w14:textFill>
            <w14:solidFill>
              <w14:schemeClr w14:val="tx1"/>
            </w14:solidFill>
          </w14:textFill>
        </w:rPr>
        <w:t>招标文件</w:t>
      </w: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p>
    <w:p>
      <w:pPr>
        <w:jc w:val="center"/>
        <w:rPr>
          <w:rFonts w:ascii="宋体" w:eastAsia="宋体" w:hAnsi="宋体" w:cs="宋体" w:hint="eastAsia"/>
          <w:b/>
          <w:color w:val="000000" w:themeColor="text1"/>
          <w:sz w:val="52"/>
          <w:szCs w:val="52"/>
          <w14:textFill>
            <w14:solidFill>
              <w14:schemeClr w14:val="tx1"/>
            </w14:solidFill>
          </w14:textFill>
        </w:rPr>
      </w:pPr>
      <w:r>
        <w:rPr>
          <w:rFonts w:ascii="宋体" w:eastAsia="宋体" w:hAnsi="宋体" w:cs="宋体" w:hint="eastAsia"/>
          <w:b/>
          <w:color w:val="000000" w:themeColor="text1"/>
          <w:sz w:val="52"/>
          <w:szCs w:val="52"/>
          <w14:textFill>
            <w14:solidFill>
              <w14:schemeClr w14:val="tx1"/>
            </w14:solidFill>
          </w14:textFill>
        </w:rPr>
        <w:t>（服务类）</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p>
    <w:p>
      <w:pPr>
        <w:jc w:val="center"/>
        <w:rPr>
          <w:rFonts w:ascii="宋体" w:eastAsia="宋体" w:hAnsi="宋体" w:cs="宋体" w:hint="eastAsia"/>
          <w:b/>
          <w:color w:val="000000" w:themeColor="text1"/>
          <w:sz w:val="44"/>
          <w:szCs w:val="44"/>
          <w14:textFill>
            <w14:solidFill>
              <w14:schemeClr w14:val="tx1"/>
            </w14:solidFill>
          </w14:textFill>
        </w:rPr>
      </w:pPr>
      <w:bookmarkStart w:id="2" w:name="_Hlk71465316"/>
      <w:r>
        <w:rPr>
          <w:rFonts w:ascii="宋体" w:eastAsia="宋体" w:hAnsi="宋体" w:cs="宋体" w:hint="eastAsia"/>
          <w:b/>
          <w:color w:val="000000" w:themeColor="text1"/>
          <w:sz w:val="44"/>
          <w:szCs w:val="44"/>
          <w14:textFill>
            <w14:solidFill>
              <w14:schemeClr w14:val="tx1"/>
            </w14:solidFill>
          </w14:textFill>
        </w:rPr>
        <w:t>友和保险经纪有限公司</w:t>
      </w:r>
    </w:p>
    <w:p>
      <w:pPr>
        <w:spacing w:line="360" w:lineRule="auto"/>
        <w:ind w:firstLine="3600" w:firstLineChars="1500"/>
        <w:outlineLvl w:val="1"/>
        <w:rPr>
          <w:rFonts w:ascii="宋体" w:eastAsia="宋体" w:hAnsi="宋体" w:cs="宋体" w:hint="eastAsia"/>
          <w:color w:val="FF0000"/>
          <w:sz w:val="30"/>
          <w:szCs w:val="30"/>
        </w:rPr>
      </w:pPr>
      <w:bookmarkEnd w:id="2"/>
      <w:r>
        <w:rPr>
          <w:rFonts w:ascii="宋体" w:eastAsia="宋体" w:hAnsi="宋体" w:cs="宋体" w:hint="eastAsia"/>
          <w:color w:val="000000" w:themeColor="text1"/>
          <w14:textFill>
            <w14:solidFill>
              <w14:schemeClr w14:val="tx1"/>
            </w14:solidFill>
          </w14:textFill>
        </w:rPr>
        <w:br w:type="page"/>
      </w:r>
      <w:r>
        <w:rPr>
          <w:rFonts w:ascii="宋体" w:eastAsia="宋体" w:hAnsi="宋体" w:cs="宋体" w:hint="eastAsia"/>
          <w:b/>
          <w:bCs/>
          <w:color w:val="FF0000"/>
          <w:kern w:val="44"/>
          <w:sz w:val="30"/>
          <w:szCs w:val="30"/>
        </w:rPr>
        <w:t>警示条款</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w:t>
      </w:r>
      <w:r>
        <w:rPr>
          <w:rFonts w:ascii="宋体" w:eastAsia="宋体" w:hAnsi="宋体" w:cs="宋体" w:hint="eastAsia"/>
          <w:b/>
          <w:bCs/>
          <w:color w:val="000000" w:themeColor="text1"/>
          <w14:textFill>
            <w14:solidFill>
              <w14:schemeClr w14:val="tx1"/>
            </w14:solidFill>
          </w14:textFill>
        </w:rPr>
        <w:t>《深圳经济特区政府采购条例》第五十七条</w:t>
      </w:r>
      <w:r>
        <w:rPr>
          <w:rFonts w:ascii="宋体" w:eastAsia="宋体" w:hAnsi="宋体" w:cs="宋体" w:hint="eastAsia"/>
          <w:color w:val="000000" w:themeColor="text1"/>
          <w14:textFill>
            <w14:solidFill>
              <w14:schemeClr w14:val="tx1"/>
            </w14:solidFill>
          </w14:textFill>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（一）在采购活动中应当回避而未回避的；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（二）未按本条例规定签订、履行采购合同，造成严重后果的；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（三）隐瞒真实情况，提供虚假资料的；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（四）以非法手段排斥其他供应商参与竞争的；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（五）与其他采购参加人串通投标的；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（六）恶意投诉的；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（七）向采购项目相关人行贿或者提供其他不当利益的；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（八）阻碍、抗拒主管部门监督检查的；</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（九）其他违反本条例规定的行为。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二、《深圳经济特区政府采购条例实施细则》第七十五条 </w:t>
      </w:r>
      <w:r>
        <w:rPr>
          <w:rFonts w:ascii="宋体" w:eastAsia="宋体" w:hAnsi="宋体" w:cs="宋体" w:hint="eastAsia"/>
          <w:color w:val="000000" w:themeColor="text1"/>
          <w14:textFill>
            <w14:solidFill>
              <w14:schemeClr w14:val="tx1"/>
            </w14:solidFill>
          </w14:textFill>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三、《深圳经济特区政府采购条例实施细则》第七十七条 </w:t>
      </w:r>
      <w:r>
        <w:rPr>
          <w:rFonts w:ascii="宋体" w:eastAsia="宋体" w:hAnsi="宋体" w:cs="宋体" w:hint="eastAsia"/>
          <w:color w:val="000000" w:themeColor="text1"/>
          <w14:textFill>
            <w14:solidFill>
              <w14:schemeClr w14:val="tx1"/>
            </w14:solidFill>
          </w14:textFill>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投标供应商不能提供项目负责人或者主要技术人员的劳动合同、社会保险等劳动关系证明材料的，视为存在前款第（三）项规定的情形。</w:t>
      </w:r>
    </w:p>
    <w:p>
      <w:pPr>
        <w:ind w:firstLine="480" w:firstLineChars="200"/>
        <w:rPr>
          <w:rFonts w:ascii="宋体" w:eastAsia="宋体" w:hAnsi="宋体" w:cs="宋体" w:hint="eastAsia"/>
          <w:color w:val="FF0000"/>
        </w:rPr>
      </w:pPr>
      <w:r>
        <w:rPr>
          <w:rFonts w:ascii="宋体" w:eastAsia="宋体" w:hAnsi="宋体" w:cs="宋体" w:hint="eastAsia"/>
          <w:color w:val="FF0000"/>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pPr>
        <w:ind w:firstLine="480" w:firstLineChars="200"/>
        <w:rPr>
          <w:rFonts w:ascii="宋体" w:eastAsia="宋体" w:hAnsi="宋体" w:cs="宋体" w:hint="eastAsia"/>
          <w:color w:val="FF0000"/>
        </w:rPr>
      </w:pPr>
      <w:r>
        <w:rPr>
          <w:rFonts w:ascii="宋体" w:eastAsia="宋体" w:hAnsi="宋体" w:cs="宋体" w:hint="eastAsia"/>
          <w:color w:val="FF0000"/>
        </w:rPr>
        <w:t>注：该风险知悉确认书用于对供应商违法行为的警示，不作为供应商资格性审查及符合性审查条件。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五、供应商在使用深圳政府采购智慧平台的投标文件制作工具创建投标文件时，该工具将自动在投标文件中记录文件创建标识码，同时提取投标文件制作电脑的网卡MAC地址、硬盘序列号、CPU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六、为避免出现不同供应商投标文件的文件制作机器码、文件创建标识码、IP 地址一致的异常情况，建议各供应商编制、上传投标文件时不要使用公共电脑设备或公共网络。</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pPr>
        <w:rPr>
          <w:rFonts w:ascii="宋体" w:eastAsia="宋体" w:hAnsi="宋体" w:cs="宋体" w:hint="eastAsia"/>
          <w:color w:val="000000" w:themeColor="text1"/>
          <w14:textFill>
            <w14:solidFill>
              <w14:schemeClr w14:val="tx1"/>
            </w14:solidFill>
          </w14:textFill>
        </w:rPr>
      </w:pPr>
    </w:p>
    <w:p>
      <w:pPr>
        <w:pStyle w:val="Heading1"/>
        <w:rPr>
          <w:rFonts w:eastAsia="宋体" w:cs="宋体" w:hint="eastAsia"/>
          <w:color w:val="000000" w:themeColor="text1"/>
          <w14:textFill>
            <w14:solidFill>
              <w14:schemeClr w14:val="tx1"/>
            </w14:solidFill>
          </w14:textFill>
        </w:rPr>
      </w:pPr>
      <w:r>
        <w:rPr>
          <w:rFonts w:eastAsia="宋体" w:cs="宋体" w:hint="eastAsia"/>
          <w:color w:val="000000" w:themeColor="text1"/>
          <w14:textFill>
            <w14:solidFill>
              <w14:schemeClr w14:val="tx1"/>
            </w14:solidFill>
          </w14:textFill>
        </w:rPr>
        <w:br w:type="page"/>
      </w:r>
      <w:r>
        <w:rPr>
          <w:rFonts w:eastAsia="宋体" w:cs="宋体" w:hint="eastAsia"/>
          <w:color w:val="000000" w:themeColor="text1"/>
          <w14:textFill>
            <w14:solidFill>
              <w14:schemeClr w14:val="tx1"/>
            </w14:solidFill>
          </w14:textFill>
        </w:rPr>
        <w:t>目   录</w:t>
      </w:r>
    </w:p>
    <w:p>
      <w:pPr>
        <w:spacing w:line="360" w:lineRule="auto"/>
        <w:outlineLvl w:val="1"/>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第一册  专用条款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第二章  </w:t>
      </w:r>
      <w:bookmarkStart w:id="3" w:name="_Hlk71994379"/>
      <w:r>
        <w:rPr>
          <w:rFonts w:ascii="宋体" w:eastAsia="宋体" w:hAnsi="宋体" w:cs="宋体" w:hint="eastAsia"/>
          <w:color w:val="000000" w:themeColor="text1"/>
          <w:szCs w:val="21"/>
          <w14:textFill>
            <w14:solidFill>
              <w14:schemeClr w14:val="tx1"/>
            </w14:solidFill>
          </w14:textFill>
        </w:rPr>
        <w:t>对通用条款的补充内容及其他关键信息</w:t>
      </w:r>
      <w:bookmarkEnd w:id="3"/>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投标文件组成要求及格式</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rPr>
          <w:rFonts w:ascii="宋体" w:eastAsia="宋体" w:hAnsi="宋体" w:cs="宋体" w:hint="eastAsia"/>
        </w:rPr>
      </w:pPr>
    </w:p>
    <w:p>
      <w:pPr>
        <w:spacing w:line="360" w:lineRule="auto"/>
        <w:outlineLvl w:val="1"/>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第二册  通用条款</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spacing w:line="360" w:lineRule="auto"/>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p>
    <w:p>
      <w:pPr>
        <w:pStyle w:val="Heading1"/>
        <w:rPr>
          <w:rFonts w:eastAsia="宋体" w:cs="宋体" w:hint="eastAsia"/>
          <w:color w:val="000000" w:themeColor="text1"/>
          <w:sz w:val="24"/>
          <w14:textFill>
            <w14:solidFill>
              <w14:schemeClr w14:val="tx1"/>
            </w14:solidFill>
          </w14:textFill>
        </w:rPr>
      </w:pPr>
      <w:r>
        <w:rPr>
          <w:rFonts w:eastAsia="宋体" w:cs="宋体" w:hint="eastAsia"/>
          <w:color w:val="000000" w:themeColor="text1"/>
          <w14:textFill>
            <w14:solidFill>
              <w14:schemeClr w14:val="tx1"/>
            </w14:solidFill>
          </w14:textFill>
        </w:rPr>
        <w:br w:type="page"/>
      </w:r>
      <w:bookmarkStart w:id="4" w:name="bt投标人须知"/>
      <w:bookmarkEnd w:id="4"/>
      <w:bookmarkStart w:id="5" w:name="bt投标文件签署授权委托书"/>
      <w:bookmarkEnd w:id="5"/>
      <w:bookmarkStart w:id="6" w:name="bt其他资料由投标人自定"/>
      <w:bookmarkEnd w:id="6"/>
      <w:bookmarkStart w:id="7" w:name="合同格式"/>
      <w:bookmarkEnd w:id="7"/>
      <w:bookmarkStart w:id="8" w:name="bt本工程承诺书"/>
      <w:bookmarkEnd w:id="8"/>
      <w:bookmarkStart w:id="9" w:name="bt合同条款"/>
      <w:bookmarkEnd w:id="9"/>
      <w:bookmarkStart w:id="10" w:name="bt技术标投标文件格式"/>
      <w:bookmarkEnd w:id="10"/>
      <w:bookmarkStart w:id="11" w:name="bt说明"/>
      <w:bookmarkEnd w:id="11"/>
      <w:bookmarkStart w:id="12" w:name="bt合同格式"/>
      <w:bookmarkEnd w:id="12"/>
      <w:bookmarkStart w:id="13" w:name="bt开标一览表"/>
      <w:bookmarkEnd w:id="13"/>
      <w:bookmarkStart w:id="14" w:name="bt投标报价汇总表"/>
      <w:bookmarkEnd w:id="14"/>
      <w:bookmarkStart w:id="15" w:name="bt投标函"/>
      <w:bookmarkEnd w:id="15"/>
      <w:bookmarkStart w:id="16" w:name="bt合同条款及格式"/>
      <w:bookmarkEnd w:id="16"/>
      <w:bookmarkStart w:id="17" w:name="bt投标人情况介绍"/>
      <w:bookmarkEnd w:id="17"/>
      <w:bookmarkStart w:id="18" w:name="bt商务标投标文件格式"/>
      <w:bookmarkEnd w:id="18"/>
      <w:bookmarkStart w:id="19" w:name="bt其他资料2"/>
      <w:bookmarkEnd w:id="19"/>
      <w:bookmarkStart w:id="20" w:name="bt项目管理班子配备情况"/>
      <w:bookmarkEnd w:id="20"/>
      <w:r>
        <w:rPr>
          <w:rFonts w:eastAsia="宋体" w:cs="宋体" w:hint="eastAsia"/>
          <w:color w:val="000000" w:themeColor="text1"/>
          <w14:textFill>
            <w14:solidFill>
              <w14:schemeClr w14:val="tx1"/>
            </w14:solidFill>
          </w14:textFill>
        </w:rPr>
        <w:t>第一册专用条款</w:t>
      </w:r>
    </w:p>
    <w:p>
      <w:pPr>
        <w:pStyle w:val="Heading2"/>
        <w:rPr>
          <w:rFonts w:cs="宋体" w:hint="eastAsia"/>
          <w:color w:val="000000" w:themeColor="text1"/>
          <w14:textFill>
            <w14:solidFill>
              <w14:schemeClr w14:val="tx1"/>
            </w14:solidFill>
          </w14:textFill>
        </w:rPr>
      </w:pPr>
      <w:r>
        <w:rPr>
          <w:rFonts w:cs="宋体" w:hint="eastAsia"/>
          <w:color w:val="000000" w:themeColor="text1"/>
          <w14:textFill>
            <w14:solidFill>
              <w14:schemeClr w14:val="tx1"/>
            </w14:solidFill>
          </w14:textFill>
        </w:rPr>
        <w:t xml:space="preserve">第一章  </w:t>
      </w:r>
      <w:r>
        <w:rPr>
          <w:rFonts w:cs="宋体" w:hint="eastAsia"/>
          <w:color w:val="000000" w:themeColor="text1"/>
          <w:szCs w:val="21"/>
          <w14:textFill>
            <w14:solidFill>
              <w14:schemeClr w14:val="tx1"/>
            </w14:solidFill>
          </w14:textFill>
        </w:rPr>
        <w:t>招标公告</w:t>
      </w:r>
      <w:r>
        <w:rPr>
          <w:rFonts w:cs="宋体" w:hint="eastAsia"/>
          <w:color w:val="000000" w:themeColor="text1"/>
          <w14:textFill>
            <w14:solidFill>
              <w14:schemeClr w14:val="tx1"/>
            </w14:solidFill>
          </w14:textFill>
        </w:rPr>
        <w:t xml:space="preserve">  </w:t>
      </w:r>
    </w:p>
    <w:p>
      <w:pP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投标人的资格要求：</w:t>
      </w:r>
    </w:p>
    <w:p>
      <w:pPr>
        <w:ind w:firstLine="480" w:firstLineChars="200"/>
        <w:jc w:val="both"/>
        <w:rPr>
          <w:rFonts w:ascii="宋体" w:eastAsia="宋体" w:hAnsi="宋体" w:cs="宋体" w:hint="eastAsia"/>
        </w:rPr>
      </w:pPr>
      <w:r>
        <w:rPr>
          <w:rFonts w:ascii="宋体" w:eastAsia="宋体" w:hAnsi="宋体" w:cs="宋体" w:hint="eastAsia"/>
        </w:rPr>
        <w:t>1.投标人必须是具有独立法人资格或经其授权具有承接本项目能力的分支机构，或为具有独立承担民事责任能力的其它组织（提供营业执照或事业单位法人证书或其他证明材料，如果是分支机构投标，还须同时提供其具备独立法人资格的上级主体出具的有效授权书）。本项目不接受总公司与分支机构同时参与投标，也不接受同一总公司有两个或以上分支机构参与投标；如出现以上情形，该两家或以上投标人的投标文件均按无效投标处理；</w:t>
      </w:r>
    </w:p>
    <w:p>
      <w:pPr>
        <w:ind w:firstLine="480" w:firstLineChars="200"/>
        <w:jc w:val="both"/>
        <w:rPr>
          <w:rFonts w:ascii="宋体" w:eastAsia="宋体" w:hAnsi="宋体" w:hint="eastAsia"/>
        </w:rPr>
      </w:pPr>
      <w:r>
        <w:rPr>
          <w:rFonts w:ascii="宋体" w:eastAsia="宋体" w:hAnsi="宋体" w:hint="eastAsia"/>
        </w:rPr>
        <w:t>2.本项目不接受联合体投标，不允许分包、转包。不接受进口产品参与投标（由供应商在《政府采购投标及履约承诺函》中作出声明）；</w:t>
      </w:r>
    </w:p>
    <w:p>
      <w:pPr>
        <w:ind w:firstLine="480" w:firstLineChars="200"/>
        <w:jc w:val="both"/>
        <w:rPr>
          <w:rFonts w:ascii="宋体" w:eastAsia="宋体" w:hAnsi="宋体" w:hint="eastAsia"/>
        </w:rPr>
      </w:pPr>
      <w:r>
        <w:rPr>
          <w:rFonts w:ascii="宋体" w:eastAsia="宋体" w:hAnsi="宋体" w:hint="eastAsia"/>
        </w:rPr>
        <w:t>3.参与本项目政府采购活动时不存在被有关部门禁止参与政府采购活动且在有效期内的情况（由供应商在《政府采购投标及履约承诺函》中作出声明）；</w:t>
      </w:r>
    </w:p>
    <w:p>
      <w:pPr>
        <w:ind w:firstLine="480" w:firstLineChars="200"/>
        <w:jc w:val="both"/>
        <w:rPr>
          <w:rFonts w:ascii="宋体" w:eastAsia="宋体" w:hAnsi="宋体" w:hint="eastAsia"/>
        </w:rPr>
      </w:pPr>
      <w:r>
        <w:rPr>
          <w:rFonts w:ascii="宋体" w:eastAsia="宋体" w:hAnsi="宋体" w:hint="eastAsia"/>
        </w:rPr>
        <w:t>4.具备《中华人民共和国政府采购法》第二十二条第一款的条件（由供应商在《政府采购投标及履约承诺函》中作出声明）；</w:t>
      </w:r>
    </w:p>
    <w:p>
      <w:pPr>
        <w:ind w:firstLine="480" w:firstLineChars="200"/>
        <w:jc w:val="both"/>
        <w:rPr>
          <w:rFonts w:ascii="宋体" w:eastAsia="宋体" w:hAnsi="宋体" w:hint="eastAsia"/>
        </w:rPr>
      </w:pPr>
      <w:r>
        <w:rPr>
          <w:rFonts w:ascii="宋体" w:eastAsia="宋体" w:hAnsi="宋体" w:hint="eastAsia"/>
        </w:rPr>
        <w:t>5.未被列入失信被执行人、重大税收违法失信主体、政府采购严重违法失信行为记录名单（由供应商在《政府采购投标及履约承诺函》中作出声明）。</w:t>
      </w:r>
    </w:p>
    <w:p>
      <w:pPr>
        <w:ind w:firstLine="480" w:firstLineChars="200"/>
        <w:jc w:val="both"/>
      </w:pPr>
      <w:r>
        <w:rPr>
          <w:rFonts w:ascii="宋体" w:eastAsia="宋体" w:hAnsi="宋体" w:hint="eastAsia"/>
          <w:color w:val="4F81BD" w:themeColor="accent1"/>
          <w14:textFill>
            <w14:solidFill>
              <w14:schemeClr w14:val="accent1"/>
            </w14:solidFill>
          </w14:textFill>
        </w:rPr>
        <w:t>6.单位法定代表人（负责人）为同一人或者存在直接控股、管理关系的不同供应商，不得同时参加本项目投标（由供应商在《政府采购投标及履约承诺函》中作出声明）</w:t>
      </w:r>
      <w:r>
        <w:rPr>
          <w:rFonts w:ascii="宋体" w:hAnsi="宋体" w:cs="宋体" w:hint="eastAsia"/>
          <w:szCs w:val="21"/>
        </w:rPr>
        <w:t>【注：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hAnsi="宋体" w:cs="宋体" w:hint="eastAsia"/>
        </w:rPr>
        <w:t>；</w:t>
      </w:r>
    </w:p>
    <w:p>
      <w:pPr>
        <w:ind w:firstLine="480" w:firstLineChars="200"/>
        <w:jc w:val="both"/>
        <w:rPr>
          <w:rFonts w:ascii="宋体" w:eastAsia="宋体" w:hAnsi="宋体" w:hint="eastAsia"/>
        </w:rPr>
      </w:pPr>
      <w:r>
        <w:rPr>
          <w:rFonts w:ascii="宋体" w:eastAsia="宋体" w:hAnsi="宋体" w:hint="eastAsia"/>
        </w:rPr>
        <w:t>7.不存在《深圳市财政局政府采购供应商信用信息管理办法》（深财规〔2023〕3 号）列明的严重违法失信行为（由供应商在《政府采购投标及履约承诺函》中作出声明）；</w:t>
      </w:r>
    </w:p>
    <w:p>
      <w:pPr>
        <w:ind w:firstLine="480" w:firstLineChars="200"/>
        <w:jc w:val="both"/>
        <w:rPr>
          <w:rFonts w:ascii="宋体" w:eastAsia="宋体" w:hAnsi="宋体" w:hint="eastAsia"/>
          <w:color w:val="4F81BD" w:themeColor="accent1"/>
          <w14:textFill>
            <w14:solidFill>
              <w14:schemeClr w14:val="accent1"/>
            </w14:solidFill>
          </w14:textFill>
        </w:rPr>
      </w:pPr>
      <w:r>
        <w:rPr>
          <w:rFonts w:ascii="宋体" w:eastAsia="宋体" w:hAnsi="宋体" w:hint="eastAsia"/>
          <w:color w:val="4F81BD" w:themeColor="accent1"/>
          <w14:textFill>
            <w14:solidFill>
              <w14:schemeClr w14:val="accent1"/>
            </w14:solidFill>
          </w14:textFill>
        </w:rPr>
        <w:t>8.为本项目提供整体设计、规范编制或者项目管理、监理、检测等服务的供应商，不得参加本项目投标。（由供应商在《政府采购投标及履约承诺函》中作出声明）；</w:t>
      </w:r>
    </w:p>
    <w:p>
      <w:pPr>
        <w:ind w:firstLine="480" w:firstLineChars="200"/>
        <w:jc w:val="both"/>
        <w:rPr>
          <w:rFonts w:ascii="宋体" w:eastAsia="宋体" w:hAnsi="宋体" w:hint="eastAsia"/>
        </w:rPr>
      </w:pPr>
      <w:r>
        <w:rPr>
          <w:rFonts w:ascii="宋体" w:eastAsia="宋体" w:hAnsi="宋体" w:hint="eastAsia"/>
        </w:rPr>
        <w:t>9.本项目是否专门面向中小微企业采购：是（由供应商在《中小企业声明函（服务）》或《残疾人福利性单位声明函》或《监狱企业声明函》中作出声明</w:t>
      </w:r>
      <w:r>
        <w:rPr>
          <w:rFonts w:eastAsia="宋体" w:hint="eastAsia"/>
        </w:rPr>
        <w:t>）</w:t>
      </w:r>
      <w:r>
        <w:rPr>
          <w:rFonts w:ascii="宋体" w:eastAsia="宋体" w:hAnsi="宋体" w:hint="eastAsia"/>
        </w:rPr>
        <w:t>；</w:t>
      </w:r>
    </w:p>
    <w:p>
      <w:pPr>
        <w:pStyle w:val="BodyText"/>
        <w:spacing w:line="240" w:lineRule="auto"/>
        <w:ind w:firstLine="480" w:firstLineChars="200"/>
        <w:rPr>
          <w:rFonts w:ascii="宋体" w:eastAsia="宋体" w:hAnsi="宋体" w:hint="eastAsia"/>
        </w:rPr>
      </w:pPr>
      <w:r>
        <w:rPr>
          <w:rFonts w:ascii="宋体" w:eastAsia="宋体" w:hAnsi="宋体" w:hint="eastAsia"/>
        </w:rPr>
        <w:t>本项目所属行业类型为：</w:t>
      </w:r>
      <w:r>
        <w:rPr>
          <w:rFonts w:ascii="宋体" w:eastAsia="宋体" w:hAnsi="宋体" w:hint="eastAsia"/>
          <w:u w:val="single"/>
        </w:rPr>
        <w:t>软件和信息技术服务业</w:t>
      </w:r>
      <w:r>
        <w:rPr>
          <w:rFonts w:ascii="宋体" w:eastAsia="宋体" w:hAnsi="宋体" w:hint="eastAsia"/>
        </w:rPr>
        <w:t>。</w:t>
      </w:r>
    </w:p>
    <w:p>
      <w:pPr>
        <w:ind w:firstLine="480" w:firstLineChars="200"/>
        <w:jc w:val="both"/>
        <w:rPr>
          <w:rFonts w:ascii="宋体" w:eastAsia="宋体" w:hAnsi="宋体" w:hint="eastAsia"/>
        </w:rPr>
      </w:pPr>
      <w:r>
        <w:rPr>
          <w:rFonts w:ascii="宋体" w:eastAsia="宋体" w:hAnsi="宋体"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pPr>
        <w:ind w:firstLine="480" w:firstLineChars="200"/>
        <w:jc w:val="both"/>
        <w:rPr>
          <w:rFonts w:ascii="宋体" w:eastAsia="宋体" w:hAnsi="宋体" w:hint="eastAsia"/>
        </w:rPr>
      </w:pPr>
      <w:r>
        <w:rPr>
          <w:rFonts w:ascii="宋体" w:hAnsi="宋体" w:hint="eastAsia"/>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r>
        <w:rPr>
          <w:rFonts w:ascii="宋体" w:eastAsia="宋体" w:hAnsi="宋体" w:hint="eastAsia"/>
        </w:rPr>
        <w:t>；</w:t>
      </w:r>
    </w:p>
    <w:p>
      <w:pPr>
        <w:ind w:firstLine="480" w:firstLineChars="200"/>
        <w:jc w:val="both"/>
        <w:rPr>
          <w:rFonts w:ascii="宋体" w:eastAsia="宋体" w:hAnsi="宋体" w:hint="eastAsia"/>
          <w:color w:val="4F81BD" w:themeColor="accent1"/>
          <w14:textFill>
            <w14:solidFill>
              <w14:schemeClr w14:val="accent1"/>
            </w14:solidFill>
          </w14:textFill>
        </w:rPr>
      </w:pPr>
      <w:r>
        <w:rPr>
          <w:rFonts w:ascii="宋体" w:eastAsia="宋体" w:hAnsi="宋体" w:hint="eastAsia"/>
          <w:color w:val="4F81BD" w:themeColor="accent1"/>
          <w14:textFill>
            <w14:solidFill>
              <w14:schemeClr w14:val="accent1"/>
            </w14:solidFill>
          </w14:textFill>
        </w:rPr>
        <w:t>（3）供应商投标（上传投标文件）请先行办理注册手续，具体请按照本公告“六、其他补充事宜”相关内容指引办理。</w:t>
      </w:r>
    </w:p>
    <w:p>
      <w:pPr>
        <w:rPr>
          <w:rFonts w:ascii="宋体" w:eastAsia="宋体" w:hAnsi="宋体" w:cs="宋体" w:hint="eastAsia"/>
          <w:b/>
          <w:bCs/>
          <w:szCs w:val="21"/>
        </w:rPr>
      </w:pPr>
    </w:p>
    <w:p>
      <w:pPr>
        <w:pStyle w:val="NormalIndent"/>
        <w:ind w:firstLine="0"/>
        <w:rPr>
          <w:rFonts w:ascii="宋体" w:eastAsia="宋体" w:hAnsi="宋体" w:hint="eastAsia"/>
          <w:b/>
          <w:sz w:val="28"/>
          <w:szCs w:val="28"/>
          <w:highlight w:val="yellow"/>
        </w:rPr>
      </w:pPr>
      <w:r>
        <w:rPr>
          <w:rFonts w:hint="eastAsia"/>
        </w:rPr>
        <w:t>完整公告内容详见：</w:t>
      </w:r>
      <w:r>
        <w:rPr>
          <w:rFonts w:hint="eastAsia"/>
          <w:highlight w:val="yellow"/>
        </w:rPr>
        <w:t>http://zfcg.szggzy.com:8081/</w:t>
      </w:r>
    </w:p>
    <w:p>
      <w:pPr>
        <w:spacing w:line="360" w:lineRule="auto"/>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第二章 对通用条款的补充内容及其他关键信息</w:t>
      </w:r>
    </w:p>
    <w:p>
      <w:pPr>
        <w:jc w:val="center"/>
        <w:outlineLvl w:val="2"/>
        <w:rPr>
          <w:rFonts w:ascii="宋体" w:eastAsia="宋体" w:hAnsi="宋体" w:cs="宋体" w:hint="eastAsia"/>
          <w:b/>
          <w:bCs/>
          <w:sz w:val="28"/>
          <w:szCs w:val="28"/>
        </w:rPr>
      </w:pPr>
      <w:bookmarkStart w:id="21" w:name="_Toc73521547"/>
      <w:bookmarkStart w:id="22" w:name="_Toc60631620"/>
      <w:bookmarkStart w:id="23" w:name="_Toc73518117"/>
      <w:bookmarkStart w:id="24" w:name="_Toc73517639"/>
      <w:bookmarkStart w:id="25" w:name="_Toc101074876"/>
      <w:bookmarkStart w:id="26" w:name="_Toc100052364"/>
      <w:bookmarkStart w:id="27" w:name="_Toc60560625"/>
      <w:bookmarkStart w:id="28" w:name="_Toc73521635"/>
      <w:r>
        <w:rPr>
          <w:rFonts w:ascii="宋体" w:eastAsia="宋体" w:hAnsi="宋体" w:cs="宋体" w:hint="eastAsia"/>
          <w:b/>
          <w:bCs/>
          <w:sz w:val="28"/>
          <w:szCs w:val="28"/>
        </w:rPr>
        <w:t>一、对通用条款的补充内容</w:t>
      </w:r>
    </w:p>
    <w:tbl>
      <w:tblPr>
        <w:tblStyle w:val="TableNormal"/>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b/>
                <w:bCs/>
                <w:color w:val="000000" w:themeColor="text1"/>
                <w14:textFill>
                  <w14:solidFill>
                    <w14:schemeClr w14:val="tx1"/>
                  </w14:solidFill>
                </w14:textFill>
              </w:rPr>
            </w:pPr>
            <w:bookmarkEnd w:id="21"/>
            <w:bookmarkEnd w:id="22"/>
            <w:bookmarkEnd w:id="23"/>
            <w:bookmarkEnd w:id="24"/>
            <w:bookmarkEnd w:id="25"/>
            <w:bookmarkEnd w:id="26"/>
            <w:bookmarkEnd w:id="27"/>
            <w:bookmarkEnd w:id="28"/>
            <w:r>
              <w:rPr>
                <w:rFonts w:ascii="宋体" w:eastAsia="宋体" w:hAnsi="宋体" w:cs="宋体" w:hint="eastAsia"/>
                <w:b/>
                <w:bCs/>
                <w:color w:val="000000" w:themeColor="text1"/>
                <w14:textFill>
                  <w14:solidFill>
                    <w14:schemeClr w14:val="tx1"/>
                  </w14:solidFill>
                </w14:textFill>
              </w:rPr>
              <w:t>通用条款序号</w:t>
            </w:r>
          </w:p>
        </w:tc>
        <w:tc>
          <w:tcPr>
            <w:tcW w:w="1888" w:type="dxa"/>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涉及事项</w:t>
            </w:r>
          </w:p>
        </w:tc>
        <w:tc>
          <w:tcPr>
            <w:tcW w:w="5501" w:type="dxa"/>
            <w:vAlign w:val="center"/>
          </w:tcPr>
          <w:p>
            <w:pPr>
              <w:jc w:val="center"/>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具  体  补  充  内  容</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采购人</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深圳市公安局交通警察支队宝安大队</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采购机构</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友和保险经纪有限公司</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5.3</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联合体投标</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踏勘现场</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标前会议</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不组织</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12/13</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招标文件的澄清和修改</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不晚于投标截止日三日前（详见招标公告），投标人有义务在招标期间在招标机构网站浏览与本项目有关的澄清和修改信息</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投标有效期</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120个日历日</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投标人的替代方案</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不接受</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投标文件的大小</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投标文件大小不得超过100MB</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26</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bookmarkStart w:id="29" w:name="_Hlk71664860"/>
            <w:r>
              <w:rPr>
                <w:rFonts w:ascii="宋体" w:eastAsia="宋体" w:hAnsi="宋体" w:cs="宋体" w:hint="eastAsia"/>
                <w:color w:val="000000" w:themeColor="text1"/>
                <w14:textFill>
                  <w14:solidFill>
                    <w14:schemeClr w14:val="tx1"/>
                  </w14:solidFill>
                </w14:textFill>
              </w:rPr>
              <w:t>样品、现场演示、方案讲解</w:t>
            </w:r>
            <w:bookmarkEnd w:id="29"/>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color w:val="000000" w:themeColor="text1"/>
                <w14:textFill>
                  <w14:solidFill>
                    <w14:schemeClr w14:val="tx1"/>
                  </w14:solidFill>
                </w14:textFill>
              </w:rPr>
              <w:t xml:space="preserve"> 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评审方法</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Wingdings 2" w:eastAsia="宋体" w:hAnsi="Wingdings 2" w:cs="宋体"/>
                <w:b/>
                <w:color w:val="000000" w:themeColor="text1"/>
                <w14:textFill>
                  <w14:solidFill>
                    <w14:schemeClr w14:val="tx1"/>
                  </w14:solidFill>
                </w14:textFill>
              </w:rPr>
              <w:sym w:font="Wingdings 2" w:char="F052"/>
            </w:r>
            <w:r>
              <w:rPr>
                <w:rFonts w:ascii="宋体" w:eastAsia="宋体" w:hAnsi="宋体" w:cs="宋体" w:hint="eastAsia"/>
                <w:b/>
                <w:color w:val="000000" w:themeColor="text1"/>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综合评分法</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定标方法</w:t>
            </w:r>
          </w:p>
        </w:tc>
        <w:tc>
          <w:tcPr>
            <w:tcW w:w="5501"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无</w:t>
            </w:r>
          </w:p>
        </w:tc>
      </w:tr>
      <w:tr>
        <w:tblPrEx>
          <w:tblW w:w="8367" w:type="dxa"/>
          <w:jc w:val="center"/>
          <w:tblLayout w:type="fixed"/>
          <w:tblCellMar>
            <w:top w:w="0" w:type="dxa"/>
            <w:left w:w="108" w:type="dxa"/>
            <w:bottom w:w="0" w:type="dxa"/>
            <w:right w:w="108" w:type="dxa"/>
          </w:tblCellMar>
        </w:tblPrEx>
        <w:trPr>
          <w:cantSplit/>
          <w:trHeight w:val="20"/>
          <w:jc w:val="center"/>
        </w:trPr>
        <w:tc>
          <w:tcPr>
            <w:tcW w:w="97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46</w:t>
            </w:r>
          </w:p>
        </w:tc>
        <w:tc>
          <w:tcPr>
            <w:tcW w:w="1888" w:type="dxa"/>
            <w:vAlign w:val="center"/>
          </w:tcPr>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履约担保</w:t>
            </w:r>
          </w:p>
        </w:tc>
        <w:tc>
          <w:tcPr>
            <w:tcW w:w="5501" w:type="dxa"/>
            <w:vAlign w:val="center"/>
          </w:tcPr>
          <w:p>
            <w:pPr>
              <w:pStyle w:val="CommentText"/>
              <w:jc w:val="center"/>
              <w:rPr>
                <w:rFonts w:ascii="宋体" w:eastAsia="宋体" w:hAnsi="宋体" w:cs="宋体" w:hint="eastAsia"/>
                <w:szCs w:val="21"/>
              </w:rPr>
            </w:pPr>
            <w:r>
              <w:rPr>
                <w:rFonts w:ascii="宋体" w:eastAsia="宋体" w:hAnsi="宋体" w:cs="宋体" w:hint="eastAsia"/>
                <w:szCs w:val="21"/>
              </w:rPr>
              <w:t>无</w:t>
            </w:r>
          </w:p>
        </w:tc>
      </w:tr>
    </w:tbl>
    <w:p>
      <w:pP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备注：本表是通用条款相关条款的补充和明确，如与通用条款内容相冲突的，以本表为准。</w:t>
      </w:r>
      <w:r>
        <w:rPr>
          <w:rFonts w:ascii="宋体" w:eastAsia="宋体" w:hAnsi="宋体" w:cs="宋体" w:hint="eastAsia"/>
          <w:b/>
          <w:bCs/>
          <w:color w:val="FF0000"/>
          <w:szCs w:val="21"/>
        </w:rPr>
        <w:t>本项目使用深圳政府采购智慧平台进行操作，通用条款中如有与深圳政府采购智慧平台操作流程不一致的内容，请以深圳政府采购智慧平台zfcg.szggzy.com:8081公布的操作手册内容为准。</w:t>
      </w:r>
    </w:p>
    <w:p>
      <w:pPr>
        <w:rPr>
          <w:rFonts w:ascii="宋体" w:eastAsia="宋体" w:hAnsi="宋体" w:cs="宋体" w:hint="eastAsia"/>
          <w:b/>
          <w:color w:val="000000" w:themeColor="text1"/>
          <w14:textFill>
            <w14:solidFill>
              <w14:schemeClr w14:val="tx1"/>
            </w14:solidFill>
          </w14:textFill>
        </w:rPr>
      </w:pPr>
    </w:p>
    <w:p>
      <w:pPr>
        <w:jc w:val="center"/>
        <w:outlineLvl w:val="2"/>
        <w:rPr>
          <w:rFonts w:ascii="宋体" w:eastAsia="宋体" w:hAnsi="宋体" w:cs="宋体" w:hint="eastAsia"/>
          <w:b/>
          <w:bCs/>
          <w:sz w:val="28"/>
          <w:szCs w:val="28"/>
        </w:rPr>
      </w:pPr>
      <w:r>
        <w:rPr>
          <w:rFonts w:ascii="宋体" w:eastAsia="宋体" w:hAnsi="宋体" w:cs="宋体" w:hint="eastAsia"/>
          <w:b/>
          <w:bCs/>
          <w:sz w:val="28"/>
          <w:szCs w:val="28"/>
        </w:rPr>
        <w:t>二、其他关键信息</w:t>
      </w:r>
    </w:p>
    <w:p>
      <w:pPr>
        <w:ind w:firstLine="480" w:firstLineChars="200"/>
        <w:rPr>
          <w:rFonts w:ascii="宋体" w:eastAsia="宋体" w:hAnsi="宋体" w:cs="宋体" w:hint="eastAsia"/>
          <w:b/>
          <w:color w:val="FF0000"/>
        </w:rPr>
      </w:pPr>
      <w:r>
        <w:rPr>
          <w:rFonts w:ascii="宋体" w:eastAsia="宋体" w:hAnsi="宋体" w:cs="宋体" w:hint="eastAsia"/>
          <w:b/>
          <w:bCs/>
        </w:rPr>
        <w:t>（一）评标定标信息</w:t>
      </w:r>
    </w:p>
    <w:p>
      <w:pPr>
        <w:ind w:firstLine="480" w:firstLineChars="200"/>
        <w:rPr>
          <w:rFonts w:ascii="宋体" w:eastAsia="宋体" w:hAnsi="宋体" w:cs="宋体" w:hint="eastAsia"/>
          <w:b/>
          <w:color w:val="4F81BD" w:themeColor="accent1"/>
          <w14:textFill>
            <w14:solidFill>
              <w14:schemeClr w14:val="accent1"/>
            </w14:solidFill>
          </w14:textFill>
        </w:rPr>
      </w:pPr>
      <w:r>
        <w:rPr>
          <w:rFonts w:ascii="宋体" w:eastAsia="宋体" w:hAnsi="宋体" w:cs="宋体" w:hint="eastAsia"/>
          <w:b/>
          <w:color w:val="4F81BD" w:themeColor="accent1"/>
          <w14:textFill>
            <w14:solidFill>
              <w14:schemeClr w14:val="accent1"/>
            </w14:solidFill>
          </w14:textFill>
        </w:rPr>
        <w:t>适用于非评定分离项目</w:t>
      </w:r>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090"/>
        <w:gridCol w:w="4065"/>
      </w:tblGrid>
      <w:tr>
        <w:tblPrEx>
          <w:tblW w:w="81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bookmarkStart w:id="30" w:name="_Hlk74239733"/>
            <w:r>
              <w:rPr>
                <w:rFonts w:ascii="宋体" w:eastAsia="宋体" w:hAnsi="宋体" w:cs="宋体" w:hint="eastAsia"/>
              </w:rPr>
              <w:t>评标方法</w:t>
            </w:r>
          </w:p>
        </w:tc>
        <w:tc>
          <w:tcPr>
            <w:tcW w:w="4065" w:type="dxa"/>
          </w:tcPr>
          <w:p>
            <w:pPr>
              <w:widowControl w:val="0"/>
              <w:jc w:val="center"/>
              <w:rPr>
                <w:rFonts w:ascii="宋体" w:eastAsia="宋体" w:hAnsi="宋体" w:cs="宋体" w:hint="eastAsia"/>
              </w:rPr>
            </w:pPr>
            <w:r>
              <w:rPr>
                <w:rFonts w:ascii="宋体" w:eastAsia="宋体" w:hAnsi="宋体" w:cs="宋体" w:hint="eastAsia"/>
              </w:rPr>
              <w:t>综合评分法</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候选中标供应商家数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3</w:t>
            </w:r>
          </w:p>
        </w:tc>
      </w:tr>
      <w:tr>
        <w:tblPrEx>
          <w:tblW w:w="8155" w:type="dxa"/>
          <w:tblInd w:w="0" w:type="dxa"/>
          <w:tblLayout w:type="fixed"/>
          <w:tblCellMar>
            <w:top w:w="0" w:type="dxa"/>
            <w:left w:w="108" w:type="dxa"/>
            <w:bottom w:w="0" w:type="dxa"/>
            <w:right w:w="108" w:type="dxa"/>
          </w:tblCellMar>
        </w:tblPrEx>
        <w:tc>
          <w:tcPr>
            <w:tcW w:w="4090" w:type="dxa"/>
          </w:tcPr>
          <w:p>
            <w:pPr>
              <w:widowControl w:val="0"/>
              <w:jc w:val="center"/>
              <w:rPr>
                <w:rFonts w:ascii="宋体" w:eastAsia="宋体" w:hAnsi="宋体" w:cs="宋体" w:hint="eastAsia"/>
              </w:rPr>
            </w:pPr>
            <w:r>
              <w:rPr>
                <w:rFonts w:ascii="宋体" w:eastAsia="宋体" w:hAnsi="宋体" w:cs="宋体" w:hint="eastAsia"/>
              </w:rPr>
              <w:t>中标供应商家数</w:t>
            </w:r>
          </w:p>
        </w:tc>
        <w:tc>
          <w:tcPr>
            <w:tcW w:w="4065" w:type="dxa"/>
          </w:tcPr>
          <w:p>
            <w:pPr>
              <w:widowControl w:val="0"/>
              <w:jc w:val="center"/>
              <w:rPr>
                <w:rFonts w:ascii="宋体" w:eastAsia="宋体" w:hAnsi="宋体" w:cs="宋体" w:hint="eastAsia"/>
              </w:rPr>
            </w:pPr>
            <w:r>
              <w:rPr>
                <w:rFonts w:ascii="宋体" w:eastAsia="宋体" w:hAnsi="宋体" w:cs="宋体" w:hint="eastAsia"/>
              </w:rPr>
              <w:t>1</w:t>
            </w:r>
          </w:p>
        </w:tc>
      </w:tr>
    </w:tbl>
    <w:p>
      <w:pPr>
        <w:pStyle w:val="BodyText"/>
        <w:rPr>
          <w:rFonts w:ascii="宋体" w:eastAsia="宋体" w:hAnsi="宋体" w:cs="宋体" w:hint="eastAsia"/>
        </w:rPr>
      </w:pPr>
      <w:bookmarkEnd w:id="30"/>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评审委员会对每个通过资格性检查和符合性检查且报价不超过最高限价的投标人进行评审、打分，然后汇总每个投标人每项评审因素的评分。</w:t>
      </w:r>
    </w:p>
    <w:p>
      <w:pPr>
        <w:ind w:firstLine="480" w:firstLineChars="200"/>
        <w:rPr>
          <w:rFonts w:ascii="宋体" w:eastAsia="宋体" w:hAnsi="宋体" w:cs="宋体" w:hint="eastAsia"/>
          <w:color w:val="4F81BD" w:themeColor="accent1"/>
          <w14:textFill>
            <w14:solidFill>
              <w14:schemeClr w14:val="accent1"/>
            </w14:solidFill>
          </w14:textFill>
        </w:rPr>
      </w:pPr>
      <w:r>
        <w:rPr>
          <w:rFonts w:ascii="宋体" w:eastAsia="宋体" w:hAnsi="宋体" w:cs="宋体" w:hint="eastAsia"/>
          <w:color w:val="4F81BD" w:themeColor="accent1"/>
          <w14:textFill>
            <w14:solidFill>
              <w14:schemeClr w14:val="accent1"/>
            </w14:solidFill>
          </w14:textFill>
        </w:rPr>
        <w:t>评委会在评审时，按照《评标信息》中的评审因素，对进入该阶段评审的各投标文件进行分析和比较。</w:t>
      </w:r>
    </w:p>
    <w:p>
      <w:pPr>
        <w:pStyle w:val="BodyText"/>
        <w:rPr>
          <w:rFonts w:ascii="宋体" w:eastAsia="宋体" w:hAnsi="宋体" w:cs="宋体" w:hint="eastAsia"/>
        </w:rPr>
      </w:pPr>
    </w:p>
    <w:p>
      <w:pPr>
        <w:spacing w:line="360" w:lineRule="auto"/>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（二）其他事项</w:t>
      </w:r>
    </w:p>
    <w:p>
      <w:pPr>
        <w:rPr>
          <w:b/>
          <w:color w:val="000000" w:themeColor="text1"/>
          <w14:textFill>
            <w14:solidFill>
              <w14:schemeClr w14:val="tx1"/>
            </w14:solidFill>
          </w14:textFill>
        </w:rPr>
      </w:pPr>
      <w:r>
        <w:rPr>
          <w:rFonts w:hint="eastAsia"/>
          <w:b/>
          <w:color w:val="000000" w:themeColor="text1"/>
          <w14:textFill>
            <w14:solidFill>
              <w14:schemeClr w14:val="tx1"/>
            </w14:solidFill>
          </w14:textFill>
        </w:rPr>
        <w:t>1.关于专门面向中小</w:t>
      </w:r>
      <w:r>
        <w:rPr>
          <w:rFonts w:eastAsia="宋体" w:hint="eastAsia"/>
          <w:b/>
          <w:color w:val="000000" w:themeColor="text1"/>
          <w14:textFill>
            <w14:solidFill>
              <w14:schemeClr w14:val="tx1"/>
            </w14:solidFill>
          </w14:textFill>
        </w:rPr>
        <w:t>微</w:t>
      </w:r>
      <w:r>
        <w:rPr>
          <w:rFonts w:hint="eastAsia"/>
          <w:b/>
          <w:color w:val="000000" w:themeColor="text1"/>
          <w14:textFill>
            <w14:solidFill>
              <w14:schemeClr w14:val="tx1"/>
            </w14:solidFill>
          </w14:textFill>
        </w:rPr>
        <w:t>企业采购的说明</w:t>
      </w:r>
    </w:p>
    <w:p>
      <w:pPr>
        <w:ind w:firstLine="480" w:firstLineChars="200"/>
        <w:rPr>
          <w:rFonts w:ascii="宋体" w:hAnsi="宋体"/>
          <w:color w:val="000000" w:themeColor="text1"/>
          <w:szCs w:val="21"/>
          <w14:textFill>
            <w14:solidFill>
              <w14:schemeClr w14:val="tx1"/>
            </w14:solidFill>
          </w14:textFill>
        </w:rPr>
      </w:pPr>
      <w:r>
        <w:rPr>
          <w:rFonts w:ascii="宋体" w:hAnsi="宋体" w:hint="eastAsia"/>
          <w:color w:val="000000" w:themeColor="text1"/>
          <w:szCs w:val="21"/>
          <w14:textFill>
            <w14:solidFill>
              <w14:schemeClr w14:val="tx1"/>
            </w14:solidFill>
          </w14:textFill>
        </w:rPr>
        <w:t>（1）本项目为专门面向中小</w:t>
      </w:r>
      <w:r>
        <w:rPr>
          <w:rFonts w:ascii="宋体" w:eastAsia="宋体" w:hAnsi="宋体" w:hint="eastAsia"/>
          <w:color w:val="000000" w:themeColor="text1"/>
          <w:szCs w:val="21"/>
          <w14:textFill>
            <w14:solidFill>
              <w14:schemeClr w14:val="tx1"/>
            </w14:solidFill>
          </w14:textFill>
        </w:rPr>
        <w:t>微</w:t>
      </w:r>
      <w:r>
        <w:rPr>
          <w:rFonts w:ascii="宋体" w:hAnsi="宋体" w:hint="eastAsia"/>
          <w:color w:val="000000" w:themeColor="text1"/>
          <w:szCs w:val="21"/>
          <w14:textFill>
            <w14:solidFill>
              <w14:schemeClr w14:val="tx1"/>
            </w14:solidFill>
          </w14:textFill>
        </w:rPr>
        <w:t>企业采购的项目，不再执行价格评审优惠的扶持政策，</w:t>
      </w:r>
      <w:r>
        <w:rPr>
          <w:rFonts w:ascii="宋体" w:hAnsi="宋体" w:hint="eastAsia"/>
          <w:b/>
          <w:bCs/>
          <w:color w:val="FF0000"/>
          <w:szCs w:val="21"/>
        </w:rPr>
        <w:t>小微企业不得将合同分包给大中型企业，中型企业不得将合同分包给大型企业。投标人提供服务全部均应由中小企业承接。</w:t>
      </w:r>
    </w:p>
    <w:p>
      <w:pPr>
        <w:rPr>
          <w:rFonts w:ascii="宋体" w:hAnsi="宋体"/>
          <w:szCs w:val="21"/>
        </w:rPr>
      </w:pPr>
      <w:r>
        <w:rPr>
          <w:rFonts w:ascii="宋体" w:hAnsi="宋体" w:hint="eastAsia"/>
          <w:szCs w:val="21"/>
        </w:rPr>
        <w:t>备注：（a）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b) 中小企业制造是指货物由中小企业生产且使用该中小企业商号或者注册商标；投标人提供的货物既有中小企业制造货物，又有非中小企业制造货物的，作无效投标处理。</w:t>
      </w:r>
    </w:p>
    <w:p>
      <w:pPr>
        <w:ind w:firstLine="480" w:firstLineChars="200"/>
        <w:rPr>
          <w:rFonts w:ascii="宋体" w:hAnsi="宋体"/>
          <w:szCs w:val="21"/>
        </w:rPr>
      </w:pPr>
      <w:r>
        <w:rPr>
          <w:rFonts w:ascii="宋体" w:hAnsi="宋体" w:hint="eastAsia"/>
          <w:szCs w:val="21"/>
        </w:rPr>
        <w:t>（2）根据《工业和信息化部、国家统计局、国家发展和改革委员会、财政部关于印发中小企业划型标准规定的通知》（工信部联企业〔2011〕300 号），本项目采购标的（服务需求）对应的中小企业划分标准所属行业为软件和信息技术服务业。</w:t>
      </w:r>
    </w:p>
    <w:p>
      <w:pPr>
        <w:ind w:firstLine="480" w:firstLineChars="200"/>
        <w:rPr>
          <w:rFonts w:eastAsia="宋体"/>
        </w:rPr>
      </w:pPr>
      <w:r>
        <w:rPr>
          <w:rFonts w:ascii="宋体" w:hAnsi="宋体" w:hint="eastAsia"/>
          <w:szCs w:val="21"/>
        </w:rPr>
        <w:t>（3）中型企业、小型企业、微型企业、残疾人福利性单位的认定资料为《中小企业声明函》、《残疾人福利性单位声明函》；监狱企业的认定资料为省级以上监狱管理局、戒毒管理局出具的监狱企业证明文件。声明函样式见本招标文件第一册专用条款第</w:t>
      </w:r>
      <w:r>
        <w:rPr>
          <w:rFonts w:ascii="宋体" w:eastAsia="宋体" w:hAnsi="宋体" w:hint="eastAsia"/>
          <w:szCs w:val="21"/>
        </w:rPr>
        <w:t>四</w:t>
      </w:r>
      <w:r>
        <w:rPr>
          <w:rFonts w:ascii="宋体" w:hAnsi="宋体" w:hint="eastAsia"/>
          <w:szCs w:val="21"/>
        </w:rPr>
        <w:t>章“</w:t>
      </w:r>
      <w:r>
        <w:rPr>
          <w:rFonts w:hint="eastAsia"/>
        </w:rPr>
        <w:t>投标文件</w:t>
      </w:r>
      <w:r>
        <w:rPr>
          <w:rFonts w:eastAsia="宋体" w:hint="eastAsia"/>
        </w:rPr>
        <w:t>组成要求及</w:t>
      </w:r>
      <w:r>
        <w:rPr>
          <w:rFonts w:hint="eastAsia"/>
        </w:rPr>
        <w:t>格式</w:t>
      </w:r>
      <w:r>
        <w:rPr>
          <w:rFonts w:ascii="宋体" w:hAnsi="宋体" w:hint="eastAsia"/>
          <w:szCs w:val="21"/>
        </w:rPr>
        <w:t>”中“</w:t>
      </w:r>
      <w:r>
        <w:rPr>
          <w:rFonts w:ascii="宋体" w:eastAsia="宋体" w:hAnsi="宋体" w:hint="eastAsia"/>
          <w:szCs w:val="21"/>
        </w:rPr>
        <w:t>三</w:t>
      </w:r>
      <w:r>
        <w:rPr>
          <w:rFonts w:ascii="宋体" w:hAnsi="宋体" w:hint="eastAsia"/>
          <w:szCs w:val="21"/>
        </w:rPr>
        <w:t>、投标人情况及资格证明文件”章节提供的格式）</w:t>
      </w:r>
      <w:r>
        <w:rPr>
          <w:rFonts w:ascii="宋体" w:eastAsia="宋体" w:hAnsi="宋体" w:hint="eastAsia"/>
          <w:szCs w:val="21"/>
        </w:rPr>
        <w:t>。</w:t>
      </w:r>
    </w:p>
    <w:p>
      <w:pPr>
        <w:spacing w:line="360" w:lineRule="auto"/>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2.关于落实政府绿色采购有关事项</w:t>
      </w:r>
    </w:p>
    <w:p>
      <w:pPr>
        <w:tabs>
          <w:tab w:val="left" w:pos="720"/>
        </w:tabs>
        <w:ind w:firstLine="480" w:firstLineChars="200"/>
        <w:jc w:val="both"/>
        <w:rPr>
          <w:rFonts w:ascii="宋体" w:eastAsia="宋体" w:hAnsi="宋体" w:cs="宋体" w:hint="eastAsia"/>
          <w:bCs/>
        </w:rPr>
      </w:pPr>
      <w:r>
        <w:rPr>
          <w:rFonts w:ascii="宋体" w:eastAsia="宋体" w:hAnsi="宋体" w:cs="宋体" w:hint="eastAsia"/>
          <w:bCs/>
        </w:rPr>
        <w:t>根据《深圳市财政局关于大力推广政府绿色采购有关事项的通知》（深财购〔2023〕49号）要求，如拟采购的产品属于节能产品或环境标志产品政府采购品目清单范围的，将在采购需求中对产品进行标识，并依据国家确认的认证机构出具的、处于有效期之内的节能产品或环境标志产品认证证书，对获得证书的产品实施政府优先采购或强制采购。如项目涉及商品包装、快递包装、绿色建筑和绿色建材、绿色数据中心等内容，需求标准将严格执行《商品包装政府采购需求标准（试行）》、《快递包装政府采购需求标准（试行）》（财办库〔2020〕123号）、《绿色建筑和绿色建材政府采购需求标准》（财办库〔2022〕35号）、《绿色数据中心政府采购需求标准（试行）》（财办库〔2023〕7号）等文件要求，并在采购文件和采购合同中载明具体需求、履约验收条款和违约责任，促进绿色包装、绿色运输、绿色建筑、绿色建材和绿色数据中心在政府采购领域的应用。</w:t>
      </w:r>
    </w:p>
    <w:p>
      <w:pPr>
        <w:spacing w:line="360" w:lineRule="auto"/>
        <w:jc w:val="center"/>
        <w:rPr>
          <w:rFonts w:ascii="宋体" w:eastAsia="宋体" w:hAnsi="宋体" w:cs="宋体" w:hint="eastAsia"/>
          <w:b/>
          <w:bCs/>
          <w:color w:val="000000" w:themeColor="text1"/>
          <w:sz w:val="28"/>
          <w:szCs w:val="28"/>
          <w14:textFill>
            <w14:solidFill>
              <w14:schemeClr w14:val="tx1"/>
            </w14:solidFill>
          </w14:textFill>
        </w:rPr>
      </w:pPr>
      <w:bookmarkStart w:id="31" w:name="_Toc128884461"/>
    </w:p>
    <w:p>
      <w:pPr>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br w:type="page"/>
      </w:r>
    </w:p>
    <w:p>
      <w:pPr>
        <w:spacing w:line="360" w:lineRule="auto"/>
        <w:jc w:val="center"/>
        <w:outlineLvl w:val="1"/>
        <w:rPr>
          <w:rFonts w:ascii="宋体" w:eastAsia="宋体" w:hAnsi="宋体" w:cs="宋体" w:hint="eastAsia"/>
          <w:b/>
          <w:bCs/>
          <w:color w:val="000000" w:themeColor="text1"/>
          <w:sz w:val="28"/>
          <w:szCs w:val="28"/>
          <w14:textFill>
            <w14:solidFill>
              <w14:schemeClr w14:val="tx1"/>
            </w14:solidFill>
          </w14:textFill>
        </w:rPr>
      </w:pPr>
      <w:r>
        <w:rPr>
          <w:rFonts w:ascii="宋体" w:eastAsia="宋体" w:hAnsi="宋体" w:cs="宋体" w:hint="eastAsia"/>
          <w:b/>
          <w:bCs/>
          <w:color w:val="000000" w:themeColor="text1"/>
          <w:sz w:val="28"/>
          <w:szCs w:val="28"/>
          <w14:textFill>
            <w14:solidFill>
              <w14:schemeClr w14:val="tx1"/>
            </w14:solidFill>
          </w14:textFill>
        </w:rPr>
        <w:t>第三章 用户需求书</w:t>
      </w:r>
    </w:p>
    <w:p>
      <w:pPr>
        <w:spacing w:line="360" w:lineRule="auto"/>
        <w:jc w:val="center"/>
        <w:outlineLvl w:val="2"/>
        <w:rPr>
          <w:rFonts w:ascii="宋体" w:eastAsia="宋体" w:hAnsi="宋体" w:cs="宋体" w:hint="eastAsia"/>
          <w:b/>
          <w:bCs/>
        </w:rPr>
      </w:pPr>
      <w:bookmarkEnd w:id="31"/>
      <w:bookmarkStart w:id="32" w:name="_Toc11426270"/>
      <w:r>
        <w:rPr>
          <w:rFonts w:ascii="宋体" w:eastAsia="宋体" w:hAnsi="宋体" w:cs="宋体" w:hint="eastAsia"/>
          <w:b/>
          <w:bCs/>
        </w:rPr>
        <w:t>一、项目基本信息</w:t>
      </w:r>
    </w:p>
    <w:tbl>
      <w:tblPr>
        <w:tblStyle w:val="TableNormal"/>
        <w:tblpPr w:leftFromText="180" w:rightFromText="180" w:vertAnchor="text" w:horzAnchor="margin" w:tblpXSpec="center" w:tblpY="173"/>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438"/>
        <w:gridCol w:w="2166"/>
        <w:gridCol w:w="2175"/>
        <w:gridCol w:w="2205"/>
        <w:gridCol w:w="1224"/>
      </w:tblGrid>
      <w:tr>
        <w:tblPrEx>
          <w:tblW w:w="820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90"/>
        </w:trPr>
        <w:tc>
          <w:tcPr>
            <w:tcW w:w="438"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序号</w:t>
            </w:r>
          </w:p>
        </w:tc>
        <w:tc>
          <w:tcPr>
            <w:tcW w:w="2166"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采购项目名称</w:t>
            </w:r>
          </w:p>
        </w:tc>
        <w:tc>
          <w:tcPr>
            <w:tcW w:w="2175"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财政预算限额（元）</w:t>
            </w:r>
          </w:p>
        </w:tc>
        <w:tc>
          <w:tcPr>
            <w:tcW w:w="2205"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最高限价（元）</w:t>
            </w:r>
          </w:p>
        </w:tc>
        <w:tc>
          <w:tcPr>
            <w:tcW w:w="1224" w:type="dxa"/>
            <w:shd w:val="clear" w:color="auto" w:fill="C6D9F0" w:themeFill="text2" w:themeFillTint="33"/>
            <w:vAlign w:val="center"/>
          </w:tcPr>
          <w:p>
            <w:pPr>
              <w:jc w:val="center"/>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tc>
      </w:tr>
      <w:tr>
        <w:tblPrEx>
          <w:tblW w:w="8208" w:type="dxa"/>
          <w:tblInd w:w="0" w:type="dxa"/>
          <w:tblLayout w:type="fixed"/>
          <w:tblCellMar>
            <w:top w:w="0" w:type="dxa"/>
            <w:left w:w="108" w:type="dxa"/>
            <w:bottom w:w="0" w:type="dxa"/>
            <w:right w:w="108" w:type="dxa"/>
          </w:tblCellMar>
        </w:tblPrEx>
        <w:trPr>
          <w:trHeight w:val="306"/>
        </w:trPr>
        <w:tc>
          <w:tcPr>
            <w:tcW w:w="438" w:type="dxa"/>
            <w:vAlign w:val="center"/>
          </w:tcPr>
          <w:p>
            <w:pPr>
              <w:jc w:val="center"/>
              <w:rPr>
                <w:rFonts w:ascii="宋体" w:eastAsia="宋体" w:hAnsi="宋体" w:cs="宋体" w:hint="eastAsia"/>
                <w:bCs/>
                <w:color w:val="000000" w:themeColor="text1"/>
                <w:szCs w:val="21"/>
                <w14:textFill>
                  <w14:solidFill>
                    <w14:schemeClr w14:val="tx1"/>
                  </w14:solidFill>
                </w14:textFill>
              </w:rPr>
            </w:pPr>
            <w:r>
              <w:rPr>
                <w:rFonts w:ascii="宋体" w:eastAsia="宋体" w:hAnsi="宋体" w:cs="宋体" w:hint="eastAsia"/>
                <w:bCs/>
                <w:color w:val="000000" w:themeColor="text1"/>
                <w:szCs w:val="21"/>
                <w14:textFill>
                  <w14:solidFill>
                    <w14:schemeClr w14:val="tx1"/>
                  </w14:solidFill>
                </w14:textFill>
              </w:rPr>
              <w:t>1</w:t>
            </w:r>
          </w:p>
        </w:tc>
        <w:tc>
          <w:tcPr>
            <w:tcW w:w="2166" w:type="dxa"/>
            <w:vAlign w:val="center"/>
          </w:tcPr>
          <w:p>
            <w:pPr>
              <w:jc w:val="center"/>
              <w:rPr>
                <w:rFonts w:ascii="宋体" w:eastAsia="宋体" w:hAnsi="宋体" w:cs="宋体" w:hint="eastAsia"/>
                <w:bCs/>
                <w:color w:val="FF0000"/>
                <w:szCs w:val="21"/>
              </w:rPr>
            </w:pPr>
            <w:r>
              <w:rPr>
                <w:rFonts w:ascii="宋体" w:eastAsia="宋体" w:hAnsi="宋体" w:cs="宋体" w:hint="eastAsia"/>
                <w:bCs/>
                <w:szCs w:val="21"/>
              </w:rPr>
              <w:t>智慧宝安交通提升工程一期（第三方测评）项目</w:t>
            </w:r>
          </w:p>
        </w:tc>
        <w:tc>
          <w:tcPr>
            <w:tcW w:w="2175" w:type="dxa"/>
            <w:vAlign w:val="center"/>
          </w:tcPr>
          <w:p>
            <w:pPr>
              <w:jc w:val="center"/>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2,026,000.00</w:t>
            </w:r>
          </w:p>
        </w:tc>
        <w:tc>
          <w:tcPr>
            <w:tcW w:w="2205" w:type="dxa"/>
            <w:vAlign w:val="center"/>
          </w:tcPr>
          <w:p>
            <w:pPr>
              <w:jc w:val="center"/>
              <w:rPr>
                <w:rFonts w:ascii="宋体" w:eastAsia="宋体" w:hAnsi="宋体" w:cs="宋体" w:hint="eastAsia"/>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2,026,000.00</w:t>
            </w:r>
          </w:p>
        </w:tc>
        <w:tc>
          <w:tcPr>
            <w:tcW w:w="1224" w:type="dxa"/>
            <w:vAlign w:val="center"/>
          </w:tcPr>
          <w:p>
            <w:pPr>
              <w:jc w:val="center"/>
              <w:rPr>
                <w:rFonts w:ascii="宋体" w:eastAsia="宋体" w:hAnsi="宋体" w:cs="宋体" w:hint="eastAsia"/>
                <w:bCs/>
                <w:color w:val="000000" w:themeColor="text1"/>
                <w:szCs w:val="21"/>
                <w14:textFill>
                  <w14:solidFill>
                    <w14:schemeClr w14:val="tx1"/>
                  </w14:solidFill>
                </w14:textFill>
              </w:rPr>
            </w:pPr>
          </w:p>
        </w:tc>
      </w:tr>
    </w:tbl>
    <w:p>
      <w:pPr>
        <w:ind w:firstLine="480" w:firstLineChars="200"/>
        <w:rPr>
          <w:rFonts w:ascii="宋体" w:eastAsia="宋体" w:hAnsi="宋体" w:cs="宋体" w:hint="eastAsia"/>
          <w:b/>
          <w:color w:val="FF0000"/>
          <w:szCs w:val="21"/>
        </w:rPr>
      </w:pPr>
      <w:r>
        <w:rPr>
          <w:rFonts w:ascii="宋体" w:eastAsia="宋体" w:hAnsi="宋体" w:cs="宋体" w:hint="eastAsia"/>
          <w:b/>
          <w:color w:val="FF0000"/>
          <w:szCs w:val="21"/>
        </w:rPr>
        <w:t>本项目在财政预算金额下设定最高限价，如投标人的投标报价超过最高限价，将按照符合性审查要求作投标无效处理</w:t>
      </w:r>
    </w:p>
    <w:p>
      <w:pPr>
        <w:pStyle w:val="NormalIndent"/>
        <w:rPr>
          <w:rFonts w:ascii="宋体" w:eastAsia="宋体" w:hAnsi="宋体" w:cs="宋体" w:hint="eastAsia"/>
        </w:rPr>
      </w:pPr>
    </w:p>
    <w:p>
      <w:pPr>
        <w:spacing w:line="360" w:lineRule="auto"/>
        <w:jc w:val="center"/>
        <w:outlineLvl w:val="2"/>
        <w:rPr>
          <w:rFonts w:ascii="宋体" w:eastAsia="宋体" w:hAnsi="宋体" w:cs="宋体" w:hint="eastAsia"/>
          <w:b/>
          <w:bCs/>
        </w:rPr>
      </w:pPr>
      <w:r>
        <w:rPr>
          <w:rFonts w:ascii="宋体" w:eastAsia="宋体" w:hAnsi="宋体" w:cs="宋体" w:hint="eastAsia"/>
          <w:b/>
          <w:bCs/>
        </w:rPr>
        <w:t>二、</w:t>
      </w:r>
      <w:bookmarkStart w:id="33" w:name="_Hlk72073432"/>
      <w:r>
        <w:rPr>
          <w:rFonts w:ascii="宋体" w:eastAsia="宋体" w:hAnsi="宋体" w:cs="宋体" w:hint="eastAsia"/>
          <w:b/>
          <w:bCs/>
        </w:rPr>
        <w:t>服务需求明细</w:t>
      </w:r>
      <w:bookmarkEnd w:id="33"/>
    </w:p>
    <w:tbl>
      <w:tblPr>
        <w:tblStyle w:val="TableNormal"/>
        <w:tblW w:w="8273" w:type="dxa"/>
        <w:jc w:val="center"/>
        <w:tblLayout w:type="fixed"/>
        <w:tblCellMar>
          <w:top w:w="0" w:type="dxa"/>
          <w:left w:w="108" w:type="dxa"/>
          <w:bottom w:w="0" w:type="dxa"/>
          <w:right w:w="108" w:type="dxa"/>
        </w:tblCellMar>
      </w:tblPr>
      <w:tblGrid>
        <w:gridCol w:w="633"/>
        <w:gridCol w:w="3641"/>
        <w:gridCol w:w="797"/>
        <w:gridCol w:w="780"/>
        <w:gridCol w:w="1414"/>
        <w:gridCol w:w="1008"/>
      </w:tblGrid>
      <w:tr>
        <w:tblPrEx>
          <w:tblW w:w="8273" w:type="dxa"/>
          <w:jc w:val="center"/>
          <w:tblLayout w:type="fixed"/>
          <w:tblCellMar>
            <w:top w:w="0" w:type="dxa"/>
            <w:left w:w="108" w:type="dxa"/>
            <w:bottom w:w="0" w:type="dxa"/>
            <w:right w:w="108" w:type="dxa"/>
          </w:tblCellMar>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rPr>
            </w:pPr>
            <w:r>
              <w:rPr>
                <w:rFonts w:ascii="宋体" w:eastAsia="宋体" w:hAnsi="宋体"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备注</w:t>
            </w:r>
          </w:p>
        </w:tc>
      </w:tr>
      <w:tr>
        <w:tblPrEx>
          <w:tblW w:w="8273" w:type="dxa"/>
          <w:jc w:val="center"/>
          <w:tblLayout w:type="fixed"/>
          <w:tblCellMar>
            <w:top w:w="0" w:type="dxa"/>
            <w:left w:w="108" w:type="dxa"/>
            <w:bottom w:w="0" w:type="dxa"/>
            <w:right w:w="108" w:type="dxa"/>
          </w:tblCellMar>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pPr>
              <w:jc w:val="center"/>
              <w:rPr>
                <w:rFonts w:ascii="宋体" w:eastAsia="宋体" w:hAnsi="宋体" w:cs="宋体" w:hint="eastAsia"/>
              </w:rPr>
            </w:pPr>
            <w:r>
              <w:rPr>
                <w:rFonts w:ascii="宋体" w:eastAsia="宋体" w:hAnsi="宋体" w:cs="宋体"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
                <w:bCs/>
                <w:highlight w:val="green"/>
              </w:rPr>
            </w:pPr>
            <w:r>
              <w:rPr>
                <w:rFonts w:ascii="宋体" w:eastAsia="宋体" w:hAnsi="宋体" w:cs="宋体" w:hint="eastAsia"/>
                <w:b/>
                <w:bCs/>
              </w:rPr>
              <w:t>智慧宝安交通提升工程一期（第三方测评）项目</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cs="宋体" w:hint="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rPr>
            </w:pPr>
            <w:r>
              <w:rPr>
                <w:rFonts w:ascii="宋体" w:eastAsia="宋体" w:hAnsi="宋体" w:hint="eastAsia"/>
                <w:b/>
                <w:bCs/>
                <w:u w:val="single"/>
              </w:rPr>
              <w:t>软件和信息技术服务业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jc w:val="center"/>
              <w:rPr>
                <w:rFonts w:ascii="宋体" w:eastAsia="宋体" w:hAnsi="宋体" w:cs="宋体" w:hint="eastAsia"/>
                <w:bCs/>
                <w:highlight w:val="green"/>
              </w:rPr>
            </w:pPr>
          </w:p>
        </w:tc>
      </w:tr>
    </w:tbl>
    <w:p>
      <w:pPr>
        <w:spacing w:line="360" w:lineRule="auto"/>
        <w:ind w:firstLine="480" w:firstLineChars="200"/>
        <w:rPr>
          <w:rFonts w:ascii="宋体" w:eastAsia="宋体" w:hAnsi="宋体" w:cs="宋体" w:hint="eastAsia"/>
        </w:rPr>
      </w:pPr>
      <w:bookmarkEnd w:id="32"/>
      <w:r>
        <w:rPr>
          <w:rFonts w:ascii="宋体" w:eastAsia="宋体" w:hAnsi="宋体" w:cs="宋体" w:hint="eastAsia"/>
          <w:b/>
        </w:rPr>
        <w:t>项目概况：</w:t>
      </w:r>
      <w:r>
        <w:rPr>
          <w:rFonts w:ascii="宋体" w:eastAsia="宋体" w:hAnsi="宋体" w:cs="宋体" w:hint="eastAsia"/>
        </w:rPr>
        <w:t>本项目为委托第三方检测机构开展智慧宝安交通提升工程一期项目检测，完成系统功能和性能检测，形成系统检测报告。</w:t>
      </w:r>
    </w:p>
    <w:p>
      <w:pPr>
        <w:ind w:left="547" w:firstLine="480" w:leftChars="228" w:firstLineChars="200"/>
        <w:rPr>
          <w:rFonts w:ascii="宋体" w:eastAsia="宋体" w:hAnsi="宋体" w:cs="宋体" w:hint="eastAsia"/>
          <w:sz w:val="21"/>
          <w:szCs w:val="21"/>
        </w:rPr>
      </w:pPr>
      <w:bookmarkStart w:id="34" w:name="_Toc320311558"/>
      <w:bookmarkEnd w:id="34"/>
      <w:bookmarkStart w:id="35" w:name="_Toc11426271"/>
    </w:p>
    <w:p>
      <w:pPr>
        <w:ind w:left="547" w:firstLine="480" w:leftChars="228" w:firstLineChars="200"/>
        <w:rPr>
          <w:rFonts w:ascii="宋体" w:eastAsia="宋体" w:hAnsi="宋体" w:cs="宋体" w:hint="eastAsia"/>
          <w:sz w:val="21"/>
          <w:szCs w:val="21"/>
        </w:rPr>
      </w:pPr>
    </w:p>
    <w:p>
      <w:pPr>
        <w:spacing w:line="360" w:lineRule="auto"/>
        <w:jc w:val="center"/>
        <w:outlineLvl w:val="2"/>
        <w:rPr>
          <w:rFonts w:ascii="宋体" w:eastAsia="宋体" w:hAnsi="宋体" w:cs="宋体" w:hint="eastAsia"/>
          <w:b/>
          <w:bCs/>
        </w:rPr>
      </w:pPr>
      <w:r>
        <w:rPr>
          <w:rFonts w:ascii="宋体" w:eastAsia="宋体" w:hAnsi="宋体" w:cs="宋体" w:hint="eastAsia"/>
          <w:b/>
          <w:bCs/>
        </w:rPr>
        <w:t>三、实质性条款</w:t>
      </w:r>
    </w:p>
    <w:tbl>
      <w:tblPr>
        <w:tblStyle w:val="TableNormal"/>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 w:val="21"/>
                <w:szCs w:val="21"/>
              </w:rPr>
              <w:t>序号</w:t>
            </w:r>
          </w:p>
        </w:tc>
        <w:tc>
          <w:tcPr>
            <w:tcW w:w="7483" w:type="dxa"/>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 w:val="21"/>
                <w:szCs w:val="21"/>
              </w:rPr>
              <w:t>实质性条款具体内容</w:t>
            </w:r>
          </w:p>
        </w:tc>
      </w:tr>
      <w:tr>
        <w:tblPrEx>
          <w:tblW w:w="8188" w:type="dxa"/>
          <w:jc w:val="center"/>
          <w:tblCellMar>
            <w:top w:w="0" w:type="dxa"/>
            <w:left w:w="108" w:type="dxa"/>
            <w:bottom w:w="0" w:type="dxa"/>
            <w:right w:w="108" w:type="dxa"/>
          </w:tblCellMar>
        </w:tblPrEx>
        <w:trPr>
          <w:jc w:val="center"/>
        </w:trPr>
        <w:tc>
          <w:tcPr>
            <w:tcW w:w="705" w:type="dxa"/>
          </w:tcPr>
          <w:p>
            <w:pPr>
              <w:adjustRightInd w:val="0"/>
              <w:snapToGrid w:val="0"/>
              <w:spacing w:line="360" w:lineRule="auto"/>
              <w:jc w:val="center"/>
              <w:rPr>
                <w:rFonts w:ascii="宋体" w:eastAsia="宋体" w:hAnsi="宋体" w:cs="宋体" w:hint="eastAsia"/>
                <w:sz w:val="21"/>
                <w:szCs w:val="21"/>
              </w:rPr>
            </w:pPr>
            <w:r>
              <w:rPr>
                <w:rFonts w:ascii="宋体" w:eastAsia="宋体" w:hAnsi="宋体" w:cs="宋体" w:hint="eastAsia"/>
                <w:szCs w:val="21"/>
              </w:rPr>
              <w:t>1</w:t>
            </w:r>
          </w:p>
        </w:tc>
        <w:tc>
          <w:tcPr>
            <w:tcW w:w="7483" w:type="dxa"/>
          </w:tcPr>
          <w:p>
            <w:pPr>
              <w:adjustRightInd w:val="0"/>
              <w:snapToGrid w:val="0"/>
              <w:spacing w:line="360" w:lineRule="auto"/>
              <w:rPr>
                <w:rFonts w:ascii="宋体" w:eastAsia="宋体" w:hAnsi="宋体" w:cs="宋体" w:hint="eastAsia"/>
                <w:sz w:val="21"/>
                <w:szCs w:val="21"/>
              </w:rPr>
            </w:pPr>
            <w:r>
              <w:rPr>
                <w:rFonts w:ascii="宋体" w:eastAsia="宋体" w:hAnsi="宋体" w:cs="宋体" w:hint="eastAsia"/>
              </w:rPr>
              <w:t>完全满足本项目“★”要求。</w:t>
            </w:r>
          </w:p>
        </w:tc>
      </w:tr>
    </w:tbl>
    <w:p>
      <w:pPr>
        <w:rPr>
          <w:rFonts w:ascii="宋体" w:eastAsia="宋体" w:hAnsi="宋体" w:cs="宋体" w:hint="eastAsia"/>
          <w:sz w:val="21"/>
        </w:rPr>
      </w:pPr>
      <w:r>
        <w:rPr>
          <w:rFonts w:ascii="宋体" w:eastAsia="宋体" w:hAnsi="宋体" w:cs="宋体" w:hint="eastAsia"/>
          <w:sz w:val="21"/>
        </w:rPr>
        <w:t>注：上表所列内容为不可负偏离条款，负偏离将视为未实质性满足招标文件要求作投标无效处理。</w:t>
      </w:r>
    </w:p>
    <w:p>
      <w:pPr>
        <w:pStyle w:val="Heading3"/>
        <w:jc w:val="center"/>
        <w:rPr>
          <w:rFonts w:cs="宋体" w:hint="eastAsia"/>
          <w:szCs w:val="21"/>
        </w:rPr>
      </w:pPr>
      <w:r>
        <w:rPr>
          <w:rFonts w:cs="宋体" w:hint="eastAsia"/>
          <w:szCs w:val="21"/>
        </w:rPr>
        <w:t>四、项目服务要求</w:t>
      </w:r>
    </w:p>
    <w:p>
      <w:pPr>
        <w:spacing w:line="360" w:lineRule="auto"/>
        <w:ind w:firstLine="480" w:firstLineChars="200"/>
        <w:rPr>
          <w:rFonts w:ascii="宋体" w:eastAsia="宋体" w:hAnsi="宋体" w:cs="宋体" w:hint="eastAsia"/>
        </w:rPr>
      </w:pPr>
      <w:r>
        <w:rPr>
          <w:rFonts w:ascii="宋体" w:eastAsia="宋体" w:hAnsi="宋体" w:cs="宋体" w:hint="eastAsia"/>
        </w:rPr>
        <w:t>(一)项目检测范围及内容包括但不限于：系统检查（功能检测、性能检测和源代码安全审查）、设备检测（硬件设备、软件产品查验）、信息安全和边界平台的等保测评（二级）。</w:t>
      </w:r>
      <w:bookmarkStart w:id="36" w:name="_Hlk138973198"/>
    </w:p>
    <w:p>
      <w:pPr>
        <w:spacing w:line="360" w:lineRule="auto"/>
        <w:ind w:firstLine="480" w:firstLineChars="200"/>
        <w:rPr>
          <w:rFonts w:ascii="宋体" w:eastAsia="宋体" w:hAnsi="宋体" w:cs="宋体" w:hint="eastAsia"/>
        </w:rPr>
      </w:pPr>
      <w:r>
        <w:rPr>
          <w:rFonts w:ascii="宋体" w:eastAsia="宋体" w:hAnsi="宋体" w:cs="宋体" w:hint="eastAsia"/>
        </w:rPr>
        <w:t>(二)中标方需指派一名项目负责人负责此项目工作；并配备足够的测评人员参与本项目的测评工作。</w:t>
      </w:r>
    </w:p>
    <w:p>
      <w:pPr>
        <w:spacing w:line="360" w:lineRule="auto"/>
        <w:ind w:firstLine="480" w:firstLineChars="200"/>
        <w:rPr>
          <w:rFonts w:ascii="宋体" w:eastAsia="宋体" w:hAnsi="宋体" w:cs="宋体" w:hint="eastAsia"/>
        </w:rPr>
      </w:pPr>
      <w:r>
        <w:rPr>
          <w:rFonts w:ascii="宋体" w:eastAsia="宋体" w:hAnsi="宋体" w:cs="宋体" w:hint="eastAsia"/>
        </w:rPr>
        <w:t>(三)中标方出具的成果文件需满足国家及地方相关行业规范、标准要求。</w:t>
      </w:r>
      <w:bookmarkEnd w:id="36"/>
    </w:p>
    <w:p>
      <w:pPr>
        <w:spacing w:line="360" w:lineRule="auto"/>
        <w:ind w:firstLine="480" w:firstLineChars="200"/>
        <w:rPr>
          <w:rFonts w:ascii="宋体" w:eastAsia="宋体" w:hAnsi="宋体" w:cs="宋体" w:hint="eastAsia"/>
        </w:rPr>
      </w:pPr>
      <w:r>
        <w:rPr>
          <w:rFonts w:ascii="宋体" w:eastAsia="宋体" w:hAnsi="宋体" w:cs="宋体" w:hint="eastAsia"/>
        </w:rPr>
        <w:t>（四）提供项目开展所需设备。</w:t>
      </w:r>
    </w:p>
    <w:p>
      <w:pPr>
        <w:spacing w:line="360" w:lineRule="auto"/>
        <w:ind w:firstLine="480" w:firstLineChars="200"/>
        <w:rPr>
          <w:rFonts w:ascii="宋体" w:eastAsia="宋体" w:hAnsi="宋体" w:cs="宋体" w:hint="eastAsia"/>
        </w:rPr>
      </w:pPr>
    </w:p>
    <w:p>
      <w:pPr>
        <w:pStyle w:val="Heading3"/>
        <w:spacing w:before="0" w:after="0" w:line="360" w:lineRule="auto"/>
        <w:ind w:firstLine="480" w:firstLineChars="200"/>
        <w:jc w:val="center"/>
        <w:rPr>
          <w:rFonts w:cs="宋体" w:hint="eastAsia"/>
          <w:sz w:val="24"/>
          <w:szCs w:val="24"/>
        </w:rPr>
      </w:pPr>
      <w:r>
        <w:rPr>
          <w:rFonts w:cs="宋体" w:hint="eastAsia"/>
          <w:sz w:val="24"/>
          <w:szCs w:val="24"/>
        </w:rPr>
        <w:t>五、项目商务要求</w:t>
      </w:r>
    </w:p>
    <w:p>
      <w:pPr>
        <w:spacing w:line="360" w:lineRule="auto"/>
        <w:ind w:firstLine="480" w:firstLineChars="200"/>
        <w:rPr>
          <w:rFonts w:ascii="宋体" w:eastAsia="宋体" w:hAnsi="宋体" w:cs="宋体" w:hint="eastAsia"/>
        </w:rPr>
      </w:pPr>
      <w:bookmarkEnd w:id="35"/>
      <w:bookmarkStart w:id="37" w:name="_Hlk138973333"/>
      <w:r>
        <w:rPr>
          <w:rFonts w:ascii="宋体" w:eastAsia="宋体" w:hAnsi="宋体" w:cs="宋体" w:hint="eastAsia"/>
        </w:rPr>
        <w:t>(一)服务期：本合同的第三方检测业务自签订合同之日起开始实施，至中标人完成本合同约定范围内测评业务，采购人按照本合同约定支付测评酬金后终结。</w:t>
      </w:r>
    </w:p>
    <w:p>
      <w:pPr>
        <w:spacing w:line="360" w:lineRule="auto"/>
        <w:ind w:firstLine="480" w:firstLineChars="200"/>
        <w:rPr>
          <w:rFonts w:ascii="宋体" w:eastAsia="宋体" w:hAnsi="宋体" w:cs="宋体" w:hint="eastAsia"/>
        </w:rPr>
      </w:pPr>
      <w:r>
        <w:rPr>
          <w:rFonts w:ascii="宋体" w:eastAsia="宋体" w:hAnsi="宋体" w:cs="宋体" w:hint="eastAsia"/>
        </w:rPr>
        <w:t>(二)服务地点：深圳市宝安区航站三路1010号。</w:t>
      </w:r>
    </w:p>
    <w:p>
      <w:pPr>
        <w:spacing w:line="360" w:lineRule="auto"/>
        <w:ind w:firstLine="480" w:firstLineChars="200"/>
        <w:rPr>
          <w:rFonts w:ascii="宋体" w:eastAsia="宋体" w:hAnsi="宋体" w:cs="宋体" w:hint="eastAsia"/>
        </w:rPr>
      </w:pPr>
      <w:r>
        <w:rPr>
          <w:rFonts w:ascii="宋体" w:eastAsia="宋体" w:hAnsi="宋体" w:cs="宋体" w:hint="eastAsia"/>
        </w:rPr>
        <w:t>(三)报价要求：</w:t>
      </w:r>
    </w:p>
    <w:p>
      <w:pPr>
        <w:spacing w:line="360" w:lineRule="auto"/>
        <w:ind w:firstLine="480" w:firstLineChars="200"/>
        <w:rPr>
          <w:rFonts w:ascii="宋体" w:eastAsia="宋体" w:hAnsi="宋体" w:cs="宋体" w:hint="eastAsia"/>
        </w:rPr>
      </w:pPr>
      <w:r>
        <w:rPr>
          <w:rFonts w:ascii="宋体" w:eastAsia="宋体" w:hAnsi="宋体" w:cs="宋体" w:hint="eastAsia"/>
        </w:rPr>
        <w:t>1.本项目服务费采用包干制，应包括服务成本、法定税费和企业的利润。由投标供应商根据采购文件所提供的资料自行测算投标报价；一经中标，报价总价作为中标供应商与采购人签订的合同金额，合同期限内不做调整。</w:t>
      </w:r>
    </w:p>
    <w:p>
      <w:pPr>
        <w:spacing w:line="360" w:lineRule="auto"/>
        <w:ind w:firstLine="480" w:firstLineChars="200"/>
        <w:rPr>
          <w:rFonts w:ascii="宋体" w:eastAsia="宋体" w:hAnsi="宋体" w:cs="宋体" w:hint="eastAsia"/>
        </w:rPr>
      </w:pPr>
      <w:r>
        <w:rPr>
          <w:rFonts w:ascii="宋体" w:eastAsia="宋体" w:hAnsi="宋体" w:cs="宋体" w:hint="eastAsia"/>
        </w:rPr>
        <w:t>2.投标供应商应当根据本企业的成本自行决定报价，但不得以低于其企业成本的报价投标。</w:t>
      </w:r>
    </w:p>
    <w:p>
      <w:pPr>
        <w:spacing w:line="360" w:lineRule="auto"/>
        <w:ind w:firstLine="480" w:firstLineChars="200"/>
        <w:rPr>
          <w:rFonts w:ascii="宋体" w:eastAsia="宋体" w:hAnsi="宋体" w:cs="宋体" w:hint="eastAsia"/>
        </w:rPr>
      </w:pPr>
      <w:r>
        <w:rPr>
          <w:rFonts w:ascii="宋体" w:eastAsia="宋体" w:hAnsi="宋体" w:cs="宋体" w:hint="eastAsia"/>
        </w:rPr>
        <w:t>3.投标供应商的报价不得超过项目预算金额。</w:t>
      </w:r>
    </w:p>
    <w:p>
      <w:pPr>
        <w:spacing w:line="360" w:lineRule="auto"/>
        <w:ind w:firstLine="480" w:firstLineChars="200"/>
        <w:rPr>
          <w:rFonts w:ascii="宋体" w:eastAsia="宋体" w:hAnsi="宋体" w:cs="宋体" w:hint="eastAsia"/>
        </w:rPr>
      </w:pPr>
      <w:r>
        <w:rPr>
          <w:rFonts w:ascii="宋体" w:eastAsia="宋体" w:hAnsi="宋体" w:cs="宋体" w:hint="eastAsia"/>
        </w:rPr>
        <w:t>4.投标供应商的报价，应当是本项目采购范图和采购文件及合同条款上所列的各项内容中所述的全部，不得以任何理由予以重复。</w:t>
      </w:r>
    </w:p>
    <w:p>
      <w:pPr>
        <w:spacing w:line="360" w:lineRule="auto"/>
        <w:ind w:firstLine="480" w:firstLineChars="200"/>
        <w:rPr>
          <w:rFonts w:ascii="宋体" w:eastAsia="宋体" w:hAnsi="宋体" w:cs="宋体" w:hint="eastAsia"/>
        </w:rPr>
      </w:pPr>
      <w:r>
        <w:rPr>
          <w:rFonts w:ascii="宋体" w:eastAsia="宋体" w:hAnsi="宋体" w:cs="宋体" w:hint="eastAsia"/>
        </w:rPr>
        <w:t>5.除非采购人通过修改采购文件予以更正，否则投标供应商应毫无例外地按响应文件所列的清单中项目和数量填报综合单价和合价。投标供应商未填综含单价或含价的项目，在实施后，将不得以支付，并视作该项费用已包括在其它有价款的综含单价或合价内。</w:t>
      </w:r>
    </w:p>
    <w:p>
      <w:pPr>
        <w:spacing w:line="360" w:lineRule="auto"/>
        <w:ind w:firstLine="480" w:firstLineChars="200"/>
        <w:rPr>
          <w:rFonts w:ascii="宋体" w:eastAsia="宋体" w:hAnsi="宋体" w:cs="宋体" w:hint="eastAsia"/>
        </w:rPr>
      </w:pPr>
      <w:r>
        <w:rPr>
          <w:rFonts w:ascii="宋体" w:eastAsia="宋体" w:hAnsi="宋体" w:cs="宋体" w:hint="eastAsia"/>
        </w:rPr>
        <w:t>6.投标供应商应充分了解项目情况及任何其它足以影响投标报价的情况，任何因忽视或误解项目情况而导致的索赔或服务期限延长申请将不获批准。</w:t>
      </w:r>
    </w:p>
    <w:p>
      <w:pPr>
        <w:spacing w:line="360" w:lineRule="auto"/>
        <w:ind w:firstLine="480" w:firstLineChars="200"/>
        <w:rPr>
          <w:rFonts w:ascii="宋体" w:eastAsia="宋体" w:hAnsi="宋体" w:cs="宋体" w:hint="eastAsia"/>
        </w:rPr>
      </w:pPr>
      <w:r>
        <w:rPr>
          <w:rFonts w:ascii="宋体" w:eastAsia="宋体" w:hAnsi="宋体" w:cs="宋体" w:hint="eastAsia"/>
        </w:rPr>
        <w:t>7.投标供应商不得期望通过索赔等方式获取补偿，否则除可能遭到拒绝外，还可能将被作为不良行为记录在案，并可能影响其以后参加政府采购的项目投标。各投标供应商在报价时，应充分考虑报价的风险。</w:t>
      </w:r>
      <w:bookmarkEnd w:id="37"/>
    </w:p>
    <w:p>
      <w:pPr>
        <w:spacing w:line="360" w:lineRule="auto"/>
        <w:ind w:firstLine="480" w:firstLineChars="200"/>
        <w:rPr>
          <w:rFonts w:ascii="宋体" w:eastAsia="宋体" w:hAnsi="宋体" w:cs="宋体" w:hint="eastAsia"/>
        </w:rPr>
      </w:pPr>
      <w:r>
        <w:rPr>
          <w:rFonts w:ascii="宋体" w:eastAsia="宋体" w:hAnsi="宋体" w:cs="宋体" w:hint="eastAsia"/>
        </w:rPr>
        <w:t>(四)付款方式：合同生效后15 个工作日内采购人向中标人支付合同总费用的30%;中标人初检完成，向采购人提交问题汇总清单报告后，采购人向中标人支付合同总费用的 40%;在中标人提交电子档检验检测报告后，采购人向中标人支付合同总费用的 30%。</w:t>
      </w:r>
    </w:p>
    <w:p>
      <w:pPr>
        <w:spacing w:line="360" w:lineRule="auto"/>
        <w:ind w:firstLine="480" w:firstLineChars="200"/>
        <w:rPr>
          <w:rFonts w:ascii="宋体" w:eastAsia="宋体" w:hAnsi="宋体" w:cs="宋体" w:hint="eastAsia"/>
        </w:rPr>
      </w:pPr>
      <w:r>
        <w:rPr>
          <w:rFonts w:ascii="宋体" w:eastAsia="宋体" w:hAnsi="宋体" w:cs="宋体" w:hint="eastAsia"/>
        </w:rPr>
        <w:t>(五)履约担保金：(由双方协商)。</w:t>
      </w:r>
    </w:p>
    <w:p>
      <w:pPr>
        <w:spacing w:line="360" w:lineRule="auto"/>
        <w:ind w:firstLine="480" w:firstLineChars="200"/>
        <w:rPr>
          <w:rFonts w:ascii="宋体" w:eastAsia="宋体" w:hAnsi="宋体" w:cs="宋体" w:hint="eastAsia"/>
        </w:rPr>
      </w:pPr>
      <w:r>
        <w:rPr>
          <w:rFonts w:ascii="宋体" w:eastAsia="宋体" w:hAnsi="宋体" w:cs="宋体" w:hint="eastAsia"/>
        </w:rPr>
        <w:t>(六)违约责任：(根据用户方提供情况制定)。</w:t>
      </w:r>
    </w:p>
    <w:p>
      <w:pPr>
        <w:spacing w:line="360" w:lineRule="auto"/>
        <w:ind w:firstLine="480" w:firstLineChars="200"/>
        <w:rPr>
          <w:rFonts w:ascii="宋体" w:eastAsia="宋体" w:hAnsi="宋体" w:cs="宋体" w:hint="eastAsia"/>
          <w:sz w:val="21"/>
          <w:szCs w:val="21"/>
        </w:rPr>
      </w:pPr>
      <w:r>
        <w:rPr>
          <w:rFonts w:ascii="宋体" w:eastAsia="宋体" w:hAnsi="宋体" w:cs="宋体" w:hint="eastAsia"/>
          <w:sz w:val="21"/>
          <w:szCs w:val="21"/>
        </w:rPr>
        <w:br w:type="page"/>
      </w:r>
    </w:p>
    <w:p>
      <w:pPr>
        <w:pStyle w:val="Heading2"/>
        <w:rPr>
          <w:rFonts w:cs="宋体" w:hint="eastAsia"/>
          <w:color w:val="000000" w:themeColor="text1"/>
          <w:kern w:val="2"/>
          <w14:textFill>
            <w14:solidFill>
              <w14:schemeClr w14:val="tx1"/>
            </w14:solidFill>
          </w14:textFill>
        </w:rPr>
      </w:pPr>
      <w:r>
        <w:rPr>
          <w:rFonts w:cs="宋体" w:hint="eastAsia"/>
          <w:color w:val="000000" w:themeColor="text1"/>
          <w:kern w:val="2"/>
          <w14:textFill>
            <w14:solidFill>
              <w14:schemeClr w14:val="tx1"/>
            </w14:solidFill>
          </w14:textFill>
        </w:rPr>
        <w:t>第四章 投标文件组成要求及格式</w:t>
      </w:r>
    </w:p>
    <w:p>
      <w:pPr>
        <w:spacing w:line="360" w:lineRule="auto"/>
        <w:rPr>
          <w:rStyle w:val="3Char"/>
          <w:rFonts w:ascii="宋体" w:eastAsia="宋体" w:hAnsi="宋体" w:cs="宋体" w:hint="eastAsia"/>
          <w:b/>
          <w:bCs w:val="0"/>
          <w:color w:val="000000" w:themeColor="text1"/>
          <w:sz w:val="24"/>
          <w14:textFill>
            <w14:solidFill>
              <w14:schemeClr w14:val="tx1"/>
            </w14:solidFill>
          </w14:textFill>
        </w:rPr>
      </w:pPr>
      <w:r>
        <w:rPr>
          <w:rStyle w:val="3Char"/>
          <w:rFonts w:ascii="宋体" w:eastAsia="宋体" w:hAnsi="宋体" w:cs="宋体" w:hint="eastAsia"/>
          <w:b/>
          <w:bCs w:val="0"/>
          <w:color w:val="000000" w:themeColor="text1"/>
          <w:sz w:val="24"/>
          <w14:textFill>
            <w14:solidFill>
              <w14:schemeClr w14:val="tx1"/>
            </w14:solidFill>
          </w14:textFill>
        </w:rPr>
        <w:t>特别提醒：</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pPr>
        <w:spacing w:line="360" w:lineRule="auto"/>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投标文件正文（信息公开部分）必须编制于“投标书目录”部分，投标文件附件（非信息公开部分）必须编制于“投标书附件”部分，如下图所示。</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pPr>
        <w:rPr>
          <w:rFonts w:ascii="宋体" w:eastAsia="宋体" w:hAnsi="宋体" w:cs="宋体" w:hint="eastAsia"/>
          <w:color w:val="000000" w:themeColor="text1"/>
          <w14:textFill>
            <w14:solidFill>
              <w14:schemeClr w14:val="tx1"/>
            </w14:solidFill>
          </w14:textFill>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ind w:firstLine="0"/>
        <w:rPr>
          <w:rFonts w:ascii="宋体" w:eastAsia="宋体" w:hAnsi="宋体" w:cs="宋体" w:hint="eastAsia"/>
        </w:rPr>
      </w:pPr>
    </w:p>
    <w:p>
      <w:pPr>
        <w:spacing w:line="400" w:lineRule="exact"/>
        <w:ind w:firstLine="480" w:firstLineChars="200"/>
        <w:jc w:val="both"/>
        <w:rPr>
          <w:rFonts w:ascii="宋体" w:eastAsia="宋体" w:hAnsi="宋体" w:cs="宋体" w:hint="eastAsia"/>
          <w:color w:val="000000" w:themeColor="text1"/>
          <w14:textFill>
            <w14:solidFill>
              <w14:schemeClr w14:val="tx1"/>
            </w14:solidFill>
          </w14:textFill>
        </w:rPr>
      </w:pPr>
      <w:bookmarkStart w:id="38" w:name="_Hlk72257167"/>
      <w:r>
        <w:rPr>
          <w:rFonts w:ascii="宋体" w:eastAsia="宋体" w:hAnsi="宋体" w:cs="宋体" w:hint="eastAsia"/>
          <w:color w:val="000000" w:themeColor="text1"/>
          <w14:textFill>
            <w14:solidFill>
              <w14:schemeClr w14:val="tx1"/>
            </w14:solidFill>
          </w14:textFill>
        </w:rPr>
        <w:t>招标机构公布投标文件正文（信息公开部分）时为计算机截取信息自动公布，</w:t>
      </w:r>
      <w:r>
        <w:rPr>
          <w:rFonts w:ascii="宋体" w:eastAsia="宋体" w:hAnsi="宋体" w:cs="宋体" w:hint="eastAsia"/>
          <w:b/>
          <w:bCs/>
          <w:color w:val="000000" w:themeColor="text1"/>
          <w14:textFill>
            <w14:solidFill>
              <w14:schemeClr w14:val="tx1"/>
            </w14:solidFill>
          </w14:textFill>
        </w:rPr>
        <w:t>如投标人误将涉及个人隐私的信息放入投标文件正文，相关后果由投标人自负；</w:t>
      </w:r>
      <w:r>
        <w:rPr>
          <w:rFonts w:ascii="宋体" w:eastAsia="宋体" w:hAnsi="宋体" w:cs="宋体" w:hint="eastAsia"/>
          <w:color w:val="000000" w:themeColor="text1"/>
          <w14:textFill>
            <w14:solidFill>
              <w14:schemeClr w14:val="tx1"/>
            </w14:solidFill>
          </w14:textFill>
        </w:rPr>
        <w:t>如投标人将必须放于投标文件正文（信息公开部分）的内容放入投标文件附件（非信息公开部分），将作投标无效处理。</w:t>
      </w:r>
      <w:bookmarkEnd w:id="38"/>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投标文件组成：</w:t>
      </w:r>
    </w:p>
    <w:p>
      <w:pPr>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1.投标文件正文（信息公开部分），主要包括以下内容：</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（1）投标函</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（2）政府采购投标及履约承诺函</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（3）投标人情况及资格证明文件</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（4）项目详细报价</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（5）供应商资格（资质、认证）情况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（6）供应商同类项目业绩情况</w:t>
      </w:r>
      <w:r>
        <w:rPr>
          <w:rFonts w:ascii="宋体" w:eastAsia="宋体" w:hAnsi="宋体" w:cs="宋体" w:hint="eastAsia"/>
          <w:color w:val="000000" w:themeColor="text1"/>
          <w14:textFill>
            <w14:solidFill>
              <w14:schemeClr w14:val="tx1"/>
            </w14:solidFill>
          </w14:textFill>
        </w:rPr>
        <w:tab/>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（7）供应商履约能力情况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（8）投标人认为需要加以说明的其他内容（格式自定）</w:t>
      </w:r>
    </w:p>
    <w:p>
      <w:pPr>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2.投标文件附件（信息不公开部分）：主要包括以下内容：</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（1）法定代表人（负责人或执行事务合伙人）资格证明书</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（2）投标文件签署授权委托书</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（3）实质性条款响应情况表</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（4）商务、服务条款偏离表</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（5）拟安排的项目经理情况（仅限一人）</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（6）拟安排的项目技术负责人情况（仅限一人）</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（7）拟安排的项目主要团队成员（主要技术人员）情况（项目经理、项目技术负责人除外）</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（8）整体实施方案（格式自定）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（9）项目的重点、难点分析及解决措施（格式自定）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（10）专用测试工具情况（格式自定）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（11）质量管理体系与保证措施（格式自定）</w:t>
      </w:r>
    </w:p>
    <w:p>
      <w:pPr>
        <w:ind w:firstLine="485" w:firstLineChars="202"/>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（12）投标人认为需要加以说明的其他内容（格式自定）</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备注：</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1.本项目为网上电子投标项目，投标文件不需法人或授权委托人另行签字，无需加盖单位公章，招标文件专用条款另有规定的除外。</w:t>
      </w:r>
    </w:p>
    <w:p>
      <w:pPr>
        <w:ind w:firstLine="485" w:firstLineChars="202"/>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2.关于填写“开标一览表”的说明：“开标一览表”中除“投标报价”外，其他信息不作评审依据。</w:t>
      </w: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r>
        <w:rPr>
          <w:rFonts w:ascii="宋体" w:eastAsia="宋体" w:hAnsi="宋体" w:cs="宋体" w:hint="eastAsia"/>
        </w:rPr>
        <w:br w:type="page"/>
      </w: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投标文件正文（信息公开部分）</w:t>
      </w:r>
    </w:p>
    <w:p>
      <w:pPr>
        <w:pStyle w:val="Heading3"/>
        <w:jc w:val="center"/>
        <w:rPr>
          <w:rFonts w:cs="宋体" w:hint="eastAsia"/>
          <w:b w:val="0"/>
          <w:color w:val="000000" w:themeColor="text1"/>
          <w:sz w:val="24"/>
          <w14:textFill>
            <w14:solidFill>
              <w14:schemeClr w14:val="tx1"/>
            </w14:solidFill>
          </w14:textFill>
        </w:rPr>
      </w:pPr>
      <w:r>
        <w:rPr>
          <w:rFonts w:cs="宋体" w:hint="eastAsia"/>
          <w:b w:val="0"/>
          <w:color w:val="000000" w:themeColor="text1"/>
          <w:sz w:val="24"/>
          <w14:textFill>
            <w14:solidFill>
              <w14:schemeClr w14:val="tx1"/>
            </w14:solidFill>
          </w14:textFill>
        </w:rPr>
        <w:t>一、投标函</w:t>
      </w:r>
    </w:p>
    <w:p>
      <w:pPr>
        <w:spacing w:line="360" w:lineRule="auto"/>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 xml:space="preserve">友和保险经纪有限公司 </w:t>
      </w:r>
    </w:p>
    <w:p>
      <w:pPr>
        <w:ind w:firstLine="480" w:firstLineChars="200"/>
        <w:rPr>
          <w:rFonts w:ascii="宋体" w:eastAsia="宋体" w:hAnsi="宋体" w:cs="宋体" w:hint="eastAsia"/>
          <w:color w:val="000000" w:themeColor="text1"/>
          <w14:textFill>
            <w14:solidFill>
              <w14:schemeClr w14:val="tx1"/>
            </w14:solidFill>
          </w14:textFill>
        </w:rPr>
      </w:pPr>
      <w:bookmarkStart w:id="39" w:name="_Hlk73818812"/>
      <w:r>
        <w:rPr>
          <w:rFonts w:ascii="宋体" w:eastAsia="宋体" w:hAnsi="宋体" w:cs="宋体" w:hint="eastAsia"/>
          <w:color w:val="000000" w:themeColor="text1"/>
          <w14:textFill>
            <w14:solidFill>
              <w14:schemeClr w14:val="tx1"/>
            </w14:solidFill>
          </w14:textFill>
        </w:rPr>
        <w:t>1、根据已收到贵单位的项目编号为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的</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项目的招标文件，遵照《深圳经济特区政府采购条例》和《深圳网上政府采购管理暂行办法》等有关规定，我单位经研究上述招标文件的专用条款及通用条款后，</w:t>
      </w:r>
      <w:bookmarkStart w:id="40" w:name="_Hlk72263588"/>
      <w:r>
        <w:rPr>
          <w:rFonts w:ascii="宋体" w:eastAsia="宋体" w:hAnsi="宋体" w:cs="宋体" w:hint="eastAsia"/>
          <w:color w:val="000000" w:themeColor="text1"/>
          <w14:textFill>
            <w14:solidFill>
              <w14:schemeClr w14:val="tx1"/>
            </w14:solidFill>
          </w14:textFill>
        </w:rPr>
        <w:t>愿意按照招标文件要求承包上述项目并修补其任何缺陷。</w:t>
      </w:r>
      <w:bookmarkEnd w:id="40"/>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2、投标价格见投标书编制软件中《开标一览表》中填写的投标总价。</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3、如果我单位中标，我单位将按照招标文件的要求足额提交履约担保。</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4、我单位同意所递交的投标文件在“对通用条款的补充内容”中明确的投标有效期内有效，在此期间内我单位的投标有可能中标，我方将受此约束。</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5、除非另外达成协议并生效，贵单位的中标通知书和本投标文件将构成合同的重要内容。</w:t>
      </w:r>
    </w:p>
    <w:p>
      <w:pPr>
        <w:ind w:left="600" w:hanging="120" w:leftChars="200" w:hangingChars="50"/>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6、我单位理解贵单位将不受必须接受所收到的最低报价或其它任何投标文件的约束。</w:t>
      </w:r>
      <w:bookmarkEnd w:id="39"/>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单位地址：</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法定代表人（负责人）或其委托代理人：</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hint="eastAsia"/>
          <w:color w:val="000000" w:themeColor="text1"/>
          <w:u w:val="single"/>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邮政编码：</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电话：</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  传真：</w:t>
      </w:r>
      <w:r>
        <w:rPr>
          <w:rFonts w:ascii="宋体" w:eastAsia="宋体" w:hAnsi="宋体" w:cs="宋体" w:hint="eastAsia"/>
          <w:color w:val="000000" w:themeColor="text1"/>
          <w:u w:val="single"/>
          <w14:textFill>
            <w14:solidFill>
              <w14:schemeClr w14:val="tx1"/>
            </w14:solidFill>
          </w14:textFill>
        </w:rPr>
        <w:t xml:space="preserve">            </w:t>
      </w:r>
    </w:p>
    <w:p>
      <w:pPr>
        <w:ind w:left="617" w:leftChars="257"/>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开户银行名称：</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开户银行账号：</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left="617" w:leftChars="257"/>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开户银行地址：</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ab/>
      </w:r>
      <w:r>
        <w:rPr>
          <w:rFonts w:ascii="宋体" w:eastAsia="宋体" w:hAnsi="宋体" w:cs="宋体" w:hint="eastAsia"/>
          <w:color w:val="000000" w:themeColor="text1"/>
          <w14:textFill>
            <w14:solidFill>
              <w14:schemeClr w14:val="tx1"/>
            </w14:solidFill>
          </w14:textFill>
        </w:rPr>
        <w:t>开户银行电话：</w:t>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r>
        <w:rPr>
          <w:rFonts w:ascii="宋体" w:eastAsia="宋体" w:hAnsi="宋体" w:cs="宋体" w:hint="eastAsia"/>
          <w:color w:val="000000" w:themeColor="text1"/>
          <w:u w:val="single"/>
          <w14:textFill>
            <w14:solidFill>
              <w14:schemeClr w14:val="tx1"/>
            </w14:solidFill>
          </w14:textFill>
        </w:rPr>
        <w:tab/>
      </w:r>
    </w:p>
    <w:p>
      <w:pPr>
        <w:ind w:firstLine="617" w:firstLineChars="257"/>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 xml:space="preserve">日                                </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szCs w:val="2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pStyle w:val="Heading3"/>
        <w:jc w:val="center"/>
        <w:rPr>
          <w:rFonts w:cs="宋体" w:hint="eastAsia"/>
          <w:b w:val="0"/>
          <w:color w:val="000000" w:themeColor="text1"/>
          <w:sz w:val="24"/>
          <w14:textFill>
            <w14:solidFill>
              <w14:schemeClr w14:val="tx1"/>
            </w14:solidFill>
          </w14:textFill>
        </w:rPr>
      </w:pPr>
      <w:r>
        <w:rPr>
          <w:rFonts w:cs="宋体" w:hint="eastAsia"/>
          <w:b w:val="0"/>
          <w:color w:val="000000" w:themeColor="text1"/>
          <w:sz w:val="24"/>
          <w14:textFill>
            <w14:solidFill>
              <w14:schemeClr w14:val="tx1"/>
            </w14:solidFill>
          </w14:textFill>
        </w:rPr>
        <w:br w:type="page"/>
      </w:r>
      <w:r>
        <w:rPr>
          <w:rFonts w:cs="宋体" w:hint="eastAsia"/>
          <w:b w:val="0"/>
          <w:color w:val="000000" w:themeColor="text1"/>
          <w:sz w:val="24"/>
          <w14:textFill>
            <w14:solidFill>
              <w14:schemeClr w14:val="tx1"/>
            </w14:solidFill>
          </w14:textFill>
        </w:rPr>
        <w:t>二、政府采购投标及履约承诺函</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致：</w:t>
      </w:r>
      <w:r>
        <w:rPr>
          <w:rFonts w:ascii="宋体" w:eastAsia="宋体" w:hAnsi="宋体" w:cs="宋体" w:hint="eastAsia"/>
          <w:color w:val="000000" w:themeColor="text1"/>
          <w:u w:val="single"/>
          <w14:textFill>
            <w14:solidFill>
              <w14:schemeClr w14:val="tx1"/>
            </w14:solidFill>
          </w14:textFill>
        </w:rPr>
        <w:t>友和保险经纪有限公司</w:t>
      </w:r>
    </w:p>
    <w:p>
      <w:pPr>
        <w:ind w:right="-815"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我单位承诺：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w:t>
      </w:r>
      <w:r>
        <w:rPr>
          <w:rFonts w:ascii="宋体" w:eastAsia="宋体" w:hAnsi="宋体" w:cs="宋体" w:hint="eastAsia"/>
          <w:szCs w:val="21"/>
        </w:rPr>
        <w:t>我单位参与本项目所投标（响应）的货物、工程或服务，不存在侵犯知识产权的情况；已知悉并同意中标（成交）结果信息公示（公开）的内容。</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w:t>
      </w:r>
      <w:r>
        <w:rPr>
          <w:rFonts w:ascii="宋体" w:eastAsia="宋体" w:hAnsi="宋体" w:cs="宋体" w:hint="eastAsia"/>
          <w:szCs w:val="21"/>
        </w:rPr>
        <w:t>我单位参与该项目投标，符合招标文件关于联合体及进口产品的相关资格要求。</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3.我单位参与本项目政府采购活动时不存在被有关部门禁止参与政府采购活动且在有效期内的情况。</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4.我单位具备《中华人民共和国政府采购法》第二十二条第一款规定的六项条件。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5.我单位未被列入失信被执行人、重大税收违法失信主体、政府采购严重违法失信行为记录名单；不存在《深圳市财政局政府采购供应商信用信息管理办法》（深财规〔2023〕3号）列明的严重违法失信行为。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我单位参与该项目投标，严格遵守政府采购相关法律，不造假，不围标、串标、陪标。我单位已清楚，如违反上述要求，投标将作无效处理，被列入不良记录名单并在网上曝光，同时将被提请政府采购主管部门给予一定年限内禁止参与政府采购活动或其他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7.我单位不存在“单位负责人为同一人或者存在直接控股、管理关系的不同供应商，参加同一合同项下的政府采购活动”的情形。</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我单位如果中标，做到守信，不偷工减料，依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我单位清楚，若以“报价太低而无法履约”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11.我单位承诺中标后项目不转包，未经采购人同意不进行分包。</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13.我单位保证，若所投货物涉及《财政部生态环境部关于印发节能产品政府采购品目清单的通知》（财库〔2019〕19号）列明的政府采购强制产品，则所投该产品符合节能产品的认证要求。</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szCs w:val="24"/>
        </w:rPr>
        <w:t>14.</w:t>
      </w:r>
      <w:r>
        <w:rPr>
          <w:rFonts w:ascii="宋体" w:eastAsia="宋体" w:hAnsi="宋体" w:cs="宋体" w:hint="eastAsia"/>
          <w:color w:val="000000" w:themeColor="text1"/>
          <w:szCs w:val="24"/>
          <w14:textFill>
            <w14:solidFill>
              <w14:schemeClr w14:val="tx1"/>
            </w14:solidFill>
          </w14:textFill>
        </w:rPr>
        <w:t xml:space="preserve"> 我单位承诺未为本项目提供整体设计、规范编制或者管理、监理、检测等服务。</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15.我单位承诺，参与本项目投标前三年内，未受过环境监测行政主管部门行政处罚或未有被政府相关部门（如质检部门等）、媒体通报弄虚作假等情形。 </w:t>
      </w:r>
    </w:p>
    <w:p>
      <w:pPr>
        <w:pStyle w:val="NormalIndent"/>
        <w:rPr>
          <w:rFonts w:ascii="宋体" w:eastAsia="宋体" w:hAnsi="宋体" w:cs="宋体" w:hint="eastAsia"/>
          <w:color w:val="000000" w:themeColor="text1"/>
          <w:szCs w:val="24"/>
          <w14:textFill>
            <w14:solidFill>
              <w14:schemeClr w14:val="tx1"/>
            </w14:solidFill>
          </w14:textFill>
        </w:rPr>
      </w:pPr>
      <w:r>
        <w:rPr>
          <w:rFonts w:ascii="宋体" w:eastAsia="宋体" w:hAnsi="宋体" w:cs="宋体" w:hint="eastAsia"/>
          <w:color w:val="000000" w:themeColor="text1"/>
          <w:szCs w:val="24"/>
          <w14:textFill>
            <w14:solidFill>
              <w14:schemeClr w14:val="tx1"/>
            </w14:solidFill>
          </w14:textFill>
        </w:rPr>
        <w:t xml:space="preserve">16.我单位保证，若所投产品列入强制性产品认证目录的，则所投该产品须获得强制性产品认证证书（即CCC认证）；其中适用自我声明评价方式的产品，则所投该产品须具有“强制性认证产品符合性自我声明”；若所投产品列入工业产品生产许可证管理的产品目录的，则所投该产品生产者（制造商）须获得《全国工业产品生产许可证》。 </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以上承诺，如有违反，愿依照国家相关法律法规处理，并承担由此给采购人带来的损失。</w:t>
      </w:r>
    </w:p>
    <w:p>
      <w:pPr>
        <w:spacing w:before="60" w:beforeLines="25" w:after="60" w:afterLines="25"/>
        <w:ind w:firstLine="6240" w:firstLineChars="26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w:t>
      </w:r>
    </w:p>
    <w:p>
      <w:pPr>
        <w:spacing w:before="60" w:beforeLines="25" w:after="60" w:afterLines="25"/>
        <w:ind w:firstLine="6240" w:firstLineChars="26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w:t>
      </w:r>
      <w:r>
        <w:rPr>
          <w:rFonts w:ascii="宋体" w:eastAsia="宋体" w:hAnsi="宋体" w:cs="宋体" w:hint="eastAsia"/>
          <w:color w:val="000000" w:themeColor="text1"/>
          <w:u w:val="single"/>
          <w14:textFill>
            <w14:solidFill>
              <w14:schemeClr w14:val="tx1"/>
            </w14:solidFill>
          </w14:textFill>
        </w:rPr>
        <w:t xml:space="preserve">              </w:t>
      </w:r>
    </w:p>
    <w:p>
      <w:pPr>
        <w:ind w:firstLine="645"/>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                                        日期：</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年</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月</w:t>
      </w:r>
      <w:r>
        <w:rPr>
          <w:rFonts w:ascii="宋体" w:eastAsia="宋体" w:hAnsi="宋体" w:cs="宋体" w:hint="eastAsia"/>
          <w:color w:val="000000" w:themeColor="text1"/>
          <w:u w:val="single"/>
          <w14:textFill>
            <w14:solidFill>
              <w14:schemeClr w14:val="tx1"/>
            </w14:solidFill>
          </w14:textFill>
        </w:rPr>
        <w:t xml:space="preserve">   </w:t>
      </w:r>
      <w:r>
        <w:rPr>
          <w:rFonts w:ascii="宋体" w:eastAsia="宋体" w:hAnsi="宋体" w:cs="宋体" w:hint="eastAsia"/>
          <w:color w:val="000000" w:themeColor="text1"/>
          <w14:textFill>
            <w14:solidFill>
              <w14:schemeClr w14:val="tx1"/>
            </w14:solidFill>
          </w14:textFill>
        </w:rPr>
        <w:t>日</w:t>
      </w: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szCs w:val="21"/>
          <w14:textFill>
            <w14:solidFill>
              <w14:schemeClr w14:val="tx1"/>
            </w14:solidFill>
          </w14:textFill>
        </w:rPr>
      </w:pPr>
    </w:p>
    <w:p>
      <w:pPr>
        <w:pStyle w:val="NormalIndent"/>
        <w:rPr>
          <w:rFonts w:ascii="宋体" w:eastAsia="宋体" w:hAnsi="宋体" w:cs="宋体" w:hint="eastAsia"/>
        </w:rPr>
      </w:pPr>
    </w:p>
    <w:p>
      <w:pPr>
        <w:rPr>
          <w:rFonts w:ascii="宋体" w:eastAsia="宋体" w:hAnsi="宋体" w:cs="宋体" w:hint="eastAsia"/>
        </w:rPr>
      </w:pP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br w:type="page"/>
      </w:r>
    </w:p>
    <w:p>
      <w:pPr>
        <w:pStyle w:val="Heading3"/>
        <w:jc w:val="center"/>
        <w:rPr>
          <w:rFonts w:cs="宋体" w:hint="eastAsia"/>
        </w:rPr>
      </w:pPr>
      <w:r>
        <w:rPr>
          <w:rFonts w:cs="宋体" w:hint="eastAsia"/>
          <w:b w:val="0"/>
          <w:color w:val="000000" w:themeColor="text1"/>
          <w:sz w:val="24"/>
          <w14:textFill>
            <w14:solidFill>
              <w14:schemeClr w14:val="tx1"/>
            </w14:solidFill>
          </w14:textFill>
        </w:rPr>
        <w:t>三、投标人情况及资格证明文件</w:t>
      </w: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（一）投标人资格证明文件</w:t>
      </w:r>
    </w:p>
    <w:p>
      <w:pPr>
        <w:spacing w:before="120" w:beforeLines="50"/>
        <w:ind w:firstLine="480" w:firstLineChars="200"/>
        <w:rPr>
          <w:rFonts w:ascii="宋体" w:eastAsia="宋体" w:hAnsi="宋体" w:cs="宋体" w:hint="eastAsia"/>
          <w:b/>
          <w:bCs/>
          <w:color w:val="000000" w:themeColor="text1"/>
          <w14:textFill>
            <w14:solidFill>
              <w14:schemeClr w14:val="tx1"/>
            </w14:solidFill>
          </w14:textFill>
        </w:rPr>
      </w:pPr>
      <w:r>
        <w:rPr>
          <w:rFonts w:ascii="宋体" w:eastAsia="宋体" w:hAnsi="宋体" w:cs="宋体" w:hint="eastAsia"/>
          <w:b/>
          <w:bCs/>
          <w:color w:val="000000" w:themeColor="text1"/>
          <w14:textFill>
            <w14:solidFill>
              <w14:schemeClr w14:val="tx1"/>
            </w14:solidFill>
          </w14:textFill>
        </w:rPr>
        <w:t>（特别提示：投标人须按本招标文件第一册第一章招标公告 “申请人的资格要求”（即投标人资格要求）提供相关的资格证明资料，未提供或提供不完整、不符合要求的，将作投标无效处理。）</w:t>
      </w:r>
    </w:p>
    <w:p>
      <w:pPr>
        <w:spacing w:line="360" w:lineRule="auto"/>
        <w:ind w:firstLine="480" w:firstLineChars="200"/>
        <w:rPr>
          <w:rFonts w:ascii="宋体" w:eastAsia="宋体" w:hAnsi="宋体" w:cs="宋体" w:hint="eastAsia"/>
          <w:b/>
          <w:color w:val="000000" w:themeColor="text1"/>
          <w14:textFill>
            <w14:solidFill>
              <w14:schemeClr w14:val="tx1"/>
            </w14:solidFill>
          </w14:textFill>
        </w:rPr>
      </w:pPr>
    </w:p>
    <w:p>
      <w:pPr>
        <w:spacing w:line="360" w:lineRule="auto"/>
        <w:rPr>
          <w:rFonts w:ascii="宋体" w:eastAsia="宋体" w:hAnsi="宋体" w:cs="宋体" w:hint="eastAsia"/>
        </w:rPr>
      </w:pPr>
    </w:p>
    <w:p>
      <w:pPr>
        <w:ind w:firstLine="480" w:firstLineChars="200"/>
        <w:outlineLvl w:val="3"/>
        <w:rPr>
          <w:rFonts w:ascii="宋体" w:eastAsia="宋体" w:hAnsi="宋体" w:cs="宋体" w:hint="eastAsia"/>
          <w:bCs/>
          <w:szCs w:val="32"/>
        </w:rPr>
      </w:pPr>
      <w:r>
        <w:rPr>
          <w:rFonts w:ascii="宋体" w:eastAsia="宋体" w:hAnsi="宋体" w:cs="宋体" w:hint="eastAsia"/>
          <w:bCs/>
          <w:szCs w:val="32"/>
        </w:rPr>
        <w:t>（二）中小企业声明函、残疾人福利性单位声明函及监狱企业声明函</w:t>
      </w:r>
    </w:p>
    <w:p>
      <w:pPr>
        <w:spacing w:before="120" w:beforeLines="50"/>
        <w:ind w:firstLine="480" w:firstLineChars="200"/>
        <w:rPr>
          <w:rFonts w:ascii="宋体" w:eastAsia="宋体" w:hAnsi="宋体" w:cs="宋体" w:hint="eastAsia"/>
          <w:b/>
          <w:bCs/>
          <w:color w:val="FF0000"/>
        </w:rPr>
      </w:pPr>
      <w:r>
        <w:rPr>
          <w:rFonts w:ascii="宋体" w:eastAsia="宋体" w:hAnsi="宋体" w:cs="宋体" w:hint="eastAsia"/>
          <w:b/>
          <w:bCs/>
          <w:color w:val="FF0000"/>
        </w:rPr>
        <w:t>注：采购人、采购代理机构、评标委员会（评审小组）在依法进行资格审查、评审过程中，发现《中小企业声明函》存在明显笔误或者含义不明确的，按照政府采购相关规定要求供应商进行澄清、说明或补正。澄清、说明或补正后符合中小企业条件的供应商，可以享受中小企业扶持政策。（参照《广东省政府采购促进中小企业发展实施细则》第十八条精神）</w:t>
      </w:r>
    </w:p>
    <w:p>
      <w:pPr>
        <w:jc w:val="center"/>
        <w:rPr>
          <w:rFonts w:ascii="宋体" w:eastAsia="宋体" w:hAnsi="宋体" w:cs="宋体" w:hint="eastAsia"/>
          <w:b/>
          <w:color w:val="000000" w:themeColor="text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 xml:space="preserve">1、中小企业声明函（服务）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本投标人郑重声明，根据《政府采购促进中小企业发展管理办法》（财库﹝2020﹞46 号）的规定，本投标人参加</w:t>
      </w:r>
      <w:r>
        <w:rPr>
          <w:rFonts w:ascii="宋体" w:eastAsia="宋体" w:hAnsi="宋体" w:cs="宋体" w:hint="eastAsia"/>
          <w:b/>
          <w:bCs/>
          <w:szCs w:val="21"/>
          <w:u w:val="single"/>
        </w:rPr>
        <w:t>（深圳市公安局交通警察支队宝安大队）</w:t>
      </w:r>
      <w:r>
        <w:rPr>
          <w:rFonts w:ascii="宋体" w:eastAsia="宋体" w:hAnsi="宋体" w:cs="宋体" w:hint="eastAsia"/>
          <w:szCs w:val="21"/>
        </w:rPr>
        <w:t>的</w:t>
      </w:r>
      <w:r>
        <w:rPr>
          <w:rFonts w:ascii="宋体" w:eastAsia="宋体" w:hAnsi="宋体" w:cs="宋体" w:hint="eastAsia"/>
          <w:b/>
          <w:bCs/>
          <w:szCs w:val="21"/>
          <w:u w:val="single"/>
        </w:rPr>
        <w:t>（智慧宝安交通提升工程一期（第三方测评）项目）</w:t>
      </w:r>
      <w:r>
        <w:rPr>
          <w:rFonts w:ascii="宋体" w:eastAsia="宋体" w:hAnsi="宋体" w:cs="宋体" w:hint="eastAsia"/>
          <w:szCs w:val="21"/>
        </w:rPr>
        <w:t>采购活动，服务全部由符合政策要求的中小企业承接。相关企业的具体情况如下：</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（智慧宝安交通提升工程一期（第三方测评）项目）</w:t>
      </w:r>
      <w:r>
        <w:rPr>
          <w:rFonts w:ascii="宋体" w:eastAsia="宋体" w:hAnsi="宋体" w:cs="宋体" w:hint="eastAsia"/>
          <w:szCs w:val="21"/>
        </w:rPr>
        <w:t xml:space="preserve"> ，属于</w:t>
      </w:r>
      <w:r>
        <w:rPr>
          <w:rFonts w:ascii="宋体" w:eastAsia="宋体" w:hAnsi="宋体" w:cs="宋体" w:hint="eastAsia"/>
          <w:b/>
          <w:bCs/>
          <w:szCs w:val="21"/>
          <w:u w:val="single"/>
        </w:rPr>
        <w:t xml:space="preserve">（软件和信息技术服务业） </w:t>
      </w:r>
      <w:r>
        <w:rPr>
          <w:rFonts w:ascii="宋体" w:eastAsia="宋体" w:hAnsi="宋体" w:cs="宋体" w:hint="eastAsia"/>
          <w:szCs w:val="21"/>
        </w:rPr>
        <w:t>行业；承接企业为</w:t>
      </w:r>
      <w:r>
        <w:rPr>
          <w:rFonts w:ascii="宋体" w:eastAsia="宋体" w:hAnsi="宋体" w:cs="宋体" w:hint="eastAsia"/>
          <w:b/>
          <w:bCs/>
          <w:szCs w:val="21"/>
          <w:u w:val="single"/>
        </w:rPr>
        <w:t>（企业名称）</w:t>
      </w:r>
      <w:r>
        <w:rPr>
          <w:rFonts w:ascii="宋体" w:eastAsia="宋体" w:hAnsi="宋体" w:cs="宋体" w:hint="eastAsia"/>
          <w:szCs w:val="21"/>
        </w:rPr>
        <w:t>，从业人员人，营业收入为万元，资产总额为万元 ，属于</w:t>
      </w:r>
      <w:r>
        <w:rPr>
          <w:rFonts w:ascii="宋体" w:eastAsia="宋体" w:hAnsi="宋体" w:cs="宋体" w:hint="eastAsia"/>
          <w:b/>
          <w:bCs/>
          <w:szCs w:val="21"/>
          <w:u w:val="single"/>
        </w:rPr>
        <w:t>（中型企业、小型企业、微型企业）</w:t>
      </w: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以上企业，不属于大企业的分支机构，不存在控股股东为大企业的情形，也不存在与大企业的负责人为同一人的情形。</w:t>
      </w:r>
    </w:p>
    <w:p>
      <w:pPr>
        <w:spacing w:after="60" w:afterLines="25" w:line="300" w:lineRule="auto"/>
        <w:ind w:firstLine="480" w:firstLineChars="200"/>
        <w:rPr>
          <w:rFonts w:ascii="宋体" w:eastAsia="宋体" w:hAnsi="宋体" w:cs="宋体" w:hint="eastAsia"/>
          <w:szCs w:val="21"/>
        </w:rPr>
      </w:pPr>
      <w:bookmarkStart w:id="41" w:name="_Hlk73562275"/>
      <w:r>
        <w:rPr>
          <w:rFonts w:ascii="宋体" w:eastAsia="宋体" w:hAnsi="宋体" w:cs="宋体"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1"/>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     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spacing w:after="60" w:afterLines="25" w:line="300" w:lineRule="auto"/>
        <w:ind w:firstLine="480" w:firstLineChars="200"/>
        <w:rPr>
          <w:rFonts w:ascii="宋体" w:eastAsia="宋体" w:hAnsi="宋体" w:cs="宋体" w:hint="eastAsia"/>
          <w:b/>
          <w:color w:val="FF0000"/>
          <w:highlight w:val="yellow"/>
        </w:rPr>
      </w:pPr>
    </w:p>
    <w:p>
      <w:pPr>
        <w:pStyle w:val="NormalIndent"/>
        <w:rPr>
          <w:rFonts w:ascii="宋体" w:eastAsia="宋体" w:hAnsi="宋体" w:cs="宋体" w:hint="eastAsia"/>
        </w:rPr>
      </w:pPr>
    </w:p>
    <w:p>
      <w:pPr>
        <w:rPr>
          <w:rFonts w:ascii="宋体" w:eastAsia="宋体" w:hAnsi="宋体" w:cs="宋体" w:hint="eastAsia"/>
        </w:rPr>
      </w:pPr>
    </w:p>
    <w:p>
      <w:pPr>
        <w:jc w:val="center"/>
        <w:rPr>
          <w:rFonts w:ascii="宋体" w:eastAsia="宋体" w:hAnsi="宋体" w:cs="宋体" w:hint="eastAsia"/>
          <w:b/>
          <w:color w:val="000000" w:themeColor="text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2、残疾人福利性单位声明函（服务类）</w:t>
      </w:r>
    </w:p>
    <w:p>
      <w:pPr>
        <w:rPr>
          <w:rFonts w:ascii="宋体" w:eastAsia="宋体" w:hAnsi="宋体" w:cs="宋体" w:hint="eastAsia"/>
          <w:b/>
          <w:bCs/>
          <w:color w:val="000000" w:themeColor="text1"/>
          <w14:textFill>
            <w14:solidFill>
              <w14:schemeClr w14:val="tx1"/>
            </w14:solidFill>
          </w14:textFill>
        </w:rPr>
      </w:pP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本投标人郑重声明，根据《财政部民政部中国残疾人联合会关于促进残疾人就业政府采购政策的通知》（财库〔2017〕141 号）的规定，本投标人参加</w:t>
      </w:r>
      <w:r>
        <w:rPr>
          <w:rFonts w:ascii="宋体" w:eastAsia="宋体" w:hAnsi="宋体" w:cs="宋体" w:hint="eastAsia"/>
          <w:b/>
          <w:bCs/>
          <w:szCs w:val="21"/>
          <w:u w:val="single"/>
        </w:rPr>
        <w:t>（采购人名称）</w:t>
      </w:r>
      <w:r>
        <w:rPr>
          <w:rFonts w:ascii="宋体" w:eastAsia="宋体" w:hAnsi="宋体" w:cs="宋体" w:hint="eastAsia"/>
          <w:szCs w:val="21"/>
        </w:rPr>
        <w:t>的</w:t>
      </w:r>
      <w:r>
        <w:rPr>
          <w:rFonts w:ascii="宋体" w:eastAsia="宋体" w:hAnsi="宋体" w:cs="宋体" w:hint="eastAsia"/>
          <w:b/>
          <w:bCs/>
          <w:szCs w:val="21"/>
          <w:u w:val="single"/>
        </w:rPr>
        <w:t>（项目名称）</w:t>
      </w:r>
      <w:r>
        <w:rPr>
          <w:rFonts w:ascii="宋体" w:eastAsia="宋体" w:hAnsi="宋体" w:cs="宋体" w:hint="eastAsia"/>
          <w:szCs w:val="21"/>
        </w:rPr>
        <w:t>采购活动，服务全部由符合政策要求的残疾人福利性单位承接。相关残疾人福利性单位的具体情况如下：</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1.</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2.</w:t>
      </w:r>
      <w:r>
        <w:rPr>
          <w:rFonts w:ascii="宋体" w:eastAsia="宋体" w:hAnsi="宋体" w:cs="宋体" w:hint="eastAsia"/>
          <w:b/>
          <w:bCs/>
          <w:szCs w:val="21"/>
          <w:u w:val="single"/>
        </w:rPr>
        <w:t xml:space="preserve"> （标的名称）</w:t>
      </w:r>
      <w:r>
        <w:rPr>
          <w:rFonts w:ascii="宋体" w:eastAsia="宋体" w:hAnsi="宋体" w:cs="宋体" w:hint="eastAsia"/>
          <w:szCs w:val="21"/>
        </w:rPr>
        <w:t>，承接企业为</w:t>
      </w:r>
      <w:r>
        <w:rPr>
          <w:rFonts w:ascii="宋体" w:eastAsia="宋体" w:hAnsi="宋体" w:cs="宋体" w:hint="eastAsia"/>
          <w:b/>
          <w:bCs/>
          <w:szCs w:val="21"/>
          <w:u w:val="single"/>
        </w:rPr>
        <w:t>（单位名称）</w:t>
      </w:r>
      <w:r>
        <w:rPr>
          <w:rFonts w:ascii="宋体" w:eastAsia="宋体" w:hAnsi="宋体" w:cs="宋体" w:hint="eastAsia"/>
          <w:szCs w:val="21"/>
        </w:rPr>
        <w:t>，属于</w:t>
      </w:r>
      <w:r>
        <w:rPr>
          <w:rFonts w:ascii="宋体" w:eastAsia="宋体" w:hAnsi="宋体" w:cs="宋体" w:hint="eastAsia"/>
          <w:b/>
          <w:bCs/>
          <w:szCs w:val="21"/>
          <w:u w:val="single"/>
        </w:rPr>
        <w:t>残疾人福利性单位</w:t>
      </w:r>
      <w:r>
        <w:rPr>
          <w:rFonts w:ascii="宋体" w:eastAsia="宋体" w:hAnsi="宋体" w:cs="宋体" w:hint="eastAsia"/>
          <w:szCs w:val="21"/>
        </w:rPr>
        <w:t>。</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 xml:space="preserve">…… </w:t>
      </w:r>
    </w:p>
    <w:p>
      <w:pPr>
        <w:spacing w:after="60" w:afterLines="25" w:line="300" w:lineRule="auto"/>
        <w:ind w:firstLine="480" w:firstLineChars="200"/>
        <w:rPr>
          <w:rFonts w:ascii="宋体" w:eastAsia="宋体" w:hAnsi="宋体" w:cs="宋体" w:hint="eastAsia"/>
          <w:szCs w:val="21"/>
        </w:rPr>
      </w:pPr>
      <w:r>
        <w:rPr>
          <w:rFonts w:ascii="宋体" w:eastAsia="宋体" w:hAnsi="宋体" w:cs="宋体"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pPr>
        <w:spacing w:after="60" w:afterLines="25" w:line="560" w:lineRule="exact"/>
        <w:ind w:firstLine="480" w:firstLineChars="200"/>
        <w:jc w:val="center"/>
        <w:rPr>
          <w:rFonts w:ascii="宋体" w:eastAsia="宋体" w:hAnsi="宋体" w:cs="宋体" w:hint="eastAsia"/>
        </w:rPr>
      </w:pPr>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ind w:firstLine="480" w:firstLineChars="200"/>
        <w:rPr>
          <w:rFonts w:ascii="宋体" w:eastAsia="宋体" w:hAnsi="宋体" w:cs="宋体" w:hint="eastAsia"/>
          <w:color w:val="000000" w:themeColor="text1"/>
          <w:szCs w:val="21"/>
          <w14:textFill>
            <w14:solidFill>
              <w14:schemeClr w14:val="tx1"/>
            </w14:solidFill>
          </w14:textFill>
        </w:rPr>
      </w:pPr>
    </w:p>
    <w:p>
      <w:pPr>
        <w:ind w:firstLine="480" w:firstLineChars="200"/>
        <w:rPr>
          <w:rFonts w:ascii="宋体" w:eastAsia="宋体" w:hAnsi="宋体" w:cs="宋体" w:hint="eastAsia"/>
          <w:color w:val="000000" w:themeColor="text1"/>
          <w:szCs w:val="21"/>
          <w14:textFill>
            <w14:solidFill>
              <w14:schemeClr w14:val="tx1"/>
            </w14:solidFill>
          </w14:textFill>
        </w:rPr>
      </w:pPr>
    </w:p>
    <w:p>
      <w:pPr>
        <w:jc w:val="center"/>
        <w:outlineLvl w:val="3"/>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3、监狱企业声明函【服务类，监狱企业如需享受优惠政策，还须另行提供省级以上监狱管理局、戒毒管理局（含新疆生产建设兵团）出具的监狱企业证明文件】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本投标人郑重声明，根据《财政部司法部关于政府采购支持监狱企业发展有关问题的通知》（财库〔2014〕68号）的规定，本投标人参加</w:t>
      </w:r>
      <w:r>
        <w:rPr>
          <w:rFonts w:ascii="宋体" w:eastAsia="宋体" w:hAnsi="宋体" w:cs="宋体" w:hint="eastAsia"/>
          <w:b/>
          <w:bCs/>
          <w:color w:val="000000" w:themeColor="text1"/>
          <w:szCs w:val="21"/>
          <w:u w:val="single"/>
          <w14:textFill>
            <w14:solidFill>
              <w14:schemeClr w14:val="tx1"/>
            </w14:solidFill>
          </w14:textFill>
        </w:rPr>
        <w:t>（采购人名称）</w:t>
      </w:r>
      <w:r>
        <w:rPr>
          <w:rFonts w:ascii="宋体" w:eastAsia="宋体" w:hAnsi="宋体" w:cs="宋体" w:hint="eastAsia"/>
          <w:color w:val="000000" w:themeColor="text1"/>
          <w:szCs w:val="21"/>
          <w14:textFill>
            <w14:solidFill>
              <w14:schemeClr w14:val="tx1"/>
            </w14:solidFill>
          </w14:textFill>
        </w:rPr>
        <w:t>的</w:t>
      </w:r>
      <w:r>
        <w:rPr>
          <w:rFonts w:ascii="宋体" w:eastAsia="宋体" w:hAnsi="宋体" w:cs="宋体" w:hint="eastAsia"/>
          <w:b/>
          <w:bCs/>
          <w:color w:val="000000" w:themeColor="text1"/>
          <w:szCs w:val="21"/>
          <w:u w:val="single"/>
          <w14:textFill>
            <w14:solidFill>
              <w14:schemeClr w14:val="tx1"/>
            </w14:solidFill>
          </w14:textFill>
        </w:rPr>
        <w:t>（项目名称）</w:t>
      </w:r>
      <w:r>
        <w:rPr>
          <w:rFonts w:ascii="宋体" w:eastAsia="宋体" w:hAnsi="宋体" w:cs="宋体" w:hint="eastAsia"/>
          <w:color w:val="000000" w:themeColor="text1"/>
          <w:szCs w:val="21"/>
          <w14:textFill>
            <w14:solidFill>
              <w14:schemeClr w14:val="tx1"/>
            </w14:solidFill>
          </w14:textFill>
        </w:rPr>
        <w:t>采购活动，服务全部由符合政策要求的监狱企业承接。相关监狱企业的具体情况如下：</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w:t>
      </w:r>
      <w:r>
        <w:rPr>
          <w:rFonts w:ascii="宋体" w:eastAsia="宋体" w:hAnsi="宋体" w:cs="宋体" w:hint="eastAsia"/>
          <w:b/>
          <w:bCs/>
          <w:color w:val="000000" w:themeColor="text1"/>
          <w:szCs w:val="21"/>
          <w:u w:val="single"/>
          <w14:textFill>
            <w14:solidFill>
              <w14:schemeClr w14:val="tx1"/>
            </w14:solidFill>
          </w14:textFill>
        </w:rPr>
        <w:t xml:space="preserve"> （标的名称）</w:t>
      </w:r>
      <w:r>
        <w:rPr>
          <w:rFonts w:ascii="宋体" w:eastAsia="宋体" w:hAnsi="宋体" w:cs="宋体" w:hint="eastAsia"/>
          <w:color w:val="000000" w:themeColor="text1"/>
          <w:szCs w:val="21"/>
          <w14:textFill>
            <w14:solidFill>
              <w14:schemeClr w14:val="tx1"/>
            </w14:solidFill>
          </w14:textFill>
        </w:rPr>
        <w:t xml:space="preserve"> ，承接单位为</w:t>
      </w:r>
      <w:r>
        <w:rPr>
          <w:rFonts w:ascii="宋体" w:eastAsia="宋体" w:hAnsi="宋体" w:cs="宋体" w:hint="eastAsia"/>
          <w:b/>
          <w:bCs/>
          <w:color w:val="000000" w:themeColor="text1"/>
          <w:szCs w:val="21"/>
          <w:u w:val="single"/>
          <w14:textFill>
            <w14:solidFill>
              <w14:schemeClr w14:val="tx1"/>
            </w14:solidFill>
          </w14:textFill>
        </w:rPr>
        <w:t>（企业名称）</w:t>
      </w:r>
      <w:r>
        <w:rPr>
          <w:rFonts w:ascii="宋体" w:eastAsia="宋体" w:hAnsi="宋体" w:cs="宋体" w:hint="eastAsia"/>
          <w:color w:val="000000" w:themeColor="text1"/>
          <w:szCs w:val="21"/>
          <w14:textFill>
            <w14:solidFill>
              <w14:schemeClr w14:val="tx1"/>
            </w14:solidFill>
          </w14:textFill>
        </w:rPr>
        <w:t>，属于</w:t>
      </w:r>
      <w:r>
        <w:rPr>
          <w:rFonts w:ascii="宋体" w:eastAsia="宋体" w:hAnsi="宋体" w:cs="宋体" w:hint="eastAsia"/>
          <w:b/>
          <w:bCs/>
          <w:color w:val="000000" w:themeColor="text1"/>
          <w:szCs w:val="21"/>
          <w:u w:val="single"/>
          <w14:textFill>
            <w14:solidFill>
              <w14:schemeClr w14:val="tx1"/>
            </w14:solidFill>
          </w14:textFill>
        </w:rPr>
        <w:t>监狱企业</w:t>
      </w:r>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本投标人对上述声明内容的真实性负责。如有虚假，将依法承担相应责任。</w:t>
      </w:r>
    </w:p>
    <w:p>
      <w:pPr>
        <w:ind w:firstLine="480" w:firstLineChars="200"/>
        <w:rPr>
          <w:rFonts w:ascii="宋体" w:eastAsia="宋体" w:hAnsi="宋体" w:cs="宋体" w:hint="eastAsia"/>
          <w:color w:val="FF0000"/>
          <w:szCs w:val="21"/>
        </w:rPr>
      </w:pPr>
      <w:r>
        <w:rPr>
          <w:rFonts w:ascii="宋体" w:eastAsia="宋体" w:hAnsi="宋体" w:cs="宋体" w:hint="eastAsia"/>
          <w:color w:val="FF0000"/>
          <w:szCs w:val="21"/>
        </w:rPr>
        <w:t>附：省级以上监狱管理局、戒毒管理局（含新疆生产建设兵团）出具的监狱企业证明文件。</w:t>
      </w:r>
    </w:p>
    <w:p>
      <w:pPr>
        <w:ind w:left="723" w:hanging="720" w:hangingChars="300"/>
        <w:rPr>
          <w:rFonts w:ascii="宋体" w:eastAsia="宋体" w:hAnsi="宋体" w:cs="宋体" w:hint="eastAsia"/>
          <w:b/>
          <w:color w:val="000000" w:themeColor="text1"/>
          <w14:textFill>
            <w14:solidFill>
              <w14:schemeClr w14:val="tx1"/>
            </w14:solidFill>
          </w14:textFill>
        </w:rPr>
      </w:pPr>
    </w:p>
    <w:p>
      <w:pPr>
        <w:wordWrap w:val="0"/>
        <w:spacing w:after="60" w:afterLines="25" w:line="300" w:lineRule="auto"/>
        <w:ind w:firstLine="480" w:firstLineChars="200"/>
        <w:jc w:val="right"/>
        <w:rPr>
          <w:rFonts w:ascii="宋体" w:eastAsia="宋体" w:hAnsi="宋体" w:cs="宋体" w:hint="eastAsia"/>
          <w:szCs w:val="21"/>
        </w:rPr>
      </w:pPr>
      <w:r>
        <w:rPr>
          <w:rFonts w:ascii="宋体" w:eastAsia="宋体" w:hAnsi="宋体" w:cs="宋体" w:hint="eastAsia"/>
          <w:szCs w:val="21"/>
        </w:rPr>
        <w:t xml:space="preserve">投标人（投标单位）：       </w:t>
      </w:r>
    </w:p>
    <w:p>
      <w:pPr>
        <w:ind w:firstLine="6720" w:firstLineChars="28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szCs w:val="21"/>
        </w:rPr>
        <w:t>日期：</w:t>
      </w:r>
    </w:p>
    <w:p>
      <w:pPr>
        <w:ind w:left="723" w:hanging="720" w:hangingChars="300"/>
        <w:rPr>
          <w:rFonts w:ascii="宋体" w:eastAsia="宋体" w:hAnsi="宋体" w:cs="宋体" w:hint="eastAsia"/>
          <w:b/>
          <w:color w:val="000000" w:themeColor="text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r>
        <w:rPr>
          <w:rFonts w:ascii="宋体" w:eastAsia="宋体" w:hAnsi="宋体" w:cs="宋体" w:hint="eastAsia"/>
        </w:rPr>
        <w:br w:type="page"/>
      </w:r>
    </w:p>
    <w:p>
      <w:pPr>
        <w:jc w:val="cente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四、项目详细报价</w:t>
      </w:r>
    </w:p>
    <w:p>
      <w:pPr>
        <w:rPr>
          <w:rFonts w:ascii="宋体" w:eastAsia="宋体" w:hAnsi="宋体" w:cs="宋体" w:hint="eastAsia"/>
          <w:color w:val="000000"/>
          <w:sz w:val="21"/>
          <w:szCs w:val="21"/>
        </w:rPr>
      </w:pPr>
      <w:r>
        <w:rPr>
          <w:rFonts w:ascii="宋体" w:eastAsia="宋体" w:hAnsi="宋体" w:cs="宋体" w:hint="eastAsia"/>
          <w:color w:val="000000"/>
          <w:sz w:val="21"/>
          <w:szCs w:val="21"/>
        </w:rPr>
        <w:t xml:space="preserve">项目名称： </w:t>
      </w:r>
    </w:p>
    <w:p>
      <w:pPr>
        <w:rPr>
          <w:rFonts w:ascii="宋体" w:eastAsia="宋体" w:hAnsi="宋体" w:cs="宋体" w:hint="eastAsia"/>
          <w:color w:val="000000"/>
          <w:sz w:val="21"/>
          <w:szCs w:val="21"/>
        </w:rPr>
      </w:pPr>
      <w:r>
        <w:rPr>
          <w:rFonts w:ascii="宋体" w:eastAsia="宋体" w:hAnsi="宋体" w:cs="宋体" w:hint="eastAsia"/>
          <w:color w:val="000000"/>
          <w:sz w:val="21"/>
          <w:szCs w:val="21"/>
        </w:rPr>
        <w:t>项目编号：</w:t>
      </w:r>
    </w:p>
    <w:tbl>
      <w:tblPr>
        <w:tblStyle w:val="TableNormal"/>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045"/>
        <w:gridCol w:w="3568"/>
        <w:gridCol w:w="1936"/>
        <w:gridCol w:w="1968"/>
      </w:tblGrid>
      <w:tr>
        <w:tblPrEx>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hint="eastAsia"/>
                <w:b/>
                <w:bCs/>
                <w:color w:val="000000"/>
                <w:sz w:val="21"/>
                <w:szCs w:val="21"/>
              </w:rPr>
            </w:pPr>
            <w:r>
              <w:rPr>
                <w:rFonts w:eastAsia="宋体" w:cs="宋体" w:hint="eastAsia"/>
                <w:b/>
                <w:bCs/>
                <w:color w:val="000000"/>
                <w:sz w:val="21"/>
                <w:szCs w:val="21"/>
              </w:rPr>
              <w:t>序号</w:t>
            </w:r>
          </w:p>
        </w:tc>
        <w:tc>
          <w:tcPr>
            <w:tcW w:w="2094" w:type="pct"/>
            <w:vAlign w:val="center"/>
          </w:tcPr>
          <w:p>
            <w:pPr>
              <w:pStyle w:val="10"/>
              <w:jc w:val="center"/>
              <w:rPr>
                <w:rFonts w:eastAsia="宋体" w:cs="宋体" w:hint="eastAsia"/>
                <w:b/>
                <w:bCs/>
                <w:color w:val="000000"/>
                <w:sz w:val="21"/>
                <w:szCs w:val="21"/>
              </w:rPr>
            </w:pPr>
            <w:r>
              <w:rPr>
                <w:rFonts w:eastAsia="宋体" w:cs="宋体" w:hint="eastAsia"/>
                <w:b/>
                <w:bCs/>
                <w:color w:val="000000"/>
                <w:sz w:val="21"/>
                <w:szCs w:val="21"/>
              </w:rPr>
              <w:t>项目内容</w:t>
            </w:r>
          </w:p>
        </w:tc>
        <w:tc>
          <w:tcPr>
            <w:tcW w:w="1135" w:type="pct"/>
            <w:vAlign w:val="center"/>
          </w:tcPr>
          <w:p>
            <w:pPr>
              <w:jc w:val="cente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金额（元）</w:t>
            </w:r>
          </w:p>
        </w:tc>
        <w:tc>
          <w:tcPr>
            <w:tcW w:w="1155" w:type="pct"/>
            <w:vAlign w:val="center"/>
          </w:tcPr>
          <w:p>
            <w:pPr>
              <w:pStyle w:val="10"/>
              <w:jc w:val="center"/>
              <w:rPr>
                <w:rFonts w:eastAsia="宋体" w:cs="宋体" w:hint="eastAsia"/>
                <w:b/>
                <w:bCs/>
                <w:color w:val="000000"/>
                <w:sz w:val="21"/>
                <w:szCs w:val="21"/>
              </w:rPr>
            </w:pPr>
            <w:r>
              <w:rPr>
                <w:rFonts w:eastAsia="宋体" w:cs="宋体" w:hint="eastAsia"/>
                <w:b/>
                <w:bCs/>
                <w:color w:val="000000"/>
                <w:sz w:val="21"/>
                <w:szCs w:val="21"/>
              </w:rPr>
              <w:t>备注</w:t>
            </w: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hint="eastAsia"/>
                <w:color w:val="000000"/>
                <w:sz w:val="21"/>
                <w:szCs w:val="21"/>
              </w:rPr>
            </w:pPr>
            <w:r>
              <w:rPr>
                <w:rFonts w:eastAsia="宋体" w:cs="宋体" w:hint="eastAsia"/>
                <w:color w:val="000000"/>
                <w:sz w:val="21"/>
                <w:szCs w:val="21"/>
              </w:rPr>
              <w:t>1</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eastAsia="宋体" w:cs="宋体" w:hint="eastAsia"/>
                <w:color w:val="000000"/>
                <w:sz w:val="21"/>
                <w:szCs w:val="21"/>
              </w:rPr>
            </w:pPr>
          </w:p>
        </w:tc>
        <w:tc>
          <w:tcPr>
            <w:tcW w:w="1155" w:type="pct"/>
            <w:vAlign w:val="center"/>
          </w:tcPr>
          <w:p>
            <w:pPr>
              <w:pStyle w:val="10"/>
              <w:jc w:val="center"/>
              <w:rPr>
                <w:rFonts w:eastAsia="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hint="eastAsia"/>
                <w:color w:val="000000"/>
                <w:sz w:val="21"/>
                <w:szCs w:val="21"/>
              </w:rPr>
            </w:pPr>
            <w:r>
              <w:rPr>
                <w:rFonts w:eastAsia="宋体" w:cs="宋体" w:hint="eastAsia"/>
                <w:color w:val="000000"/>
                <w:sz w:val="21"/>
                <w:szCs w:val="21"/>
              </w:rPr>
              <w:t>2</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eastAsia="宋体" w:cs="宋体" w:hint="eastAsia"/>
                <w:color w:val="000000"/>
                <w:sz w:val="21"/>
                <w:szCs w:val="21"/>
              </w:rPr>
            </w:pPr>
          </w:p>
        </w:tc>
        <w:tc>
          <w:tcPr>
            <w:tcW w:w="1155" w:type="pct"/>
            <w:vAlign w:val="center"/>
          </w:tcPr>
          <w:p>
            <w:pPr>
              <w:pStyle w:val="10"/>
              <w:jc w:val="center"/>
              <w:rPr>
                <w:rFonts w:eastAsia="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hint="eastAsia"/>
                <w:color w:val="000000"/>
                <w:sz w:val="21"/>
                <w:szCs w:val="21"/>
              </w:rPr>
            </w:pPr>
            <w:r>
              <w:rPr>
                <w:rFonts w:eastAsia="宋体" w:cs="宋体" w:hint="eastAsia"/>
                <w:color w:val="000000"/>
                <w:sz w:val="21"/>
                <w:szCs w:val="21"/>
              </w:rPr>
              <w:t>3</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eastAsia="宋体" w:cs="宋体" w:hint="eastAsia"/>
                <w:color w:val="000000"/>
                <w:sz w:val="21"/>
                <w:szCs w:val="21"/>
              </w:rPr>
            </w:pPr>
          </w:p>
        </w:tc>
        <w:tc>
          <w:tcPr>
            <w:tcW w:w="1155" w:type="pct"/>
            <w:vAlign w:val="center"/>
          </w:tcPr>
          <w:p>
            <w:pPr>
              <w:pStyle w:val="10"/>
              <w:jc w:val="center"/>
              <w:rPr>
                <w:rFonts w:eastAsia="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614" w:type="pct"/>
            <w:vAlign w:val="center"/>
          </w:tcPr>
          <w:p>
            <w:pPr>
              <w:pStyle w:val="10"/>
              <w:jc w:val="center"/>
              <w:rPr>
                <w:rFonts w:eastAsia="宋体" w:cs="宋体" w:hint="eastAsia"/>
                <w:color w:val="000000"/>
                <w:sz w:val="21"/>
                <w:szCs w:val="21"/>
              </w:rPr>
            </w:pPr>
            <w:r>
              <w:rPr>
                <w:rFonts w:eastAsia="宋体" w:cs="宋体" w:hint="eastAsia"/>
                <w:color w:val="000000"/>
                <w:sz w:val="21"/>
                <w:szCs w:val="21"/>
              </w:rPr>
              <w:t>...</w:t>
            </w:r>
          </w:p>
        </w:tc>
        <w:tc>
          <w:tcPr>
            <w:tcW w:w="2094" w:type="pct"/>
          </w:tcPr>
          <w:p>
            <w:pPr>
              <w:jc w:val="center"/>
              <w:rPr>
                <w:rFonts w:ascii="宋体" w:eastAsia="宋体" w:hAnsi="宋体" w:cs="宋体" w:hint="eastAsia"/>
                <w:color w:val="000000"/>
                <w:sz w:val="21"/>
                <w:szCs w:val="21"/>
              </w:rPr>
            </w:pPr>
          </w:p>
        </w:tc>
        <w:tc>
          <w:tcPr>
            <w:tcW w:w="1135" w:type="pct"/>
            <w:vAlign w:val="center"/>
          </w:tcPr>
          <w:p>
            <w:pPr>
              <w:pStyle w:val="10"/>
              <w:jc w:val="center"/>
              <w:rPr>
                <w:rFonts w:eastAsia="宋体" w:cs="宋体" w:hint="eastAsia"/>
                <w:color w:val="000000"/>
                <w:sz w:val="21"/>
                <w:szCs w:val="21"/>
              </w:rPr>
            </w:pPr>
          </w:p>
        </w:tc>
        <w:tc>
          <w:tcPr>
            <w:tcW w:w="1155" w:type="pct"/>
            <w:vAlign w:val="center"/>
          </w:tcPr>
          <w:p>
            <w:pPr>
              <w:pStyle w:val="10"/>
              <w:jc w:val="center"/>
              <w:rPr>
                <w:rFonts w:eastAsia="宋体" w:cs="宋体" w:hint="eastAsia"/>
                <w:color w:val="000000"/>
                <w:sz w:val="21"/>
                <w:szCs w:val="21"/>
              </w:rPr>
            </w:pPr>
          </w:p>
        </w:tc>
      </w:tr>
      <w:tr>
        <w:tblPrEx>
          <w:tblW w:w="4997" w:type="pct"/>
          <w:jc w:val="center"/>
          <w:tblCellMar>
            <w:top w:w="0" w:type="dxa"/>
            <w:left w:w="108" w:type="dxa"/>
            <w:bottom w:w="0" w:type="dxa"/>
            <w:right w:w="108" w:type="dxa"/>
          </w:tblCellMar>
        </w:tblPrEx>
        <w:trPr>
          <w:trHeight w:val="480"/>
          <w:jc w:val="center"/>
        </w:trPr>
        <w:tc>
          <w:tcPr>
            <w:tcW w:w="3844" w:type="pct"/>
            <w:gridSpan w:val="3"/>
            <w:vAlign w:val="center"/>
          </w:tcPr>
          <w:p>
            <w:pPr>
              <w:pStyle w:val="10"/>
              <w:jc w:val="both"/>
              <w:rPr>
                <w:rFonts w:eastAsia="宋体" w:cs="宋体" w:hint="eastAsia"/>
                <w:color w:val="000000"/>
                <w:sz w:val="21"/>
                <w:szCs w:val="21"/>
              </w:rPr>
            </w:pPr>
            <w:r>
              <w:rPr>
                <w:rFonts w:eastAsia="宋体" w:cs="宋体" w:hint="eastAsia"/>
                <w:bCs/>
                <w:color w:val="000000"/>
                <w:sz w:val="21"/>
                <w:szCs w:val="21"/>
              </w:rPr>
              <w:t>投标总价（元）：</w:t>
            </w:r>
            <w:r>
              <w:rPr>
                <w:rFonts w:eastAsia="宋体" w:cs="宋体" w:hint="eastAsia"/>
                <w:bCs/>
                <w:color w:val="000000"/>
                <w:sz w:val="21"/>
                <w:szCs w:val="21"/>
              </w:rPr>
              <w:tab/>
            </w:r>
          </w:p>
        </w:tc>
        <w:tc>
          <w:tcPr>
            <w:tcW w:w="1155" w:type="pct"/>
            <w:vAlign w:val="center"/>
          </w:tcPr>
          <w:p>
            <w:pPr>
              <w:pStyle w:val="10"/>
              <w:jc w:val="both"/>
              <w:rPr>
                <w:rFonts w:eastAsia="宋体" w:cs="宋体" w:hint="eastAsia"/>
                <w:color w:val="000000"/>
                <w:sz w:val="21"/>
                <w:szCs w:val="21"/>
              </w:rPr>
            </w:pPr>
          </w:p>
        </w:tc>
      </w:tr>
    </w:tbl>
    <w:p>
      <w:pPr>
        <w:rPr>
          <w:rFonts w:ascii="宋体" w:eastAsia="宋体" w:hAnsi="宋体" w:cs="宋体" w:hint="eastAsia"/>
          <w:b/>
          <w:bCs/>
          <w:color w:val="000000"/>
          <w:sz w:val="21"/>
          <w:szCs w:val="21"/>
        </w:rPr>
      </w:pPr>
      <w:r>
        <w:rPr>
          <w:rFonts w:ascii="宋体" w:eastAsia="宋体" w:hAnsi="宋体" w:cs="宋体" w:hint="eastAsia"/>
          <w:b/>
          <w:bCs/>
          <w:color w:val="000000"/>
          <w:sz w:val="21"/>
          <w:szCs w:val="21"/>
        </w:rPr>
        <w:t>注：</w:t>
      </w:r>
    </w:p>
    <w:p>
      <w:pPr>
        <w:tabs>
          <w:tab w:val="left" w:pos="424"/>
        </w:tabs>
        <w:rPr>
          <w:rFonts w:ascii="宋体" w:eastAsia="宋体" w:hAnsi="宋体" w:cs="宋体" w:hint="eastAsia"/>
          <w:b/>
          <w:color w:val="000000"/>
          <w:sz w:val="21"/>
          <w:szCs w:val="21"/>
        </w:rPr>
      </w:pPr>
      <w:r>
        <w:rPr>
          <w:rFonts w:ascii="宋体" w:eastAsia="宋体" w:hAnsi="宋体" w:cs="宋体" w:hint="eastAsia"/>
          <w:b/>
          <w:color w:val="000000"/>
          <w:sz w:val="21"/>
          <w:szCs w:val="21"/>
        </w:rPr>
        <w:t>1.本表格仅为指导性范本，供应商应根据项目具体情况对各分项内容进行调整提供详细分项报价。</w:t>
      </w:r>
    </w:p>
    <w:p>
      <w:pPr>
        <w:tabs>
          <w:tab w:val="left" w:pos="424"/>
        </w:tabs>
        <w:rPr>
          <w:rFonts w:ascii="宋体" w:eastAsia="宋体" w:hAnsi="宋体" w:cs="宋体" w:hint="eastAsia"/>
          <w:b/>
          <w:sz w:val="21"/>
          <w:szCs w:val="21"/>
        </w:rPr>
      </w:pPr>
      <w:r>
        <w:rPr>
          <w:rFonts w:ascii="宋体" w:eastAsia="宋体" w:hAnsi="宋体" w:cs="宋体" w:hint="eastAsia"/>
          <w:b/>
          <w:color w:val="000000"/>
          <w:sz w:val="21"/>
          <w:szCs w:val="21"/>
        </w:rPr>
        <w:t>2.分项报价的汇总价等于“开标一览表”中的</w:t>
      </w:r>
      <w:r>
        <w:rPr>
          <w:rFonts w:ascii="宋体" w:eastAsia="宋体" w:hAnsi="宋体" w:cs="宋体" w:hint="eastAsia"/>
          <w:b/>
          <w:sz w:val="21"/>
          <w:szCs w:val="21"/>
        </w:rPr>
        <w:t>报价总价。</w:t>
      </w:r>
    </w:p>
    <w:p>
      <w:pPr>
        <w:rPr>
          <w:rFonts w:ascii="宋体" w:eastAsia="宋体" w:hAnsi="宋体" w:cs="宋体" w:hint="eastAsia"/>
          <w:b/>
          <w:sz w:val="21"/>
          <w:szCs w:val="21"/>
        </w:rPr>
      </w:pPr>
      <w:r>
        <w:rPr>
          <w:rFonts w:ascii="宋体" w:eastAsia="宋体" w:hAnsi="宋体" w:cs="宋体" w:hint="eastAsia"/>
          <w:b/>
          <w:bCs/>
          <w:sz w:val="21"/>
          <w:szCs w:val="21"/>
        </w:rPr>
        <w:t>3.</w:t>
      </w:r>
      <w:r>
        <w:rPr>
          <w:rFonts w:ascii="宋体" w:eastAsia="宋体" w:hAnsi="宋体" w:cs="宋体" w:hint="eastAsia"/>
          <w:b/>
          <w:sz w:val="21"/>
          <w:szCs w:val="21"/>
        </w:rPr>
        <w:t>如果以上内容无法满足投标人对报价描述，可自行添加包含在价格因素内的一切内容，但不提供详细分项报价将视为没有实质性响应招标文件</w:t>
      </w:r>
      <w:r>
        <w:rPr>
          <w:rFonts w:ascii="宋体" w:eastAsia="宋体" w:hAnsi="宋体" w:cs="宋体" w:hint="eastAsia"/>
          <w:sz w:val="21"/>
          <w:szCs w:val="21"/>
        </w:rPr>
        <w:t>。</w:t>
      </w:r>
    </w:p>
    <w:p>
      <w:pPr>
        <w:rPr>
          <w:rFonts w:ascii="宋体" w:eastAsia="宋体" w:hAnsi="宋体" w:cs="宋体" w:hint="eastAsia"/>
        </w:rPr>
      </w:pPr>
    </w:p>
    <w:p>
      <w:pPr>
        <w:jc w:val="cente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五、供应商资格（资质、认证）情况</w:t>
      </w:r>
    </w:p>
    <w:p>
      <w:pPr>
        <w:jc w:val="cente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六、供应商同类项目业绩情况</w:t>
      </w:r>
      <w:r>
        <w:rPr>
          <w:rFonts w:ascii="宋体" w:eastAsia="宋体" w:hAnsi="宋体" w:cs="宋体" w:hint="eastAsia"/>
          <w:b/>
          <w:color w:val="000000" w:themeColor="text1"/>
          <w14:textFill>
            <w14:solidFill>
              <w14:schemeClr w14:val="tx1"/>
            </w14:solidFill>
          </w14:textFill>
        </w:rPr>
        <w:tab/>
      </w:r>
    </w:p>
    <w:p>
      <w:pPr>
        <w:jc w:val="cente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七、供应商履约能力情况</w:t>
      </w:r>
    </w:p>
    <w:p>
      <w:pPr>
        <w:jc w:val="center"/>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八、投标人认为需要加以说明的其他内容（格式自定）</w:t>
      </w:r>
    </w:p>
    <w:p>
      <w:pPr>
        <w:rPr>
          <w:rFonts w:ascii="宋体" w:eastAsia="宋体" w:hAnsi="宋体" w:cs="宋体" w:hint="eastAsia"/>
          <w:bCs/>
        </w:rPr>
      </w:pPr>
    </w:p>
    <w:p>
      <w:pPr>
        <w:rPr>
          <w:rFonts w:ascii="宋体" w:eastAsia="宋体" w:hAnsi="宋体" w:cs="宋体" w:hint="eastAsia"/>
          <w:color w:val="000000" w:themeColor="text1"/>
          <w14:textFill>
            <w14:solidFill>
              <w14:schemeClr w14:val="tx1"/>
            </w14:solidFill>
          </w14:textFill>
        </w:rPr>
      </w:pPr>
    </w:p>
    <w:p>
      <w:pPr>
        <w:rPr>
          <w:rFonts w:ascii="宋体" w:eastAsia="宋体" w:hAnsi="宋体" w:cs="宋体" w:hint="eastAsia"/>
          <w:color w:val="000000" w:themeColor="text1"/>
          <w14:textFill>
            <w14:solidFill>
              <w14:schemeClr w14:val="tx1"/>
            </w14:solidFill>
          </w14:textFill>
        </w:rPr>
      </w:pPr>
    </w:p>
    <w:p>
      <w:pPr>
        <w:ind w:firstLine="1440" w:firstLineChars="600"/>
        <w:rPr>
          <w:rFonts w:ascii="宋体" w:eastAsia="宋体" w:hAnsi="宋体" w:cs="宋体" w:hint="eastAsia"/>
          <w:b/>
          <w:color w:val="FF0000"/>
        </w:rPr>
      </w:pPr>
      <w:r>
        <w:rPr>
          <w:rFonts w:ascii="宋体" w:eastAsia="宋体" w:hAnsi="宋体" w:cs="宋体" w:hint="eastAsia"/>
          <w:b/>
          <w:color w:val="FF0000"/>
        </w:rPr>
        <w:t>（信息公开部分的内容到此为止！以下为信息不公开部分。）</w:t>
      </w:r>
    </w:p>
    <w:p>
      <w:pPr>
        <w:ind w:firstLine="1440" w:firstLineChars="600"/>
        <w:rPr>
          <w:rFonts w:ascii="宋体" w:eastAsia="宋体" w:hAnsi="宋体" w:cs="宋体" w:hint="eastAsia"/>
          <w:b/>
          <w:color w:val="FF0000"/>
        </w:rPr>
      </w:pPr>
    </w:p>
    <w:p>
      <w:pPr>
        <w:ind w:firstLine="1440" w:firstLineChars="600"/>
        <w:rPr>
          <w:rFonts w:ascii="宋体" w:eastAsia="宋体" w:hAnsi="宋体" w:cs="宋体" w:hint="eastAsia"/>
          <w:b/>
          <w:color w:val="FF0000"/>
        </w:rPr>
      </w:pPr>
    </w:p>
    <w:p>
      <w:pPr>
        <w:rPr>
          <w:rFonts w:ascii="宋体" w:eastAsia="宋体" w:hAnsi="宋体" w:cs="宋体" w:hint="eastAsia"/>
          <w:b/>
          <w:color w:val="FF0000"/>
        </w:rPr>
      </w:pPr>
      <w:r>
        <w:rPr>
          <w:rFonts w:ascii="宋体" w:eastAsia="宋体" w:hAnsi="宋体" w:cs="宋体" w:hint="eastAsia"/>
          <w:b/>
          <w:color w:val="FF0000"/>
        </w:rPr>
        <w:br w:type="page"/>
      </w:r>
    </w:p>
    <w:p>
      <w:pPr>
        <w:outlineLvl w:val="1"/>
        <w:rPr>
          <w:rFonts w:ascii="宋体" w:eastAsia="宋体" w:hAnsi="宋体" w:cs="宋体" w:hint="eastAsia"/>
          <w:b/>
          <w:color w:val="FF0000"/>
          <w:sz w:val="28"/>
          <w:szCs w:val="28"/>
        </w:rPr>
      </w:pPr>
      <w:r>
        <w:rPr>
          <w:rFonts w:ascii="宋体" w:eastAsia="宋体" w:hAnsi="宋体" w:cs="宋体" w:hint="eastAsia"/>
          <w:b/>
          <w:color w:val="FF0000"/>
          <w:sz w:val="28"/>
          <w:szCs w:val="28"/>
        </w:rPr>
        <w:t>投标文件附件（信息不公开部分）</w:t>
      </w:r>
    </w:p>
    <w:p>
      <w:pPr>
        <w:pStyle w:val="Heading3"/>
        <w:jc w:val="center"/>
        <w:rPr>
          <w:rFonts w:ascii="黑体" w:eastAsia="黑体" w:hint="eastAsia"/>
          <w:b w:val="0"/>
          <w:sz w:val="24"/>
        </w:rPr>
      </w:pPr>
      <w:r>
        <w:rPr>
          <w:rFonts w:ascii="黑体" w:eastAsia="黑体" w:hint="eastAsia"/>
          <w:bCs w:val="0"/>
          <w:color w:val="000000" w:themeColor="text1"/>
          <w:sz w:val="24"/>
          <w14:textFill>
            <w14:solidFill>
              <w14:schemeClr w14:val="tx1"/>
            </w14:solidFill>
          </w14:textFill>
        </w:rPr>
        <w:t>一、</w:t>
      </w:r>
      <w:bookmarkStart w:id="42" w:name="_Hlk72092499"/>
      <w:r>
        <w:rPr>
          <w:rFonts w:ascii="黑体" w:eastAsia="黑体" w:hint="eastAsia"/>
          <w:b w:val="0"/>
          <w:sz w:val="24"/>
        </w:rPr>
        <w:t>法定代表人（负责人或</w:t>
      </w:r>
      <w:r>
        <w:rPr>
          <w:rFonts w:ascii="黑体" w:eastAsia="黑体" w:hint="eastAsia"/>
          <w:b w:val="0"/>
          <w:color w:val="4F81BD" w:themeColor="accent1"/>
          <w:sz w:val="24"/>
          <w14:textFill>
            <w14:solidFill>
              <w14:schemeClr w14:val="accent1"/>
            </w14:solidFill>
          </w14:textFill>
        </w:rPr>
        <w:t>执行事务合伙人</w:t>
      </w:r>
      <w:r>
        <w:rPr>
          <w:rFonts w:ascii="黑体" w:eastAsia="黑体" w:hint="eastAsia"/>
          <w:b w:val="0"/>
          <w:sz w:val="24"/>
        </w:rPr>
        <w:t>）资格证明书</w:t>
      </w:r>
      <w:bookmarkEnd w:id="42"/>
    </w:p>
    <w:p>
      <w:pPr>
        <w:widowControl w:val="0"/>
        <w:spacing w:line="400" w:lineRule="exact"/>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致友和保险经纪有限公司：</w:t>
      </w:r>
    </w:p>
    <w:p>
      <w:pPr>
        <w:spacing w:line="480" w:lineRule="exact"/>
        <w:rPr>
          <w:rFonts w:asciiTheme="minorEastAsia" w:eastAsiaTheme="minorEastAsia" w:hAnsiTheme="minorEastAsia" w:cstheme="minorEastAsia" w:hint="eastAsia"/>
        </w:rPr>
      </w:pPr>
    </w:p>
    <w:p>
      <w:pPr>
        <w:widowControl w:val="0"/>
        <w:spacing w:line="400" w:lineRule="exact"/>
        <w:ind w:firstLine="480" w:firstLineChars="200"/>
        <w:rPr>
          <w:rFonts w:asciiTheme="minorEastAsia" w:eastAsiaTheme="minorEastAsia" w:hAnsiTheme="minorEastAsia" w:cstheme="minorEastAsia" w:hint="eastAsia"/>
          <w:color w:val="000000"/>
          <w:u w:val="single"/>
        </w:rPr>
      </w:pPr>
      <w:r>
        <w:rPr>
          <w:rFonts w:asciiTheme="minorEastAsia" w:eastAsiaTheme="minorEastAsia" w:hAnsiTheme="minorEastAsia" w:cstheme="minorEastAsia" w:hint="eastAsia"/>
          <w:color w:val="000000"/>
        </w:rPr>
        <w:t>单位名称：</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r>
        <w:rPr>
          <w:rFonts w:asciiTheme="minorEastAsia" w:eastAsiaTheme="minorEastAsia" w:hAnsiTheme="minorEastAsia" w:cstheme="minorEastAsia" w:hint="eastAsia"/>
          <w:color w:val="000000"/>
          <w:u w:val="single"/>
        </w:rPr>
        <w:softHyphen/>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地    址：</w:t>
      </w:r>
      <w:r>
        <w:rPr>
          <w:rFonts w:asciiTheme="minorEastAsia" w:eastAsiaTheme="minorEastAsia" w:hAnsiTheme="minorEastAsia" w:cstheme="minorEastAsia" w:hint="eastAsia"/>
          <w:color w:val="000000"/>
          <w:u w:val="single"/>
        </w:rPr>
        <w:t xml:space="preserve">                   </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姓    名：</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rPr>
        <w:t xml:space="preserve"> 性别：</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rPr>
        <w:t xml:space="preserve"> 年龄：</w:t>
      </w:r>
      <w:r>
        <w:rPr>
          <w:rFonts w:asciiTheme="minorEastAsia" w:eastAsiaTheme="minorEastAsia" w:hAnsiTheme="minorEastAsia" w:cstheme="minorEastAsia" w:hint="eastAsia"/>
          <w:color w:val="000000"/>
          <w:u w:val="single"/>
        </w:rPr>
        <w:t xml:space="preserve">          </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身份证号码：</w:t>
      </w:r>
      <w:r>
        <w:rPr>
          <w:rFonts w:asciiTheme="minorEastAsia" w:eastAsiaTheme="minorEastAsia" w:hAnsiTheme="minorEastAsia" w:cstheme="minorEastAsia" w:hint="eastAsia"/>
          <w:color w:val="000000"/>
          <w:u w:val="single"/>
        </w:rPr>
        <w:t xml:space="preserve">                     </w:t>
      </w:r>
      <w:r>
        <w:rPr>
          <w:rFonts w:asciiTheme="minorEastAsia" w:eastAsiaTheme="minorEastAsia" w:hAnsiTheme="minorEastAsia" w:cstheme="minorEastAsia" w:hint="eastAsia"/>
          <w:color w:val="000000"/>
        </w:rPr>
        <w:t>职务：</w:t>
      </w:r>
      <w:r>
        <w:rPr>
          <w:rFonts w:asciiTheme="minorEastAsia" w:eastAsiaTheme="minorEastAsia" w:hAnsiTheme="minorEastAsia" w:cstheme="minorEastAsia" w:hint="eastAsia"/>
          <w:color w:val="000000"/>
          <w:u w:val="single"/>
        </w:rPr>
        <w:t xml:space="preserve">                   </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联系电话或手机号码</w:t>
      </w:r>
      <w:r>
        <w:rPr>
          <w:rFonts w:asciiTheme="minorEastAsia" w:eastAsiaTheme="minorEastAsia" w:hAnsiTheme="minorEastAsia" w:cstheme="minorEastAsia" w:hint="eastAsia"/>
          <w:color w:val="000000"/>
          <w:highlight w:val="yellow"/>
          <w:u w:val="single"/>
        </w:rPr>
        <w:t>：（如法定代表人为投标人代表，则必须需填写此项）</w:t>
      </w:r>
      <w:r>
        <w:rPr>
          <w:rFonts w:asciiTheme="minorEastAsia" w:eastAsiaTheme="minorEastAsia" w:hAnsiTheme="minorEastAsia" w:cstheme="minorEastAsia" w:hint="eastAsia"/>
          <w:color w:val="000000"/>
          <w:highlight w:val="yellow"/>
        </w:rPr>
        <w:t>。</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我系</w:t>
      </w:r>
      <w:r>
        <w:rPr>
          <w:rFonts w:asciiTheme="minorEastAsia" w:eastAsiaTheme="minorEastAsia" w:hAnsiTheme="minorEastAsia" w:cstheme="minorEastAsia" w:hint="eastAsia"/>
          <w:color w:val="000000"/>
          <w:u w:val="single"/>
        </w:rPr>
        <w:t xml:space="preserve">  投标人名称 </w:t>
      </w:r>
      <w:r>
        <w:rPr>
          <w:rFonts w:asciiTheme="minorEastAsia" w:eastAsiaTheme="minorEastAsia" w:hAnsiTheme="minorEastAsia" w:cstheme="minorEastAsia" w:hint="eastAsia"/>
          <w:color w:val="000000"/>
        </w:rPr>
        <w:t>的法定代表人（负责人或执行事务合伙人）。本证明书用于</w:t>
      </w:r>
      <w:r>
        <w:rPr>
          <w:rFonts w:asciiTheme="minorEastAsia" w:eastAsiaTheme="minorEastAsia" w:hAnsiTheme="minorEastAsia" w:cstheme="minorEastAsia" w:hint="eastAsia"/>
          <w:color w:val="000000"/>
          <w:u w:val="single"/>
        </w:rPr>
        <w:t xml:space="preserve"> 投标人名称 </w:t>
      </w:r>
      <w:r>
        <w:rPr>
          <w:rFonts w:asciiTheme="minorEastAsia" w:eastAsiaTheme="minorEastAsia" w:hAnsiTheme="minorEastAsia" w:cstheme="minorEastAsia" w:hint="eastAsia"/>
          <w:color w:val="000000"/>
        </w:rPr>
        <w:t>签署</w:t>
      </w:r>
      <w:r>
        <w:rPr>
          <w:rFonts w:asciiTheme="minorEastAsia" w:eastAsiaTheme="minorEastAsia" w:hAnsiTheme="minorEastAsia" w:cstheme="minorEastAsia" w:hint="eastAsia"/>
          <w:color w:val="000000"/>
          <w:u w:val="single"/>
        </w:rPr>
        <w:t xml:space="preserve"> 项目名称（项目编号）</w:t>
      </w:r>
      <w:r>
        <w:rPr>
          <w:rFonts w:asciiTheme="minorEastAsia" w:eastAsiaTheme="minorEastAsia" w:hAnsiTheme="minorEastAsia" w:cstheme="minorEastAsia" w:hint="eastAsia"/>
          <w:color w:val="000000"/>
        </w:rPr>
        <w:t>项目的投标文件、进行合同投标、签署合同和处理与之有关的一切事务。</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特此证明。</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日  期：</w:t>
      </w:r>
      <w:r>
        <w:rPr>
          <w:rFonts w:hint="eastAsia"/>
          <w:szCs w:val="21"/>
          <w:u w:val="single"/>
        </w:rPr>
        <w:t xml:space="preserve">      </w:t>
      </w:r>
      <w:r>
        <w:rPr>
          <w:rFonts w:asciiTheme="minorEastAsia" w:eastAsiaTheme="minorEastAsia" w:hAnsiTheme="minorEastAsia" w:cstheme="minorEastAsia" w:hint="eastAsia"/>
          <w:color w:val="000000"/>
        </w:rPr>
        <w:t>年</w:t>
      </w:r>
      <w:r>
        <w:rPr>
          <w:rFonts w:hint="eastAsia"/>
          <w:szCs w:val="21"/>
          <w:u w:val="single"/>
        </w:rPr>
        <w:t xml:space="preserve">      </w:t>
      </w:r>
      <w:r>
        <w:rPr>
          <w:rFonts w:asciiTheme="minorEastAsia" w:eastAsiaTheme="minorEastAsia" w:hAnsiTheme="minorEastAsia" w:cstheme="minorEastAsia" w:hint="eastAsia"/>
          <w:color w:val="000000"/>
        </w:rPr>
        <w:t>月</w:t>
      </w:r>
      <w:r>
        <w:rPr>
          <w:rFonts w:hint="eastAsia"/>
          <w:szCs w:val="21"/>
          <w:u w:val="single"/>
        </w:rPr>
        <w:t xml:space="preserve">      </w:t>
      </w:r>
      <w:r>
        <w:rPr>
          <w:rFonts w:asciiTheme="minorEastAsia" w:eastAsiaTheme="minorEastAsia" w:hAnsiTheme="minorEastAsia" w:cstheme="minorEastAsia" w:hint="eastAsia"/>
          <w:color w:val="000000"/>
        </w:rPr>
        <w:t>日</w:t>
      </w:r>
    </w:p>
    <w:p>
      <w:pPr>
        <w:spacing w:line="360" w:lineRule="auto"/>
        <w:rPr>
          <w:rFonts w:asciiTheme="minorEastAsia" w:eastAsiaTheme="minorEastAsia" w:hAnsiTheme="minorEastAsia" w:cstheme="minorEastAsia" w:hint="eastAsia"/>
          <w:bCs/>
          <w:color w:val="000000"/>
        </w:rPr>
      </w:pPr>
      <w:r>
        <w:rPr>
          <w:rFonts w:asciiTheme="minorEastAsia" w:eastAsiaTheme="minorEastAsia" w:hAnsiTheme="minorEastAsia" w:cstheme="minorEastAsia" w:hint="eastAsia"/>
          <w:color w:val="000000"/>
        </w:rPr>
        <w:pict>
          <v:shapetype id="_x0000_t202" coordsize="21600,21600" o:spt="202" path="m,l,21600r21600,l21600,xe">
            <v:stroke joinstyle="miter"/>
            <v:path gradientshapeok="t" o:connecttype="rect"/>
          </v:shapetype>
          <v:shape id="_x0000_s1026" o:spid="_x0000_s1025" type="#_x0000_t202" style="height:151.25pt;margin-left:0.15pt;margin-top:8.65pt;mso-height-relative:page;mso-width-relative:page;position:absolute;width:222.9pt;z-index:251658240"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hint="eastAsia"/>
                      <w:bCs/>
                      <w:sz w:val="22"/>
                      <w:szCs w:val="22"/>
                    </w:rPr>
                  </w:pPr>
                  <w:r>
                    <w:rPr>
                      <w:rFonts w:ascii="仿宋" w:eastAsia="仿宋" w:hAnsi="仿宋" w:cs="仿宋" w:hint="eastAsia"/>
                      <w:bCs/>
                      <w:sz w:val="22"/>
                      <w:szCs w:val="22"/>
                    </w:rPr>
                    <w:t>法定代表人（负责人或执行事务合伙人）</w:t>
                  </w:r>
                </w:p>
                <w:p>
                  <w:pPr>
                    <w:jc w:val="center"/>
                    <w:rPr>
                      <w:rFonts w:ascii="仿宋" w:eastAsia="仿宋" w:hAnsi="仿宋" w:cs="仿宋" w:hint="eastAsia"/>
                      <w:sz w:val="22"/>
                      <w:szCs w:val="28"/>
                    </w:rPr>
                  </w:pPr>
                  <w:r>
                    <w:rPr>
                      <w:rFonts w:ascii="仿宋" w:eastAsia="仿宋" w:hAnsi="仿宋" w:cs="仿宋" w:hint="eastAsia"/>
                      <w:bCs/>
                      <w:sz w:val="28"/>
                      <w:szCs w:val="28"/>
                    </w:rPr>
                    <w:t>身份证</w:t>
                  </w:r>
                  <w:r>
                    <w:rPr>
                      <w:rFonts w:ascii="仿宋" w:eastAsia="仿宋" w:hAnsi="仿宋" w:cs="仿宋" w:hint="eastAsia"/>
                      <w:sz w:val="28"/>
                      <w:szCs w:val="36"/>
                    </w:rPr>
                    <w:t>正面</w:t>
                  </w:r>
                </w:p>
              </w:txbxContent>
            </v:textbox>
          </v:shape>
        </w:pict>
      </w:r>
    </w:p>
    <w:p>
      <w:pPr>
        <w:spacing w:line="360" w:lineRule="auto"/>
        <w:rPr>
          <w:rFonts w:asciiTheme="minorEastAsia" w:eastAsiaTheme="minorEastAsia" w:hAnsiTheme="minorEastAsia" w:cstheme="minorEastAsia" w:hint="eastAsia"/>
          <w:bCs/>
          <w:color w:val="000000"/>
        </w:rPr>
      </w:pPr>
    </w:p>
    <w:p>
      <w:pPr>
        <w:spacing w:line="360" w:lineRule="auto"/>
        <w:rPr>
          <w:rFonts w:asciiTheme="minorEastAsia" w:eastAsiaTheme="minorEastAsia" w:hAnsiTheme="minorEastAsia" w:cstheme="minorEastAsia" w:hint="eastAsia"/>
          <w:bCs/>
          <w:color w:val="000000"/>
        </w:rPr>
      </w:pPr>
    </w:p>
    <w:p>
      <w:pPr>
        <w:spacing w:line="360" w:lineRule="auto"/>
        <w:rPr>
          <w:rFonts w:asciiTheme="minorEastAsia" w:eastAsiaTheme="minorEastAsia" w:hAnsiTheme="minorEastAsia" w:cstheme="minorEastAsia" w:hint="eastAsia"/>
          <w:bCs/>
          <w:color w:val="000000"/>
        </w:rPr>
      </w:pPr>
    </w:p>
    <w:p>
      <w:pPr>
        <w:rPr>
          <w:rFonts w:asciiTheme="minorEastAsia" w:eastAsiaTheme="minorEastAsia" w:hAnsiTheme="minorEastAsia" w:cstheme="minorEastAsia" w:hint="eastAsia"/>
          <w:color w:val="000000"/>
        </w:rPr>
      </w:pPr>
    </w:p>
    <w:p>
      <w:pPr>
        <w:rPr>
          <w:rFonts w:asciiTheme="minorEastAsia" w:eastAsiaTheme="minorEastAsia" w:hAnsiTheme="minorEastAsia" w:cstheme="minorEastAsia" w:hint="eastAsia"/>
          <w:color w:val="000000"/>
        </w:rPr>
      </w:pPr>
    </w:p>
    <w:p>
      <w:pPr>
        <w:spacing w:after="60"/>
        <w:rPr>
          <w:rFonts w:asciiTheme="minorEastAsia" w:eastAsiaTheme="minorEastAsia" w:hAnsiTheme="minorEastAsia" w:cstheme="minorEastAsia" w:hint="eastAsia"/>
          <w:color w:val="000000"/>
        </w:rPr>
      </w:pPr>
    </w:p>
    <w:p>
      <w:pPr>
        <w:rPr>
          <w:rFonts w:asciiTheme="minorEastAsia" w:eastAsiaTheme="minorEastAsia" w:hAnsiTheme="minorEastAsia" w:cstheme="minorEastAsia" w:hint="eastAsia"/>
          <w:color w:val="000000"/>
        </w:rPr>
      </w:pPr>
    </w:p>
    <w:p>
      <w:pPr>
        <w:jc w:val="center"/>
        <w:rPr>
          <w:rFonts w:asciiTheme="minorEastAsia" w:eastAsiaTheme="minorEastAsia" w:hAnsiTheme="minorEastAsia" w:cstheme="minorEastAsia" w:hint="eastAsia"/>
          <w:b/>
          <w:bCs/>
          <w:color w:val="000000"/>
        </w:rPr>
      </w:pPr>
      <w:r>
        <w:rPr>
          <w:rFonts w:asciiTheme="minorEastAsia" w:eastAsiaTheme="minorEastAsia" w:hAnsiTheme="minorEastAsia" w:cstheme="minorEastAsia" w:hint="eastAsia"/>
          <w:color w:val="000000"/>
        </w:rPr>
        <w:pict>
          <v:shape id="_x0000_s1026" o:spid="_x0000_s1026" type="#_x0000_t202" style="height:151.25pt;margin-left:236.2pt;margin-top:-150.35pt;mso-height-relative:page;mso-width-relative:page;position:absolute;width:219.1pt;z-index:251659264"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hint="eastAsia"/>
                      <w:bCs/>
                      <w:sz w:val="22"/>
                      <w:szCs w:val="22"/>
                    </w:rPr>
                  </w:pPr>
                  <w:r>
                    <w:rPr>
                      <w:rFonts w:ascii="仿宋" w:eastAsia="仿宋" w:hAnsi="仿宋" w:cs="仿宋" w:hint="eastAsia"/>
                      <w:bCs/>
                      <w:sz w:val="22"/>
                      <w:szCs w:val="22"/>
                    </w:rPr>
                    <w:t>法定代表人（负责人或执行事务合伙人）</w:t>
                  </w:r>
                </w:p>
                <w:p>
                  <w:pPr>
                    <w:jc w:val="center"/>
                    <w:rPr>
                      <w:rFonts w:ascii="仿宋" w:eastAsia="仿宋" w:hAnsi="仿宋" w:cs="仿宋" w:hint="eastAsia"/>
                      <w:bCs/>
                      <w:sz w:val="28"/>
                      <w:szCs w:val="28"/>
                    </w:rPr>
                  </w:pPr>
                  <w:r>
                    <w:rPr>
                      <w:rFonts w:ascii="仿宋" w:eastAsia="仿宋" w:hAnsi="仿宋" w:cs="仿宋" w:hint="eastAsia"/>
                      <w:bCs/>
                      <w:sz w:val="28"/>
                      <w:szCs w:val="28"/>
                    </w:rPr>
                    <w:t>身份证反面</w:t>
                  </w:r>
                </w:p>
              </w:txbxContent>
            </v:textbox>
          </v:shape>
        </w:pict>
      </w:r>
    </w:p>
    <w:p>
      <w:pPr>
        <w:snapToGrid w:val="0"/>
        <w:ind w:left="840" w:hanging="840" w:hangingChars="350"/>
        <w:rPr>
          <w:rFonts w:asciiTheme="minorEastAsia" w:eastAsiaTheme="minorEastAsia" w:hAnsiTheme="minorEastAsia" w:cstheme="minorEastAsia" w:hint="eastAsia"/>
          <w:bCs/>
          <w:color w:val="000000"/>
        </w:rPr>
      </w:pPr>
      <w:r>
        <w:rPr>
          <w:rFonts w:asciiTheme="minorEastAsia" w:eastAsiaTheme="minorEastAsia" w:hAnsiTheme="minorEastAsia" w:cstheme="minorEastAsia" w:hint="eastAsia"/>
          <w:bCs/>
          <w:color w:val="000000"/>
        </w:rPr>
        <w:t>说明：</w:t>
      </w:r>
    </w:p>
    <w:p>
      <w:pPr>
        <w:snapToGrid w:val="0"/>
        <w:ind w:firstLine="480" w:firstLineChars="200"/>
        <w:rPr>
          <w:rFonts w:asciiTheme="minorEastAsia" w:eastAsiaTheme="minorEastAsia" w:hAnsiTheme="minorEastAsia" w:cstheme="minorEastAsia" w:hint="eastAsia"/>
          <w:bCs/>
          <w:color w:val="000000"/>
        </w:rPr>
      </w:pPr>
      <w:r>
        <w:rPr>
          <w:rFonts w:asciiTheme="minorEastAsia" w:eastAsiaTheme="minorEastAsia" w:hAnsiTheme="minorEastAsia" w:cstheme="minorEastAsia" w:hint="eastAsia"/>
          <w:bCs/>
          <w:color w:val="000000"/>
        </w:rPr>
        <w:t>1.</w:t>
      </w:r>
      <w:r>
        <w:rPr>
          <w:rFonts w:hint="eastAsia"/>
          <w:szCs w:val="21"/>
        </w:rPr>
        <w:t>法定代表人（负责人或</w:t>
      </w:r>
      <w:r>
        <w:rPr>
          <w:rFonts w:hint="eastAsia"/>
          <w:color w:val="4F81BD" w:themeColor="accent1"/>
          <w:szCs w:val="21"/>
          <w14:textFill>
            <w14:solidFill>
              <w14:schemeClr w14:val="accent1"/>
            </w14:solidFill>
          </w14:textFill>
        </w:rPr>
        <w:t>执行事务合伙人</w:t>
      </w:r>
      <w:r>
        <w:rPr>
          <w:rFonts w:hint="eastAsia"/>
          <w:szCs w:val="21"/>
        </w:rPr>
        <w:t>）为投标人（企业事业单位、国家机关、社会团体）的主要行政负责人。</w:t>
      </w:r>
      <w:r>
        <w:rPr>
          <w:rFonts w:asciiTheme="minorEastAsia" w:eastAsiaTheme="minorEastAsia" w:hAnsiTheme="minorEastAsia" w:cstheme="minorEastAsia" w:hint="eastAsia"/>
          <w:bCs/>
          <w:color w:val="000000"/>
        </w:rPr>
        <w:t>须提供法定代表人（负责人或执行事务合伙人）的身份证扫描件；港澳台居民可提供来往通行证扫描件；非中国国籍管辖范围人员，可提供公安部门认可的身份证明材料扫描件；</w:t>
      </w:r>
    </w:p>
    <w:p>
      <w:pPr>
        <w:snapToGrid w:val="0"/>
        <w:ind w:firstLine="480" w:firstLineChars="200"/>
        <w:rPr>
          <w:rFonts w:asciiTheme="minorEastAsia" w:eastAsiaTheme="minorEastAsia" w:hAnsiTheme="minorEastAsia" w:cstheme="minorEastAsia" w:hint="eastAsia"/>
          <w:bCs/>
          <w:color w:val="000000"/>
        </w:rPr>
      </w:pPr>
      <w:r>
        <w:rPr>
          <w:rFonts w:asciiTheme="minorEastAsia" w:eastAsiaTheme="minorEastAsia" w:hAnsiTheme="minorEastAsia" w:cstheme="minorEastAsia" w:hint="eastAsia"/>
          <w:bCs/>
          <w:color w:val="000000"/>
        </w:rPr>
        <w:t>2.招投标文件中涉及需法定代表人之处，非法人组织可由负责人或执行事务合伙人执行。</w:t>
      </w:r>
    </w:p>
    <w:p>
      <w:pPr>
        <w:snapToGrid w:val="0"/>
        <w:ind w:firstLine="480" w:firstLineChars="200"/>
        <w:rPr>
          <w:rFonts w:asciiTheme="minorEastAsia" w:eastAsiaTheme="minorEastAsia" w:hAnsiTheme="minorEastAsia" w:cstheme="minorEastAsia" w:hint="eastAsia"/>
          <w:bCs/>
          <w:color w:val="000000"/>
        </w:rPr>
      </w:pPr>
      <w:r>
        <w:rPr>
          <w:rFonts w:asciiTheme="minorEastAsia" w:eastAsiaTheme="minorEastAsia" w:hAnsiTheme="minorEastAsia" w:cstheme="minorEastAsia" w:hint="eastAsia"/>
          <w:bCs/>
          <w:color w:val="000000"/>
        </w:rPr>
        <w:t>3.如是法定代表人（负责人或执行事务合伙人）直接参与投标，必须填写《法定代表人（负责人或执行事务合伙人）资格证明书》，可不用填写《投标文件签署授权委托书》。</w:t>
      </w:r>
    </w:p>
    <w:p>
      <w:pPr>
        <w:pStyle w:val="NormalIndent"/>
      </w:pPr>
      <w:r>
        <w:rPr>
          <w:rFonts w:eastAsia="宋体" w:hint="eastAsia"/>
          <w:szCs w:val="21"/>
        </w:rPr>
        <w:t>4.</w:t>
      </w:r>
      <w:r>
        <w:rPr>
          <w:rFonts w:hint="eastAsia"/>
          <w:szCs w:val="21"/>
        </w:rPr>
        <w:t>内容必须填写真实、清楚，涂改无效，不得转让、买卖。</w:t>
      </w:r>
    </w:p>
    <w:p>
      <w:pPr>
        <w:pStyle w:val="NormalIndent"/>
      </w:pPr>
    </w:p>
    <w:p/>
    <w:p>
      <w:pPr>
        <w:pStyle w:val="Heading3"/>
        <w:spacing w:before="120" w:after="120"/>
        <w:jc w:val="center"/>
        <w:rPr>
          <w:rFonts w:ascii="黑体" w:eastAsia="黑体" w:hint="eastAsia"/>
          <w:b w:val="0"/>
          <w:sz w:val="24"/>
        </w:rPr>
      </w:pPr>
      <w:r>
        <w:rPr>
          <w:rFonts w:ascii="黑体" w:eastAsia="黑体" w:hint="eastAsia"/>
          <w:b w:val="0"/>
          <w:sz w:val="24"/>
        </w:rPr>
        <w:t>二、投标文件签署授权委托书</w:t>
      </w:r>
    </w:p>
    <w:p>
      <w:pPr>
        <w:widowControl w:val="0"/>
        <w:spacing w:line="400" w:lineRule="exact"/>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致友和保险经纪有限公司：</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本授权委托书声明：我</w:t>
      </w:r>
      <w:r>
        <w:rPr>
          <w:rFonts w:asciiTheme="minorEastAsia" w:eastAsiaTheme="minorEastAsia" w:hAnsiTheme="minorEastAsia" w:cstheme="minorEastAsia" w:hint="eastAsia"/>
          <w:color w:val="000000"/>
          <w:u w:val="single"/>
        </w:rPr>
        <w:t xml:space="preserve">  姓名  </w:t>
      </w:r>
      <w:r>
        <w:rPr>
          <w:rFonts w:asciiTheme="minorEastAsia" w:eastAsiaTheme="minorEastAsia" w:hAnsiTheme="minorEastAsia" w:cstheme="minorEastAsia" w:hint="eastAsia"/>
          <w:color w:val="000000"/>
        </w:rPr>
        <w:t>系</w:t>
      </w:r>
      <w:r>
        <w:rPr>
          <w:rFonts w:asciiTheme="minorEastAsia" w:eastAsiaTheme="minorEastAsia" w:hAnsiTheme="minorEastAsia" w:cstheme="minorEastAsia" w:hint="eastAsia"/>
          <w:color w:val="000000"/>
          <w:u w:val="single"/>
        </w:rPr>
        <w:t xml:space="preserve">  投标人名称  </w:t>
      </w:r>
      <w:r>
        <w:rPr>
          <w:rFonts w:asciiTheme="minorEastAsia" w:eastAsiaTheme="minorEastAsia" w:hAnsiTheme="minorEastAsia" w:cstheme="minorEastAsia" w:hint="eastAsia"/>
          <w:color w:val="000000"/>
        </w:rPr>
        <w:t>的法定代表人（负责人或执行事务合伙人），现授权委托</w:t>
      </w:r>
      <w:r>
        <w:rPr>
          <w:rFonts w:asciiTheme="minorEastAsia" w:eastAsiaTheme="minorEastAsia" w:hAnsiTheme="minorEastAsia" w:cstheme="minorEastAsia" w:hint="eastAsia"/>
          <w:color w:val="000000"/>
          <w:u w:val="single"/>
        </w:rPr>
        <w:t xml:space="preserve">  姓名  </w:t>
      </w:r>
      <w:r>
        <w:rPr>
          <w:rFonts w:asciiTheme="minorEastAsia" w:eastAsiaTheme="minorEastAsia" w:hAnsiTheme="minorEastAsia" w:cstheme="minorEastAsia" w:hint="eastAsia"/>
          <w:color w:val="000000"/>
        </w:rPr>
        <w:t>为我公司签署本项目已递交的投标文件的法定代表人的授权委托代理人，代理人全权代表我所签署的本项目已递交的投标文件内容我均承认。</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代理人无转委托权，特此委托。</w:t>
      </w:r>
    </w:p>
    <w:p>
      <w:pPr>
        <w:widowControl w:val="0"/>
        <w:spacing w:line="400" w:lineRule="exact"/>
        <w:ind w:firstLine="480" w:firstLineChars="200"/>
        <w:rPr>
          <w:rFonts w:asciiTheme="minorEastAsia" w:eastAsiaTheme="minorEastAsia" w:hAnsiTheme="minorEastAsia" w:cstheme="minorEastAsia" w:hint="eastAsia"/>
          <w:color w:val="000000"/>
        </w:rPr>
      </w:pP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代理人：</w:t>
      </w:r>
      <w:r>
        <w:rPr>
          <w:rFonts w:hint="eastAsia"/>
          <w:szCs w:val="21"/>
          <w:u w:val="single"/>
        </w:rPr>
        <w:t xml:space="preserve">                  </w:t>
      </w:r>
      <w:r>
        <w:rPr>
          <w:rFonts w:asciiTheme="minorEastAsia" w:eastAsiaTheme="minorEastAsia" w:hAnsiTheme="minorEastAsia" w:cstheme="minorEastAsia" w:hint="eastAsia"/>
          <w:color w:val="000000"/>
        </w:rPr>
        <w:t>性别：</w:t>
      </w:r>
      <w:r>
        <w:rPr>
          <w:rFonts w:hint="eastAsia"/>
          <w:szCs w:val="21"/>
          <w:u w:val="single"/>
        </w:rPr>
        <w:t xml:space="preserve">                  </w:t>
      </w:r>
      <w:r>
        <w:rPr>
          <w:rFonts w:asciiTheme="minorEastAsia" w:eastAsiaTheme="minorEastAsia" w:hAnsiTheme="minorEastAsia" w:cstheme="minorEastAsia" w:hint="eastAsia"/>
          <w:color w:val="000000"/>
        </w:rPr>
        <w:t>年龄：</w:t>
      </w:r>
      <w:r>
        <w:rPr>
          <w:rFonts w:hint="eastAsia"/>
          <w:szCs w:val="21"/>
          <w:u w:val="single"/>
        </w:rPr>
        <w:t xml:space="preserve">                  </w:t>
      </w: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联系电话：</w:t>
      </w:r>
      <w:r>
        <w:rPr>
          <w:rFonts w:hint="eastAsia"/>
          <w:szCs w:val="21"/>
          <w:u w:val="single"/>
        </w:rPr>
        <w:t xml:space="preserve">                  </w:t>
      </w:r>
      <w:r>
        <w:rPr>
          <w:rFonts w:asciiTheme="minorEastAsia" w:eastAsiaTheme="minorEastAsia" w:hAnsiTheme="minorEastAsia" w:cstheme="minorEastAsia" w:hint="eastAsia"/>
          <w:color w:val="000000"/>
        </w:rPr>
        <w:t>手机：</w:t>
      </w:r>
      <w:r>
        <w:rPr>
          <w:rFonts w:hint="eastAsia"/>
          <w:szCs w:val="21"/>
          <w:u w:val="single"/>
        </w:rPr>
        <w:t xml:space="preserve">                  </w:t>
      </w:r>
    </w:p>
    <w:p>
      <w:pPr>
        <w:widowControl w:val="0"/>
        <w:spacing w:line="400" w:lineRule="exact"/>
        <w:ind w:firstLine="480" w:firstLineChars="200"/>
        <w:rPr>
          <w:rFonts w:asciiTheme="minorEastAsia" w:eastAsiaTheme="minorEastAsia" w:hAnsiTheme="minorEastAsia" w:cstheme="minorEastAsia" w:hint="eastAsia"/>
          <w:color w:val="000000"/>
          <w:u w:val="single"/>
        </w:rPr>
      </w:pPr>
      <w:r>
        <w:rPr>
          <w:rFonts w:asciiTheme="minorEastAsia" w:eastAsiaTheme="minorEastAsia" w:hAnsiTheme="minorEastAsia" w:cstheme="minorEastAsia" w:hint="eastAsia"/>
          <w:color w:val="000000"/>
        </w:rPr>
        <w:t>身份证号码：</w:t>
      </w:r>
      <w:r>
        <w:rPr>
          <w:rFonts w:hint="eastAsia"/>
          <w:szCs w:val="21"/>
          <w:u w:val="single"/>
        </w:rPr>
        <w:t xml:space="preserve">                  </w:t>
      </w:r>
      <w:r>
        <w:rPr>
          <w:rFonts w:asciiTheme="minorEastAsia" w:eastAsiaTheme="minorEastAsia" w:hAnsiTheme="minorEastAsia" w:cstheme="minorEastAsia" w:hint="eastAsia"/>
          <w:color w:val="000000"/>
        </w:rPr>
        <w:t>职务：</w:t>
      </w:r>
      <w:r>
        <w:rPr>
          <w:rFonts w:hint="eastAsia"/>
          <w:szCs w:val="21"/>
          <w:u w:val="single"/>
        </w:rPr>
        <w:t xml:space="preserve">                  </w:t>
      </w:r>
    </w:p>
    <w:p>
      <w:pPr>
        <w:widowControl w:val="0"/>
        <w:spacing w:line="400" w:lineRule="exact"/>
        <w:ind w:firstLine="480" w:firstLineChars="200"/>
        <w:rPr>
          <w:rFonts w:asciiTheme="minorEastAsia" w:eastAsiaTheme="minorEastAsia" w:hAnsiTheme="minorEastAsia" w:cstheme="minorEastAsia" w:hint="eastAsia"/>
          <w:color w:val="000000"/>
        </w:rPr>
      </w:pPr>
    </w:p>
    <w:p>
      <w:pPr>
        <w:widowControl w:val="0"/>
        <w:spacing w:line="400" w:lineRule="exact"/>
        <w:ind w:firstLine="480" w:firstLineChars="200"/>
        <w:rPr>
          <w:rFonts w:asciiTheme="minorEastAsia" w:eastAsiaTheme="minorEastAsia" w:hAnsiTheme="minorEastAsia" w:cstheme="minorEastAsia" w:hint="eastAsia"/>
          <w:color w:val="000000"/>
        </w:rPr>
      </w:pPr>
      <w:r>
        <w:rPr>
          <w:rFonts w:asciiTheme="minorEastAsia" w:eastAsiaTheme="minorEastAsia" w:hAnsiTheme="minorEastAsia" w:cstheme="minorEastAsia" w:hint="eastAsia"/>
          <w:color w:val="000000"/>
        </w:rPr>
        <w:t>授权委托日期：</w:t>
      </w:r>
      <w:r>
        <w:rPr>
          <w:rFonts w:hint="eastAsia"/>
          <w:szCs w:val="21"/>
          <w:u w:val="single"/>
        </w:rPr>
        <w:t xml:space="preserve">       </w:t>
      </w:r>
      <w:r>
        <w:rPr>
          <w:rFonts w:asciiTheme="minorEastAsia" w:eastAsiaTheme="minorEastAsia" w:hAnsiTheme="minorEastAsia" w:cstheme="minorEastAsia" w:hint="eastAsia"/>
          <w:color w:val="000000"/>
        </w:rPr>
        <w:t>年</w:t>
      </w:r>
      <w:r>
        <w:rPr>
          <w:rFonts w:hint="eastAsia"/>
          <w:szCs w:val="21"/>
          <w:u w:val="single"/>
        </w:rPr>
        <w:t xml:space="preserve">      </w:t>
      </w:r>
      <w:r>
        <w:rPr>
          <w:rFonts w:asciiTheme="minorEastAsia" w:eastAsiaTheme="minorEastAsia" w:hAnsiTheme="minorEastAsia" w:cstheme="minorEastAsia" w:hint="eastAsia"/>
          <w:color w:val="000000"/>
        </w:rPr>
        <w:t>月</w:t>
      </w:r>
      <w:r>
        <w:rPr>
          <w:rFonts w:hint="eastAsia"/>
          <w:szCs w:val="21"/>
          <w:u w:val="single"/>
        </w:rPr>
        <w:t xml:space="preserve">      </w:t>
      </w:r>
      <w:r>
        <w:rPr>
          <w:rFonts w:asciiTheme="minorEastAsia" w:eastAsiaTheme="minorEastAsia" w:hAnsiTheme="minorEastAsia" w:cstheme="minorEastAsia" w:hint="eastAsia"/>
          <w:color w:val="000000"/>
        </w:rPr>
        <w:t>日</w:t>
      </w:r>
    </w:p>
    <w:p>
      <w:pPr>
        <w:spacing w:line="360" w:lineRule="auto"/>
        <w:rPr>
          <w:rFonts w:ascii="仿宋" w:eastAsia="仿宋" w:hAnsi="仿宋" w:cs="仿宋" w:hint="eastAsia"/>
          <w:bCs/>
          <w:color w:val="000000"/>
        </w:rPr>
      </w:pPr>
      <w:r>
        <w:rPr>
          <w:color w:val="000000"/>
        </w:rPr>
        <w:pict>
          <v:shape id="_x0000_s1026" o:spid="_x0000_s1027" type="#_x0000_t202" style="height:151.25pt;margin-left:236.2pt;margin-top:1.65pt;mso-height-relative:page;mso-width-relative:page;position:absolute;width:219.1pt;z-index:251661312"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hint="eastAsia"/>
                      <w:bCs/>
                    </w:rPr>
                  </w:pPr>
                  <w:r>
                    <w:rPr>
                      <w:rFonts w:ascii="仿宋" w:eastAsia="仿宋" w:hAnsi="仿宋" w:cs="仿宋" w:hint="eastAsia"/>
                      <w:bCs/>
                    </w:rPr>
                    <w:t>被授权人身份证反面</w:t>
                  </w:r>
                </w:p>
              </w:txbxContent>
            </v:textbox>
          </v:shape>
        </w:pict>
      </w:r>
      <w:r>
        <w:rPr>
          <w:color w:val="000000"/>
        </w:rPr>
        <w:pict>
          <v:shape id="_x0000_s1026" o:spid="_x0000_s1028" type="#_x0000_t202" style="height:151.25pt;margin-left:0.15pt;margin-top:1.65pt;mso-height-relative:page;mso-width-relative:page;position:absolute;width:222.9pt;z-index:251660288" coordsize="21600,21600" filled="t" fillcolor="white" stroked="t">
            <v:stroke joinstyle="miter"/>
            <o:lock v:ext="edit" aspectratio="f"/>
            <v:textbox>
              <w:txbxContent>
                <w:p>
                  <w:pPr>
                    <w:rPr>
                      <w:rFonts w:ascii="宋体" w:hAnsi="宋体" w:cs="宋体"/>
                    </w:rPr>
                  </w:pPr>
                </w:p>
                <w:p/>
                <w:p>
                  <w:pPr>
                    <w:jc w:val="center"/>
                    <w:rPr>
                      <w:rFonts w:ascii="仿宋" w:eastAsia="仿宋" w:hAnsi="仿宋" w:cs="仿宋" w:hint="eastAsia"/>
                      <w:bCs/>
                      <w:sz w:val="22"/>
                      <w:szCs w:val="22"/>
                    </w:rPr>
                  </w:pPr>
                  <w:r>
                    <w:rPr>
                      <w:rFonts w:ascii="仿宋" w:eastAsia="仿宋" w:hAnsi="仿宋" w:cs="仿宋" w:hint="eastAsia"/>
                      <w:bCs/>
                    </w:rPr>
                    <w:t>被授权人身份证正面</w:t>
                  </w:r>
                </w:p>
              </w:txbxContent>
            </v:textbox>
          </v:shape>
        </w:pict>
      </w:r>
    </w:p>
    <w:p>
      <w:pPr>
        <w:spacing w:line="360" w:lineRule="auto"/>
        <w:rPr>
          <w:rFonts w:ascii="仿宋" w:eastAsia="仿宋" w:hAnsi="仿宋" w:cs="仿宋" w:hint="eastAsia"/>
          <w:bCs/>
          <w:color w:val="000000"/>
        </w:rPr>
      </w:pPr>
    </w:p>
    <w:p>
      <w:pPr>
        <w:spacing w:line="360" w:lineRule="auto"/>
        <w:rPr>
          <w:rFonts w:ascii="仿宋" w:eastAsia="仿宋" w:hAnsi="仿宋" w:cs="仿宋" w:hint="eastAsia"/>
          <w:bCs/>
          <w:color w:val="000000"/>
        </w:rPr>
      </w:pPr>
    </w:p>
    <w:p>
      <w:pPr>
        <w:spacing w:line="360" w:lineRule="auto"/>
        <w:rPr>
          <w:rFonts w:ascii="仿宋" w:eastAsia="仿宋" w:hAnsi="仿宋" w:cs="仿宋" w:hint="eastAsia"/>
          <w:bCs/>
          <w:color w:val="000000"/>
        </w:rPr>
      </w:pPr>
    </w:p>
    <w:p>
      <w:pPr>
        <w:rPr>
          <w:rFonts w:ascii="仿宋" w:eastAsia="仿宋" w:hAnsi="仿宋" w:cs="仿宋" w:hint="eastAsia"/>
          <w:color w:val="000000"/>
        </w:rPr>
      </w:pPr>
    </w:p>
    <w:p>
      <w:pPr>
        <w:rPr>
          <w:rFonts w:ascii="仿宋" w:eastAsia="仿宋" w:hAnsi="仿宋" w:cs="仿宋" w:hint="eastAsia"/>
          <w:color w:val="000000"/>
        </w:rPr>
      </w:pPr>
    </w:p>
    <w:p>
      <w:pPr>
        <w:spacing w:after="60"/>
        <w:rPr>
          <w:rFonts w:ascii="仿宋" w:eastAsia="仿宋" w:hAnsi="仿宋" w:cs="仿宋" w:hint="eastAsia"/>
          <w:color w:val="000000"/>
        </w:rPr>
      </w:pPr>
    </w:p>
    <w:p>
      <w:pPr>
        <w:rPr>
          <w:rFonts w:ascii="仿宋" w:eastAsia="仿宋" w:hAnsi="仿宋" w:cs="仿宋" w:hint="eastAsia"/>
          <w:color w:val="000000"/>
        </w:rPr>
      </w:pPr>
    </w:p>
    <w:p>
      <w:pPr>
        <w:spacing w:line="360" w:lineRule="auto"/>
        <w:jc w:val="both"/>
        <w:rPr>
          <w:szCs w:val="21"/>
        </w:rPr>
      </w:pPr>
      <w:r>
        <w:rPr>
          <w:rFonts w:hint="eastAsia"/>
          <w:szCs w:val="21"/>
        </w:rPr>
        <w:t>说明：</w:t>
      </w:r>
    </w:p>
    <w:p>
      <w:pPr>
        <w:spacing w:line="360" w:lineRule="auto"/>
        <w:jc w:val="both"/>
        <w:rPr>
          <w:szCs w:val="21"/>
        </w:rPr>
      </w:pPr>
      <w:r>
        <w:rPr>
          <w:rFonts w:hint="eastAsia"/>
          <w:szCs w:val="21"/>
        </w:rPr>
        <w:t>1.如是代理人（受托人）参与投标，则必须提供《法定代表人（负责人或执行事务合伙人）证明书》和《投标文件签署授权委托书》，且《投标函》的委托代理人与《投标文件签署授权委托书》的代理人（受托人）必须一致。</w:t>
      </w:r>
    </w:p>
    <w:p>
      <w:pPr>
        <w:spacing w:line="360" w:lineRule="auto"/>
        <w:jc w:val="both"/>
        <w:rPr>
          <w:szCs w:val="21"/>
        </w:rPr>
      </w:pPr>
      <w:r>
        <w:rPr>
          <w:rFonts w:hint="eastAsia"/>
          <w:szCs w:val="21"/>
        </w:rPr>
        <w:t>2.请提供代理人身份证扫描件（正反两面）；港澳台居民可提供来往通行证扫描件；非中国国籍管辖范围人员，可提供公安部门认可的身份证明材料扫描件。</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color w:val="000000" w:themeColor="text1"/>
          <w:szCs w:val="20"/>
          <w14:textFill>
            <w14:solidFill>
              <w14:schemeClr w14:val="tx1"/>
            </w14:solidFill>
          </w14:textFill>
        </w:rPr>
      </w:pPr>
    </w:p>
    <w:p>
      <w:pPr>
        <w:rPr>
          <w:rFonts w:ascii="宋体" w:eastAsia="宋体" w:hAnsi="宋体" w:cs="宋体" w:hint="eastAsia"/>
        </w:rPr>
      </w:pPr>
      <w:r>
        <w:rPr>
          <w:rFonts w:ascii="宋体" w:eastAsia="宋体" w:hAnsi="宋体" w:cs="宋体" w:hint="eastAsia"/>
        </w:rPr>
        <w:br w:type="page"/>
      </w:r>
    </w:p>
    <w:p>
      <w:pPr>
        <w:pStyle w:val="Heading3"/>
        <w:spacing w:before="120" w:after="120"/>
        <w:jc w:val="center"/>
        <w:rPr>
          <w:rFonts w:cs="宋体" w:hint="eastAsia"/>
          <w:b w:val="0"/>
          <w:sz w:val="24"/>
        </w:rPr>
      </w:pPr>
      <w:r>
        <w:rPr>
          <w:rFonts w:cs="宋体" w:hint="eastAsia"/>
          <w:b w:val="0"/>
          <w:sz w:val="24"/>
        </w:rPr>
        <w:t>三、供应商法定代表人等缴纳社会保险情况一览表</w:t>
      </w:r>
    </w:p>
    <w:p>
      <w:pPr>
        <w:snapToGrid w:val="0"/>
        <w:ind w:firstLine="480" w:firstLineChars="200"/>
        <w:rPr>
          <w:rFonts w:ascii="宋体" w:eastAsia="宋体" w:hAnsi="宋体" w:cs="宋体" w:hint="eastAsia"/>
          <w:b/>
          <w:szCs w:val="21"/>
        </w:rPr>
      </w:pPr>
      <w:r>
        <w:rPr>
          <w:rFonts w:ascii="宋体" w:eastAsia="宋体" w:hAnsi="宋体" w:cs="宋体" w:hint="eastAsia"/>
          <w:b/>
          <w:szCs w:val="21"/>
        </w:rPr>
        <w:t>根据《深圳经济特区政府采购条例实施细则》第七十五条第一款（二）规定，存在“不同投标供应商的法定代表人、主要经营负责人、项目投标授权代表人、项目负责人、主要技术人员为同一人、属同一单位或者在同一单位缴纳社会保险”情形的，属于串通投标行为。</w:t>
      </w:r>
    </w:p>
    <w:p>
      <w:pPr>
        <w:snapToGrid w:val="0"/>
        <w:ind w:firstLine="480" w:firstLineChars="200"/>
        <w:rPr>
          <w:rFonts w:ascii="宋体" w:eastAsia="宋体" w:hAnsi="宋体" w:cs="宋体" w:hint="eastAsia"/>
          <w:b/>
          <w:szCs w:val="21"/>
          <w:highlight w:val="yellow"/>
        </w:rPr>
      </w:pPr>
      <w:r>
        <w:rPr>
          <w:rFonts w:ascii="宋体" w:eastAsia="宋体" w:hAnsi="宋体" w:cs="宋体" w:hint="eastAsia"/>
          <w:b/>
          <w:szCs w:val="21"/>
        </w:rPr>
        <w:t>请供应商按以下格式提供上述法规涉及人员开标前一个月的社保缴纳情况。（注：以下内容将作为评审委员会和主管部门判定本项目不同投标供应商是否涉嫌、属于串通投标的重要依据，请供应商认真填报，并保证所填信息的真实、准确和完整。）</w:t>
      </w:r>
    </w:p>
    <w:p>
      <w:pPr>
        <w:snapToGrid w:val="0"/>
        <w:rPr>
          <w:rFonts w:ascii="宋体" w:eastAsia="宋体" w:hAnsi="宋体" w:cs="宋体" w:hint="eastAsia"/>
          <w:b/>
          <w:szCs w:val="21"/>
        </w:rPr>
      </w:pPr>
    </w:p>
    <w:p>
      <w:pPr>
        <w:snapToGrid w:val="0"/>
        <w:rPr>
          <w:rFonts w:ascii="宋体" w:eastAsia="宋体" w:hAnsi="宋体" w:cs="宋体" w:hint="eastAsia"/>
          <w:b/>
          <w:szCs w:val="21"/>
        </w:rPr>
      </w:pPr>
      <w:r>
        <w:rPr>
          <w:rFonts w:ascii="宋体" w:eastAsia="宋体" w:hAnsi="宋体" w:cs="宋体" w:hint="eastAsia"/>
          <w:b/>
          <w:szCs w:val="21"/>
        </w:rPr>
        <w:t>1.情况一览表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373"/>
        <w:gridCol w:w="2346"/>
        <w:gridCol w:w="1009"/>
        <w:gridCol w:w="1677"/>
        <w:gridCol w:w="2087"/>
        <w:gridCol w:w="1030"/>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373" w:type="dxa"/>
            <w:vAlign w:val="center"/>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序号</w:t>
            </w:r>
          </w:p>
        </w:tc>
        <w:tc>
          <w:tcPr>
            <w:tcW w:w="2346" w:type="dxa"/>
            <w:vAlign w:val="center"/>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内容</w:t>
            </w:r>
          </w:p>
        </w:tc>
        <w:tc>
          <w:tcPr>
            <w:tcW w:w="1009" w:type="dxa"/>
            <w:vAlign w:val="center"/>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姓名</w:t>
            </w:r>
          </w:p>
        </w:tc>
        <w:tc>
          <w:tcPr>
            <w:tcW w:w="1677" w:type="dxa"/>
            <w:vAlign w:val="center"/>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身份证号</w:t>
            </w:r>
          </w:p>
        </w:tc>
        <w:tc>
          <w:tcPr>
            <w:tcW w:w="2087" w:type="dxa"/>
            <w:vAlign w:val="center"/>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社保缴纳单位</w:t>
            </w:r>
          </w:p>
        </w:tc>
        <w:tc>
          <w:tcPr>
            <w:tcW w:w="1030" w:type="dxa"/>
            <w:vAlign w:val="center"/>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社保缴纳年月</w:t>
            </w: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1</w:t>
            </w:r>
          </w:p>
        </w:tc>
        <w:tc>
          <w:tcPr>
            <w:tcW w:w="2346" w:type="dxa"/>
          </w:tcPr>
          <w:p>
            <w:pPr>
              <w:pStyle w:val="NormalIndent"/>
              <w:widowControl/>
              <w:ind w:firstLine="0"/>
              <w:jc w:val="center"/>
              <w:rPr>
                <w:rFonts w:ascii="宋体" w:eastAsia="宋体" w:hAnsi="宋体" w:cs="宋体" w:hint="eastAsia"/>
              </w:rPr>
            </w:pPr>
            <w:r>
              <w:rPr>
                <w:rFonts w:ascii="宋体" w:eastAsia="宋体" w:hAnsi="宋体" w:cs="宋体" w:hint="eastAsia"/>
                <w:b/>
                <w:szCs w:val="21"/>
              </w:rPr>
              <w:t>法定代表人（负责人）</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2</w:t>
            </w:r>
          </w:p>
        </w:tc>
        <w:tc>
          <w:tcPr>
            <w:tcW w:w="2346"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主要经营负责人</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3</w:t>
            </w:r>
          </w:p>
        </w:tc>
        <w:tc>
          <w:tcPr>
            <w:tcW w:w="2346"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项目投标授权代表人</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4</w:t>
            </w:r>
          </w:p>
        </w:tc>
        <w:tc>
          <w:tcPr>
            <w:tcW w:w="2346"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项目负责人</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5</w:t>
            </w:r>
          </w:p>
        </w:tc>
        <w:tc>
          <w:tcPr>
            <w:tcW w:w="2346"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主要技术人员1</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6</w:t>
            </w:r>
          </w:p>
        </w:tc>
        <w:tc>
          <w:tcPr>
            <w:tcW w:w="2346"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主要技术人员2</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r>
        <w:tblPrEx>
          <w:tblW w:w="0" w:type="auto"/>
          <w:tblInd w:w="0" w:type="dxa"/>
          <w:tblLayout w:type="fixed"/>
          <w:tblCellMar>
            <w:top w:w="0" w:type="dxa"/>
            <w:left w:w="108" w:type="dxa"/>
            <w:bottom w:w="0" w:type="dxa"/>
            <w:right w:w="108" w:type="dxa"/>
          </w:tblCellMar>
        </w:tblPrEx>
        <w:tc>
          <w:tcPr>
            <w:tcW w:w="373"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7</w:t>
            </w:r>
          </w:p>
        </w:tc>
        <w:tc>
          <w:tcPr>
            <w:tcW w:w="2346" w:type="dxa"/>
          </w:tcPr>
          <w:p>
            <w:pPr>
              <w:pStyle w:val="NormalIndent"/>
              <w:widowControl/>
              <w:ind w:firstLine="0"/>
              <w:jc w:val="center"/>
              <w:rPr>
                <w:rFonts w:ascii="宋体" w:eastAsia="宋体" w:hAnsi="宋体" w:cs="宋体" w:hint="eastAsia"/>
                <w:b/>
                <w:szCs w:val="21"/>
              </w:rPr>
            </w:pPr>
            <w:r>
              <w:rPr>
                <w:rFonts w:ascii="宋体" w:eastAsia="宋体" w:hAnsi="宋体" w:cs="宋体" w:hint="eastAsia"/>
                <w:b/>
                <w:szCs w:val="21"/>
              </w:rPr>
              <w:t>……</w:t>
            </w:r>
          </w:p>
        </w:tc>
        <w:tc>
          <w:tcPr>
            <w:tcW w:w="1009" w:type="dxa"/>
          </w:tcPr>
          <w:p>
            <w:pPr>
              <w:pStyle w:val="NormalIndent"/>
              <w:widowControl/>
              <w:ind w:firstLine="0"/>
              <w:jc w:val="center"/>
              <w:rPr>
                <w:rFonts w:ascii="宋体" w:eastAsia="宋体" w:hAnsi="宋体" w:cs="宋体" w:hint="eastAsia"/>
                <w:b/>
                <w:szCs w:val="21"/>
              </w:rPr>
            </w:pPr>
          </w:p>
        </w:tc>
        <w:tc>
          <w:tcPr>
            <w:tcW w:w="1677" w:type="dxa"/>
          </w:tcPr>
          <w:p>
            <w:pPr>
              <w:pStyle w:val="NormalIndent"/>
              <w:widowControl/>
              <w:ind w:firstLine="0"/>
              <w:jc w:val="center"/>
              <w:rPr>
                <w:rFonts w:ascii="宋体" w:eastAsia="宋体" w:hAnsi="宋体" w:cs="宋体" w:hint="eastAsia"/>
                <w:b/>
                <w:szCs w:val="21"/>
              </w:rPr>
            </w:pPr>
          </w:p>
        </w:tc>
        <w:tc>
          <w:tcPr>
            <w:tcW w:w="2087" w:type="dxa"/>
          </w:tcPr>
          <w:p>
            <w:pPr>
              <w:pStyle w:val="NormalIndent"/>
              <w:widowControl/>
              <w:ind w:firstLine="0"/>
              <w:jc w:val="center"/>
              <w:rPr>
                <w:rFonts w:ascii="宋体" w:eastAsia="宋体" w:hAnsi="宋体" w:cs="宋体" w:hint="eastAsia"/>
                <w:b/>
                <w:szCs w:val="21"/>
              </w:rPr>
            </w:pPr>
          </w:p>
        </w:tc>
        <w:tc>
          <w:tcPr>
            <w:tcW w:w="1030" w:type="dxa"/>
          </w:tcPr>
          <w:p>
            <w:pPr>
              <w:pStyle w:val="NormalIndent"/>
              <w:widowControl/>
              <w:ind w:firstLine="0"/>
              <w:jc w:val="center"/>
              <w:rPr>
                <w:rFonts w:ascii="宋体" w:eastAsia="宋体" w:hAnsi="宋体" w:cs="宋体" w:hint="eastAsia"/>
                <w:b/>
                <w:szCs w:val="21"/>
              </w:rPr>
            </w:pPr>
          </w:p>
        </w:tc>
      </w:tr>
    </w:tbl>
    <w:p>
      <w:pPr>
        <w:snapToGrid w:val="0"/>
        <w:rPr>
          <w:rFonts w:ascii="宋体" w:eastAsia="宋体" w:hAnsi="宋体" w:cs="宋体" w:hint="eastAsia"/>
          <w:b/>
          <w:szCs w:val="21"/>
        </w:rPr>
      </w:pPr>
    </w:p>
    <w:p>
      <w:pPr>
        <w:snapToGrid w:val="0"/>
        <w:rPr>
          <w:rFonts w:ascii="宋体" w:eastAsia="宋体" w:hAnsi="宋体" w:cs="宋体" w:hint="eastAsia"/>
          <w:b/>
          <w:szCs w:val="21"/>
        </w:rPr>
      </w:pPr>
      <w:r>
        <w:rPr>
          <w:rFonts w:ascii="宋体" w:eastAsia="宋体" w:hAnsi="宋体" w:cs="宋体" w:hint="eastAsia"/>
          <w:b/>
          <w:szCs w:val="21"/>
        </w:rPr>
        <w:t>2.证明材料：</w:t>
      </w:r>
    </w:p>
    <w:p>
      <w:pPr>
        <w:snapToGrid w:val="0"/>
        <w:rPr>
          <w:rFonts w:ascii="宋体" w:eastAsia="宋体" w:hAnsi="宋体" w:cs="宋体" w:hint="eastAsia"/>
          <w:b/>
          <w:szCs w:val="21"/>
        </w:rPr>
      </w:pPr>
      <w:r>
        <w:rPr>
          <w:rFonts w:ascii="宋体" w:eastAsia="宋体" w:hAnsi="宋体" w:cs="宋体" w:hint="eastAsia"/>
          <w:b/>
          <w:szCs w:val="21"/>
        </w:rPr>
        <w:t>（1）法定代表人（负责人）</w:t>
      </w:r>
    </w:p>
    <w:p>
      <w:pPr>
        <w:snapToGrid w:val="0"/>
        <w:rPr>
          <w:rFonts w:ascii="宋体" w:eastAsia="宋体" w:hAnsi="宋体" w:cs="宋体" w:hint="eastAsia"/>
          <w:b/>
          <w:szCs w:val="21"/>
        </w:rPr>
      </w:pPr>
      <w:r>
        <w:rPr>
          <w:rFonts w:ascii="宋体" w:eastAsia="宋体" w:hAnsi="宋体" w:cs="宋体" w:hint="eastAsia"/>
          <w:b/>
          <w:szCs w:val="21"/>
        </w:rPr>
        <w:t>开标前一个月的社保缴纳凭证：</w:t>
      </w:r>
    </w:p>
    <w:p>
      <w:pPr>
        <w:pStyle w:val="NormalIndent"/>
        <w:rPr>
          <w:rFonts w:ascii="宋体" w:eastAsia="宋体" w:hAnsi="宋体" w:cs="宋体" w:hint="eastAsia"/>
        </w:rPr>
      </w:pPr>
    </w:p>
    <w:p>
      <w:pPr>
        <w:snapToGrid w:val="0"/>
        <w:rPr>
          <w:rFonts w:ascii="宋体" w:eastAsia="宋体" w:hAnsi="宋体" w:cs="宋体" w:hint="eastAsia"/>
          <w:b/>
          <w:szCs w:val="21"/>
        </w:rPr>
      </w:pPr>
      <w:r>
        <w:rPr>
          <w:rFonts w:ascii="宋体" w:eastAsia="宋体" w:hAnsi="宋体" w:cs="宋体" w:hint="eastAsia"/>
          <w:b/>
          <w:szCs w:val="21"/>
        </w:rPr>
        <w:t>（2）主要经营负责人</w:t>
      </w:r>
    </w:p>
    <w:p>
      <w:pPr>
        <w:snapToGrid w:val="0"/>
        <w:rPr>
          <w:rFonts w:ascii="宋体" w:eastAsia="宋体" w:hAnsi="宋体" w:cs="宋体" w:hint="eastAsia"/>
          <w:b/>
          <w:szCs w:val="21"/>
        </w:rPr>
      </w:pPr>
      <w:r>
        <w:rPr>
          <w:rFonts w:ascii="宋体" w:eastAsia="宋体" w:hAnsi="宋体" w:cs="宋体" w:hint="eastAsia"/>
          <w:b/>
          <w:szCs w:val="21"/>
        </w:rPr>
        <w:t>身份证复印件（正反面）：</w:t>
      </w:r>
    </w:p>
    <w:p>
      <w:pPr>
        <w:snapToGrid w:val="0"/>
        <w:rPr>
          <w:rFonts w:ascii="宋体" w:eastAsia="宋体" w:hAnsi="宋体" w:cs="宋体" w:hint="eastAsia"/>
          <w:b/>
          <w:szCs w:val="21"/>
        </w:rPr>
      </w:pPr>
      <w:r>
        <w:rPr>
          <w:rFonts w:ascii="宋体" w:eastAsia="宋体" w:hAnsi="宋体" w:cs="宋体" w:hint="eastAsia"/>
          <w:b/>
          <w:szCs w:val="21"/>
        </w:rPr>
        <w:t>开标前一个月的社保缴纳凭证：</w:t>
      </w:r>
    </w:p>
    <w:p>
      <w:pPr>
        <w:pStyle w:val="NormalIndent"/>
        <w:rPr>
          <w:rFonts w:ascii="宋体" w:eastAsia="宋体" w:hAnsi="宋体" w:cs="宋体" w:hint="eastAsia"/>
        </w:rPr>
      </w:pPr>
    </w:p>
    <w:p>
      <w:pPr>
        <w:snapToGrid w:val="0"/>
        <w:rPr>
          <w:rFonts w:ascii="宋体" w:eastAsia="宋体" w:hAnsi="宋体" w:cs="宋体" w:hint="eastAsia"/>
          <w:b/>
          <w:szCs w:val="21"/>
        </w:rPr>
      </w:pPr>
      <w:r>
        <w:rPr>
          <w:rFonts w:ascii="宋体" w:eastAsia="宋体" w:hAnsi="宋体" w:cs="宋体" w:hint="eastAsia"/>
          <w:b/>
          <w:szCs w:val="21"/>
        </w:rPr>
        <w:t>（3）项目投标授权代表人</w:t>
      </w:r>
    </w:p>
    <w:p>
      <w:pPr>
        <w:snapToGrid w:val="0"/>
        <w:rPr>
          <w:rFonts w:ascii="宋体" w:eastAsia="宋体" w:hAnsi="宋体" w:cs="宋体" w:hint="eastAsia"/>
          <w:b/>
          <w:szCs w:val="21"/>
        </w:rPr>
      </w:pPr>
      <w:r>
        <w:rPr>
          <w:rFonts w:ascii="宋体" w:eastAsia="宋体" w:hAnsi="宋体" w:cs="宋体" w:hint="eastAsia"/>
          <w:b/>
          <w:szCs w:val="21"/>
        </w:rPr>
        <w:t>开标前一个月的社保缴纳凭证：</w:t>
      </w:r>
    </w:p>
    <w:p>
      <w:pPr>
        <w:pStyle w:val="NormalIndent"/>
        <w:rPr>
          <w:rFonts w:ascii="宋体" w:eastAsia="宋体" w:hAnsi="宋体" w:cs="宋体" w:hint="eastAsia"/>
        </w:rPr>
      </w:pPr>
    </w:p>
    <w:p>
      <w:pPr>
        <w:snapToGrid w:val="0"/>
        <w:rPr>
          <w:rFonts w:ascii="宋体" w:eastAsia="宋体" w:hAnsi="宋体" w:cs="宋体" w:hint="eastAsia"/>
          <w:b/>
          <w:szCs w:val="21"/>
        </w:rPr>
      </w:pPr>
      <w:r>
        <w:rPr>
          <w:rFonts w:ascii="宋体" w:eastAsia="宋体" w:hAnsi="宋体" w:cs="宋体" w:hint="eastAsia"/>
          <w:b/>
          <w:szCs w:val="21"/>
        </w:rPr>
        <w:t>（4）项目负责人</w:t>
      </w:r>
    </w:p>
    <w:p>
      <w:pPr>
        <w:snapToGrid w:val="0"/>
        <w:rPr>
          <w:rFonts w:ascii="宋体" w:eastAsia="宋体" w:hAnsi="宋体" w:cs="宋体" w:hint="eastAsia"/>
          <w:b/>
          <w:szCs w:val="21"/>
        </w:rPr>
      </w:pPr>
      <w:r>
        <w:rPr>
          <w:rFonts w:ascii="宋体" w:eastAsia="宋体" w:hAnsi="宋体" w:cs="宋体" w:hint="eastAsia"/>
          <w:b/>
          <w:szCs w:val="21"/>
        </w:rPr>
        <w:t>身份证复印件（正反面）：</w:t>
      </w:r>
    </w:p>
    <w:p>
      <w:pPr>
        <w:snapToGrid w:val="0"/>
        <w:rPr>
          <w:rFonts w:ascii="宋体" w:eastAsia="宋体" w:hAnsi="宋体" w:cs="宋体" w:hint="eastAsia"/>
          <w:b/>
          <w:szCs w:val="21"/>
        </w:rPr>
      </w:pPr>
      <w:r>
        <w:rPr>
          <w:rFonts w:ascii="宋体" w:eastAsia="宋体" w:hAnsi="宋体" w:cs="宋体" w:hint="eastAsia"/>
          <w:b/>
          <w:szCs w:val="21"/>
        </w:rPr>
        <w:t>开标前一个月的社保缴纳凭证：</w:t>
      </w:r>
    </w:p>
    <w:p>
      <w:pPr>
        <w:pStyle w:val="NormalIndent"/>
        <w:rPr>
          <w:rFonts w:ascii="宋体" w:eastAsia="宋体" w:hAnsi="宋体" w:cs="宋体" w:hint="eastAsia"/>
        </w:rPr>
      </w:pPr>
    </w:p>
    <w:p>
      <w:pPr>
        <w:snapToGrid w:val="0"/>
        <w:rPr>
          <w:rFonts w:ascii="宋体" w:eastAsia="宋体" w:hAnsi="宋体" w:cs="宋体" w:hint="eastAsia"/>
          <w:b/>
          <w:szCs w:val="21"/>
        </w:rPr>
      </w:pPr>
      <w:r>
        <w:rPr>
          <w:rFonts w:ascii="宋体" w:eastAsia="宋体" w:hAnsi="宋体" w:cs="宋体" w:hint="eastAsia"/>
          <w:b/>
          <w:szCs w:val="21"/>
        </w:rPr>
        <w:t>（5）主要技术人员1</w:t>
      </w:r>
    </w:p>
    <w:p>
      <w:pPr>
        <w:snapToGrid w:val="0"/>
        <w:rPr>
          <w:rFonts w:ascii="宋体" w:eastAsia="宋体" w:hAnsi="宋体" w:cs="宋体" w:hint="eastAsia"/>
          <w:b/>
          <w:szCs w:val="21"/>
        </w:rPr>
      </w:pPr>
      <w:r>
        <w:rPr>
          <w:rFonts w:ascii="宋体" w:eastAsia="宋体" w:hAnsi="宋体" w:cs="宋体" w:hint="eastAsia"/>
          <w:b/>
          <w:szCs w:val="21"/>
        </w:rPr>
        <w:t>身份证复印件（正反面）：</w:t>
      </w:r>
    </w:p>
    <w:p>
      <w:pPr>
        <w:snapToGrid w:val="0"/>
        <w:rPr>
          <w:rFonts w:ascii="宋体" w:eastAsia="宋体" w:hAnsi="宋体" w:cs="宋体" w:hint="eastAsia"/>
          <w:b/>
          <w:szCs w:val="21"/>
        </w:rPr>
      </w:pPr>
      <w:r>
        <w:rPr>
          <w:rFonts w:ascii="宋体" w:eastAsia="宋体" w:hAnsi="宋体" w:cs="宋体" w:hint="eastAsia"/>
          <w:b/>
          <w:szCs w:val="21"/>
        </w:rPr>
        <w:t>开标前一个月的社保缴纳凭证：</w:t>
      </w:r>
    </w:p>
    <w:p>
      <w:pPr>
        <w:pStyle w:val="NormalIndent"/>
        <w:rPr>
          <w:rFonts w:ascii="宋体" w:eastAsia="宋体" w:hAnsi="宋体" w:cs="宋体" w:hint="eastAsia"/>
        </w:rPr>
      </w:pPr>
    </w:p>
    <w:p>
      <w:pPr>
        <w:snapToGrid w:val="0"/>
        <w:rPr>
          <w:rFonts w:ascii="宋体" w:eastAsia="宋体" w:hAnsi="宋体" w:cs="宋体" w:hint="eastAsia"/>
          <w:b/>
          <w:szCs w:val="21"/>
        </w:rPr>
      </w:pPr>
      <w:r>
        <w:rPr>
          <w:rFonts w:ascii="宋体" w:eastAsia="宋体" w:hAnsi="宋体" w:cs="宋体" w:hint="eastAsia"/>
          <w:b/>
          <w:szCs w:val="21"/>
        </w:rPr>
        <w:t>（6）主要技术人员2</w:t>
      </w:r>
    </w:p>
    <w:p>
      <w:pPr>
        <w:snapToGrid w:val="0"/>
        <w:rPr>
          <w:rFonts w:ascii="宋体" w:eastAsia="宋体" w:hAnsi="宋体" w:cs="宋体" w:hint="eastAsia"/>
          <w:b/>
          <w:szCs w:val="21"/>
        </w:rPr>
      </w:pPr>
      <w:r>
        <w:rPr>
          <w:rFonts w:ascii="宋体" w:eastAsia="宋体" w:hAnsi="宋体" w:cs="宋体" w:hint="eastAsia"/>
          <w:b/>
          <w:szCs w:val="21"/>
        </w:rPr>
        <w:t>身份证复印件（正反面）：</w:t>
      </w:r>
    </w:p>
    <w:p>
      <w:pPr>
        <w:snapToGrid w:val="0"/>
        <w:rPr>
          <w:rFonts w:ascii="宋体" w:eastAsia="宋体" w:hAnsi="宋体" w:cs="宋体" w:hint="eastAsia"/>
          <w:b/>
          <w:szCs w:val="21"/>
        </w:rPr>
      </w:pPr>
      <w:r>
        <w:rPr>
          <w:rFonts w:ascii="宋体" w:eastAsia="宋体" w:hAnsi="宋体" w:cs="宋体" w:hint="eastAsia"/>
          <w:b/>
          <w:szCs w:val="21"/>
        </w:rPr>
        <w:t>开标前一个月的社保缴纳凭证：</w:t>
      </w:r>
    </w:p>
    <w:p>
      <w:pPr>
        <w:pStyle w:val="NormalIndent"/>
        <w:rPr>
          <w:rFonts w:ascii="宋体" w:eastAsia="宋体" w:hAnsi="宋体" w:cs="宋体" w:hint="eastAsia"/>
        </w:rPr>
      </w:pPr>
    </w:p>
    <w:p>
      <w:pPr>
        <w:snapToGrid w:val="0"/>
        <w:rPr>
          <w:rFonts w:ascii="宋体" w:eastAsia="宋体" w:hAnsi="宋体" w:cs="宋体" w:hint="eastAsia"/>
          <w:b/>
          <w:szCs w:val="21"/>
        </w:rPr>
      </w:pPr>
      <w:r>
        <w:rPr>
          <w:rFonts w:ascii="宋体" w:eastAsia="宋体" w:hAnsi="宋体" w:cs="宋体" w:hint="eastAsia"/>
          <w:b/>
          <w:szCs w:val="21"/>
        </w:rPr>
        <w:t>（7）……</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四、</w:t>
      </w:r>
      <w:bookmarkStart w:id="43" w:name="_Hlk72092634"/>
      <w:r>
        <w:rPr>
          <w:rFonts w:cs="宋体" w:hint="eastAsia"/>
          <w:bCs w:val="0"/>
          <w:color w:val="000000" w:themeColor="text1"/>
          <w:sz w:val="24"/>
          <w14:textFill>
            <w14:solidFill>
              <w14:schemeClr w14:val="tx1"/>
            </w14:solidFill>
          </w14:textFill>
        </w:rPr>
        <w:t>实质性条款响应情况表</w:t>
      </w:r>
      <w:bookmarkEnd w:id="43"/>
    </w:p>
    <w:tbl>
      <w:tblPr>
        <w:tblStyle w:val="TableNormal"/>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62"/>
        <w:gridCol w:w="3837"/>
        <w:gridCol w:w="3487"/>
        <w:gridCol w:w="1195"/>
        <w:gridCol w:w="676"/>
      </w:tblGrid>
      <w:tr>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709"/>
          <w:jc w:val="center"/>
        </w:trPr>
        <w:tc>
          <w:tcPr>
            <w:tcW w:w="862"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bookmarkStart w:id="44" w:name="_Hlk72092651"/>
            <w:r>
              <w:rPr>
                <w:rFonts w:ascii="宋体" w:eastAsia="宋体" w:hAnsi="宋体" w:cs="宋体" w:hint="eastAsia"/>
                <w:b/>
                <w:bCs/>
                <w:color w:val="000000" w:themeColor="text1"/>
                <w:sz w:val="21"/>
                <w:szCs w:val="21"/>
                <w14:textFill>
                  <w14:solidFill>
                    <w14:schemeClr w14:val="tx1"/>
                  </w14:solidFill>
                </w14:textFill>
              </w:rPr>
              <w:t>序号</w:t>
            </w:r>
          </w:p>
        </w:tc>
        <w:tc>
          <w:tcPr>
            <w:tcW w:w="3837"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实质性条款具体内容</w:t>
            </w:r>
          </w:p>
        </w:tc>
        <w:tc>
          <w:tcPr>
            <w:tcW w:w="3487"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投标响应</w:t>
            </w:r>
          </w:p>
        </w:tc>
        <w:tc>
          <w:tcPr>
            <w:tcW w:w="1195"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偏离情况</w:t>
            </w:r>
          </w:p>
        </w:tc>
        <w:tc>
          <w:tcPr>
            <w:tcW w:w="676" w:type="dxa"/>
            <w:vAlign w:val="center"/>
          </w:tcPr>
          <w:p>
            <w:pPr>
              <w:adjustRightInd w:val="0"/>
              <w:snapToGrid w:val="0"/>
              <w:spacing w:line="360" w:lineRule="auto"/>
              <w:jc w:val="center"/>
              <w:rPr>
                <w:rFonts w:ascii="宋体" w:eastAsia="宋体" w:hAnsi="宋体" w:cs="宋体" w:hint="eastAsia"/>
                <w:b/>
                <w:bCs/>
                <w:color w:val="000000" w:themeColor="text1"/>
                <w:sz w:val="21"/>
                <w:szCs w:val="21"/>
                <w14:textFill>
                  <w14:solidFill>
                    <w14:schemeClr w14:val="tx1"/>
                  </w14:solidFill>
                </w14:textFill>
              </w:rPr>
            </w:pPr>
            <w:r>
              <w:rPr>
                <w:rFonts w:ascii="宋体" w:eastAsia="宋体" w:hAnsi="宋体" w:cs="宋体" w:hint="eastAsia"/>
                <w:b/>
                <w:bCs/>
                <w:color w:val="000000" w:themeColor="text1"/>
                <w:sz w:val="21"/>
                <w:szCs w:val="21"/>
                <w14:textFill>
                  <w14:solidFill>
                    <w14:schemeClr w14:val="tx1"/>
                  </w14:solidFill>
                </w14:textFill>
              </w:rPr>
              <w:t>说明</w:t>
            </w:r>
          </w:p>
        </w:tc>
      </w:tr>
      <w:tr>
        <w:tblPrEx>
          <w:tblW w:w="10057" w:type="dxa"/>
          <w:jc w:val="center"/>
          <w:tblLayout w:type="fixed"/>
          <w:tblCellMar>
            <w:top w:w="0" w:type="dxa"/>
            <w:left w:w="108" w:type="dxa"/>
            <w:bottom w:w="0" w:type="dxa"/>
            <w:right w:w="108" w:type="dxa"/>
          </w:tblCellMar>
        </w:tblPrEx>
        <w:trPr>
          <w:trHeight w:val="478"/>
          <w:jc w:val="center"/>
        </w:trPr>
        <w:tc>
          <w:tcPr>
            <w:tcW w:w="862" w:type="dxa"/>
          </w:tcPr>
          <w:p>
            <w:pPr>
              <w:adjustRightInd w:val="0"/>
              <w:snapToGrid w:val="0"/>
              <w:spacing w:line="360" w:lineRule="auto"/>
              <w:jc w:val="center"/>
              <w:rPr>
                <w:rFonts w:ascii="宋体" w:eastAsia="宋体" w:hAnsi="宋体" w:cs="宋体" w:hint="eastAsia"/>
                <w:color w:val="000000" w:themeColor="text1"/>
                <w:sz w:val="21"/>
                <w:szCs w:val="21"/>
                <w14:textFill>
                  <w14:solidFill>
                    <w14:schemeClr w14:val="tx1"/>
                  </w14:solidFill>
                </w14:textFill>
              </w:rPr>
            </w:pPr>
            <w:bookmarkEnd w:id="44"/>
            <w:r>
              <w:rPr>
                <w:rFonts w:ascii="宋体" w:eastAsia="宋体" w:hAnsi="宋体" w:cs="宋体" w:hint="eastAsia"/>
                <w:szCs w:val="21"/>
              </w:rPr>
              <w:t>1</w:t>
            </w:r>
          </w:p>
        </w:tc>
        <w:tc>
          <w:tcPr>
            <w:tcW w:w="3837"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r>
              <w:rPr>
                <w:rFonts w:ascii="宋体" w:eastAsia="宋体" w:hAnsi="宋体" w:cs="宋体" w:hint="eastAsia"/>
                <w:color w:val="000000" w:themeColor="text1"/>
                <w:sz w:val="21"/>
                <w:szCs w:val="21"/>
                <w14:textFill>
                  <w14:solidFill>
                    <w14:schemeClr w14:val="tx1"/>
                  </w14:solidFill>
                </w14:textFill>
              </w:rPr>
              <w:t>完全满足本项目“★”要求。</w:t>
            </w:r>
          </w:p>
        </w:tc>
        <w:tc>
          <w:tcPr>
            <w:tcW w:w="3487"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c>
          <w:tcPr>
            <w:tcW w:w="1195"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c>
          <w:tcPr>
            <w:tcW w:w="676" w:type="dxa"/>
          </w:tcPr>
          <w:p>
            <w:pPr>
              <w:adjustRightInd w:val="0"/>
              <w:snapToGrid w:val="0"/>
              <w:spacing w:line="360" w:lineRule="auto"/>
              <w:rPr>
                <w:rFonts w:ascii="宋体" w:eastAsia="宋体" w:hAnsi="宋体" w:cs="宋体" w:hint="eastAsia"/>
                <w:color w:val="000000" w:themeColor="text1"/>
                <w:sz w:val="21"/>
                <w:szCs w:val="21"/>
                <w14:textFill>
                  <w14:solidFill>
                    <w14:schemeClr w14:val="tx1"/>
                  </w14:solidFill>
                </w14:textFill>
              </w:rPr>
            </w:pPr>
          </w:p>
        </w:tc>
      </w:tr>
    </w:tbl>
    <w:p>
      <w:pPr>
        <w:rPr>
          <w:rFonts w:ascii="宋体" w:eastAsia="宋体" w:hAnsi="宋体" w:cs="宋体" w:hint="eastAsia"/>
          <w:b/>
          <w:color w:val="000000" w:themeColor="text1"/>
          <w:szCs w:val="22"/>
          <w14:textFill>
            <w14:solidFill>
              <w14:schemeClr w14:val="tx1"/>
            </w14:solidFill>
          </w14:textFill>
        </w:rPr>
      </w:pP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注：</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1. 上表所列各项均为不可负偏离条款。</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2.“投标响应”一栏应当详细填写投标人自身响应情况。</w:t>
      </w:r>
    </w:p>
    <w:p>
      <w:pPr>
        <w:ind w:firstLine="480" w:firstLineChars="200"/>
        <w:rPr>
          <w:rFonts w:ascii="宋体" w:eastAsia="宋体" w:hAnsi="宋体" w:cs="宋体" w:hint="eastAsia"/>
          <w:b/>
          <w:color w:val="000000" w:themeColor="text1"/>
          <w:szCs w:val="22"/>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3.“偏离情况”一栏应填写“正偏离”、“负偏离”或“无偏离”，</w:t>
      </w:r>
      <w:r>
        <w:rPr>
          <w:rFonts w:ascii="宋体" w:eastAsia="宋体" w:hAnsi="宋体" w:cs="宋体" w:hint="eastAsia"/>
          <w:b/>
          <w:color w:val="000000" w:themeColor="text1"/>
          <w14:textFill>
            <w14:solidFill>
              <w14:schemeClr w14:val="tx1"/>
            </w14:solidFill>
          </w14:textFill>
        </w:rPr>
        <w:t>“正偏离”表示“投标响应优于实质性条款具体内容要求”，“负偏离”表示“投标响应不满足实质性条款具体内容要求”，“无偏离”表示“投标响应与实质性条款具体内容要求一致”。</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4.评审委员会有权对投标响应情况作出判断（作出评审结论）。</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szCs w:val="22"/>
          <w14:textFill>
            <w14:solidFill>
              <w14:schemeClr w14:val="tx1"/>
            </w14:solidFill>
          </w14:textFill>
        </w:rPr>
        <w:t>5.实质性响应条款“投标响应情况”与投标文件其它内容冲突的，以实质性响应条款“投标响应情况”为准。</w:t>
      </w:r>
    </w:p>
    <w:p>
      <w:pPr>
        <w:rPr>
          <w:rFonts w:ascii="宋体" w:eastAsia="宋体" w:hAnsi="宋体" w:cs="宋体" w:hint="eastAsia"/>
        </w:rPr>
      </w:pP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五、商务、服务条款偏离表</w:t>
      </w:r>
    </w:p>
    <w:p>
      <w:pPr>
        <w:snapToGrid w:val="0"/>
        <w:spacing w:line="360" w:lineRule="auto"/>
        <w:rPr>
          <w:rFonts w:ascii="宋体" w:eastAsia="宋体" w:hAnsi="宋体" w:cs="宋体" w:hint="eastAsia"/>
          <w:color w:val="000000"/>
          <w:u w:val="single"/>
        </w:rPr>
      </w:pPr>
      <w:r>
        <w:rPr>
          <w:rFonts w:ascii="宋体" w:eastAsia="宋体" w:hAnsi="宋体" w:cs="宋体" w:hint="eastAsia"/>
          <w:color w:val="000000"/>
        </w:rPr>
        <w:t>投标单位（投标人）名称：</w:t>
      </w:r>
    </w:p>
    <w:tbl>
      <w:tblPr>
        <w:tblStyle w:val="TableNormal"/>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top w:w="0" w:type="dxa"/>
            <w:left w:w="108" w:type="dxa"/>
            <w:bottom w:w="0" w:type="dxa"/>
            <w:right w:w="108" w:type="dxa"/>
          </w:tblCellMar>
        </w:tblPrEx>
        <w:trPr>
          <w:trHeight w:val="361"/>
          <w:jc w:val="center"/>
        </w:trPr>
        <w:tc>
          <w:tcPr>
            <w:tcW w:w="640"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序号</w:t>
            </w:r>
          </w:p>
        </w:tc>
        <w:tc>
          <w:tcPr>
            <w:tcW w:w="4732"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招标文件要求</w:t>
            </w:r>
          </w:p>
        </w:tc>
        <w:tc>
          <w:tcPr>
            <w:tcW w:w="3053"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投标文件响应</w:t>
            </w:r>
          </w:p>
        </w:tc>
        <w:tc>
          <w:tcPr>
            <w:tcW w:w="1262" w:type="dxa"/>
            <w:vAlign w:val="center"/>
          </w:tcPr>
          <w:p>
            <w:pPr>
              <w:spacing w:line="360" w:lineRule="auto"/>
              <w:jc w:val="center"/>
              <w:rPr>
                <w:rFonts w:ascii="宋体" w:eastAsia="宋体" w:hAnsi="宋体" w:cs="宋体" w:hint="eastAsia"/>
                <w:b/>
                <w:sz w:val="21"/>
                <w:szCs w:val="21"/>
              </w:rPr>
            </w:pPr>
            <w:r>
              <w:rPr>
                <w:rFonts w:ascii="宋体" w:eastAsia="宋体" w:hAnsi="宋体" w:cs="宋体" w:hint="eastAsia"/>
                <w:b/>
                <w:sz w:val="21"/>
                <w:szCs w:val="21"/>
              </w:rPr>
              <w:t>说明</w:t>
            </w:r>
          </w:p>
        </w:tc>
      </w:tr>
      <w:tr>
        <w:tblPrEx>
          <w:tblW w:w="9687" w:type="dxa"/>
          <w:jc w:val="center"/>
          <w:tblLayout w:type="fixed"/>
          <w:tblCellMar>
            <w:top w:w="0" w:type="dxa"/>
            <w:left w:w="108" w:type="dxa"/>
            <w:bottom w:w="0" w:type="dxa"/>
            <w:right w:w="108" w:type="dxa"/>
          </w:tblCellMar>
        </w:tblPrEx>
        <w:trPr>
          <w:trHeight w:val="1341"/>
          <w:jc w:val="center"/>
        </w:trPr>
        <w:tc>
          <w:tcPr>
            <w:tcW w:w="64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1</w:t>
            </w:r>
          </w:p>
        </w:tc>
        <w:tc>
          <w:tcPr>
            <w:tcW w:w="4732" w:type="dxa"/>
            <w:vAlign w:val="center"/>
          </w:tcPr>
          <w:p>
            <w:pPr>
              <w:spacing w:line="360" w:lineRule="auto"/>
              <w:rPr>
                <w:rFonts w:ascii="宋体" w:eastAsia="宋体" w:hAnsi="宋体" w:cs="宋体" w:hint="eastAsia"/>
                <w:b/>
                <w:color w:val="FF0000"/>
                <w:sz w:val="21"/>
                <w:szCs w:val="21"/>
              </w:rPr>
            </w:pPr>
            <w:r>
              <w:rPr>
                <w:rFonts w:ascii="宋体" w:eastAsia="宋体" w:hAnsi="宋体" w:cs="宋体" w:hint="eastAsia"/>
                <w:b/>
                <w:color w:val="FF0000"/>
                <w:sz w:val="21"/>
                <w:szCs w:val="21"/>
              </w:rPr>
              <w:t>《第三章 用户需求书：四、项目服务要求》中所有条款要求。</w:t>
            </w:r>
          </w:p>
        </w:tc>
        <w:tc>
          <w:tcPr>
            <w:tcW w:w="3053" w:type="dxa"/>
            <w:vAlign w:val="center"/>
          </w:tcPr>
          <w:p>
            <w:pPr>
              <w:spacing w:line="360" w:lineRule="auto"/>
              <w:rPr>
                <w:rFonts w:ascii="宋体" w:eastAsia="宋体" w:hAnsi="宋体" w:cs="宋体" w:hint="eastAsia"/>
                <w:sz w:val="21"/>
                <w:szCs w:val="21"/>
              </w:rPr>
            </w:pPr>
            <w:r>
              <w:rPr>
                <w:rFonts w:ascii="宋体" w:eastAsia="宋体" w:hAnsi="宋体" w:cs="宋体" w:hint="eastAsia"/>
                <w:sz w:val="21"/>
                <w:szCs w:val="21"/>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无偏离</w:t>
            </w:r>
          </w:p>
        </w:tc>
      </w:tr>
      <w:tr>
        <w:tblPrEx>
          <w:tblW w:w="9687" w:type="dxa"/>
          <w:jc w:val="center"/>
          <w:tblLayout w:type="fixed"/>
          <w:tblCellMar>
            <w:top w:w="0" w:type="dxa"/>
            <w:left w:w="108" w:type="dxa"/>
            <w:bottom w:w="0" w:type="dxa"/>
            <w:right w:w="108" w:type="dxa"/>
          </w:tblCellMar>
        </w:tblPrEx>
        <w:trPr>
          <w:trHeight w:val="904"/>
          <w:jc w:val="center"/>
        </w:trPr>
        <w:tc>
          <w:tcPr>
            <w:tcW w:w="640"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2</w:t>
            </w:r>
          </w:p>
        </w:tc>
        <w:tc>
          <w:tcPr>
            <w:tcW w:w="4732" w:type="dxa"/>
          </w:tcPr>
          <w:p>
            <w:pPr>
              <w:spacing w:line="360" w:lineRule="auto"/>
              <w:rPr>
                <w:rFonts w:ascii="宋体" w:eastAsia="宋体" w:hAnsi="宋体" w:cs="宋体" w:hint="eastAsia"/>
                <w:b/>
                <w:color w:val="FF0000"/>
                <w:sz w:val="21"/>
                <w:szCs w:val="21"/>
                <w:highlight w:val="green"/>
              </w:rPr>
            </w:pPr>
            <w:r>
              <w:rPr>
                <w:rFonts w:ascii="宋体" w:eastAsia="宋体" w:hAnsi="宋体" w:cs="宋体" w:hint="eastAsia"/>
                <w:b/>
                <w:color w:val="FF0000"/>
                <w:sz w:val="21"/>
                <w:szCs w:val="21"/>
              </w:rPr>
              <w:t>《第三章 用户需求书：五、项目商务要求》中所有条款要求。</w:t>
            </w:r>
          </w:p>
        </w:tc>
        <w:tc>
          <w:tcPr>
            <w:tcW w:w="3053" w:type="dxa"/>
            <w:vAlign w:val="center"/>
          </w:tcPr>
          <w:p>
            <w:pPr>
              <w:spacing w:line="360" w:lineRule="auto"/>
              <w:rPr>
                <w:rFonts w:ascii="宋体" w:eastAsia="宋体" w:hAnsi="宋体" w:cs="宋体" w:hint="eastAsia"/>
                <w:sz w:val="21"/>
                <w:szCs w:val="21"/>
              </w:rPr>
            </w:pPr>
            <w:r>
              <w:rPr>
                <w:rFonts w:ascii="宋体" w:eastAsia="宋体" w:hAnsi="宋体" w:cs="宋体" w:hint="eastAsia"/>
                <w:sz w:val="21"/>
                <w:szCs w:val="21"/>
              </w:rPr>
              <w:t>我公司完全响应满足招标文件中此项要求。</w:t>
            </w:r>
          </w:p>
        </w:tc>
        <w:tc>
          <w:tcPr>
            <w:tcW w:w="1262" w:type="dxa"/>
            <w:vAlign w:val="center"/>
          </w:tcPr>
          <w:p>
            <w:pPr>
              <w:spacing w:line="360" w:lineRule="auto"/>
              <w:jc w:val="center"/>
              <w:rPr>
                <w:rFonts w:ascii="宋体" w:eastAsia="宋体" w:hAnsi="宋体" w:cs="宋体" w:hint="eastAsia"/>
                <w:sz w:val="21"/>
                <w:szCs w:val="21"/>
              </w:rPr>
            </w:pPr>
            <w:r>
              <w:rPr>
                <w:rFonts w:ascii="宋体" w:eastAsia="宋体" w:hAnsi="宋体" w:cs="宋体" w:hint="eastAsia"/>
                <w:sz w:val="21"/>
                <w:szCs w:val="21"/>
              </w:rPr>
              <w:t>无偏离</w:t>
            </w:r>
          </w:p>
        </w:tc>
      </w:tr>
    </w:tbl>
    <w:p>
      <w:pPr>
        <w:snapToGrid w:val="0"/>
        <w:spacing w:line="360" w:lineRule="auto"/>
        <w:rPr>
          <w:rFonts w:ascii="宋体" w:eastAsia="宋体" w:hAnsi="宋体" w:cs="宋体" w:hint="eastAsia"/>
          <w:b/>
        </w:rPr>
      </w:pPr>
    </w:p>
    <w:p>
      <w:pPr>
        <w:snapToGrid w:val="0"/>
        <w:spacing w:line="360" w:lineRule="auto"/>
        <w:rPr>
          <w:rFonts w:ascii="宋体" w:eastAsia="宋体" w:hAnsi="宋体" w:cs="宋体" w:hint="eastAsia"/>
          <w:b/>
        </w:rPr>
      </w:pPr>
      <w:r>
        <w:rPr>
          <w:rFonts w:ascii="宋体" w:eastAsia="宋体" w:hAnsi="宋体" w:cs="宋体" w:hint="eastAsia"/>
          <w:b/>
        </w:rPr>
        <w:t>填写说明：</w:t>
      </w:r>
    </w:p>
    <w:p>
      <w:pPr>
        <w:numPr>
          <w:ilvl w:val="0"/>
          <w:numId w:val="1"/>
        </w:numPr>
        <w:snapToGrid w:val="0"/>
        <w:spacing w:after="60" w:afterLines="25" w:line="360" w:lineRule="auto"/>
        <w:ind w:left="360" w:hanging="360"/>
        <w:rPr>
          <w:rFonts w:ascii="宋体" w:eastAsia="宋体" w:hAnsi="宋体" w:cs="宋体" w:hint="eastAsia"/>
        </w:rPr>
      </w:pPr>
      <w:r>
        <w:rPr>
          <w:rFonts w:ascii="宋体" w:eastAsia="宋体" w:hAnsi="宋体" w:cs="宋体"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pPr>
        <w:numPr>
          <w:ilvl w:val="0"/>
          <w:numId w:val="1"/>
        </w:numPr>
        <w:snapToGrid w:val="0"/>
        <w:spacing w:after="60" w:afterLines="25" w:line="360" w:lineRule="auto"/>
        <w:ind w:left="360" w:hanging="360"/>
        <w:rPr>
          <w:rFonts w:ascii="宋体" w:eastAsia="宋体" w:hAnsi="宋体" w:cs="宋体" w:hint="eastAsia"/>
        </w:rPr>
      </w:pPr>
      <w:r>
        <w:rPr>
          <w:rFonts w:ascii="宋体" w:eastAsia="宋体" w:hAnsi="宋体" w:cs="宋体" w:hint="eastAsia"/>
        </w:rPr>
        <w:t>如投标人响应情况优于或低于招标要求的，应在【投标文件响应】栏中作详细说明，如完全满足或符合招标文件要求的则无需说明，参照上一条填写内容即可，评审委员会将根据具体情况给予是否偏离的认定，并以此认定标准为最终评判标准；</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六、拟安排的项目技术负责人情况（仅限一人）</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七、拟安排的项目主要团队成员（主要技术人员）情况（项目经理、项目技术负责人除外）</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八、整体实施方案（格式自定）</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九、项目的重点、难点分析及解决措施（格式自定）</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十、专用测试工具情况（格式自定）</w:t>
      </w:r>
    </w:p>
    <w:p>
      <w:pPr>
        <w:pStyle w:val="Heading3"/>
        <w:jc w:val="center"/>
        <w:rPr>
          <w:rFonts w:cs="宋体" w:hint="eastAsia"/>
          <w:bCs w:val="0"/>
          <w:color w:val="000000" w:themeColor="text1"/>
          <w:sz w:val="24"/>
          <w14:textFill>
            <w14:solidFill>
              <w14:schemeClr w14:val="tx1"/>
            </w14:solidFill>
          </w14:textFill>
        </w:rPr>
      </w:pPr>
      <w:r>
        <w:rPr>
          <w:rFonts w:cs="宋体" w:hint="eastAsia"/>
          <w:bCs w:val="0"/>
          <w:color w:val="000000" w:themeColor="text1"/>
          <w:sz w:val="24"/>
          <w14:textFill>
            <w14:solidFill>
              <w14:schemeClr w14:val="tx1"/>
            </w14:solidFill>
          </w14:textFill>
        </w:rPr>
        <w:t>十一、质量管理体系与保证措施（格式自定）</w:t>
      </w:r>
    </w:p>
    <w:p>
      <w:pPr>
        <w:pStyle w:val="Heading3"/>
        <w:jc w:val="center"/>
        <w:rPr>
          <w:rFonts w:cs="宋体" w:hint="eastAsia"/>
          <w:szCs w:val="28"/>
        </w:rPr>
      </w:pPr>
      <w:r>
        <w:rPr>
          <w:rFonts w:cs="宋体" w:hint="eastAsia"/>
          <w:bCs w:val="0"/>
          <w:color w:val="000000" w:themeColor="text1"/>
          <w:sz w:val="24"/>
          <w14:textFill>
            <w14:solidFill>
              <w14:schemeClr w14:val="tx1"/>
            </w14:solidFill>
          </w14:textFill>
        </w:rPr>
        <w:t>十二、投标人认为需要加以说明的其他内容（格式自定）</w:t>
      </w:r>
    </w:p>
    <w:p>
      <w:pPr>
        <w:rPr>
          <w:rFonts w:ascii="宋体" w:eastAsia="宋体" w:hAnsi="宋体" w:cs="宋体" w:hint="eastAsia"/>
          <w:b/>
          <w:bCs/>
          <w:szCs w:val="20"/>
        </w:rPr>
      </w:pPr>
      <w:r>
        <w:rPr>
          <w:rFonts w:ascii="宋体" w:eastAsia="宋体" w:hAnsi="宋体" w:cs="宋体" w:hint="eastAsia"/>
          <w:b/>
          <w:bCs/>
          <w:szCs w:val="20"/>
        </w:rPr>
        <w:t>（1）政府采购违法行为风险知悉确认书</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本公司在投标前已充分知悉以下情形为参与政府采购活动时的重大风险事项，并承诺已对下述风险提示事项重点排查，做到严谨、诚信、依法依规参与政府采购活动。</w:t>
      </w:r>
    </w:p>
    <w:p>
      <w:pPr>
        <w:ind w:firstLine="480" w:firstLineChars="200"/>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一、本公司已充分知悉“隐瞒真实情况，提供虚假资料”的法定情形，相关情形包括但不限于：</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（一）通过转让或者租借等方式从其他单位获取资格或者资质证书投标的。</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（二）由其他单位或者其他单位负责人在投标供应商编制的投标文件上加盖印章或者签字的。</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（三）项目负责人或者主要技术人员不是本单位人员的。</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（四）投标保证金不是从投标供应商基本账户转出的。</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（五）其他隐瞒真实情况、提供虚假资料的行为。</w:t>
      </w:r>
    </w:p>
    <w:p>
      <w:pPr>
        <w:ind w:firstLine="480" w:firstLineChars="200"/>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二、本公司已充分知悉“与其他采购参加人串通投标”的法定情形，相关情形包括但不限于：</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（一）投标供应商之间相互约定给予未中标的供应商利益补偿。</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（二）不同投标供应商的法定代表人、主要经营负责人、项目投标授权代表人、项目负责人、主要技术人员为同一人、属同一单位或者在同一单位缴纳社会保险。</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（三）不同投标供应商的投标文件由同一单位或者同一人编制，或者由同一人分阶段参与编制的。</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（四）不同投标供应商的投标文件或部分投标文件相互混装。</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（五）不同投标供应商的投标文件内容存在非正常一致。</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（六）由同一单位工作人员为两家以上（含两家）供应商进行同一项投标活动的。</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（七）不同投标人的投标报价呈规律性差异。</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（八）不同投标人的投标保证金从同一单位或者个人的账户转出。</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（九）主管部门依照法律、法规认定的其他情形。</w:t>
      </w:r>
    </w:p>
    <w:p>
      <w:pPr>
        <w:ind w:firstLine="480" w:firstLineChars="200"/>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三、本公司已充分知悉下列情形所对应的法律风险，并在投标前已对相关风险事项进行排查。</w:t>
      </w:r>
    </w:p>
    <w:p>
      <w:pPr>
        <w:autoSpaceDE w:val="0"/>
        <w:autoSpaceDN w:val="0"/>
        <w:ind w:firstLine="480" w:firstLineChars="200"/>
        <w:rPr>
          <w:rFonts w:ascii="宋体" w:eastAsia="宋体" w:hAnsi="宋体" w:cs="宋体" w:hint="eastAsia"/>
          <w:b/>
          <w:bCs/>
          <w:spacing w:val="-4"/>
          <w:sz w:val="21"/>
          <w:szCs w:val="21"/>
          <w:highlight w:val="yellow"/>
        </w:rPr>
      </w:pPr>
      <w:r>
        <w:rPr>
          <w:rFonts w:ascii="宋体" w:eastAsia="宋体" w:hAnsi="宋体" w:cs="宋体" w:hint="eastAsia"/>
          <w:spacing w:val="-4"/>
          <w:sz w:val="21"/>
          <w:szCs w:val="21"/>
          <w:highlight w:val="yellow"/>
        </w:rPr>
        <w:t>（一）对于从其他主体获取的投标资料，供应商应审慎核查，确保投标资料的真实性。</w:t>
      </w:r>
      <w:r>
        <w:rPr>
          <w:rFonts w:ascii="宋体" w:eastAsia="宋体" w:hAnsi="宋体" w:cs="宋体" w:hint="eastAsia"/>
          <w:b/>
          <w:bCs/>
          <w:spacing w:val="-4"/>
          <w:sz w:val="21"/>
          <w:szCs w:val="21"/>
          <w:highlight w:val="yellow"/>
        </w:rPr>
        <w:t>如主管部门查实投标文件中存在虚假资料的，无论相关资料是否由第三方或本公司员工提供，均不影响主管部门对供应商存在“隐瞒真实情况，提供虚假资料”违法行为的认定。</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（二）对于涉及国家机关出具的公文、证件、证明材料等文件，一旦涉嫌虚假，经查实，主管部门将依法从严处理，并移送有关部门追究法律责任；涉嫌犯罪的，主管部门将一并移送司法机关追究法律责任。</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（三）对于涉及安全生产、特种作业、抢险救灾、防疫等政府采购项目，供应商实施提供虚假资料、串通投标等违法行为的，主管部门将依法从严处理。</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pPr>
        <w:widowControl w:val="0"/>
        <w:autoSpaceDE w:val="0"/>
        <w:autoSpaceDN w:val="0"/>
        <w:ind w:firstLine="480" w:firstLineChars="200"/>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（六）单位负责人为同一人或者存在直接控股、管理关系的不同供应商，不得参加同一合同项下的政府采购活动。相关情形如查实，依法作投标无效处理；涉嫌串通投标等违法行为的，主管部门将依法调查处理。</w:t>
      </w:r>
    </w:p>
    <w:p>
      <w:pPr>
        <w:widowControl w:val="0"/>
        <w:autoSpaceDE w:val="0"/>
        <w:autoSpaceDN w:val="0"/>
        <w:ind w:firstLine="480" w:firstLineChars="200"/>
        <w:rPr>
          <w:rFonts w:ascii="宋体" w:eastAsia="宋体" w:hAnsi="宋体" w:cs="宋体" w:hint="eastAsia"/>
          <w:b/>
          <w:bCs/>
          <w:sz w:val="21"/>
          <w:szCs w:val="21"/>
          <w:highlight w:val="yellow"/>
        </w:rPr>
      </w:pPr>
      <w:r>
        <w:rPr>
          <w:rFonts w:ascii="宋体" w:eastAsia="宋体" w:hAnsi="宋体" w:cs="宋体" w:hint="eastAsia"/>
          <w:b/>
          <w:bCs/>
          <w:sz w:val="21"/>
          <w:szCs w:val="21"/>
          <w:highlight w:val="yellow"/>
        </w:rPr>
        <w:t>四、本公司已充分知悉政府采购违法、违规行为的法律后果。</w:t>
      </w:r>
    </w:p>
    <w:p>
      <w:pPr>
        <w:widowControl w:val="0"/>
        <w:autoSpaceDE w:val="0"/>
        <w:autoSpaceDN w:val="0"/>
        <w:ind w:firstLine="480" w:firstLineChars="200"/>
        <w:rPr>
          <w:rFonts w:ascii="宋体" w:eastAsia="宋体" w:hAnsi="宋体" w:cs="宋体" w:hint="eastAsia"/>
          <w:b/>
          <w:bCs/>
          <w:spacing w:val="-4"/>
          <w:sz w:val="21"/>
          <w:szCs w:val="21"/>
          <w:highlight w:val="yellow"/>
        </w:rPr>
      </w:pPr>
      <w:r>
        <w:rPr>
          <w:rFonts w:ascii="宋体" w:eastAsia="宋体" w:hAnsi="宋体" w:cs="宋体" w:hint="eastAsia"/>
          <w:spacing w:val="-4"/>
          <w:sz w:val="21"/>
          <w:szCs w:val="21"/>
          <w:highlight w:val="yellow"/>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Pr>
          <w:rFonts w:ascii="宋体" w:eastAsia="宋体" w:hAnsi="宋体" w:cs="宋体" w:hint="eastAsia"/>
          <w:b/>
          <w:bCs/>
          <w:spacing w:val="-4"/>
          <w:sz w:val="21"/>
          <w:szCs w:val="21"/>
          <w:highlight w:val="yellow"/>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
      <w:tblGrid>
        <w:gridCol w:w="8522"/>
      </w:tblGrid>
      <w:tr>
        <w:tblPrEx>
          <w:tblW w:w="0" w:type="auto"/>
          <w:tblInd w:w="0" w:type="dxa"/>
          <w:tblBorders>
            <w:top w:val="nil"/>
            <w:left w:val="nil"/>
            <w:bottom w:val="single" w:sz="4" w:space="0" w:color="auto"/>
            <w:right w:val="nil"/>
            <w:insideH w:val="nil"/>
            <w:insideV w:val="nil"/>
          </w:tblBorders>
          <w:tblCellMar>
            <w:top w:w="0" w:type="dxa"/>
            <w:left w:w="108" w:type="dxa"/>
            <w:bottom w:w="0" w:type="dxa"/>
            <w:right w:w="108" w:type="dxa"/>
          </w:tblCellMar>
        </w:tblPrEx>
        <w:trPr>
          <w:trHeight w:val="304"/>
        </w:trPr>
        <w:tc>
          <w:tcPr>
            <w:tcW w:w="8529" w:type="dxa"/>
            <w:tcBorders>
              <w:top w:val="nil"/>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000000"/>
              <w:right w:val="nil"/>
            </w:tcBorders>
          </w:tcPr>
          <w:p>
            <w:pPr>
              <w:widowControl w:val="0"/>
              <w:autoSpaceDE w:val="0"/>
              <w:autoSpaceDN w:val="0"/>
              <w:jc w:val="left"/>
              <w:rPr>
                <w:rFonts w:ascii="宋体" w:eastAsia="宋体" w:hAnsi="宋体" w:cs="宋体" w:hint="eastAsia"/>
                <w:spacing w:val="-4"/>
                <w:sz w:val="21"/>
                <w:szCs w:val="21"/>
                <w:highlight w:val="green"/>
              </w:rPr>
            </w:pPr>
          </w:p>
        </w:tc>
      </w:tr>
      <w:tr>
        <w:tblPrEx>
          <w:tblW w:w="0" w:type="auto"/>
          <w:tblInd w:w="0" w:type="dxa"/>
          <w:tblCellMar>
            <w:top w:w="0" w:type="dxa"/>
            <w:left w:w="108" w:type="dxa"/>
            <w:bottom w:w="0" w:type="dxa"/>
            <w:right w:w="108" w:type="dxa"/>
          </w:tblCellMar>
        </w:tblPrEx>
        <w:tc>
          <w:tcPr>
            <w:tcW w:w="8529" w:type="dxa"/>
            <w:tcBorders>
              <w:top w:val="single" w:sz="8" w:space="0" w:color="000000"/>
              <w:left w:val="nil"/>
              <w:bottom w:val="single" w:sz="8" w:space="0" w:color="auto"/>
              <w:right w:val="nil"/>
            </w:tcBorders>
          </w:tcPr>
          <w:p>
            <w:pPr>
              <w:widowControl w:val="0"/>
              <w:autoSpaceDE w:val="0"/>
              <w:autoSpaceDN w:val="0"/>
              <w:jc w:val="left"/>
              <w:rPr>
                <w:rFonts w:ascii="宋体" w:eastAsia="宋体" w:hAnsi="宋体" w:cs="宋体" w:hint="eastAsia"/>
                <w:spacing w:val="-4"/>
                <w:sz w:val="21"/>
                <w:szCs w:val="21"/>
                <w:highlight w:val="green"/>
              </w:rPr>
            </w:pPr>
          </w:p>
        </w:tc>
      </w:tr>
    </w:tbl>
    <w:p>
      <w:pPr>
        <w:widowControl w:val="0"/>
        <w:autoSpaceDE w:val="0"/>
        <w:autoSpaceDN w:val="0"/>
        <w:ind w:firstLine="480" w:firstLineChars="200"/>
        <w:rPr>
          <w:rFonts w:ascii="宋体" w:eastAsia="宋体" w:hAnsi="宋体" w:cs="宋体" w:hint="eastAsia"/>
          <w:b/>
          <w:bCs/>
          <w:color w:val="FF0000"/>
          <w:spacing w:val="-4"/>
          <w:sz w:val="21"/>
          <w:szCs w:val="21"/>
          <w:highlight w:val="yellow"/>
        </w:rPr>
      </w:pPr>
      <w:r>
        <w:rPr>
          <w:rFonts w:ascii="宋体" w:eastAsia="宋体" w:hAnsi="宋体" w:cs="宋体" w:hint="eastAsia"/>
          <w:b/>
          <w:bCs/>
          <w:color w:val="FF0000"/>
          <w:spacing w:val="-4"/>
          <w:sz w:val="21"/>
          <w:szCs w:val="21"/>
          <w:highlight w:val="yellow"/>
        </w:rPr>
        <w:t>注：1.政府采购违法行为风险知悉确认书不作为资格性审查及符合性审查条件。</w:t>
      </w:r>
    </w:p>
    <w:p>
      <w:pPr>
        <w:widowControl w:val="0"/>
        <w:autoSpaceDE w:val="0"/>
        <w:autoSpaceDN w:val="0"/>
        <w:ind w:firstLine="480" w:firstLineChars="200"/>
        <w:rPr>
          <w:rFonts w:ascii="宋体" w:eastAsia="宋体" w:hAnsi="宋体" w:cs="宋体" w:hint="eastAsia"/>
          <w:color w:val="FF0000"/>
          <w:spacing w:val="-4"/>
          <w:sz w:val="21"/>
          <w:szCs w:val="21"/>
          <w:highlight w:val="yellow"/>
        </w:rPr>
      </w:pPr>
      <w:r>
        <w:rPr>
          <w:rFonts w:ascii="宋体" w:eastAsia="宋体" w:hAnsi="宋体" w:cs="宋体" w:hint="eastAsia"/>
          <w:b/>
          <w:bCs/>
          <w:color w:val="FF0000"/>
          <w:spacing w:val="-4"/>
          <w:sz w:val="21"/>
          <w:szCs w:val="21"/>
          <w:highlight w:val="yellow"/>
        </w:rPr>
        <w:t>2.投标供应商负责人或投标授权代表签字并加盖单位公章后，扫描上传至投标文件一并提交。</w:t>
      </w:r>
    </w:p>
    <w:p>
      <w:pPr>
        <w:widowControl w:val="0"/>
        <w:wordWrap w:val="0"/>
        <w:autoSpaceDE w:val="0"/>
        <w:autoSpaceDN w:val="0"/>
        <w:ind w:firstLine="480" w:firstLineChars="200"/>
        <w:jc w:val="right"/>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 xml:space="preserve">负责人/投标授权代表签名：     </w:t>
      </w:r>
    </w:p>
    <w:p>
      <w:pPr>
        <w:widowControl w:val="0"/>
        <w:wordWrap w:val="0"/>
        <w:autoSpaceDE w:val="0"/>
        <w:autoSpaceDN w:val="0"/>
        <w:ind w:firstLine="480" w:firstLineChars="200"/>
        <w:jc w:val="right"/>
        <w:rPr>
          <w:rFonts w:ascii="宋体" w:eastAsia="宋体" w:hAnsi="宋体" w:cs="宋体" w:hint="eastAsia"/>
          <w:spacing w:val="-4"/>
          <w:sz w:val="21"/>
          <w:szCs w:val="21"/>
          <w:highlight w:val="yellow"/>
        </w:rPr>
      </w:pPr>
      <w:r>
        <w:rPr>
          <w:rFonts w:ascii="宋体" w:eastAsia="宋体" w:hAnsi="宋体" w:cs="宋体" w:hint="eastAsia"/>
          <w:spacing w:val="-4"/>
          <w:sz w:val="21"/>
          <w:szCs w:val="21"/>
          <w:highlight w:val="yellow"/>
        </w:rPr>
        <w:t xml:space="preserve">知悉人（公章）：     </w:t>
      </w:r>
    </w:p>
    <w:p>
      <w:pPr>
        <w:widowControl w:val="0"/>
        <w:wordWrap w:val="0"/>
        <w:autoSpaceDE w:val="0"/>
        <w:autoSpaceDN w:val="0"/>
        <w:ind w:firstLine="480" w:firstLineChars="200"/>
        <w:jc w:val="right"/>
        <w:rPr>
          <w:rFonts w:ascii="宋体" w:eastAsia="宋体" w:hAnsi="宋体" w:cs="宋体" w:hint="eastAsia"/>
          <w:sz w:val="21"/>
          <w:szCs w:val="21"/>
          <w:highlight w:val="yellow"/>
        </w:rPr>
      </w:pPr>
      <w:r>
        <w:rPr>
          <w:rFonts w:ascii="宋体" w:eastAsia="宋体" w:hAnsi="宋体" w:cs="宋体" w:hint="eastAsia"/>
          <w:spacing w:val="-4"/>
          <w:sz w:val="21"/>
          <w:szCs w:val="21"/>
          <w:highlight w:val="yellow"/>
        </w:rPr>
        <w:t xml:space="preserve">日期：     </w:t>
      </w:r>
    </w:p>
    <w:p>
      <w:pPr>
        <w:widowControl w:val="0"/>
        <w:spacing w:line="360" w:lineRule="auto"/>
        <w:jc w:val="both"/>
        <w:rPr>
          <w:rFonts w:ascii="宋体" w:eastAsia="宋体" w:hAnsi="宋体" w:cs="宋体" w:hint="eastAsia"/>
          <w:b/>
          <w:bCs/>
          <w:kern w:val="2"/>
        </w:rPr>
      </w:pPr>
    </w:p>
    <w:p>
      <w:pPr>
        <w:rPr>
          <w:rFonts w:ascii="宋体" w:eastAsia="宋体" w:hAnsi="宋体" w:cs="宋体" w:hint="eastAsia"/>
          <w:szCs w:val="20"/>
        </w:rPr>
      </w:pPr>
    </w:p>
    <w:p>
      <w:pPr>
        <w:rPr>
          <w:rFonts w:ascii="宋体" w:eastAsia="宋体" w:hAnsi="宋体" w:cs="宋体" w:hint="eastAsia"/>
          <w:b/>
          <w:bCs/>
        </w:rPr>
      </w:pPr>
      <w:r>
        <w:rPr>
          <w:rFonts w:ascii="宋体" w:eastAsia="宋体" w:hAnsi="宋体" w:cs="宋体" w:hint="eastAsia"/>
          <w:b/>
          <w:bCs/>
          <w:szCs w:val="20"/>
        </w:rPr>
        <w:t>（2）投标人认为需要加以说明的其他内容</w:t>
      </w: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Heading2"/>
        <w:rPr>
          <w:rFonts w:cs="宋体" w:hint="eastAsia"/>
          <w:color w:val="000000" w:themeColor="text1"/>
          <w14:textFill>
            <w14:solidFill>
              <w14:schemeClr w14:val="tx1"/>
            </w14:solidFill>
          </w14:textFill>
        </w:rPr>
      </w:pPr>
      <w:r>
        <w:rPr>
          <w:rFonts w:cs="宋体" w:hint="eastAsia"/>
          <w:color w:val="000000" w:themeColor="text1"/>
          <w14:textFill>
            <w14:solidFill>
              <w14:schemeClr w14:val="tx1"/>
            </w14:solidFill>
          </w14:textFill>
        </w:rPr>
        <w:br w:type="page"/>
      </w:r>
      <w:r>
        <w:rPr>
          <w:rFonts w:cs="宋体" w:hint="eastAsia"/>
          <w:color w:val="000000" w:themeColor="text1"/>
          <w14:textFill>
            <w14:solidFill>
              <w14:schemeClr w14:val="tx1"/>
            </w14:solidFill>
          </w14:textFill>
        </w:rPr>
        <w:t>第五章  合同条款及格式</w:t>
      </w:r>
    </w:p>
    <w:p>
      <w:pPr>
        <w:spacing w:line="360" w:lineRule="auto"/>
        <w:jc w:val="center"/>
        <w:rPr>
          <w:rFonts w:ascii="宋体" w:eastAsia="黑体" w:hAnsi="宋体" w:hint="eastAsia"/>
          <w:bCs/>
          <w:kern w:val="44"/>
          <w:sz w:val="28"/>
          <w:szCs w:val="44"/>
        </w:rPr>
      </w:pPr>
      <w:bookmarkStart w:id="45" w:name="_Hlk72574405"/>
      <w:r>
        <w:rPr>
          <w:rFonts w:ascii="宋体" w:eastAsia="宋体" w:hAnsi="宋体" w:cs="宋体" w:hint="eastAsia"/>
          <w:b/>
        </w:rPr>
        <w:t>（仅供参考，具体以项目需求及采购结果为准）</w:t>
      </w:r>
    </w:p>
    <w:p>
      <w:pPr>
        <w:snapToGrid w:val="0"/>
        <w:spacing w:line="300" w:lineRule="auto"/>
        <w:rPr>
          <w:rFonts w:ascii="宋体" w:eastAsia="宋体" w:hAnsi="宋体" w:hint="eastAsia"/>
          <w:u w:val="single"/>
        </w:rPr>
      </w:pPr>
      <w:r>
        <w:rPr>
          <w:rFonts w:ascii="宋体" w:eastAsia="宋体" w:hAnsi="宋体" w:hint="eastAsia"/>
        </w:rPr>
        <w:t>甲方：</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乙方: </w:t>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u w:val="single"/>
        </w:rPr>
        <w:tab/>
      </w:r>
      <w:r>
        <w:rPr>
          <w:rFonts w:ascii="宋体" w:eastAsia="宋体" w:hAnsi="宋体" w:hint="eastAsia"/>
          <w:u w:val="single"/>
        </w:rPr>
        <w:t xml:space="preserve">  </w:t>
      </w:r>
    </w:p>
    <w:p>
      <w:pPr>
        <w:snapToGrid w:val="0"/>
        <w:spacing w:line="300" w:lineRule="auto"/>
        <w:rPr>
          <w:rFonts w:ascii="宋体" w:eastAsia="宋体" w:hAnsi="宋体" w:hint="eastAsia"/>
        </w:rPr>
      </w:pPr>
      <w:r>
        <w:rPr>
          <w:rFonts w:ascii="宋体" w:eastAsia="宋体" w:hAnsi="宋体" w:hint="eastAsia"/>
        </w:rPr>
        <w:t>住所地：</w:t>
      </w:r>
      <w:r>
        <w:rPr>
          <w:rFonts w:ascii="宋体" w:eastAsia="宋体" w:hAnsi="宋体" w:hint="eastAsia"/>
          <w:u w:val="single"/>
        </w:rPr>
        <w:t xml:space="preserve">                    </w:t>
      </w:r>
      <w:r>
        <w:rPr>
          <w:rFonts w:ascii="宋体" w:eastAsia="宋体" w:hAnsi="宋体" w:hint="eastAsia"/>
        </w:rPr>
        <w:t xml:space="preserve">   住所地：</w:t>
      </w:r>
      <w:r>
        <w:rPr>
          <w:rFonts w:ascii="宋体" w:eastAsia="宋体" w:hAnsi="宋体" w:hint="eastAsia"/>
          <w:u w:val="single"/>
        </w:rPr>
        <w:t xml:space="preserve">                    </w:t>
      </w:r>
    </w:p>
    <w:p>
      <w:pPr>
        <w:snapToGrid w:val="0"/>
        <w:spacing w:line="300" w:lineRule="auto"/>
        <w:rPr>
          <w:rFonts w:ascii="宋体" w:eastAsia="宋体" w:hAnsi="宋体" w:hint="eastAsia"/>
        </w:rPr>
      </w:pPr>
      <w:r>
        <w:rPr>
          <w:rFonts w:ascii="宋体" w:eastAsia="宋体" w:hAnsi="宋体" w:hint="eastAsia"/>
        </w:rPr>
        <w:t>法定代表人：</w:t>
      </w:r>
      <w:r>
        <w:rPr>
          <w:rFonts w:ascii="宋体" w:eastAsia="宋体" w:hAnsi="宋体" w:hint="eastAsia"/>
          <w:u w:val="single"/>
        </w:rPr>
        <w:t xml:space="preserve">                </w:t>
      </w:r>
      <w:r>
        <w:rPr>
          <w:rFonts w:ascii="宋体" w:eastAsia="宋体" w:hAnsi="宋体" w:hint="eastAsia"/>
        </w:rPr>
        <w:t xml:space="preserve">   法定代表人：</w:t>
      </w:r>
      <w:r>
        <w:rPr>
          <w:rFonts w:ascii="宋体" w:eastAsia="宋体" w:hAnsi="宋体" w:hint="eastAsia"/>
          <w:u w:val="single"/>
        </w:rPr>
        <w:t xml:space="preserve">                </w:t>
      </w:r>
    </w:p>
    <w:p>
      <w:pPr>
        <w:snapToGrid w:val="0"/>
        <w:spacing w:line="300" w:lineRule="auto"/>
        <w:rPr>
          <w:rFonts w:ascii="宋体" w:eastAsia="宋体" w:hAnsi="宋体" w:hint="eastAsia"/>
        </w:rPr>
      </w:pPr>
      <w:r>
        <w:rPr>
          <w:rFonts w:ascii="宋体" w:eastAsia="宋体" w:hAnsi="宋体" w:hint="eastAsia"/>
        </w:rPr>
        <w:t>联系人：</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联系人：</w:t>
      </w:r>
      <w:r>
        <w:rPr>
          <w:rFonts w:ascii="宋体" w:eastAsia="宋体" w:hAnsi="宋体" w:hint="eastAsia"/>
          <w:u w:val="single"/>
        </w:rPr>
        <w:t xml:space="preserve">                    </w:t>
      </w:r>
    </w:p>
    <w:p>
      <w:pPr>
        <w:snapToGrid w:val="0"/>
        <w:spacing w:line="300" w:lineRule="auto"/>
        <w:rPr>
          <w:rFonts w:ascii="宋体" w:eastAsia="宋体" w:hAnsi="宋体" w:hint="eastAsia"/>
        </w:rPr>
      </w:pPr>
      <w:r>
        <w:rPr>
          <w:rFonts w:ascii="宋体" w:eastAsia="宋体" w:hAnsi="宋体" w:hint="eastAsia"/>
        </w:rPr>
        <w:t>电话：</w:t>
      </w:r>
      <w:r>
        <w:rPr>
          <w:rFonts w:ascii="宋体" w:eastAsia="宋体" w:hAnsi="宋体" w:hint="eastAsia"/>
          <w:u w:val="single"/>
        </w:rPr>
        <w:tab/>
      </w:r>
      <w:r>
        <w:rPr>
          <w:rFonts w:ascii="宋体" w:eastAsia="宋体" w:hAnsi="宋体" w:hint="eastAsia"/>
          <w:u w:val="single"/>
        </w:rPr>
        <w:tab/>
      </w:r>
      <w:r>
        <w:rPr>
          <w:rFonts w:ascii="宋体" w:eastAsia="宋体" w:hAnsi="宋体" w:hint="eastAsia"/>
          <w:u w:val="single"/>
        </w:rPr>
        <w:t xml:space="preserve">                </w:t>
      </w:r>
      <w:r>
        <w:rPr>
          <w:rFonts w:ascii="宋体" w:eastAsia="宋体" w:hAnsi="宋体" w:hint="eastAsia"/>
        </w:rPr>
        <w:t xml:space="preserve">   电话：</w:t>
      </w:r>
      <w:r>
        <w:rPr>
          <w:rFonts w:ascii="宋体" w:eastAsia="宋体" w:hAnsi="宋体" w:hint="eastAsia"/>
          <w:u w:val="single"/>
        </w:rPr>
        <w:t xml:space="preserve">                      </w:t>
      </w:r>
    </w:p>
    <w:p>
      <w:pPr>
        <w:snapToGrid w:val="0"/>
        <w:spacing w:line="300" w:lineRule="auto"/>
        <w:rPr>
          <w:rFonts w:ascii="宋体" w:eastAsia="宋体" w:hAnsi="宋体" w:hint="eastAsia"/>
        </w:rPr>
      </w:pPr>
      <w:r>
        <w:rPr>
          <w:rFonts w:ascii="宋体" w:eastAsia="宋体" w:hAnsi="宋体" w:hint="eastAsia"/>
        </w:rPr>
        <w:t>传真：</w:t>
      </w:r>
      <w:r>
        <w:rPr>
          <w:rFonts w:ascii="宋体" w:eastAsia="宋体" w:hAnsi="宋体" w:hint="eastAsia"/>
          <w:u w:val="single"/>
        </w:rPr>
        <w:t xml:space="preserve">                      </w:t>
      </w:r>
      <w:r>
        <w:rPr>
          <w:rFonts w:ascii="宋体" w:eastAsia="宋体" w:hAnsi="宋体" w:hint="eastAsia"/>
        </w:rPr>
        <w:t xml:space="preserve">   传真：</w:t>
      </w:r>
      <w:r>
        <w:rPr>
          <w:rFonts w:ascii="宋体" w:eastAsia="宋体" w:hAnsi="宋体" w:hint="eastAsia"/>
          <w:u w:val="single"/>
        </w:rPr>
        <w:t xml:space="preserve">                      </w:t>
      </w:r>
    </w:p>
    <w:p>
      <w:pPr>
        <w:snapToGrid w:val="0"/>
        <w:spacing w:line="360" w:lineRule="auto"/>
        <w:rPr>
          <w:rFonts w:ascii="宋体" w:eastAsia="宋体" w:hAnsi="宋体" w:hint="eastAsia"/>
        </w:rPr>
      </w:pPr>
    </w:p>
    <w:p>
      <w:pPr>
        <w:tabs>
          <w:tab w:val="left" w:pos="0"/>
        </w:tabs>
        <w:snapToGrid w:val="0"/>
        <w:spacing w:line="360" w:lineRule="auto"/>
        <w:rPr>
          <w:rFonts w:ascii="宋体" w:eastAsia="宋体" w:hAnsi="宋体" w:hint="eastAsia"/>
          <w:b/>
        </w:rPr>
      </w:pPr>
      <w:r>
        <w:rPr>
          <w:rFonts w:ascii="宋体" w:eastAsia="宋体" w:hAnsi="宋体" w:hint="eastAsia"/>
          <w:b/>
        </w:rPr>
        <w:t>第一条 项目基本情况</w:t>
      </w:r>
    </w:p>
    <w:p>
      <w:pPr>
        <w:tabs>
          <w:tab w:val="left" w:pos="0"/>
        </w:tabs>
        <w:snapToGrid w:val="0"/>
        <w:spacing w:line="300" w:lineRule="auto"/>
        <w:ind w:firstLine="555"/>
        <w:rPr>
          <w:rFonts w:ascii="宋体" w:eastAsia="宋体" w:hAnsi="宋体" w:hint="eastAsia"/>
        </w:rPr>
      </w:pPr>
      <w:r>
        <w:rPr>
          <w:rFonts w:ascii="宋体" w:eastAsia="宋体" w:hAnsi="宋体" w:hint="eastAsia"/>
        </w:rPr>
        <w:t>根据友和保险经纪有限公司</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hint="eastAsia"/>
        </w:rPr>
        <w:t>项目（招标编号：</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u w:val="single"/>
        </w:rPr>
        <w:t xml:space="preserve"> </w:t>
      </w:r>
      <w:r>
        <w:rPr>
          <w:rFonts w:ascii="宋体" w:eastAsia="宋体" w:hAnsi="宋体" w:hint="eastAsia"/>
          <w:u w:val="single"/>
        </w:rPr>
        <w:t xml:space="preserve"> </w:t>
      </w:r>
      <w:r>
        <w:rPr>
          <w:rFonts w:ascii="宋体" w:eastAsia="宋体" w:hAnsi="宋体" w:hint="eastAsia"/>
        </w:rPr>
        <w:t>）结果，</w:t>
      </w:r>
      <w:r>
        <w:rPr>
          <w:rFonts w:ascii="宋体" w:eastAsia="宋体" w:hAnsi="宋体" w:hint="eastAsia"/>
          <w:u w:val="single"/>
        </w:rPr>
        <w:t xml:space="preserve">        </w:t>
      </w:r>
      <w:r>
        <w:rPr>
          <w:rFonts w:ascii="宋体" w:eastAsia="宋体" w:hAnsi="宋体" w:hint="eastAsia"/>
        </w:rPr>
        <w:t>为中标人。按照《中华人民共和国民法典》（第三编 合同）》和《深圳经济特区政府采购条例》，经</w:t>
      </w:r>
      <w:r>
        <w:rPr>
          <w:rFonts w:ascii="宋体" w:eastAsia="宋体" w:hAnsi="宋体" w:hint="eastAsia"/>
          <w:u w:val="single"/>
        </w:rPr>
        <w:t xml:space="preserve">        </w:t>
      </w:r>
      <w:r>
        <w:rPr>
          <w:rFonts w:ascii="宋体" w:eastAsia="宋体" w:hAnsi="宋体" w:hint="eastAsia"/>
        </w:rPr>
        <w:t>（以下简称甲方）和</w:t>
      </w:r>
      <w:r>
        <w:rPr>
          <w:rFonts w:ascii="宋体" w:eastAsia="宋体" w:hAnsi="宋体" w:hint="eastAsia"/>
          <w:u w:val="single"/>
        </w:rPr>
        <w:t xml:space="preserve">        </w:t>
      </w:r>
      <w:r>
        <w:rPr>
          <w:rFonts w:ascii="宋体" w:eastAsia="宋体" w:hAnsi="宋体" w:hint="eastAsia"/>
        </w:rPr>
        <w:t>（以下简称乙方）协商，达成本合同条款。</w:t>
      </w:r>
    </w:p>
    <w:p>
      <w:pPr>
        <w:tabs>
          <w:tab w:val="left" w:pos="0"/>
        </w:tabs>
        <w:snapToGrid w:val="0"/>
        <w:spacing w:line="360" w:lineRule="auto"/>
        <w:rPr>
          <w:rFonts w:ascii="宋体" w:eastAsia="宋体" w:hAnsi="宋体" w:hint="eastAsia"/>
        </w:rPr>
      </w:pPr>
      <w:r>
        <w:rPr>
          <w:rFonts w:ascii="宋体" w:eastAsia="宋体" w:hAnsi="宋体" w:hint="eastAsia"/>
          <w:b/>
        </w:rPr>
        <w:t>第二条 合同标的内容（标的数量或质量等）</w:t>
      </w:r>
    </w:p>
    <w:p>
      <w:pPr>
        <w:tabs>
          <w:tab w:val="left" w:pos="0"/>
        </w:tabs>
        <w:snapToGrid w:val="0"/>
        <w:spacing w:line="360" w:lineRule="auto"/>
        <w:rPr>
          <w:rFonts w:ascii="宋体" w:eastAsia="宋体" w:hAnsi="宋体" w:hint="eastAsia"/>
          <w:b/>
        </w:rPr>
      </w:pPr>
      <w:r>
        <w:rPr>
          <w:rFonts w:ascii="宋体" w:eastAsia="宋体" w:hAnsi="宋体" w:hint="eastAsia"/>
          <w:b/>
        </w:rPr>
        <w:t>第三条 合同价款（金额）</w:t>
      </w:r>
    </w:p>
    <w:p>
      <w:pPr>
        <w:tabs>
          <w:tab w:val="left" w:pos="0"/>
        </w:tabs>
        <w:snapToGrid w:val="0"/>
        <w:spacing w:line="360" w:lineRule="auto"/>
        <w:rPr>
          <w:rFonts w:ascii="宋体" w:eastAsia="宋体" w:hAnsi="宋体" w:hint="eastAsia"/>
          <w:b/>
        </w:rPr>
      </w:pPr>
      <w:r>
        <w:rPr>
          <w:rFonts w:ascii="宋体" w:eastAsia="宋体" w:hAnsi="宋体" w:hint="eastAsia"/>
          <w:b/>
        </w:rPr>
        <w:t>第四条 项目履约（交付、交货）地点</w:t>
      </w:r>
    </w:p>
    <w:p>
      <w:pPr>
        <w:tabs>
          <w:tab w:val="left" w:pos="0"/>
        </w:tabs>
        <w:snapToGrid w:val="0"/>
        <w:spacing w:line="360" w:lineRule="auto"/>
        <w:ind w:left="-1" w:firstLine="480" w:firstLineChars="200"/>
        <w:rPr>
          <w:rFonts w:ascii="宋体" w:eastAsia="宋体" w:hAnsi="宋体" w:hint="eastAsia"/>
        </w:rPr>
      </w:pPr>
      <w:r>
        <w:rPr>
          <w:rFonts w:ascii="宋体" w:eastAsia="宋体" w:hAnsi="宋体" w:hint="eastAsia"/>
        </w:rPr>
        <w:t>深圳市</w:t>
      </w:r>
      <w:r>
        <w:rPr>
          <w:rFonts w:ascii="宋体" w:eastAsia="宋体" w:hAnsi="宋体" w:hint="eastAsia"/>
          <w:u w:val="single"/>
        </w:rPr>
        <w:t xml:space="preserve">      </w:t>
      </w:r>
      <w:r>
        <w:rPr>
          <w:rFonts w:ascii="宋体" w:eastAsia="宋体" w:hAnsi="宋体" w:hint="eastAsia"/>
        </w:rPr>
        <w:t>区。</w:t>
      </w:r>
    </w:p>
    <w:p>
      <w:pPr>
        <w:tabs>
          <w:tab w:val="left" w:pos="0"/>
        </w:tabs>
        <w:snapToGrid w:val="0"/>
        <w:spacing w:line="360" w:lineRule="auto"/>
        <w:rPr>
          <w:rFonts w:ascii="宋体" w:eastAsia="宋体" w:hAnsi="宋体" w:hint="eastAsia"/>
          <w:b/>
        </w:rPr>
      </w:pPr>
      <w:r>
        <w:rPr>
          <w:rFonts w:ascii="宋体" w:eastAsia="宋体" w:hAnsi="宋体" w:hint="eastAsia"/>
          <w:b/>
        </w:rPr>
        <w:t>第五条 项目服务期（完工期、履约时间、交货时间）</w:t>
      </w:r>
    </w:p>
    <w:p>
      <w:pPr>
        <w:tabs>
          <w:tab w:val="left" w:pos="0"/>
        </w:tabs>
        <w:snapToGrid w:val="0"/>
        <w:spacing w:line="360" w:lineRule="auto"/>
        <w:ind w:left="-1" w:firstLine="480" w:firstLineChars="200"/>
        <w:rPr>
          <w:rFonts w:ascii="宋体" w:eastAsia="宋体" w:hAnsi="宋体" w:hint="eastAsia"/>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hint="eastAsia"/>
          <w:b/>
        </w:rPr>
      </w:pPr>
      <w:r>
        <w:rPr>
          <w:rFonts w:ascii="宋体" w:eastAsia="宋体" w:hAnsi="宋体" w:hint="eastAsia"/>
          <w:b/>
        </w:rPr>
        <w:t>第六条 付款期限及方式</w:t>
      </w:r>
    </w:p>
    <w:p>
      <w:pPr>
        <w:tabs>
          <w:tab w:val="left" w:pos="0"/>
        </w:tabs>
        <w:snapToGrid w:val="0"/>
        <w:spacing w:line="360" w:lineRule="auto"/>
        <w:ind w:left="-1" w:firstLine="480" w:firstLineChars="200"/>
        <w:rPr>
          <w:rFonts w:ascii="宋体" w:eastAsia="宋体" w:hAnsi="宋体" w:hint="eastAsia"/>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hint="eastAsia"/>
          <w:b/>
        </w:rPr>
      </w:pPr>
      <w:r>
        <w:rPr>
          <w:rFonts w:ascii="宋体" w:eastAsia="宋体" w:hAnsi="宋体" w:hint="eastAsia"/>
          <w:b/>
        </w:rPr>
        <w:t>第七条 项目验收标准及方式</w:t>
      </w:r>
    </w:p>
    <w:p>
      <w:pPr>
        <w:tabs>
          <w:tab w:val="left" w:pos="0"/>
        </w:tabs>
        <w:snapToGrid w:val="0"/>
        <w:spacing w:line="360" w:lineRule="auto"/>
        <w:ind w:left="-1" w:firstLine="480" w:firstLineChars="200"/>
        <w:rPr>
          <w:rFonts w:ascii="宋体" w:eastAsia="宋体" w:hAnsi="宋体" w:hint="eastAsia"/>
        </w:rPr>
      </w:pPr>
      <w:r>
        <w:rPr>
          <w:rFonts w:ascii="宋体" w:eastAsia="宋体" w:hAnsi="宋体" w:hint="eastAsia"/>
        </w:rPr>
        <w:t>（具体按本项目需求与投标人承诺内容拟定）</w:t>
      </w:r>
    </w:p>
    <w:p>
      <w:pPr>
        <w:tabs>
          <w:tab w:val="left" w:pos="0"/>
        </w:tabs>
        <w:snapToGrid w:val="0"/>
        <w:spacing w:line="360" w:lineRule="auto"/>
        <w:rPr>
          <w:rFonts w:ascii="宋体" w:eastAsia="宋体" w:hAnsi="宋体" w:hint="eastAsia"/>
          <w:b/>
        </w:rPr>
      </w:pPr>
      <w:r>
        <w:rPr>
          <w:rFonts w:ascii="宋体" w:eastAsia="宋体" w:hAnsi="宋体" w:hint="eastAsia"/>
          <w:b/>
        </w:rPr>
        <w:t>第八条 甲方的权利和义务</w:t>
      </w:r>
    </w:p>
    <w:p>
      <w:pPr>
        <w:tabs>
          <w:tab w:val="left" w:pos="0"/>
        </w:tabs>
        <w:snapToGrid w:val="0"/>
        <w:spacing w:line="360" w:lineRule="auto"/>
        <w:rPr>
          <w:rFonts w:ascii="宋体" w:eastAsia="宋体" w:hAnsi="宋体" w:hint="eastAsia"/>
          <w:b/>
        </w:rPr>
      </w:pPr>
      <w:r>
        <w:rPr>
          <w:rFonts w:ascii="宋体" w:eastAsia="宋体" w:hAnsi="宋体" w:hint="eastAsia"/>
          <w:b/>
        </w:rPr>
        <w:t>第九条 乙方的权利和义务</w:t>
      </w:r>
    </w:p>
    <w:p>
      <w:pPr>
        <w:tabs>
          <w:tab w:val="left" w:pos="0"/>
        </w:tabs>
        <w:snapToGrid w:val="0"/>
        <w:spacing w:line="360" w:lineRule="auto"/>
        <w:rPr>
          <w:rFonts w:ascii="宋体" w:eastAsia="宋体" w:hAnsi="宋体" w:hint="eastAsia"/>
          <w:b/>
        </w:rPr>
      </w:pPr>
      <w:r>
        <w:rPr>
          <w:rFonts w:ascii="宋体" w:eastAsia="宋体" w:hAnsi="宋体" w:hint="eastAsia"/>
          <w:b/>
        </w:rPr>
        <w:t>第十条 违约责任与争议解决办法</w:t>
      </w:r>
    </w:p>
    <w:p>
      <w:pPr>
        <w:tabs>
          <w:tab w:val="left" w:pos="0"/>
        </w:tabs>
        <w:snapToGrid w:val="0"/>
        <w:spacing w:line="360" w:lineRule="auto"/>
        <w:ind w:firstLine="480" w:firstLineChars="200"/>
        <w:rPr>
          <w:rFonts w:ascii="宋体" w:eastAsia="宋体" w:hAnsi="宋体" w:hint="eastAsia"/>
        </w:rPr>
      </w:pPr>
      <w:r>
        <w:rPr>
          <w:rFonts w:ascii="宋体" w:eastAsia="宋体" w:hAnsi="宋体" w:hint="eastAsia"/>
        </w:rPr>
        <w:t>1、合同双方之任何一方不能全面履行合同条款，均属违约。违约所造成的经济损失概由违约方承担赔偿。违约造成工期延误责任分担：甲方违约，工期相应顺延；乙方违约，工期不得顺延。</w:t>
      </w:r>
    </w:p>
    <w:p>
      <w:pPr>
        <w:tabs>
          <w:tab w:val="left" w:pos="0"/>
        </w:tabs>
        <w:snapToGrid w:val="0"/>
        <w:spacing w:line="360" w:lineRule="auto"/>
        <w:ind w:firstLine="480" w:firstLineChars="200"/>
        <w:rPr>
          <w:rFonts w:ascii="宋体" w:eastAsia="宋体" w:hAnsi="宋体" w:hint="eastAsia"/>
        </w:rPr>
      </w:pPr>
      <w:r>
        <w:rPr>
          <w:rFonts w:ascii="宋体" w:eastAsia="宋体" w:hAnsi="宋体" w:hint="eastAsia"/>
        </w:rPr>
        <w:t>2、协商或仲裁：如果发生与本合同的解释或执行中的有关争议，双方首先应通过友好协商解决，否则任何一方可将该争议提交仲裁。仲裁事项应提交深圳仲裁委员会进行裁决。</w:t>
      </w:r>
    </w:p>
    <w:p>
      <w:pPr>
        <w:tabs>
          <w:tab w:val="left" w:pos="0"/>
        </w:tabs>
        <w:snapToGrid w:val="0"/>
        <w:spacing w:line="360" w:lineRule="auto"/>
        <w:rPr>
          <w:rFonts w:ascii="宋体" w:eastAsia="宋体" w:hAnsi="宋体" w:hint="eastAsia"/>
        </w:rPr>
      </w:pPr>
      <w:r>
        <w:rPr>
          <w:rFonts w:ascii="宋体" w:eastAsia="宋体" w:hAnsi="宋体" w:hint="eastAsia"/>
        </w:rPr>
        <w:t>……。</w:t>
      </w:r>
    </w:p>
    <w:p>
      <w:pPr>
        <w:tabs>
          <w:tab w:val="left" w:pos="0"/>
        </w:tabs>
        <w:snapToGrid w:val="0"/>
        <w:spacing w:line="360" w:lineRule="auto"/>
        <w:rPr>
          <w:rFonts w:ascii="宋体" w:eastAsia="宋体" w:hAnsi="宋体" w:hint="eastAsia"/>
          <w:b/>
        </w:rPr>
      </w:pPr>
      <w:r>
        <w:rPr>
          <w:rFonts w:ascii="宋体" w:eastAsia="宋体" w:hAnsi="宋体" w:hint="eastAsia"/>
          <w:b/>
        </w:rPr>
        <w:t>第十一条 知识产权、保密或其他事项要求</w:t>
      </w:r>
    </w:p>
    <w:p>
      <w:pPr>
        <w:tabs>
          <w:tab w:val="left" w:pos="0"/>
        </w:tabs>
        <w:snapToGrid w:val="0"/>
        <w:spacing w:line="360" w:lineRule="auto"/>
        <w:ind w:firstLine="480" w:firstLineChars="200"/>
        <w:rPr>
          <w:rFonts w:ascii="宋体" w:eastAsia="宋体" w:hAnsi="宋体" w:hint="eastAsia"/>
        </w:rPr>
      </w:pPr>
      <w:r>
        <w:rPr>
          <w:rFonts w:ascii="宋体" w:eastAsia="宋体" w:hAnsi="宋体" w:hint="eastAsia"/>
        </w:rPr>
        <w:t>1、除政府采购合同继续履行将损害国家利益和社会公共利益外，双方不得擅自变更、中止或者终止合同。</w:t>
      </w:r>
    </w:p>
    <w:p>
      <w:pPr>
        <w:tabs>
          <w:tab w:val="left" w:pos="0"/>
        </w:tabs>
        <w:snapToGrid w:val="0"/>
        <w:spacing w:line="360" w:lineRule="auto"/>
        <w:ind w:firstLine="480" w:firstLineChars="200"/>
        <w:rPr>
          <w:rFonts w:ascii="宋体" w:eastAsia="宋体" w:hAnsi="宋体" w:hint="eastAsia"/>
        </w:rPr>
      </w:pPr>
      <w:r>
        <w:rPr>
          <w:rFonts w:ascii="宋体" w:eastAsia="宋体" w:hAnsi="宋体" w:hint="eastAsia"/>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pPr>
        <w:tabs>
          <w:tab w:val="left" w:pos="0"/>
        </w:tabs>
        <w:snapToGrid w:val="0"/>
        <w:spacing w:line="360" w:lineRule="auto"/>
        <w:rPr>
          <w:rFonts w:ascii="宋体" w:eastAsia="宋体" w:hAnsi="宋体" w:hint="eastAsia"/>
        </w:rPr>
      </w:pPr>
      <w:r>
        <w:rPr>
          <w:rFonts w:ascii="宋体" w:eastAsia="宋体" w:hAnsi="宋体" w:hint="eastAsia"/>
        </w:rPr>
        <w:t>……。</w:t>
      </w:r>
    </w:p>
    <w:p>
      <w:pPr>
        <w:tabs>
          <w:tab w:val="left" w:pos="0"/>
        </w:tabs>
        <w:snapToGrid w:val="0"/>
        <w:spacing w:line="360" w:lineRule="auto"/>
        <w:rPr>
          <w:rFonts w:ascii="宋体" w:eastAsia="宋体" w:hAnsi="宋体" w:hint="eastAsia"/>
          <w:b/>
        </w:rPr>
      </w:pPr>
      <w:r>
        <w:rPr>
          <w:rFonts w:ascii="宋体" w:eastAsia="宋体" w:hAnsi="宋体" w:hint="eastAsia"/>
          <w:b/>
        </w:rPr>
        <w:t>第十二条 附件（附录）</w:t>
      </w:r>
      <w:r>
        <w:rPr>
          <w:rFonts w:ascii="宋体" w:eastAsia="宋体" w:hAnsi="宋体" w:hint="eastAsia"/>
        </w:rPr>
        <w:t>（如有，可填写，并附相关内容）</w:t>
      </w:r>
    </w:p>
    <w:p>
      <w:pPr>
        <w:tabs>
          <w:tab w:val="left" w:pos="0"/>
        </w:tabs>
        <w:snapToGrid w:val="0"/>
        <w:spacing w:line="360" w:lineRule="auto"/>
        <w:rPr>
          <w:rFonts w:ascii="宋体" w:eastAsia="宋体" w:hAnsi="宋体" w:hint="eastAsia"/>
        </w:rPr>
      </w:pPr>
      <w:r>
        <w:rPr>
          <w:rFonts w:ascii="宋体" w:eastAsia="宋体" w:hAnsi="宋体" w:hint="eastAsia"/>
        </w:rPr>
        <w:t>……。</w:t>
      </w:r>
    </w:p>
    <w:p>
      <w:pPr>
        <w:snapToGrid w:val="0"/>
        <w:spacing w:line="360" w:lineRule="auto"/>
        <w:ind w:firstLine="200"/>
        <w:rPr>
          <w:rFonts w:ascii="宋体" w:eastAsia="宋体" w:hAnsi="宋体" w:hint="eastAsia"/>
        </w:rPr>
      </w:pPr>
    </w:p>
    <w:p>
      <w:pPr>
        <w:snapToGrid w:val="0"/>
        <w:spacing w:line="360" w:lineRule="auto"/>
        <w:rPr>
          <w:rFonts w:ascii="宋体" w:eastAsia="宋体" w:hAnsi="宋体" w:hint="eastAsia"/>
        </w:rPr>
      </w:pPr>
      <w:r>
        <w:rPr>
          <w:rFonts w:ascii="宋体" w:eastAsia="宋体" w:hAnsi="宋体"/>
        </w:rPr>
        <w:t>甲方（公章）</w:t>
      </w:r>
      <w:r>
        <w:rPr>
          <w:rFonts w:ascii="宋体" w:eastAsia="宋体" w:hAnsi="宋体" w:hint="eastAsia"/>
        </w:rPr>
        <w:t xml:space="preserve">： </w:t>
      </w:r>
      <w:r>
        <w:rPr>
          <w:rFonts w:ascii="宋体" w:eastAsia="宋体" w:hAnsi="宋体"/>
        </w:rPr>
        <w:t xml:space="preserve">                           乙方（公章）</w:t>
      </w:r>
      <w:r>
        <w:rPr>
          <w:rFonts w:ascii="宋体" w:eastAsia="宋体" w:hAnsi="宋体" w:hint="eastAsia"/>
        </w:rPr>
        <w:t>：</w:t>
      </w:r>
    </w:p>
    <w:p>
      <w:pPr>
        <w:snapToGrid w:val="0"/>
        <w:spacing w:line="360" w:lineRule="auto"/>
        <w:rPr>
          <w:rFonts w:ascii="宋体" w:eastAsia="宋体" w:hAnsi="宋体" w:hint="eastAsia"/>
        </w:rPr>
      </w:pPr>
      <w:r>
        <w:rPr>
          <w:rFonts w:ascii="宋体" w:eastAsia="宋体" w:hAnsi="宋体"/>
        </w:rPr>
        <w:t>法定代表人（签章）</w:t>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法定代表人（签章）</w:t>
      </w:r>
    </w:p>
    <w:p>
      <w:pPr>
        <w:snapToGrid w:val="0"/>
        <w:spacing w:line="360" w:lineRule="auto"/>
        <w:rPr>
          <w:rFonts w:ascii="宋体" w:eastAsia="宋体" w:hAnsi="宋体" w:hint="eastAsia"/>
        </w:rPr>
      </w:pPr>
      <w:r>
        <w:rPr>
          <w:rFonts w:ascii="宋体" w:eastAsia="宋体" w:hAnsi="宋体"/>
        </w:rPr>
        <w:t>或授权代表：</w:t>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ab/>
      </w:r>
      <w:r>
        <w:rPr>
          <w:rFonts w:ascii="宋体" w:eastAsia="宋体" w:hAnsi="宋体"/>
        </w:rPr>
        <w:t>或授权代表：</w:t>
      </w:r>
    </w:p>
    <w:p>
      <w:pPr>
        <w:snapToGrid w:val="0"/>
        <w:spacing w:line="360" w:lineRule="auto"/>
        <w:rPr>
          <w:rFonts w:ascii="宋体" w:eastAsia="宋体" w:hAnsi="宋体" w:hint="eastAsia"/>
        </w:rPr>
      </w:pPr>
      <w:r>
        <w:rPr>
          <w:rFonts w:ascii="宋体" w:eastAsia="宋体" w:hAnsi="宋体" w:hint="eastAsia"/>
        </w:rPr>
        <w:t xml:space="preserve">日期： </w:t>
      </w:r>
      <w:r>
        <w:rPr>
          <w:rFonts w:ascii="宋体" w:eastAsia="宋体" w:hAnsi="宋体"/>
        </w:rPr>
        <w:t xml:space="preserve">   年   月   日     </w:t>
      </w:r>
      <w:r>
        <w:rPr>
          <w:rFonts w:ascii="宋体" w:eastAsia="宋体" w:hAnsi="宋体"/>
        </w:rPr>
        <w:tab/>
      </w:r>
      <w:r>
        <w:rPr>
          <w:rFonts w:ascii="宋体" w:eastAsia="宋体" w:hAnsi="宋体"/>
        </w:rPr>
        <w:tab/>
      </w:r>
      <w:r>
        <w:rPr>
          <w:rFonts w:ascii="宋体" w:eastAsia="宋体" w:hAnsi="宋体"/>
        </w:rPr>
        <w:tab/>
      </w:r>
      <w:r>
        <w:rPr>
          <w:rFonts w:ascii="宋体" w:eastAsia="宋体" w:hAnsi="宋体" w:hint="eastAsia"/>
        </w:rPr>
        <w:t xml:space="preserve">日期： </w:t>
      </w:r>
      <w:r>
        <w:rPr>
          <w:rFonts w:ascii="宋体" w:eastAsia="宋体" w:hAnsi="宋体"/>
        </w:rPr>
        <w:t xml:space="preserve">   年   月   日</w:t>
      </w:r>
    </w:p>
    <w:p>
      <w:pPr>
        <w:spacing w:line="360" w:lineRule="auto"/>
        <w:jc w:val="center"/>
        <w:rPr>
          <w:rFonts w:ascii="宋体" w:eastAsia="宋体" w:hAnsi="宋体" w:cs="宋体" w:hint="eastAsia"/>
          <w:bCs/>
          <w:kern w:val="44"/>
          <w:sz w:val="28"/>
          <w:szCs w:val="44"/>
        </w:rPr>
      </w:pPr>
      <w:r>
        <w:rPr>
          <w:rFonts w:ascii="宋体" w:eastAsia="宋体" w:hAnsi="宋体" w:cs="宋体" w:hint="eastAsia"/>
          <w:b/>
        </w:rPr>
        <w:t>（仅供参考，具体以项目需求及采购结果为准）</w:t>
      </w:r>
      <w:bookmarkEnd w:id="45"/>
    </w:p>
    <w:p>
      <w:pPr>
        <w:wordWrap w:val="0"/>
        <w:adjustRightInd w:val="0"/>
        <w:snapToGrid w:val="0"/>
        <w:spacing w:line="300" w:lineRule="auto"/>
        <w:rPr>
          <w:rFonts w:ascii="宋体" w:eastAsia="宋体" w:hAnsi="宋体" w:cs="宋体" w:hint="eastAsia"/>
          <w:szCs w:val="21"/>
        </w:rPr>
      </w:pPr>
    </w:p>
    <w:p>
      <w:pPr>
        <w:wordWrap w:val="0"/>
        <w:adjustRightInd w:val="0"/>
        <w:snapToGrid w:val="0"/>
        <w:spacing w:line="300" w:lineRule="auto"/>
        <w:rPr>
          <w:rFonts w:ascii="宋体" w:eastAsia="宋体" w:hAnsi="宋体" w:cs="宋体" w:hint="eastAsia"/>
          <w:szCs w:val="21"/>
        </w:rPr>
      </w:pPr>
    </w:p>
    <w:p>
      <w:pPr>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 w:val="28"/>
          <w:szCs w:val="28"/>
          <w14:textFill>
            <w14:solidFill>
              <w14:schemeClr w14:val="tx1"/>
            </w14:solidFill>
          </w14:textFill>
        </w:rPr>
        <w:br w:type="page"/>
      </w:r>
    </w:p>
    <w:p>
      <w:pPr>
        <w:pStyle w:val="Heading2"/>
        <w:spacing w:before="120" w:beforeLines="50" w:after="120" w:afterLines="50"/>
        <w:ind w:left="56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第二册  通用条款（公开招标）</w:t>
      </w:r>
    </w:p>
    <w:p>
      <w:pPr>
        <w:pStyle w:val="Heading2"/>
        <w:numPr>
          <w:ilvl w:val="0"/>
          <w:numId w:val="2"/>
        </w:numPr>
        <w:spacing w:before="120" w:beforeLines="50" w:after="120" w:afterLines="50"/>
        <w:ind w:left="562" w:hanging="562"/>
        <w:rPr>
          <w:rFonts w:cs="宋体" w:hint="eastAsia"/>
          <w:color w:val="000000" w:themeColor="text1"/>
          <w:sz w:val="28"/>
          <w:szCs w:val="28"/>
          <w14:textFill>
            <w14:solidFill>
              <w14:schemeClr w14:val="tx1"/>
            </w14:solidFill>
          </w14:textFill>
        </w:rPr>
      </w:pPr>
      <w:bookmarkStart w:id="46" w:name="_Hlk72399513"/>
      <w:r>
        <w:rPr>
          <w:rFonts w:cs="宋体" w:hint="eastAsia"/>
          <w:color w:val="000000" w:themeColor="text1"/>
          <w:sz w:val="28"/>
          <w:szCs w:val="28"/>
          <w14:textFill>
            <w14:solidFill>
              <w14:schemeClr w14:val="tx1"/>
            </w14:solidFill>
          </w14:textFill>
        </w:rPr>
        <w:t>总则</w:t>
      </w:r>
    </w:p>
    <w:p>
      <w:pPr>
        <w:rPr>
          <w:rFonts w:ascii="宋体" w:eastAsia="宋体" w:hAnsi="宋体" w:cs="宋体" w:hint="eastAsia"/>
          <w:color w:val="000000" w:themeColor="text1"/>
          <w14:textFill>
            <w14:solidFill>
              <w14:schemeClr w14:val="tx1"/>
            </w14:solidFill>
          </w14:textFill>
        </w:rPr>
      </w:pPr>
      <w:bookmarkEnd w:id="46"/>
      <w:r>
        <w:rPr>
          <w:rFonts w:ascii="宋体" w:eastAsia="宋体" w:hAnsi="宋体" w:cs="宋体" w:hint="eastAsia"/>
          <w:color w:val="000000" w:themeColor="text1"/>
          <w14:textFill>
            <w14:solidFill>
              <w14:schemeClr w14:val="tx1"/>
            </w14:solidFill>
          </w14:textFill>
        </w:rPr>
        <w:t>1. 通用条款说明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w:t>
      </w:r>
      <w:bookmarkStart w:id="47" w:name="_Hlk72399729"/>
      <w:r>
        <w:rPr>
          <w:rFonts w:ascii="宋体" w:eastAsia="宋体" w:hAnsi="宋体" w:cs="宋体" w:hint="eastAsia"/>
          <w:color w:val="000000" w:themeColor="text1"/>
          <w:szCs w:val="21"/>
          <w14:textFill>
            <w14:solidFill>
              <w14:schemeClr w14:val="tx1"/>
            </w14:solidFill>
          </w14:textFill>
        </w:rPr>
        <w:t>采购机构可以对通用条款的内容进行补充。</w:t>
      </w:r>
      <w:bookmarkEnd w:id="47"/>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1.2招标文件分为第一册“专用条款”和第二册“通用条款”。</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1.3“专用条款”是对本次采购项目的具体要求，包含招标公告、对通用条款的补充内容及其他关键信息、用户需求书、投标文件格式及附件、合同条款及格式等内容。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1.4“通用条款”是适用于政府采购公开招标项目的基础性条款，具有普遍性和通用性。</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1.5 “专用条款”和“通用条款”表述不一致或有冲突时，以“专用条款”为准。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本项目按照《深圳经济特区政府采购条例》、《深圳经济特区政府采购条例实施细则》及政府采购其他法律法规，通过公开招标方式确定中标供应商。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3．定义</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招标文件中下列术语应解释为：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3.1“采购人”：指利用财政性资金依法进行政府采购的国家机关、事业单位、团体组织；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3.2 “招标机构”系指根据采购人的委托，代理政府采购事宜的机构，在此特指拥有采购代理资格的</w:t>
      </w:r>
      <w:r>
        <w:rPr>
          <w:rFonts w:ascii="宋体" w:eastAsia="宋体" w:hAnsi="宋体" w:cs="宋体" w:hint="eastAsia"/>
          <w:b/>
          <w:bCs/>
          <w:color w:val="000000" w:themeColor="text1"/>
          <w:szCs w:val="21"/>
          <w14:textFill>
            <w14:solidFill>
              <w14:schemeClr w14:val="tx1"/>
            </w14:solidFill>
          </w14:textFill>
        </w:rPr>
        <w:t>友和保险经纪有限公司</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3.3“投标人”，即供应商，指参加投标竞争并愿意按照招标文件要求向采购人提供货物、工程或者服务的依法成立的法人、其他组织或者自然人；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3.4“评审委员会”是依据《深圳经济特区政府采购条例》、《深圳经济特区政府采购条例实施细则》等有关规定组建的专门负责本次招标其评审工作的临时性机构；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3.5“日期”指公历日；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3.6“合同”指由本次招标所产生的合同或合约文件；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3.7“电子投标文件”指利用</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网站提供的</w:t>
      </w:r>
      <w:r>
        <w:rPr>
          <w:rFonts w:ascii="宋体" w:eastAsia="宋体" w:hAnsi="宋体" w:cs="宋体" w:hint="eastAsia"/>
          <w:color w:val="000000" w:themeColor="text1"/>
          <w14:textFill>
            <w14:solidFill>
              <w14:schemeClr w14:val="tx1"/>
            </w14:solidFill>
          </w14:textFill>
        </w:rPr>
        <w:t>深圳智慧采购平台投标文件制作专用软件（以下简称：投标文件制作软件）制作并</w:t>
      </w:r>
      <w:r>
        <w:rPr>
          <w:rFonts w:ascii="宋体" w:eastAsia="宋体" w:hAnsi="宋体" w:cs="宋体" w:hint="eastAsia"/>
          <w:color w:val="000000" w:themeColor="text1"/>
          <w:szCs w:val="21"/>
          <w14:textFill>
            <w14:solidFill>
              <w14:schemeClr w14:val="tx1"/>
            </w14:solidFill>
          </w14:textFill>
        </w:rPr>
        <w:t>加密的投标文件,适用于网上投标；（投标文件制作软件可从</w:t>
      </w:r>
      <w:r>
        <w:rPr>
          <w:rFonts w:ascii="宋体" w:eastAsia="宋体" w:hAnsi="宋体" w:cs="宋体" w:hint="eastAsia"/>
          <w:color w:val="000000" w:themeColor="text1"/>
          <w14:textFill>
            <w14:solidFill>
              <w14:schemeClr w14:val="tx1"/>
            </w14:solidFill>
          </w14:textFill>
        </w:rPr>
        <w:t>“下载地址：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color w:val="000000" w:themeColor="text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下载）；</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3.8“网上投标”指通过</w:t>
      </w:r>
      <w:r>
        <w:rPr>
          <w:rFonts w:ascii="宋体" w:eastAsia="宋体" w:hAnsi="宋体" w:cs="宋体" w:hint="eastAsia"/>
          <w:b/>
          <w:bCs/>
          <w:color w:val="000000" w:themeColor="text1"/>
          <w:szCs w:val="21"/>
          <w14:textFill>
            <w14:solidFill>
              <w14:schemeClr w14:val="tx1"/>
            </w14:solidFill>
          </w14:textFill>
        </w:rPr>
        <w:t>深圳公共资源交易中心（深圳交易集团有限公司政府采购业务分公司）</w:t>
      </w:r>
      <w:r>
        <w:rPr>
          <w:rFonts w:ascii="宋体" w:eastAsia="宋体" w:hAnsi="宋体" w:cs="宋体" w:hint="eastAsia"/>
          <w:color w:val="000000" w:themeColor="text1"/>
          <w:szCs w:val="21"/>
          <w14:textFill>
            <w14:solidFill>
              <w14:schemeClr w14:val="tx1"/>
            </w14:solidFill>
          </w14:textFill>
        </w:rPr>
        <w:t>网站上传电子投标文件；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3.9招标文件中的标题或题名仅起引导作用，而不应视为对招标文件内容的理解和解释。</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xml:space="preserve">4. </w:t>
      </w:r>
      <w:bookmarkStart w:id="48" w:name="_Hlk72398643"/>
      <w:r>
        <w:rPr>
          <w:rFonts w:ascii="宋体" w:eastAsia="宋体" w:hAnsi="宋体" w:cs="宋体" w:hint="eastAsia"/>
          <w:color w:val="000000" w:themeColor="text1"/>
          <w14:textFill>
            <w14:solidFill>
              <w14:schemeClr w14:val="tx1"/>
            </w14:solidFill>
          </w14:textFill>
        </w:rPr>
        <w:t>政府采购供应商责任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4.1欢迎诚信、有实力和有社会责任心的供应商参与政府采购事业。</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4.2投标人应当遵循公平竞争的原则，不得恶意串通，不得妨碍其他投标人的竞争行为，不得损害采购人或者其他投标人的合法权益。如违反上述要求，经核实后，供应商的投标无效。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5．投标人参加政府采购的条件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5.1投标人应在投标前到</w:t>
      </w:r>
      <w:r>
        <w:rPr>
          <w:rFonts w:ascii="宋体" w:eastAsia="宋体" w:hAnsi="宋体" w:cs="宋体" w:hint="eastAsia"/>
          <w:b/>
          <w:bCs/>
          <w:color w:val="000000" w:themeColor="text1"/>
          <w:szCs w:val="21"/>
          <w14:textFill>
            <w14:solidFill>
              <w14:schemeClr w14:val="tx1"/>
            </w14:solidFill>
          </w14:textFill>
        </w:rPr>
        <w:t>深圳公共资源交易中心（具体在深圳交易集团有限公司政府采购业务分公司进行办理）</w:t>
      </w:r>
      <w:r>
        <w:rPr>
          <w:rFonts w:ascii="宋体" w:eastAsia="宋体" w:hAnsi="宋体" w:cs="宋体" w:hint="eastAsia"/>
          <w:color w:val="000000" w:themeColor="text1"/>
          <w:szCs w:val="21"/>
          <w14:textFill>
            <w14:solidFill>
              <w14:schemeClr w14:val="tx1"/>
            </w14:solidFill>
          </w14:textFill>
        </w:rPr>
        <w:t>进行注册并办理电子密钥。《</w:t>
      </w:r>
      <w:r>
        <w:fldChar w:fldCharType="begin"/>
      </w:r>
      <w:r>
        <w:instrText xml:space="preserve"> HYPERLINK "http://www.szzfcg.cn/viewer.do?id=2455258" \t "documentViewer2455258" </w:instrText>
      </w:r>
      <w:r>
        <w:fldChar w:fldCharType="separate"/>
      </w:r>
      <w:r>
        <w:rPr>
          <w:rFonts w:ascii="宋体" w:eastAsia="宋体" w:hAnsi="宋体" w:cs="宋体" w:hint="eastAsia"/>
          <w:color w:val="000000" w:themeColor="text1"/>
          <w:szCs w:val="21"/>
          <w14:textFill>
            <w14:solidFill>
              <w14:schemeClr w14:val="tx1"/>
            </w14:solidFill>
          </w14:textFill>
        </w:rPr>
        <w:t>供应商注册及电子密钥新申请指引</w:t>
      </w:r>
      <w:r>
        <w:rPr>
          <w:rFonts w:ascii="宋体" w:eastAsia="宋体" w:hAnsi="宋体" w:cs="宋体" w:hint="eastAsia"/>
          <w:color w:val="000000" w:themeColor="text1"/>
          <w:szCs w:val="21"/>
          <w14:textFill>
            <w14:solidFill>
              <w14:schemeClr w14:val="tx1"/>
            </w14:solidFill>
          </w14:textFill>
        </w:rPr>
        <w:fldChar w:fldCharType="end"/>
      </w:r>
      <w:r>
        <w:rPr>
          <w:rFonts w:ascii="宋体" w:eastAsia="宋体" w:hAnsi="宋体" w:cs="宋体" w:hint="eastAsia"/>
          <w:color w:val="000000" w:themeColor="text1"/>
          <w:szCs w:val="21"/>
          <w14:textFill>
            <w14:solidFill>
              <w14:schemeClr w14:val="tx1"/>
            </w14:solidFill>
          </w14:textFill>
        </w:rPr>
        <w:t>》详见http://zfcg.szggzy.com:8081/。</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5.2投标人资格要求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参加本项目的投标人应具备的资格条件详见本项目招标公告中 “投标人资格要求”（即申请人的资格要求）的内容。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5.3联合体投标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5.3.1以下有关联合体投标的条款仅适用于允许投标人组成联合体投标的项目。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5.3.2由两个或两个以上的自然人、法人或者其他组织可以组成一个联合体，以一个供应商的身份共同投标时，应符合以下原则：</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（1）投标联合体各方参加政府采购活动应当具备下列条件：</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1、具有独立承担民事责任的能力；</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2、有良好的商业信誉和健全的财务会计制度；</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3、具有履行合同所必需的设备和专业技术能力；</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4、有依法缴纳税收和社会保障资金的良好记录；</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5、参加政府采购活动前三年内，在经营活动中没有重大违法记录；</w:t>
      </w:r>
    </w:p>
    <w:p>
      <w:pPr>
        <w:ind w:left="480" w:firstLine="470" w:leftChars="2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6、法律、行政法规规定的其他条件。</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（2）在投标截止前，投标联合体各方均应注册成政府采购供应商；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（3）联合体中有同类资质的供应商按照联合体分工承担相同工作的，应当按照资质等级较低的供应商确定资质等级；</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（4）是否允许联合体参加投标，应当由采购人和采购代理机构根据项目的实际情况和潜在供应商的数量自主决定，如果决定接受联合体投标则应当在招标公告中明示；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（5）投标人的投标文件及中标后签署的合同协议对联合体各方均具法律约束力；</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（6）联合体各方应当签订联合体投标协议，明确约定各方拟承担的工作和责任，并将该协议随投标文件一并递交给招标机构；</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（7）联合体中标后，联合体各方应当共同与采购人签订合同，就中标项目向采购人承担连带责任；</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（9）本通用条款中“投标人”一词亦指联合体各方，专用条款另有规定或说明的除外。</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6．政策导向</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6.1政府采购扶持贫困地区、中小企业、监狱企业和残疾人福利性单位发展，支持节能减排、环境保护。</w:t>
      </w:r>
    </w:p>
    <w:p>
      <w:pPr>
        <w:ind w:firstLine="405"/>
        <w:rPr>
          <w:rFonts w:ascii="宋体" w:eastAsia="宋体" w:hAnsi="宋体" w:cs="宋体" w:hint="eastAsia"/>
          <w:color w:val="000000" w:themeColor="text1"/>
          <w:shd w:val="clear" w:color="auto" w:fill="FFFFFF"/>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6.2本项目落实深圳市政府采购供应商诚信管理政策要求。</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 本项目若涉及采购货物，则合格的货物及相应服务应满足以下要求：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7.1必须是全新、未使用过的原装合格正品（包括零部件），如安装或配置了软件的，须为正版软件。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7.2国产的货物及其有关服务必须符合中华人民共和国的设计、制造生产标准及行业标准。招标公告有其他要求的，亦应符合其要求。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7.4投标人</w:t>
      </w:r>
      <w:bookmarkStart w:id="49" w:name="_Hlk72152753"/>
      <w:r>
        <w:rPr>
          <w:rFonts w:ascii="宋体" w:eastAsia="宋体" w:hAnsi="宋体" w:cs="宋体" w:hint="eastAsia"/>
          <w:color w:val="000000" w:themeColor="text1"/>
          <w14:textFill>
            <w14:solidFill>
              <w14:schemeClr w14:val="tx1"/>
            </w14:solidFill>
          </w14:textFill>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49"/>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7.6工期要求：投标人在投标时对其所投项目应提交交货进度、交货计划等，在合同规定的时间内完成项目实施工作。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7.7投标人必须承担的设备运输、安装调试、验收检测和提供设备操作说明书、图纸等其他相关及类似的义务。</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8．投标费用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不论投标结果如何，投标人应承担其编制投标文件与递交投标文件所涉及的一切费用。</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9．踏勘现场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9.2投标人及其人员经过采购人的允许，可以进入采购人的项目现场踏勘。若招标文件要求投标人于统一时间地点踏勘现场的，投标人应当按时前往。</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9.3采购人应当通过招标机构向投标人提供有关现场的书面资料和数据。</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9.4任何人或任何组织在踏勘现场时向投标人提供的任何书面资料或口头承诺，未经招标机构在网上发布或书面通知，均作无效处理。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9.5未参与踏勘现场不作为否定投标人资格的理由。</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10．标前会议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10.1如采购人或招标机构认为有必要组织标前会议，投标人应按照招标文件规定的时间或招标机构另行书面通知（包括招标机构网站发布方式，如更正公告等）的时间和地点，参与标前会议。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10.2任何人或任何组织在标前会议时向投标人提供的任何书面资料或口头承诺，未经招标机构在网上发布或书面通知，均作无效处理。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10.3未参与标前会议不作为否定投标人资格的理由。</w:t>
      </w:r>
    </w:p>
    <w:p>
      <w:pPr>
        <w:pStyle w:val="NormalIndent"/>
        <w:rPr>
          <w:rFonts w:ascii="宋体" w:eastAsia="宋体" w:hAnsi="宋体" w:cs="宋体" w:hint="eastAsia"/>
        </w:rPr>
      </w:pPr>
    </w:p>
    <w:p>
      <w:pPr>
        <w:rPr>
          <w:rFonts w:ascii="宋体" w:eastAsia="宋体" w:hAnsi="宋体" w:cs="宋体" w:hint="eastAsia"/>
        </w:rPr>
      </w:pP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bookmarkEnd w:id="48"/>
      <w:r>
        <w:rPr>
          <w:rFonts w:cs="宋体" w:hint="eastAsia"/>
          <w:color w:val="000000" w:themeColor="text1"/>
          <w:sz w:val="28"/>
          <w:szCs w:val="28"/>
          <w14:textFill>
            <w14:solidFill>
              <w14:schemeClr w14:val="tx1"/>
            </w14:solidFill>
          </w14:textFill>
        </w:rPr>
        <w:t>招标文件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11．</w:t>
      </w:r>
      <w:bookmarkStart w:id="50" w:name="_Hlk72399819"/>
      <w:r>
        <w:rPr>
          <w:rFonts w:ascii="宋体" w:eastAsia="宋体" w:hAnsi="宋体" w:cs="宋体" w:hint="eastAsia"/>
          <w:color w:val="000000" w:themeColor="text1"/>
          <w14:textFill>
            <w14:solidFill>
              <w14:schemeClr w14:val="tx1"/>
            </w14:solidFill>
          </w14:textFill>
        </w:rPr>
        <w:t>招标文件的编制与组成</w:t>
      </w:r>
    </w:p>
    <w:p>
      <w:pPr>
        <w:snapToGrid w:val="0"/>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11.1招标文件除以下内容外，招标机构在招标期间发出的澄清或修改等相关公告或通知内容，均是招标文件的组成部分，对投标人起约束作用；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招标文件包括下列内容：</w:t>
      </w:r>
    </w:p>
    <w:p>
      <w:pPr>
        <w:ind w:left="480" w:firstLine="470" w:leftChars="200" w:firstLineChars="196"/>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第一册  专用条款</w:t>
      </w:r>
    </w:p>
    <w:p>
      <w:pPr>
        <w:ind w:left="1234" w:leftChars="514"/>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关键信息</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招标公告</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对通用条款的补充内容及其他关键信息</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用户需求书</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第四章 投标文件格式及附件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合同条款及格式</w:t>
      </w:r>
    </w:p>
    <w:p>
      <w:pPr>
        <w:ind w:left="480" w:firstLine="470" w:leftChars="200" w:firstLineChars="196"/>
        <w:rPr>
          <w:rFonts w:ascii="宋体" w:eastAsia="宋体" w:hAnsi="宋体" w:cs="宋体" w:hint="eastAsia"/>
          <w:b/>
          <w:color w:val="000000" w:themeColor="text1"/>
          <w:szCs w:val="21"/>
          <w14:textFill>
            <w14:solidFill>
              <w14:schemeClr w14:val="tx1"/>
            </w14:solidFill>
          </w14:textFill>
        </w:rPr>
      </w:pPr>
      <w:r>
        <w:rPr>
          <w:rFonts w:ascii="宋体" w:eastAsia="宋体" w:hAnsi="宋体" w:cs="宋体" w:hint="eastAsia"/>
          <w:b/>
          <w:color w:val="000000" w:themeColor="text1"/>
          <w:szCs w:val="21"/>
          <w14:textFill>
            <w14:solidFill>
              <w14:schemeClr w14:val="tx1"/>
            </w14:solidFill>
          </w14:textFill>
        </w:rPr>
        <w:t>第二册  通用条款</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第一章  总则</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第二章  招标文件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第三章  投标文件的编制</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第四章  投标文件的递交</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第五章  开标</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第六章  评审要求</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第七章  评审程序及评审方法</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第八章  定标及公示</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第九章  公开招标失败的后续处理</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第十章  合同的授予与备案</w:t>
      </w:r>
    </w:p>
    <w:p>
      <w:pPr>
        <w:ind w:left="720" w:firstLine="470" w:leftChars="30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第十一章  质疑处理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11.3</w:t>
      </w:r>
      <w:r>
        <w:rPr>
          <w:rFonts w:ascii="宋体" w:eastAsia="宋体" w:hAnsi="宋体" w:cs="宋体" w:hint="eastAsia"/>
          <w:color w:val="000000" w:themeColor="text1"/>
          <w14:textFill>
            <w14:solidFill>
              <w14:schemeClr w14:val="tx1"/>
            </w14:solidFill>
          </w14:textFill>
        </w:rPr>
        <w:t>任何人或任何组织向投标人提交的任何书面或口头资料，未经招标机构在网上发布或书面通知，均作无效处理，不得作为招标文件的组成部分。招标机构对投标人由此而做出的推论、理解和结论概不负责。</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12．招标文件的澄清</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12.1招标文件澄清的目的是澄清、解答投标人在查阅招标文件后或现场踏勘中可能提出的与投标有关的疑问或询问。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12.2投标人如对招标文件内容有疑问，应当在招标公告规定的澄清（提问）截止时间前以网上提问的形式通过网上政府采购系统提交招标机构。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12.3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13.3、13.4款规定执行。</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13．招标文件的修改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13.1招标文件发出后，在投标截止日期前任何时候，确需要变更招标文件内容的，招标机构可主动或在解答投标人提出的澄清问题时对招标文件进行修改。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13.2招标文件的修改以书面形式（包括招标机构网站发布方式，如更正公告等）发送给所有投标人，招标文件的修改内容作为招标文件的组成部分，并具有约束力。</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50"/>
    </w:p>
    <w:p>
      <w:pPr>
        <w:pStyle w:val="NormalIndent"/>
        <w:rPr>
          <w:rFonts w:ascii="宋体" w:eastAsia="宋体" w:hAnsi="宋体" w:cs="宋体" w:hint="eastAsia"/>
        </w:rPr>
      </w:pP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投标文件的编制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14．</w:t>
      </w:r>
      <w:bookmarkStart w:id="51" w:name="_Hlk72400236"/>
      <w:r>
        <w:rPr>
          <w:rFonts w:ascii="宋体" w:eastAsia="宋体" w:hAnsi="宋体" w:cs="宋体" w:hint="eastAsia"/>
          <w:color w:val="000000" w:themeColor="text1"/>
          <w14:textFill>
            <w14:solidFill>
              <w14:schemeClr w14:val="tx1"/>
            </w14:solidFill>
          </w14:textFill>
        </w:rPr>
        <w:t>投标文件的语言及度量单位</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14.2除技术规范另有规定外，投标文件使用的度量单位，均采用中华人民共和国法定计量单位。</w:t>
      </w:r>
    </w:p>
    <w:p>
      <w:pPr>
        <w:rPr>
          <w:rFonts w:ascii="宋体" w:eastAsia="宋体" w:hAnsi="宋体" w:cs="宋体" w:hint="eastAsia"/>
          <w:color w:val="000000" w:themeColor="text1"/>
          <w14:textFill>
            <w14:solidFill>
              <w14:schemeClr w14:val="tx1"/>
            </w14:solidFill>
          </w14:textFill>
        </w:rPr>
      </w:pPr>
      <w:bookmarkEnd w:id="51"/>
      <w:r>
        <w:rPr>
          <w:rFonts w:ascii="宋体" w:eastAsia="宋体" w:hAnsi="宋体" w:cs="宋体" w:hint="eastAsia"/>
          <w:color w:val="000000" w:themeColor="text1"/>
          <w14:textFill>
            <w14:solidFill>
              <w14:schemeClr w14:val="tx1"/>
            </w14:solidFill>
          </w14:textFill>
        </w:rPr>
        <w:t>15．</w:t>
      </w:r>
      <w:bookmarkStart w:id="52" w:name="_Hlk72401567"/>
      <w:r>
        <w:rPr>
          <w:rFonts w:ascii="宋体" w:eastAsia="宋体" w:hAnsi="宋体" w:cs="宋体" w:hint="eastAsia"/>
          <w:color w:val="000000" w:themeColor="text1"/>
          <w14:textFill>
            <w14:solidFill>
              <w14:schemeClr w14:val="tx1"/>
            </w14:solidFill>
          </w14:textFill>
        </w:rPr>
        <w:t>投标文件的组成</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具体内容在招标文件专用条款中进行规定。</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16．投标文件格式</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投标文件包括本通用条款第15条中规定的内容。如招标文件提供了投标文件格式，则</w:t>
      </w:r>
      <w:r>
        <w:rPr>
          <w:rFonts w:ascii="宋体" w:eastAsia="宋体" w:hAnsi="宋体" w:cs="宋体" w:hint="eastAsia"/>
          <w:b/>
          <w:bCs/>
          <w:color w:val="000000" w:themeColor="text1"/>
          <w:szCs w:val="21"/>
          <w14:textFill>
            <w14:solidFill>
              <w14:schemeClr w14:val="tx1"/>
            </w14:solidFill>
          </w14:textFill>
        </w:rPr>
        <w:t>投标人提交的投标文件应毫无例外地使用招标文件所提供的相应格式</w:t>
      </w:r>
      <w:r>
        <w:rPr>
          <w:rFonts w:ascii="宋体" w:eastAsia="宋体" w:hAnsi="宋体" w:cs="宋体" w:hint="eastAsia"/>
          <w:color w:val="000000" w:themeColor="text1"/>
          <w:szCs w:val="21"/>
          <w14:textFill>
            <w14:solidFill>
              <w14:schemeClr w14:val="tx1"/>
            </w14:solidFill>
          </w14:textFill>
        </w:rPr>
        <w:t>（表格均可按同样格式扩展）。</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17．投标货币</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本项目的投标报价应以人民币计。</w:t>
      </w:r>
    </w:p>
    <w:p>
      <w:pPr>
        <w:rPr>
          <w:rFonts w:ascii="宋体" w:eastAsia="宋体" w:hAnsi="宋体" w:cs="宋体" w:hint="eastAsia"/>
          <w:color w:val="000000" w:themeColor="text1"/>
          <w14:textFill>
            <w14:solidFill>
              <w14:schemeClr w14:val="tx1"/>
            </w14:solidFill>
          </w14:textFill>
        </w:rPr>
      </w:pPr>
      <w:bookmarkEnd w:id="52"/>
      <w:r>
        <w:rPr>
          <w:rFonts w:ascii="宋体" w:eastAsia="宋体" w:hAnsi="宋体" w:cs="宋体" w:hint="eastAsia"/>
          <w:color w:val="000000" w:themeColor="text1"/>
          <w14:textFill>
            <w14:solidFill>
              <w14:schemeClr w14:val="tx1"/>
            </w14:solidFill>
          </w14:textFill>
        </w:rPr>
        <w:t>18．</w:t>
      </w:r>
      <w:bookmarkStart w:id="53" w:name="_Hlk72401735"/>
      <w:r>
        <w:rPr>
          <w:rFonts w:ascii="宋体" w:eastAsia="宋体" w:hAnsi="宋体" w:cs="宋体" w:hint="eastAsia"/>
          <w:color w:val="000000" w:themeColor="text1"/>
          <w14:textFill>
            <w14:solidFill>
              <w14:schemeClr w14:val="tx1"/>
            </w14:solidFill>
          </w14:textFill>
        </w:rPr>
        <w:t>证明投标文件投标技术方案的合格性和符合招标文件规定的文件要求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18.1投标人应提交证明文件，证明其投标技术方案项下的货物和服务的合格性符合招标文件规定。该投标技术方案及其证明文件均作为投标文件组成部分。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18.2.1主要技术指标和性能的详细说明。</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18.2.2投标产品从采购人开始使用至招标文件中规定的周期内正常、连续地使用所必须的备件和专用工具清单，包括备件和专用工具的货源及现行价格。</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18.2.3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Pr>
          <w:rFonts w:ascii="宋体" w:eastAsia="宋体" w:hAnsi="宋体" w:cs="宋体" w:hint="eastAsia"/>
          <w:color w:val="000000" w:themeColor="text1"/>
          <w14:textFill>
            <w14:solidFill>
              <w14:schemeClr w14:val="tx1"/>
            </w14:solidFill>
          </w14:textFill>
        </w:rPr>
        <w:t>清晰度要求能够使用电脑阅读、识别和判断</w:t>
      </w:r>
      <w:r>
        <w:rPr>
          <w:rFonts w:ascii="宋体" w:eastAsia="宋体" w:hAnsi="宋体" w:cs="宋体" w:hint="eastAsia"/>
          <w:color w:val="000000" w:themeColor="text1"/>
          <w:szCs w:val="21"/>
          <w14:textFill>
            <w14:solidFill>
              <w14:schemeClr w14:val="tx1"/>
            </w14:solidFill>
          </w14:textFill>
        </w:rPr>
        <w:t>；</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18.2.5我国政府机构出具的产品检验和核准证件应为证件正面、背面和附件标注的全部具体内容；产品检验和核准证件的尺寸和清晰度应该能够在电脑上被阅读、识别和判断，提供原件扫描件。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18.3相关资料不符合18.2款要求的，评审委员会有权认定为投标技术方案不合格响应，其相关分数予以扣减或作投标无效处理。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Pr>
          <w:rFonts w:ascii="宋体" w:eastAsia="宋体" w:hAnsi="宋体" w:cs="宋体" w:hint="eastAsia"/>
          <w:color w:val="000000" w:themeColor="text1"/>
          <w14:textFill>
            <w14:solidFill>
              <w14:schemeClr w14:val="tx1"/>
            </w14:solidFill>
          </w14:textFill>
        </w:rPr>
        <w:t>满足要求</w:t>
      </w:r>
      <w:r>
        <w:rPr>
          <w:rFonts w:ascii="宋体" w:eastAsia="宋体" w:hAnsi="宋体" w:cs="宋体" w:hint="eastAsia"/>
          <w:color w:val="000000" w:themeColor="text1"/>
          <w:szCs w:val="21"/>
          <w14:textFill>
            <w14:solidFill>
              <w14:schemeClr w14:val="tx1"/>
            </w14:solidFill>
          </w14:textFill>
        </w:rPr>
        <w:t>，由评审委员会来评判。</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18.5除非另有规定或说明，投标人对同一项目投标时，不得同时提供两套或两套以上的投标方案。</w:t>
      </w:r>
    </w:p>
    <w:p>
      <w:pPr>
        <w:rPr>
          <w:rFonts w:ascii="宋体" w:eastAsia="宋体" w:hAnsi="宋体" w:cs="宋体" w:hint="eastAsia"/>
          <w:color w:val="000000" w:themeColor="text1"/>
          <w14:textFill>
            <w14:solidFill>
              <w14:schemeClr w14:val="tx1"/>
            </w14:solidFill>
          </w14:textFill>
        </w:rPr>
      </w:pPr>
      <w:bookmarkEnd w:id="53"/>
      <w:r>
        <w:rPr>
          <w:rFonts w:ascii="宋体" w:eastAsia="宋体" w:hAnsi="宋体" w:cs="宋体" w:hint="eastAsia"/>
          <w:color w:val="000000" w:themeColor="text1"/>
          <w14:textFill>
            <w14:solidFill>
              <w14:schemeClr w14:val="tx1"/>
            </w14:solidFill>
          </w14:textFill>
        </w:rPr>
        <w:t>19．</w:t>
      </w:r>
      <w:bookmarkStart w:id="54" w:name="_Hlk72402034"/>
      <w:r>
        <w:rPr>
          <w:rFonts w:ascii="宋体" w:eastAsia="宋体" w:hAnsi="宋体" w:cs="宋体" w:hint="eastAsia"/>
          <w:color w:val="000000" w:themeColor="text1"/>
          <w14:textFill>
            <w14:solidFill>
              <w14:schemeClr w14:val="tx1"/>
            </w14:solidFill>
          </w14:textFill>
        </w:rPr>
        <w:t>投标文件其他证明文件的要求</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5" w:name="_Hlk71407299"/>
    </w:p>
    <w:p>
      <w:pPr>
        <w:ind w:firstLine="470" w:firstLineChars="196"/>
        <w:rPr>
          <w:rFonts w:ascii="宋体" w:eastAsia="宋体" w:hAnsi="宋体" w:cs="宋体" w:hint="eastAsia"/>
          <w:color w:val="000000" w:themeColor="text1"/>
          <w:szCs w:val="21"/>
          <w14:textFill>
            <w14:solidFill>
              <w14:schemeClr w14:val="tx1"/>
            </w14:solidFill>
          </w14:textFill>
        </w:rPr>
      </w:pPr>
      <w:bookmarkEnd w:id="55"/>
      <w:r>
        <w:rPr>
          <w:rFonts w:ascii="宋体" w:eastAsia="宋体" w:hAnsi="宋体" w:cs="宋体" w:hint="eastAsia"/>
          <w:color w:val="000000" w:themeColor="text1"/>
          <w:szCs w:val="21"/>
          <w14:textFill>
            <w14:solidFill>
              <w14:schemeClr w14:val="tx1"/>
            </w14:solidFill>
          </w14:textFill>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20．投标有效期</w:t>
      </w:r>
    </w:p>
    <w:p>
      <w:pPr>
        <w:ind w:firstLine="470" w:firstLineChars="196"/>
        <w:rPr>
          <w:rFonts w:ascii="宋体" w:eastAsia="宋体" w:hAnsi="宋体" w:cs="宋体" w:hint="eastAsia"/>
          <w:color w:val="000000" w:themeColor="text1"/>
          <w:szCs w:val="21"/>
          <w14:textFill>
            <w14:solidFill>
              <w14:schemeClr w14:val="tx1"/>
            </w14:solidFill>
          </w14:textFill>
        </w:rPr>
      </w:pPr>
      <w:bookmarkEnd w:id="54"/>
      <w:bookmarkStart w:id="56" w:name="_Hlk72402214"/>
      <w:r>
        <w:rPr>
          <w:rFonts w:ascii="宋体" w:eastAsia="宋体" w:hAnsi="宋体" w:cs="宋体" w:hint="eastAsia"/>
          <w:color w:val="000000" w:themeColor="text1"/>
          <w:szCs w:val="21"/>
          <w14:textFill>
            <w14:solidFill>
              <w14:schemeClr w14:val="tx1"/>
            </w14:solidFill>
          </w14:textFill>
        </w:rPr>
        <w:t>20.1投标有效期为从投标截止之日算起的日历天数。在此期限内，所有投标文件均保持有效。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标机构此项要求，其投标在原投标有效期满后不再有效。同意延长投标有效期的投标人不能要求也不允许修改其投标文件。</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20.3中标供应商的投标文件有效期，截止于完成本招标文件规定的全部项目内容，并通过竣工验收及保修期结束。</w:t>
      </w:r>
    </w:p>
    <w:p>
      <w:pPr>
        <w:rPr>
          <w:rFonts w:ascii="宋体" w:eastAsia="宋体" w:hAnsi="宋体" w:cs="宋体" w:hint="eastAsia"/>
          <w:color w:val="000000" w:themeColor="text1"/>
          <w14:textFill>
            <w14:solidFill>
              <w14:schemeClr w14:val="tx1"/>
            </w14:solidFill>
          </w14:textFill>
        </w:rPr>
      </w:pPr>
      <w:bookmarkEnd w:id="56"/>
      <w:r>
        <w:rPr>
          <w:rFonts w:ascii="宋体" w:eastAsia="宋体" w:hAnsi="宋体" w:cs="宋体" w:hint="eastAsia"/>
          <w:color w:val="000000" w:themeColor="text1"/>
          <w14:textFill>
            <w14:solidFill>
              <w14:schemeClr w14:val="tx1"/>
            </w14:solidFill>
          </w14:textFill>
        </w:rPr>
        <w:t>21．</w:t>
      </w:r>
      <w:bookmarkStart w:id="57" w:name="_Hlk72402325"/>
      <w:r>
        <w:rPr>
          <w:rFonts w:ascii="宋体" w:eastAsia="宋体" w:hAnsi="宋体" w:cs="宋体" w:hint="eastAsia"/>
          <w:color w:val="000000" w:themeColor="text1"/>
          <w14:textFill>
            <w14:solidFill>
              <w14:schemeClr w14:val="tx1"/>
            </w14:solidFill>
          </w14:textFill>
        </w:rPr>
        <w:t xml:space="preserve">关于投标保证金 </w:t>
      </w:r>
    </w:p>
    <w:p>
      <w:pPr>
        <w:rPr>
          <w:rFonts w:ascii="宋体" w:eastAsia="宋体" w:hAnsi="宋体" w:cs="宋体" w:hint="eastAsia"/>
          <w:szCs w:val="21"/>
        </w:rPr>
      </w:pPr>
      <w:r>
        <w:rPr>
          <w:rFonts w:ascii="宋体" w:eastAsia="宋体" w:hAnsi="宋体" w:cs="宋体" w:hint="eastAsia"/>
          <w:color w:val="000000" w:themeColor="text1"/>
          <w:szCs w:val="21"/>
          <w14:textFill>
            <w14:solidFill>
              <w14:schemeClr w14:val="tx1"/>
            </w14:solidFill>
          </w14:textFill>
        </w:rPr>
        <w:t xml:space="preserve">   </w:t>
      </w:r>
      <w:r>
        <w:rPr>
          <w:rFonts w:ascii="宋体" w:eastAsia="宋体" w:hAnsi="宋体" w:cs="宋体" w:hint="eastAsia"/>
          <w:szCs w:val="21"/>
        </w:rPr>
        <w:t xml:space="preserve">21.1 </w:t>
      </w:r>
      <w:r>
        <w:rPr>
          <w:rFonts w:ascii="宋体" w:eastAsia="宋体" w:hAnsi="宋体" w:cs="宋体" w:hint="eastAsia"/>
        </w:rPr>
        <w:t>根据《深圳市财政局关于明确政府采购保证金管理工作的通知》（深财购[2019]42号）文的规定，本项目不收取投标保证金。</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22．投标人的替代方案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22.1投标人所提交的投标文件应完全满足招标文件（包括图纸和技术规范所示的基本技术设计）的要求。除非项目明确允许投标人提交替代方案，否则投标人有关替代方案的条款将初审不通过，作投标无效处理。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pPr>
        <w:rPr>
          <w:rFonts w:ascii="宋体" w:eastAsia="宋体" w:hAnsi="宋体" w:cs="宋体" w:hint="eastAsia"/>
          <w:color w:val="000000" w:themeColor="text1"/>
          <w14:textFill>
            <w14:solidFill>
              <w14:schemeClr w14:val="tx1"/>
            </w14:solidFill>
          </w14:textFill>
        </w:rPr>
      </w:pPr>
      <w:bookmarkEnd w:id="57"/>
      <w:r>
        <w:rPr>
          <w:rFonts w:ascii="宋体" w:eastAsia="宋体" w:hAnsi="宋体" w:cs="宋体" w:hint="eastAsia"/>
          <w:color w:val="000000" w:themeColor="text1"/>
          <w14:textFill>
            <w14:solidFill>
              <w14:schemeClr w14:val="tx1"/>
            </w14:solidFill>
          </w14:textFill>
        </w:rPr>
        <w:t>23．</w:t>
      </w:r>
      <w:bookmarkStart w:id="58" w:name="_Hlk72402860"/>
      <w:r>
        <w:rPr>
          <w:rFonts w:ascii="宋体" w:eastAsia="宋体" w:hAnsi="宋体" w:cs="宋体" w:hint="eastAsia"/>
          <w:color w:val="000000" w:themeColor="text1"/>
          <w14:textFill>
            <w14:solidFill>
              <w14:schemeClr w14:val="tx1"/>
            </w14:solidFill>
          </w14:textFill>
        </w:rPr>
        <w:t>投标文件的制作要求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w:t>
      </w:r>
      <w:r>
        <w:rPr>
          <w:rFonts w:ascii="宋体" w:eastAsia="宋体" w:hAnsi="宋体" w:cs="宋体" w:hint="eastAsia"/>
          <w:color w:val="000000" w:themeColor="text1"/>
          <w:highlight w:val="yellow"/>
          <w14:textFill>
            <w14:solidFill>
              <w14:schemeClr w14:val="tx1"/>
            </w14:solidFill>
          </w14:textFill>
        </w:rPr>
        <w:t>http://zfcg.szggzy.com:8081/cgxy/013002/20210923/173e0b2c-7a4c-4246-a0c7-e0ea75d84dd6.html</w:t>
      </w:r>
      <w:r>
        <w:rPr>
          <w:rFonts w:ascii="宋体" w:eastAsia="宋体" w:hAnsi="宋体" w:cs="宋体" w:hint="eastAsia"/>
          <w:color w:val="000000" w:themeColor="text1"/>
          <w14:textFill>
            <w14:solidFill>
              <w14:schemeClr w14:val="tx1"/>
            </w14:solidFill>
          </w14:textFill>
        </w:rPr>
        <w:t>】。</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23.2投标人在使用《投标文件制作软件》编制投标书时须注意：</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23.2.1导入《投标文件制作软件》的招标文件项目编号、包号应与以此制作的投标文件项目编号、包号一致。例如，不能将甲项目A包的招标书导入《投标文件制作软件》，制作乙项目B包的投标书。</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23.2.2不能用非本公司的电子密钥加密本公司的投标文件，或者用其它公司的登录用户上传本公司的投标文件。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23.2.3要求用《投标文件制作软件》编制投标书的包，不能用其它方式编制投标书。编制投标文件时，电脑须连通互联网。</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23.2.4投标文件不能带病毒。招标机构将用专业杀毒软件对投标文件进行病毒检测，如果这两种软件均报告发现病毒，则招标机构认为该投标文件带病毒。</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23.2.5完整填写“投标关键信息”，如下图所示：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备注：上述“开标一览表”中的“投标总价”将作为价格分计算依据；其它信息仅是对投标文件相关内容的概括性表述，不作为评审依据。</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23.2.6投标人在编辑投标文件时，</w:t>
      </w:r>
      <w:r>
        <w:rPr>
          <w:rFonts w:ascii="宋体" w:eastAsia="宋体" w:hAnsi="宋体" w:cs="宋体" w:hint="eastAsia"/>
          <w:b/>
          <w:color w:val="000000" w:themeColor="text1"/>
          <w14:textFill>
            <w14:solidFill>
              <w14:schemeClr w14:val="tx1"/>
            </w14:solidFill>
          </w14:textFill>
        </w:rPr>
        <w:t>在投标文件目录中属于本节点内容的必须在本节点中填写，填写到其他节点或附件，</w:t>
      </w:r>
      <w:r>
        <w:rPr>
          <w:rFonts w:ascii="宋体" w:eastAsia="宋体" w:hAnsi="宋体" w:cs="宋体" w:hint="eastAsia"/>
          <w:color w:val="000000" w:themeColor="text1"/>
          <w14:textFill>
            <w14:solidFill>
              <w14:schemeClr w14:val="tx1"/>
            </w14:solidFill>
          </w14:textFill>
        </w:rPr>
        <w:t>一切后果由供应商自行承担。</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23.2.7投标文件编写完成后，</w:t>
      </w:r>
      <w:r>
        <w:rPr>
          <w:rFonts w:ascii="宋体" w:eastAsia="宋体" w:hAnsi="宋体" w:cs="宋体" w:hint="eastAsia"/>
          <w:b/>
          <w:color w:val="000000" w:themeColor="text1"/>
          <w14:textFill>
            <w14:solidFill>
              <w14:schemeClr w14:val="tx1"/>
            </w14:solidFill>
          </w14:textFill>
        </w:rPr>
        <w:t>必须用属于投标人的电子密钥进行加密，否则视同未盖公章，将导致投标文件无效。</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23.2.9如果开标时出现网络故障、技术故障，影响了政府采购活动，招标机构有权采取措施如延期、接受无法从网上上传的投标书等，以保障政府采购活动的公开、公平和公正。</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23.3电报、电话、传真形式的投标概不接受。</w:t>
      </w:r>
    </w:p>
    <w:p>
      <w:pPr>
        <w:ind w:firstLine="470" w:firstLineChars="196"/>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23.4经投标人电子密钥加密的投标文件无须盖章或签字，</w:t>
      </w:r>
      <w:r>
        <w:rPr>
          <w:rFonts w:ascii="宋体" w:eastAsia="宋体" w:hAnsi="宋体" w:cs="宋体" w:hint="eastAsia"/>
          <w:color w:val="000000" w:themeColor="text1"/>
          <w14:textFill>
            <w14:solidFill>
              <w14:schemeClr w14:val="tx1"/>
            </w14:solidFill>
          </w14:textFill>
        </w:rPr>
        <w:t>专用条款另有要求的除外。</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23.5</w:t>
      </w:r>
      <w:r>
        <w:rPr>
          <w:rFonts w:ascii="宋体" w:eastAsia="宋体" w:hAnsi="宋体" w:cs="宋体" w:hint="eastAsia"/>
          <w:color w:val="000000" w:themeColor="text1"/>
          <w14:textFill>
            <w14:solidFill>
              <w14:schemeClr w14:val="tx1"/>
            </w14:solidFill>
          </w14:textFill>
        </w:rPr>
        <w:t xml:space="preserve"> 各类资格（资质）文件提供扫描件，专用条款另有要求的除外。</w:t>
      </w:r>
      <w:bookmarkEnd w:id="58"/>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rPr>
          <w:rFonts w:ascii="宋体" w:eastAsia="宋体" w:hAnsi="宋体" w:cs="宋体" w:hint="eastAsia"/>
        </w:rPr>
      </w:pPr>
    </w:p>
    <w:p>
      <w:pPr>
        <w:pStyle w:val="NormalIndent"/>
        <w:rPr>
          <w:rFonts w:ascii="宋体" w:eastAsia="宋体" w:hAnsi="宋体" w:cs="宋体" w:hint="eastAsia"/>
        </w:rPr>
      </w:pPr>
    </w:p>
    <w:p>
      <w:pPr>
        <w:pStyle w:val="NormalIndent"/>
        <w:rPr>
          <w:rFonts w:ascii="宋体" w:eastAsia="宋体" w:hAnsi="宋体" w:cs="宋体" w:hint="eastAsia"/>
        </w:rPr>
      </w:pP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投标文件的递交</w:t>
      </w:r>
      <w:bookmarkStart w:id="59" w:name="_Hlk72405459"/>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24．投标书的保密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在投标文件制作软件点击【生成标书】按钮进入【填写开标一览表界面】界面，在该界面填写完开标一览表信息后点击【确定】，进入投标文件生成环节。</w:t>
      </w:r>
      <w:r>
        <w:rPr>
          <w:rFonts w:ascii="宋体" w:eastAsia="宋体" w:hAnsi="宋体" w:cs="宋体" w:hint="eastAsia"/>
          <w:color w:val="000000" w:themeColor="text1"/>
          <w14:textFill>
            <w14:solidFill>
              <w14:schemeClr w14:val="tx1"/>
            </w14:solidFill>
          </w14:textFill>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投标文件制作软件会在投标文件生成过程中，提示用户输入密码，输入密码后对标文件自动进行加密。</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24.2若采购项目出现延期情况：</w:t>
      </w:r>
    </w:p>
    <w:p>
      <w:pPr>
        <w:ind w:firstLine="480" w:firstLineChars="200"/>
        <w:rPr>
          <w:rFonts w:ascii="宋体" w:eastAsia="宋体" w:hAnsi="宋体" w:cs="宋体" w:hint="eastAsia"/>
          <w:b/>
          <w:color w:val="000000" w:themeColor="text1"/>
          <w14:textFill>
            <w14:solidFill>
              <w14:schemeClr w14:val="tx1"/>
            </w14:solidFill>
          </w14:textFill>
        </w:rPr>
      </w:pPr>
      <w:r>
        <w:rPr>
          <w:rFonts w:ascii="宋体" w:eastAsia="宋体" w:hAnsi="宋体" w:cs="宋体" w:hint="eastAsia"/>
          <w:b/>
          <w:color w:val="000000" w:themeColor="text1"/>
          <w14:textFill>
            <w14:solidFill>
              <w14:schemeClr w14:val="tx1"/>
            </w14:solidFill>
          </w14:textFill>
        </w:rPr>
        <w:t>如果供下载的招标文件（后缀名为.szczf）有更新，投标人必须重新下载招标文件、重新制作投标文件、重新加密投标文件、重新上传投标文件；如果供下载的招标文件（后缀名为.szczf）没有更新，投标人必须重新加密投标文件、重新上传投标文件（是否重新制作投标文件根据项目实际情况定）。否则，投标人自行承担投标文件无法解密导致投标无效的后果。</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25．上传投标文件及投标截止日期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25.1实行网上投标，投标人必须在招标文件规定的投标截止时间前用电子密钥登录“深圳政府采购智慧平台用户网上办事子系统（</w:t>
      </w:r>
      <w:r>
        <w:rPr>
          <w:rFonts w:ascii="宋体" w:eastAsia="宋体" w:hAnsi="宋体" w:cs="宋体" w:hint="eastAsia"/>
          <w:bCs/>
          <w:color w:val="000000" w:themeColor="text1"/>
          <w:highlight w:val="yellow"/>
          <w14:textFill>
            <w14:solidFill>
              <w14:schemeClr w14:val="tx1"/>
            </w14:solidFill>
          </w14:textFill>
        </w:rPr>
        <w:t>http://zfcg.szggzy.com:8081/TPBidder/memberLogin</w:t>
      </w:r>
      <w:r>
        <w:rPr>
          <w:rFonts w:ascii="宋体" w:eastAsia="宋体" w:hAnsi="宋体" w:cs="宋体" w:hint="eastAsia"/>
          <w:bCs/>
          <w:color w:val="000000" w:themeColor="text1"/>
          <w14:textFill>
            <w14:solidFill>
              <w14:schemeClr w14:val="tx1"/>
            </w14:solidFill>
          </w14:textFill>
        </w:rPr>
        <w:t>）”，用“【我的项目】→【项目流程】→【递交投标(应答)文件】”功能点上传投标文件。如上传过程中遇到问题，可拨打技术支持电话，联系方式：</w:t>
      </w:r>
      <w:r>
        <w:rPr>
          <w:rFonts w:ascii="宋体" w:eastAsia="宋体" w:hAnsi="宋体" w:cs="宋体" w:hint="eastAsia"/>
          <w:highlight w:val="yellow"/>
        </w:rPr>
        <w:t>0755-88653300-6</w:t>
      </w:r>
      <w:r>
        <w:rPr>
          <w:rFonts w:ascii="宋体" w:eastAsia="宋体" w:hAnsi="宋体" w:cs="宋体" w:hint="eastAsia"/>
          <w:bCs/>
          <w:color w:val="000000" w:themeColor="text1"/>
          <w14:textFill>
            <w14:solidFill>
              <w14:schemeClr w14:val="tx1"/>
            </w14:solidFill>
          </w14:textFill>
        </w:rPr>
        <w:t>。</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25.2招标机构可以按本通用条款第13条规定，通过修改招标文件自行决定酌情延长投标截止期。在此情况下，招标机构、采购人和投标人受投标截止期制约的所有权利和义务均应延长至新的截止期。</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25.3投标截止时间以后不得上传投标文件。</w:t>
      </w:r>
    </w:p>
    <w:p>
      <w:pPr>
        <w:ind w:firstLine="480" w:firstLineChars="200"/>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rPr>
          <w:rFonts w:ascii="宋体" w:eastAsia="宋体" w:hAnsi="宋体" w:cs="宋体" w:hint="eastAsia"/>
          <w:color w:val="000000" w:themeColor="text1"/>
          <w14:textFill>
            <w14:solidFill>
              <w14:schemeClr w14:val="tx1"/>
            </w14:solidFill>
          </w14:textFill>
        </w:rPr>
      </w:pPr>
      <w:bookmarkEnd w:id="59"/>
      <w:r>
        <w:rPr>
          <w:rFonts w:ascii="宋体" w:eastAsia="宋体" w:hAnsi="宋体" w:cs="宋体" w:hint="eastAsia"/>
          <w:color w:val="000000" w:themeColor="text1"/>
          <w14:textFill>
            <w14:solidFill>
              <w14:schemeClr w14:val="tx1"/>
            </w14:solidFill>
          </w14:textFill>
        </w:rPr>
        <w:t>26. 样品、现场演示、方案讲解</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26.1 样品、现场演示、方案讲解等事项在招标文件专用条款中进行规定。</w:t>
      </w:r>
    </w:p>
    <w:p>
      <w:pPr>
        <w:rPr>
          <w:rFonts w:ascii="宋体" w:eastAsia="宋体" w:hAnsi="宋体" w:cs="宋体" w:hint="eastAsia"/>
          <w:color w:val="000000" w:themeColor="text1"/>
          <w14:textFill>
            <w14:solidFill>
              <w14:schemeClr w14:val="tx1"/>
            </w14:solidFill>
          </w14:textFill>
        </w:rPr>
      </w:pPr>
      <w:bookmarkStart w:id="60" w:name="_Hlk72428346"/>
      <w:r>
        <w:rPr>
          <w:rFonts w:ascii="宋体" w:eastAsia="宋体" w:hAnsi="宋体" w:cs="宋体" w:hint="eastAsia"/>
          <w:color w:val="000000" w:themeColor="text1"/>
          <w14:textFill>
            <w14:solidFill>
              <w14:schemeClr w14:val="tx1"/>
            </w14:solidFill>
          </w14:textFill>
        </w:rPr>
        <w:t>27．投标文件的修改和撤销</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27.1投标方在提交投标文件后可对其投标文件进行修改并重新上传投标文件或在网上进行撤销投标的操作。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27.2投标截止时间以后不得修改投标文件。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27.3从投标截止期至投标人在投标文件中确定的投标有效期之间的这段时间内，投标人不得撤回其投标。</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27.4招标机构不退还投标文件，专用条款另有规定的除外。</w:t>
      </w: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bookmarkEnd w:id="60"/>
      <w:r>
        <w:rPr>
          <w:rFonts w:cs="宋体" w:hint="eastAsia"/>
          <w:color w:val="000000" w:themeColor="text1"/>
          <w:sz w:val="28"/>
          <w:szCs w:val="28"/>
          <w14:textFill>
            <w14:solidFill>
              <w14:schemeClr w14:val="tx1"/>
            </w14:solidFill>
          </w14:textFill>
        </w:rPr>
        <w:t>开标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28．开标</w:t>
      </w:r>
    </w:p>
    <w:p>
      <w:pPr>
        <w:ind w:firstLine="480" w:firstLineChars="20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28.1</w:t>
      </w:r>
      <w:r>
        <w:rPr>
          <w:rFonts w:ascii="宋体" w:eastAsia="宋体" w:hAnsi="宋体" w:cs="宋体" w:hint="eastAsia"/>
          <w:color w:val="000000" w:themeColor="text1"/>
          <w14:textFill>
            <w14:solidFill>
              <w14:schemeClr w14:val="tx1"/>
            </w14:solidFill>
          </w14:textFill>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pPr>
        <w:ind w:firstLine="410" w:firstLineChars="171"/>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28.2 招标机构将在满足开标条件（</w:t>
      </w:r>
      <w:r>
        <w:rPr>
          <w:rFonts w:ascii="宋体" w:eastAsia="宋体" w:hAnsi="宋体" w:cs="宋体" w:hint="eastAsia"/>
          <w:color w:val="000000" w:themeColor="text1"/>
          <w:sz w:val="20"/>
          <w:szCs w:val="20"/>
          <w:shd w:val="clear" w:color="auto" w:fill="FFFFFF"/>
          <w14:textFill>
            <w14:solidFill>
              <w14:schemeClr w14:val="tx1"/>
            </w14:solidFill>
          </w14:textFill>
        </w:rPr>
        <w:t>①</w:t>
      </w:r>
      <w:r>
        <w:rPr>
          <w:rFonts w:ascii="宋体" w:eastAsia="宋体" w:hAnsi="宋体" w:cs="宋体" w:hint="eastAsia"/>
          <w:color w:val="000000" w:themeColor="text1"/>
          <w:szCs w:val="21"/>
          <w14:textFill>
            <w14:solidFill>
              <w14:schemeClr w14:val="tx1"/>
            </w14:solidFill>
          </w14:textFill>
        </w:rPr>
        <w:t>解密时间结束，解密后的投标供应商数量满足开标要求或</w:t>
      </w:r>
      <w:r>
        <w:rPr>
          <w:rFonts w:ascii="宋体" w:eastAsia="宋体" w:hAnsi="宋体" w:cs="宋体" w:hint="eastAsia"/>
          <w:color w:val="000000" w:themeColor="text1"/>
          <w:sz w:val="20"/>
          <w:szCs w:val="20"/>
          <w:shd w:val="clear" w:color="auto" w:fill="FFFFFF"/>
          <w14:textFill>
            <w14:solidFill>
              <w14:schemeClr w14:val="tx1"/>
            </w14:solidFill>
          </w14:textFill>
        </w:rPr>
        <w:t>②</w:t>
      </w:r>
      <w:r>
        <w:rPr>
          <w:rFonts w:ascii="宋体" w:eastAsia="宋体" w:hAnsi="宋体" w:cs="宋体" w:hint="eastAsia"/>
          <w:color w:val="000000" w:themeColor="text1"/>
          <w:szCs w:val="21"/>
          <w14:textFill>
            <w14:solidFill>
              <w14:schemeClr w14:val="tx1"/>
            </w14:solidFill>
          </w14:textFill>
        </w:rPr>
        <w:t>解密时间结束前所有投标供应商均完成投标文件解密）后，对投标文件进行开标，并在网上公布开标结果。</w:t>
      </w: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评审要求</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29．评审委员会组成</w:t>
      </w:r>
    </w:p>
    <w:p>
      <w:pPr>
        <w:ind w:firstLine="470" w:firstLineChars="196"/>
        <w:rPr>
          <w:rFonts w:ascii="宋体" w:eastAsia="宋体" w:hAnsi="宋体" w:cs="宋体" w:hint="eastAsia"/>
        </w:rPr>
      </w:pPr>
      <w:r>
        <w:rPr>
          <w:rFonts w:ascii="宋体" w:eastAsia="宋体" w:hAnsi="宋体" w:cs="宋体" w:hint="eastAsia"/>
        </w:rPr>
        <w:t>29.1网上开标结束后召开评审会议，</w:t>
      </w:r>
      <w:r>
        <w:rPr>
          <w:rFonts w:ascii="宋体" w:eastAsia="宋体" w:hAnsi="宋体" w:cs="宋体" w:hint="eastAsia"/>
          <w:szCs w:val="21"/>
        </w:rPr>
        <w:t>评审委员会</w:t>
      </w:r>
      <w:r>
        <w:rPr>
          <w:rFonts w:ascii="宋体" w:eastAsia="宋体" w:hAnsi="宋体" w:cs="宋体" w:hint="eastAsia"/>
        </w:rPr>
        <w:t>由政府采购代理机构依法组建，负责评审活动。</w:t>
      </w:r>
    </w:p>
    <w:p>
      <w:pPr>
        <w:ind w:firstLine="470" w:firstLineChars="196"/>
        <w:rPr>
          <w:rFonts w:ascii="宋体" w:eastAsia="宋体" w:hAnsi="宋体" w:cs="宋体" w:hint="eastAsia"/>
        </w:rPr>
      </w:pPr>
      <w:bookmarkStart w:id="61" w:name="_Hlk72436580"/>
      <w:r>
        <w:rPr>
          <w:rFonts w:ascii="宋体" w:eastAsia="宋体" w:hAnsi="宋体" w:cs="宋体" w:hint="eastAsia"/>
        </w:rPr>
        <w:t>评审委员会由采购人代表和评审专家组成，成员人数应当为5人以上单数（部分条件下为7人以上单数），其中评审专家不得少于成员总数的三分之二。</w:t>
      </w:r>
      <w:bookmarkEnd w:id="61"/>
      <w:r>
        <w:rPr>
          <w:rFonts w:ascii="宋体" w:eastAsia="宋体" w:hAnsi="宋体" w:cs="宋体" w:hint="eastAsia"/>
        </w:rPr>
        <w:t>评定分离项目评审专家均由评审专家组成。</w:t>
      </w:r>
      <w:r>
        <w:rPr>
          <w:rFonts w:ascii="宋体" w:eastAsia="宋体" w:hAnsi="宋体" w:cs="宋体" w:hint="eastAsia"/>
          <w:szCs w:val="21"/>
        </w:rPr>
        <w:t>评审专家一般是</w:t>
      </w:r>
      <w:r>
        <w:rPr>
          <w:rFonts w:ascii="宋体" w:eastAsia="宋体" w:hAnsi="宋体" w:cs="宋体" w:hint="eastAsia"/>
        </w:rPr>
        <w:t>从深圳市政府采购评审专家库中随机抽取。采购人代表须持本单位签发的《评审授权书》参加评审。</w:t>
      </w:r>
    </w:p>
    <w:p>
      <w:pPr>
        <w:ind w:firstLine="470" w:firstLineChars="196"/>
        <w:rPr>
          <w:rFonts w:ascii="宋体" w:eastAsia="宋体" w:hAnsi="宋体" w:cs="宋体" w:hint="eastAsia"/>
        </w:rPr>
      </w:pPr>
      <w:r>
        <w:rPr>
          <w:rFonts w:ascii="宋体" w:eastAsia="宋体" w:hAnsi="宋体" w:cs="宋体" w:hint="eastAsia"/>
        </w:rPr>
        <w:t>29.2评审定标应当遵循公平、公正、科学、择优的原则。</w:t>
      </w:r>
    </w:p>
    <w:p>
      <w:pPr>
        <w:ind w:firstLine="470" w:firstLineChars="196"/>
        <w:rPr>
          <w:rFonts w:ascii="宋体" w:eastAsia="宋体" w:hAnsi="宋体" w:cs="宋体" w:hint="eastAsia"/>
        </w:rPr>
      </w:pPr>
      <w:r>
        <w:rPr>
          <w:rFonts w:ascii="宋体" w:eastAsia="宋体" w:hAnsi="宋体" w:cs="宋体" w:hint="eastAsia"/>
        </w:rPr>
        <w:t>29.3评审活动依法进行，任何单位和个人不得非法干预评标过程和结果。</w:t>
      </w:r>
    </w:p>
    <w:p>
      <w:pPr>
        <w:ind w:firstLine="470" w:firstLineChars="196"/>
        <w:rPr>
          <w:rFonts w:ascii="宋体" w:eastAsia="宋体" w:hAnsi="宋体" w:cs="宋体" w:hint="eastAsia"/>
        </w:rPr>
      </w:pPr>
      <w:r>
        <w:rPr>
          <w:rFonts w:ascii="宋体" w:eastAsia="宋体" w:hAnsi="宋体" w:cs="宋体" w:hint="eastAsia"/>
        </w:rPr>
        <w:t>29.4评审过程中不允许违背评标程序或采用招标文件未载明的评标方法或评标因素进行评标。</w:t>
      </w:r>
    </w:p>
    <w:p>
      <w:pPr>
        <w:ind w:firstLine="470" w:firstLineChars="196"/>
        <w:rPr>
          <w:rFonts w:ascii="宋体" w:eastAsia="宋体" w:hAnsi="宋体" w:cs="宋体" w:hint="eastAsia"/>
          <w:bCs/>
        </w:rPr>
      </w:pPr>
      <w:r>
        <w:rPr>
          <w:rFonts w:ascii="宋体" w:eastAsia="宋体" w:hAnsi="宋体" w:cs="宋体" w:hint="eastAsia"/>
          <w:bCs/>
        </w:rPr>
        <w:t>29.5 开标后，直到签订合同为止，凡属于对投标文件的审查、澄清、评价和比较的有关资料以及中标候选人的推荐情况、与评审有关的其他任何情况均严格保密（</w:t>
      </w:r>
      <w:r>
        <w:rPr>
          <w:rFonts w:ascii="宋体" w:eastAsia="宋体" w:hAnsi="宋体" w:cs="宋体" w:hint="eastAsia"/>
        </w:rPr>
        <w:t>信息公开的内容除外</w:t>
      </w:r>
      <w:r>
        <w:rPr>
          <w:rFonts w:ascii="宋体" w:eastAsia="宋体" w:hAnsi="宋体" w:cs="宋体" w:hint="eastAsia"/>
          <w:bCs/>
        </w:rPr>
        <w:t>）。</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30．向评审委员会提供的资料</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30.1公开发布的招标文件，包括图纸、服务清单、答疑文件等；</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30.2其他评标必须的资料。</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30.3</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应当认真研究招标文件，至少应了解熟悉以下内容：</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（1）招标的目的；</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（2）招标项目需求的范围和性质；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（3）招标文件规定的投标人的资格、财政预算限额、商务条款；</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（4）招标文件规定的评标程序、评标方法和评标因素；</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（5）招标文件所列示的资格性审查表及符合性审查表。</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31．独立评审</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31.1</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成员的评标活动应当独立进行，并应遵循投标文件初审、澄清有关问题、比较与评价、确定中标供应商、编写评审报告的工作程序。</w:t>
      </w: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评审程序及评审方法</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32．投标文件初审</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32.1投标文件初审包括资格性审查和符合性审查。</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资格性审查：依据法律法规和招标文件的规定，对投标文件中的资格证明等进行审查，以确定投标供应商是否具备投标资格。</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符合性审查：依据招标文件的规定，对投标文件的有效性、完整性和对招标文件的响应程度进行审查，以确定是否满足符合性审查的要求。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32.2 投标文件初审内容请详见《资格性审查表》和《符合性审查表》部分。投标人若有一条审查不通过则按投标无效处理。</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 投标文件初审中关于供应商家数的计算:</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Pr>
          <w:rFonts w:ascii="宋体" w:eastAsia="宋体" w:hAnsi="宋体" w:cs="宋体" w:hint="eastAsia"/>
          <w:bCs/>
          <w:color w:val="000000" w:themeColor="text1"/>
          <w:szCs w:val="21"/>
          <w14:textFill>
            <w14:solidFill>
              <w14:schemeClr w14:val="tx1"/>
            </w14:solidFill>
          </w14:textFill>
        </w:rPr>
        <w:t>评审委员会</w:t>
      </w:r>
      <w:r>
        <w:rPr>
          <w:rFonts w:ascii="宋体" w:eastAsia="宋体" w:hAnsi="宋体" w:cs="宋体" w:hint="eastAsia"/>
          <w:bCs/>
          <w:color w:val="000000" w:themeColor="text1"/>
          <w14:textFill>
            <w14:solidFill>
              <w14:schemeClr w14:val="tx1"/>
            </w14:solidFill>
          </w14:textFill>
        </w:rPr>
        <w:t>按照招标文件规定的方式确定一个投标人获得中标人推荐资格，招标文件未规定的采取随机抽取方式确定，其他同品牌投标人不作为中标候选人。</w:t>
      </w:r>
    </w:p>
    <w:p>
      <w:pPr>
        <w:ind w:firstLine="470" w:firstLineChars="196"/>
        <w:rPr>
          <w:rFonts w:ascii="宋体" w:eastAsia="宋体" w:hAnsi="宋体" w:cs="宋体" w:hint="eastAsia"/>
          <w:bCs/>
          <w:color w:val="000000" w:themeColor="text1"/>
          <w14:textFill>
            <w14:solidFill>
              <w14:schemeClr w14:val="tx1"/>
            </w14:solidFill>
          </w14:textFill>
        </w:rPr>
      </w:pPr>
      <w:r>
        <w:rPr>
          <w:rFonts w:ascii="宋体" w:eastAsia="宋体" w:hAnsi="宋体" w:cs="宋体" w:hint="eastAsia"/>
          <w:bCs/>
          <w:color w:val="000000" w:themeColor="text1"/>
          <w14:textFill>
            <w14:solidFill>
              <w14:schemeClr w14:val="tx1"/>
            </w14:solidFill>
          </w14:textFill>
        </w:rPr>
        <w:t>32.3.3非单一产品采购项目，采购人应当根据采购项目技术构成、产品价格比重等合理确定核心产品，并在招标文件中载明。多家投标人提供的核心产品品牌相同的，按前两款规定处理。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32.4投标人投标文件作无效处理的情形，具体包括但不限于以下：</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32.4.1不同投标人的投标文件由同一单位或者同一个人编制，或者由同一个人分阶段参与编制；</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32.4.2不同投标人委托同一单位或者个人办理投标事宜；</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32.4.3不同投标人的投标文件载明的项目管理成员或者联系人员为同一人；</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32.4.4不同投标人的投标文件异常一致或者投标报价呈规律性差异；</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32.4.5不同投标供应商的投标文件或部分投标文件相互混装；</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32.4.6投标供应商之间相互约定给予未中标的供应商利益补偿；</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32.4.7不同投标供应商的法定代表人、主要经营负责人、项目投标授权代表人、项目负责人、主要技术人员为同一人、属同一单位或者同一单位缴纳社会保险；</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32.4.8不同投标供应商的投标文件内容存在非正常一致；</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32.4.9在同一单位工作人员为两家以上（含两家）供应商进行同一项投标活动；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32.4.10主管部门依照法律、法规认定的其他情形。</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32.5对不属于《资格性审查表》和《符合性审查表》所列的其他情形，除专用条款另有规定和32.4条款所列情形外，不得作为投标无效的理由。</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33．澄清有关问题</w:t>
      </w:r>
    </w:p>
    <w:p>
      <w:pPr>
        <w:ind w:firstLine="470" w:firstLineChars="196"/>
        <w:rPr>
          <w:rFonts w:ascii="宋体" w:eastAsia="宋体" w:hAnsi="宋体" w:cs="宋体" w:hint="eastAsia"/>
          <w:color w:val="000000" w:themeColor="text1"/>
          <w14:textFill>
            <w14:solidFill>
              <w14:schemeClr w14:val="tx1"/>
            </w14:solidFill>
          </w14:textFill>
        </w:rPr>
      </w:pPr>
      <w:bookmarkStart w:id="62" w:name="_Hlk71407321"/>
      <w:r>
        <w:rPr>
          <w:rFonts w:ascii="宋体" w:eastAsia="宋体" w:hAnsi="宋体" w:cs="宋体" w:hint="eastAsia"/>
          <w:color w:val="000000" w:themeColor="text1"/>
          <w14:textFill>
            <w14:solidFill>
              <w14:schemeClr w14:val="tx1"/>
            </w14:solidFill>
          </w14:textFill>
        </w:rPr>
        <w:t>33.1对招标文件中描述有歧义或前后不一致的地方（不含</w:t>
      </w:r>
      <w:r>
        <w:rPr>
          <w:rFonts w:ascii="宋体" w:eastAsia="宋体" w:hAnsi="宋体" w:cs="宋体" w:hint="eastAsia"/>
          <w:color w:val="000000" w:themeColor="text1"/>
          <w:szCs w:val="21"/>
          <w14:textFill>
            <w14:solidFill>
              <w14:schemeClr w14:val="tx1"/>
            </w14:solidFill>
          </w14:textFill>
        </w:rPr>
        <w:t>招标文件存在歧义、重大缺陷导致评审工作无法进行的情况）</w:t>
      </w:r>
      <w:r>
        <w:rPr>
          <w:rFonts w:ascii="宋体" w:eastAsia="宋体" w:hAnsi="宋体" w:cs="宋体" w:hint="eastAsia"/>
          <w:color w:val="000000" w:themeColor="text1"/>
          <w14:textFill>
            <w14:solidFill>
              <w14:schemeClr w14:val="tx1"/>
            </w14:solidFill>
          </w14:textFill>
        </w:rPr>
        <w:t>，评审委员会有权进行评判，但对同一条款的评判应适用于每个投标人。</w:t>
      </w:r>
      <w:bookmarkEnd w:id="62"/>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33.2</w:t>
      </w:r>
      <w:r>
        <w:rPr>
          <w:rFonts w:ascii="宋体" w:eastAsia="宋体" w:hAnsi="宋体" w:cs="宋体" w:hint="eastAsia"/>
          <w:color w:val="000000" w:themeColor="text1"/>
          <w:szCs w:val="21"/>
          <w14:textFill>
            <w14:solidFill>
              <w14:schemeClr w14:val="tx1"/>
            </w14:solidFill>
          </w14:textFill>
        </w:rPr>
        <w:t>评审委员会发现招标文件存在歧义、重大缺陷导致评审工作无法进行，或者招标文件内容违反国家有关强制性规定的，应当停止评审工作，与招标机构沟通并作书面记录。经确认后，项目应当修改招标文件，重新组织采购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33.3对于投标文件中含义不明确、同类问题表述不一致或者有明显文字和计算错误的内容，评审委员会应当以书面形式要求投标人作出必要的澄清、说明或者补正。</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根据本通用条款第34条，凡属于评审委员会在评审中发现的算术错误进行核实的修改不在此列。</w:t>
      </w:r>
    </w:p>
    <w:p>
      <w:pPr>
        <w:rPr>
          <w:rFonts w:ascii="宋体" w:eastAsia="宋体" w:hAnsi="宋体" w:cs="宋体" w:hint="eastAsia"/>
          <w:color w:val="000000" w:themeColor="text1"/>
          <w14:textFill>
            <w14:solidFill>
              <w14:schemeClr w14:val="tx1"/>
            </w14:solidFill>
          </w14:textFill>
        </w:rPr>
      </w:pPr>
      <w:bookmarkStart w:id="63" w:name="_Toc100052400"/>
      <w:bookmarkStart w:id="64" w:name="_Toc73521669"/>
      <w:bookmarkStart w:id="65" w:name="_Toc73517673"/>
      <w:bookmarkStart w:id="66" w:name="_Toc73521581"/>
      <w:bookmarkStart w:id="67" w:name="_Toc73518151"/>
      <w:r>
        <w:rPr>
          <w:rFonts w:ascii="宋体" w:eastAsia="宋体" w:hAnsi="宋体" w:cs="宋体" w:hint="eastAsia"/>
          <w:color w:val="000000" w:themeColor="text1"/>
          <w14:textFill>
            <w14:solidFill>
              <w14:schemeClr w14:val="tx1"/>
            </w14:solidFill>
          </w14:textFill>
        </w:rPr>
        <w:t>34．错误的修正</w:t>
      </w:r>
      <w:bookmarkEnd w:id="63"/>
      <w:bookmarkEnd w:id="64"/>
      <w:bookmarkEnd w:id="65"/>
      <w:bookmarkEnd w:id="66"/>
      <w:bookmarkEnd w:id="67"/>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投标文件报价出现前后不一致的，除专用条款另有规定外，按照下列规定修正：</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34.1投标文件中开标一览表投标报价内容与投标文件中投标报价相应内容不一致的，以开标一览表为准；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34.2大写金额和小写金额不一致的，以大写金额为准；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34.3单价金额小数点或者百分比有明显错位，以开标一览表的总价为准，并修改单价；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34.4总价金额与按单价汇总金额不一致的，以单价金额计算结果为准。</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34.5同时出现两种以上不一致的，按照前款规定的顺序修正。修正后的报价按照本通用条款33条的规定，经投标人确认后产生约束力，投标人不确认的，其投标无效。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35．投标文件的比较与评价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评审委员会成员对需要共同认定的事项存在争议的，应当按照少数服从多数的原则作出结论。持不同意见的评审委员会成员应当书面作出说明，否则视为无异议。</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36. 实地考察或资料查验</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36.1在评审过程中，评审委员会有权决定是否对本项目投标人进行实地考察或资料查验（原件）。投标人应随时做好接受实地考察或资料查验的准备。</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37．评审方法</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37.1.1最低价法</w:t>
      </w:r>
    </w:p>
    <w:p>
      <w:pPr>
        <w:ind w:firstLine="470" w:firstLineChars="196"/>
        <w:rPr>
          <w:rFonts w:ascii="宋体" w:eastAsia="宋体" w:hAnsi="宋体" w:cs="宋体" w:hint="eastAsia"/>
          <w:color w:val="000000" w:themeColor="text1"/>
          <w14:textFill>
            <w14:solidFill>
              <w14:schemeClr w14:val="tx1"/>
            </w14:solidFill>
          </w14:textFill>
        </w:rPr>
      </w:pPr>
      <w:bookmarkStart w:id="68" w:name="_Hlk72438142"/>
      <w:r>
        <w:rPr>
          <w:rFonts w:ascii="宋体" w:eastAsia="宋体" w:hAnsi="宋体" w:cs="宋体" w:hint="eastAsia"/>
          <w:color w:val="000000" w:themeColor="text1"/>
          <w14:textFill>
            <w14:solidFill>
              <w14:schemeClr w14:val="tx1"/>
            </w14:solidFill>
          </w14:textFill>
        </w:rPr>
        <w:t>最低价法，是指完全满足招标文件实质性要求，按照报价由低到高的顺序，依据招标文件中规定的数量或者比例推荐候选中标供应商。</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37.1.2综合评分法</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综合评分法，是指在满足招标文件全部实质性要求的前提下，按照招标文件中规定的各项因素进行综合评审，评审总得分排名前列的投标人，作为推荐的候选中标供应商。</w:t>
      </w:r>
      <w:bookmarkEnd w:id="68"/>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37.2 本项目采用的评审方法见本项目招标文件第一册“专用条款”的相关内容。</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37.3重新评审的情形</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评审结果汇总完成后，除下列情形外，任何人不得修改评审结果：</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37.3.1分值汇总计算错误的；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37.3.2分项评分超出评分标准范围的；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37.3.3评审委员会成员对客观评审因素评分不一致的；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37.3.4经评审委员会认定评分畸高、畸低的。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投标人对本条第一款情形提出质疑的，采购人或者采购代理机构可以组织原评审委员会进行重新评审，重新评审改变评审结果的，应当书面报告本级财政部门。</w:t>
      </w:r>
    </w:p>
    <w:p>
      <w:pPr>
        <w:ind w:firstLine="470" w:firstLineChars="196"/>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 37.4重新组建评审委员会的情形</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评审委员会或者其成员存在下列情形导致评审结果无效的，重新组建评审委员会进行评标，并书面报告本级财政部门：</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37.4.1评审委员会组成不符合《政府采购货物和服务招标投标管理办法》规定的；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37.4.2有《政府采购货物和服务招标投标管理办法》第六十二条第一至五项情形的；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37.4.3评审委员会及其成员独立评标受到非法干预的；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37.4.4有政府采购法实施条例第七十五条规定的违法行为的。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有违法违规行为的原评审委员会成员不得参加重新组建的评审委员会。</w:t>
      </w: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r>
        <w:rPr>
          <w:rFonts w:cs="宋体" w:hint="eastAsia"/>
          <w:color w:val="000000" w:themeColor="text1"/>
          <w:sz w:val="28"/>
          <w:szCs w:val="28"/>
          <w14:textFill>
            <w14:solidFill>
              <w14:schemeClr w14:val="tx1"/>
            </w14:solidFill>
          </w14:textFill>
        </w:rPr>
        <w:t>定标及公示</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38．定标方法</w:t>
      </w:r>
    </w:p>
    <w:p>
      <w:pPr>
        <w:ind w:firstLine="470" w:firstLineChars="196"/>
        <w:rPr>
          <w:rFonts w:ascii="宋体" w:eastAsia="宋体" w:hAnsi="宋体" w:cs="宋体" w:hint="eastAsia"/>
          <w:szCs w:val="21"/>
        </w:rPr>
      </w:pPr>
      <w:bookmarkStart w:id="69" w:name="_Hlk73782795"/>
      <w:r>
        <w:rPr>
          <w:rFonts w:ascii="宋体" w:eastAsia="宋体" w:hAnsi="宋体" w:cs="宋体" w:hint="eastAsia"/>
          <w:szCs w:val="21"/>
        </w:rPr>
        <w:t>38.1非评定分离项目定标方法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38.1.1评审委员会依据本项目招标文件所约定的评审方法进行评审和比较，向政府采购代理机构提交书面评审报告，并根据评审方法比较评价结果从优到劣进行排序，确定候选中标供应商。</w:t>
      </w:r>
    </w:p>
    <w:p>
      <w:pPr>
        <w:ind w:firstLine="470" w:firstLineChars="196"/>
        <w:rPr>
          <w:rFonts w:ascii="宋体" w:eastAsia="宋体" w:hAnsi="宋体" w:cs="宋体" w:hint="eastAsia"/>
        </w:rPr>
      </w:pPr>
      <w:r>
        <w:rPr>
          <w:rFonts w:ascii="宋体" w:eastAsia="宋体" w:hAnsi="宋体" w:cs="宋体" w:hint="eastAsia"/>
          <w:szCs w:val="21"/>
        </w:rPr>
        <w:t>38.1.2</w:t>
      </w:r>
      <w:r>
        <w:rPr>
          <w:rFonts w:ascii="宋体" w:eastAsia="宋体" w:hAnsi="宋体" w:cs="宋体" w:hint="eastAsia"/>
        </w:rPr>
        <w:t>采用最低价法的，评审结果按投标报价由低到高顺序排列。投标报价相同的并列。投标文件满足招标文件全部实质性要求且投标报价最低的投标人为</w:t>
      </w:r>
      <w:bookmarkStart w:id="70" w:name="_Hlk73821177"/>
      <w:r>
        <w:rPr>
          <w:rFonts w:ascii="宋体" w:eastAsia="宋体" w:hAnsi="宋体" w:cs="宋体" w:hint="eastAsia"/>
        </w:rPr>
        <w:t>中标供应商（排名第二的投标人为第一替补中标候选人、排名第三的投标人为第二替补中标候选人</w:t>
      </w:r>
      <w:bookmarkEnd w:id="70"/>
      <w:r>
        <w:rPr>
          <w:rFonts w:ascii="宋体" w:eastAsia="宋体" w:hAnsi="宋体" w:cs="宋体" w:hint="eastAsia"/>
        </w:rPr>
        <w:t>）。</w:t>
      </w:r>
    </w:p>
    <w:p>
      <w:pPr>
        <w:ind w:firstLine="470" w:firstLineChars="196"/>
        <w:rPr>
          <w:rFonts w:ascii="宋体" w:eastAsia="宋体" w:hAnsi="宋体" w:cs="宋体" w:hint="eastAsia"/>
        </w:rPr>
      </w:pPr>
      <w:r>
        <w:rPr>
          <w:rFonts w:ascii="宋体" w:eastAsia="宋体" w:hAnsi="宋体" w:cs="宋体" w:hint="eastAsia"/>
          <w:szCs w:val="21"/>
        </w:rPr>
        <w:t>38.1.3采</w:t>
      </w:r>
      <w:r>
        <w:rPr>
          <w:rFonts w:ascii="宋体" w:eastAsia="宋体" w:hAnsi="宋体" w:cs="宋体"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pPr>
        <w:ind w:firstLine="470" w:firstLineChars="196"/>
        <w:rPr>
          <w:rFonts w:ascii="宋体" w:eastAsia="宋体" w:hAnsi="宋体" w:cs="宋体" w:hint="eastAsia"/>
          <w:szCs w:val="21"/>
        </w:rPr>
      </w:pPr>
      <w:r>
        <w:rPr>
          <w:rFonts w:ascii="宋体" w:eastAsia="宋体" w:hAnsi="宋体" w:cs="宋体" w:hint="eastAsia"/>
          <w:szCs w:val="21"/>
        </w:rPr>
        <w:t>38.2评定分离项目定标方法</w:t>
      </w:r>
    </w:p>
    <w:p>
      <w:pPr>
        <w:ind w:firstLine="470" w:firstLineChars="196"/>
        <w:rPr>
          <w:rFonts w:ascii="宋体" w:eastAsia="宋体" w:hAnsi="宋体" w:cs="宋体" w:hint="eastAsia"/>
          <w:szCs w:val="21"/>
        </w:rPr>
      </w:pPr>
      <w:r>
        <w:rPr>
          <w:rFonts w:ascii="宋体" w:eastAsia="宋体" w:hAnsi="宋体" w:cs="宋体"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pPr>
        <w:ind w:firstLine="470" w:firstLineChars="196"/>
        <w:rPr>
          <w:rFonts w:ascii="宋体" w:eastAsia="宋体" w:hAnsi="宋体" w:cs="宋体" w:hint="eastAsia"/>
          <w:szCs w:val="21"/>
        </w:rPr>
      </w:pPr>
      <w:r>
        <w:rPr>
          <w:rFonts w:ascii="宋体" w:eastAsia="宋体" w:hAnsi="宋体" w:cs="宋体" w:hint="eastAsia"/>
          <w:szCs w:val="21"/>
        </w:rPr>
        <w:t xml:space="preserve">38.2.2 </w:t>
      </w:r>
      <w:bookmarkStart w:id="71" w:name="_Hlk71469733"/>
      <w:r>
        <w:rPr>
          <w:rFonts w:ascii="宋体" w:eastAsia="宋体" w:hAnsi="宋体" w:cs="宋体" w:hint="eastAsia"/>
        </w:rPr>
        <w:t>适用评定分离的政府采购项目，采用综合评分法评审。</w:t>
      </w:r>
      <w:r>
        <w:rPr>
          <w:rFonts w:ascii="宋体" w:eastAsia="宋体" w:hAnsi="宋体" w:cs="宋体" w:hint="eastAsia"/>
          <w:szCs w:val="21"/>
        </w:rPr>
        <w:t>评审委员会按照评审结果，推荐</w:t>
      </w:r>
      <w:r>
        <w:rPr>
          <w:rFonts w:ascii="宋体" w:eastAsia="宋体" w:hAnsi="宋体" w:cs="宋体" w:hint="eastAsia"/>
        </w:rPr>
        <w:t>三个合格的候选中标供应商。</w:t>
      </w:r>
    </w:p>
    <w:p>
      <w:pPr>
        <w:ind w:firstLine="470" w:firstLineChars="196"/>
        <w:rPr>
          <w:rFonts w:ascii="宋体" w:eastAsia="宋体" w:hAnsi="宋体" w:cs="宋体" w:hint="eastAsia"/>
          <w:szCs w:val="21"/>
        </w:rPr>
      </w:pPr>
      <w:r>
        <w:rPr>
          <w:rFonts w:ascii="宋体" w:eastAsia="宋体" w:hAnsi="宋体" w:cs="宋体" w:hint="eastAsia"/>
          <w:szCs w:val="21"/>
        </w:rPr>
        <w:t>38.2.3</w:t>
      </w:r>
      <w:bookmarkStart w:id="72" w:name="_Hlk71469688"/>
      <w:r>
        <w:rPr>
          <w:rFonts w:ascii="宋体" w:eastAsia="宋体" w:hAnsi="宋体" w:cs="宋体" w:hint="eastAsia"/>
        </w:rPr>
        <w:t>适用评定分离的政府采购项目，</w:t>
      </w:r>
      <w:r>
        <w:rPr>
          <w:rFonts w:ascii="宋体" w:eastAsia="宋体" w:hAnsi="宋体" w:cs="宋体" w:hint="eastAsia"/>
          <w:szCs w:val="21"/>
        </w:rPr>
        <w:t>按照自定法确定中标供应商：自定法是指采购人组织定标委员会，由定标委员会在三家候选中标供应商中确定中标供应商。</w:t>
      </w:r>
      <w:bookmarkEnd w:id="71"/>
      <w:bookmarkEnd w:id="72"/>
    </w:p>
    <w:p>
      <w:pPr>
        <w:ind w:firstLine="470" w:firstLineChars="196"/>
        <w:rPr>
          <w:rFonts w:ascii="宋体" w:eastAsia="宋体" w:hAnsi="宋体" w:cs="宋体" w:hint="eastAsia"/>
          <w:szCs w:val="21"/>
        </w:rPr>
      </w:pPr>
      <w:r>
        <w:rPr>
          <w:rFonts w:ascii="宋体" w:eastAsia="宋体" w:hAnsi="宋体" w:cs="宋体" w:hint="eastAsia"/>
          <w:szCs w:val="21"/>
        </w:rPr>
        <w:t>38.2.4政府采购代理机构</w:t>
      </w:r>
      <w:r>
        <w:rPr>
          <w:rFonts w:ascii="宋体" w:eastAsia="宋体" w:hAnsi="宋体" w:cs="宋体" w:hint="eastAsia"/>
        </w:rPr>
        <w:t>应当自评审结束之日起两个工作日内将候选中标供应商名单及其投标文件、评审报告送交采购人</w:t>
      </w:r>
      <w:r>
        <w:rPr>
          <w:rFonts w:ascii="宋体" w:eastAsia="宋体" w:hAnsi="宋体" w:cs="宋体" w:hint="eastAsia"/>
          <w:szCs w:val="21"/>
        </w:rPr>
        <w:t>。</w:t>
      </w:r>
      <w:r>
        <w:rPr>
          <w:rFonts w:ascii="宋体" w:eastAsia="宋体" w:hAnsi="宋体" w:cs="宋体"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2020】1号）执行。</w:t>
      </w:r>
    </w:p>
    <w:p>
      <w:pPr>
        <w:ind w:firstLine="470" w:firstLineChars="196"/>
        <w:rPr>
          <w:rFonts w:ascii="宋体" w:eastAsia="宋体" w:hAnsi="宋体" w:cs="宋体" w:hint="eastAsia"/>
          <w:szCs w:val="21"/>
        </w:rPr>
      </w:pPr>
      <w:r>
        <w:rPr>
          <w:rFonts w:ascii="宋体" w:eastAsia="宋体" w:hAnsi="宋体" w:cs="宋体" w:hint="eastAsia"/>
          <w:szCs w:val="21"/>
        </w:rPr>
        <w:t>说明：采购人及投标供应商应按照上述方法提前做好相关准备。</w:t>
      </w:r>
    </w:p>
    <w:p>
      <w:pPr>
        <w:ind w:firstLine="470" w:firstLineChars="196"/>
        <w:rPr>
          <w:rFonts w:ascii="宋体" w:eastAsia="宋体" w:hAnsi="宋体" w:cs="宋体" w:hint="eastAsia"/>
          <w:szCs w:val="21"/>
        </w:rPr>
      </w:pPr>
      <w:r>
        <w:rPr>
          <w:rFonts w:ascii="宋体" w:eastAsia="宋体" w:hAnsi="宋体" w:cs="宋体" w:hint="eastAsia"/>
          <w:szCs w:val="21"/>
        </w:rPr>
        <w:t>38.3专用条款另有规定的，按专用条款相关要求定标。</w:t>
      </w:r>
      <w:bookmarkEnd w:id="69"/>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39．编写评审报告</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40．中标公告</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40.1</w:t>
      </w:r>
      <w:bookmarkStart w:id="73" w:name="_Hlk72438709"/>
      <w:r>
        <w:rPr>
          <w:rFonts w:ascii="宋体" w:eastAsia="宋体" w:hAnsi="宋体" w:cs="宋体" w:hint="eastAsia"/>
          <w:color w:val="000000" w:themeColor="text1"/>
          <w:szCs w:val="21"/>
          <w14:textFill>
            <w14:solidFill>
              <w14:schemeClr w14:val="tx1"/>
            </w14:solidFill>
          </w14:textFill>
        </w:rPr>
        <w:t>为体现“公开、公平、公正”的原则，评审结束后经采购人确认（确定）评审结果，招标机构将在“深圳政府采购智慧平台（http://zfcg.szggzy.com:8081/）”上发布中标结果公告。</w:t>
      </w:r>
      <w:bookmarkEnd w:id="73"/>
      <w:bookmarkStart w:id="74" w:name="_Hlk72438751"/>
      <w:r>
        <w:rPr>
          <w:rFonts w:ascii="宋体" w:eastAsia="宋体" w:hAnsi="宋体" w:cs="宋体" w:hint="eastAsia"/>
          <w:color w:val="000000" w:themeColor="text1"/>
          <w:szCs w:val="21"/>
          <w14:textFill>
            <w14:solidFill>
              <w14:schemeClr w14:val="tx1"/>
            </w14:solidFill>
          </w14:textFill>
        </w:rPr>
        <w:t>供应商如对评审结果有异议，可在发布公示日期起七个工作日内向招标机构提出。电话：0755-83881111。若在公示期内未提出质疑，则视为认同该评审结果。</w:t>
      </w:r>
    </w:p>
    <w:p>
      <w:pPr>
        <w:ind w:firstLine="470" w:firstLineChars="196"/>
        <w:rPr>
          <w:rFonts w:ascii="宋体" w:eastAsia="宋体" w:hAnsi="宋体" w:cs="宋体" w:hint="eastAsia"/>
          <w:color w:val="000000" w:themeColor="text1"/>
          <w:szCs w:val="21"/>
          <w14:textFill>
            <w14:solidFill>
              <w14:schemeClr w14:val="tx1"/>
            </w14:solidFill>
          </w14:textFill>
        </w:rPr>
      </w:pPr>
      <w:bookmarkEnd w:id="74"/>
      <w:r>
        <w:rPr>
          <w:rFonts w:ascii="宋体" w:eastAsia="宋体" w:hAnsi="宋体" w:cs="宋体" w:hint="eastAsia"/>
          <w:color w:val="000000" w:themeColor="text1"/>
          <w:szCs w:val="21"/>
          <w14:textFill>
            <w14:solidFill>
              <w14:schemeClr w14:val="tx1"/>
            </w14:solidFill>
          </w14:textFill>
        </w:rPr>
        <w:t>40.2质疑、投诉供应商应保证质疑、投诉内容的真实性和可靠性，并承担相应的法律责任。</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41．中标通知书、招标代理服务费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41.1</w:t>
      </w:r>
      <w:bookmarkStart w:id="75" w:name="_Hlk72438863"/>
      <w:r>
        <w:rPr>
          <w:rFonts w:ascii="宋体" w:eastAsia="宋体" w:hAnsi="宋体" w:cs="宋体" w:hint="eastAsia"/>
          <w:color w:val="000000" w:themeColor="text1"/>
          <w:szCs w:val="21"/>
          <w14:textFill>
            <w14:solidFill>
              <w14:schemeClr w14:val="tx1"/>
            </w14:solidFill>
          </w14:textFill>
        </w:rPr>
        <w:t>中标公告公布以后无异常的情况下,中标供应商和采购人可自行在“深圳政府采购智慧平台（http://zfcg.szggzy.com:8081/）”上打印</w:t>
      </w:r>
      <w:r>
        <w:rPr>
          <w:rFonts w:ascii="宋体" w:eastAsia="宋体" w:hAnsi="宋体" w:cs="宋体" w:hint="eastAsia"/>
          <w:bCs/>
          <w:color w:val="000000" w:themeColor="text1"/>
          <w:szCs w:val="21"/>
          <w14:textFill>
            <w14:solidFill>
              <w14:schemeClr w14:val="tx1"/>
            </w14:solidFill>
          </w14:textFill>
        </w:rPr>
        <w:t>《数字中标通知书》</w:t>
      </w:r>
      <w:r>
        <w:rPr>
          <w:rFonts w:ascii="宋体" w:eastAsia="宋体" w:hAnsi="宋体" w:cs="宋体" w:hint="eastAsia"/>
          <w:b/>
          <w:color w:val="000000" w:themeColor="text1"/>
          <w:szCs w:val="21"/>
          <w14:textFill>
            <w14:solidFill>
              <w14:schemeClr w14:val="tx1"/>
            </w14:solidFill>
          </w14:textFill>
        </w:rPr>
        <w:t>（</w:t>
      </w:r>
      <w:r>
        <w:rPr>
          <w:rFonts w:ascii="宋体" w:eastAsia="宋体" w:hAnsi="宋体" w:cs="宋体" w:hint="eastAsia"/>
          <w:color w:val="000000" w:themeColor="text1"/>
          <w:szCs w:val="21"/>
          <w14:textFill>
            <w14:solidFill>
              <w14:schemeClr w14:val="tx1"/>
            </w14:solidFill>
          </w14:textFill>
        </w:rPr>
        <w:t>咨询电话：</w:t>
      </w:r>
      <w:r>
        <w:rPr>
          <w:rFonts w:ascii="宋体" w:eastAsia="宋体" w:hAnsi="宋体" w:cs="宋体" w:hint="eastAsia"/>
          <w:b/>
          <w:bCs/>
          <w:color w:val="000000" w:themeColor="text1"/>
          <w:szCs w:val="21"/>
          <w14:textFill>
            <w14:solidFill>
              <w14:schemeClr w14:val="tx1"/>
            </w14:solidFill>
          </w14:textFill>
        </w:rPr>
        <w:t>0755-83881111、83881995</w:t>
      </w:r>
      <w:r>
        <w:rPr>
          <w:rFonts w:ascii="宋体" w:eastAsia="宋体" w:hAnsi="宋体" w:cs="宋体" w:hint="eastAsia"/>
          <w:color w:val="000000" w:themeColor="text1"/>
          <w:szCs w:val="21"/>
          <w14:textFill>
            <w14:solidFill>
              <w14:schemeClr w14:val="tx1"/>
            </w14:solidFill>
          </w14:textFill>
        </w:rPr>
        <w:t>）或</w:t>
      </w:r>
      <w:r>
        <w:rPr>
          <w:rFonts w:ascii="宋体" w:eastAsia="宋体" w:hAnsi="宋体" w:cs="宋体" w:hint="eastAsia"/>
          <w:szCs w:val="21"/>
        </w:rPr>
        <w:t>中标人凭单位证明和本人身份证到友和保险经纪有限公司领取《中标通知书》</w:t>
      </w:r>
      <w:r>
        <w:rPr>
          <w:rFonts w:ascii="宋体" w:eastAsia="宋体" w:hAnsi="宋体" w:cs="宋体" w:hint="eastAsia"/>
          <w:color w:val="000000" w:themeColor="text1"/>
          <w:szCs w:val="21"/>
          <w14:textFill>
            <w14:solidFill>
              <w14:schemeClr w14:val="tx1"/>
            </w14:solidFill>
          </w14:textFill>
        </w:rPr>
        <w:t>。</w:t>
      </w:r>
      <w:bookmarkEnd w:id="75"/>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41.2中标通知书是合同的重要组成部分。</w:t>
      </w:r>
    </w:p>
    <w:p>
      <w:pPr>
        <w:ind w:firstLine="470" w:firstLineChars="196"/>
        <w:rPr>
          <w:rFonts w:ascii="宋体" w:eastAsia="宋体" w:hAnsi="宋体" w:cs="宋体" w:hint="eastAsia"/>
          <w:color w:val="000000" w:themeColor="text1"/>
          <w:szCs w:val="21"/>
          <w14:textFill>
            <w14:solidFill>
              <w14:schemeClr w14:val="tx1"/>
            </w14:solidFill>
          </w14:textFill>
        </w:rPr>
      </w:pPr>
      <w:bookmarkStart w:id="76" w:name="_Hlk71407340"/>
      <w:r>
        <w:rPr>
          <w:rFonts w:ascii="宋体" w:eastAsia="宋体" w:hAnsi="宋体" w:cs="宋体" w:hint="eastAsia"/>
          <w:color w:val="000000" w:themeColor="text1"/>
          <w:szCs w:val="21"/>
          <w14:textFill>
            <w14:solidFill>
              <w14:schemeClr w14:val="tx1"/>
            </w14:solidFill>
          </w14:textFill>
        </w:rPr>
        <w:t>41.3因质疑投诉或其它原因导致项目结果变更或采购终止的，招标机构有权吊销中标通知书。</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41.4.1代理费由中标人支付，代理费收费标准按《深圳市财政委员会关于规范深圳市社会采购代理机构管理有关事项的补充通知》（深财购〔2018〕27号）执行，收费标准如下表所列。招标代理服务费以中标金额为基数，按差额定率累进法计算，不足人民币陆仟元的按照固定额陆仟元收取。具体计取费率标准如下表所示：</w:t>
      </w:r>
    </w:p>
    <w:tbl>
      <w:tblPr>
        <w:tblStyle w:val="TableNormal"/>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
      <w:tblGrid>
        <w:gridCol w:w="2447"/>
        <w:gridCol w:w="1788"/>
        <w:gridCol w:w="1788"/>
        <w:gridCol w:w="1788"/>
      </w:tblGrid>
      <w:tr>
        <w:tblPrEx>
          <w:tblW w:w="7811"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0" w:type="dxa"/>
            <w:left w:w="108" w:type="dxa"/>
            <w:bottom w:w="0" w:type="dxa"/>
            <w:right w:w="108" w:type="dxa"/>
          </w:tblCellMar>
        </w:tblPrEx>
        <w:trPr>
          <w:trHeight w:val="54"/>
          <w:jc w:val="center"/>
        </w:trPr>
        <w:tc>
          <w:tcPr>
            <w:tcW w:w="2447" w:type="dxa"/>
            <w:tcBorders>
              <w:tl2br w:val="single" w:sz="8" w:space="0" w:color="auto"/>
            </w:tcBorders>
            <w:vAlign w:val="center"/>
          </w:tcPr>
          <w:p>
            <w:pPr>
              <w:snapToGrid w:val="0"/>
              <w:spacing w:line="360" w:lineRule="auto"/>
              <w:ind w:firstLine="1200" w:firstLineChars="500"/>
              <w:jc w:val="center"/>
              <w:rPr>
                <w:rFonts w:ascii="宋体" w:eastAsia="宋体" w:hAnsi="宋体" w:cs="宋体" w:hint="eastAsia"/>
                <w:szCs w:val="21"/>
              </w:rPr>
            </w:pPr>
            <w:r>
              <w:rPr>
                <w:rFonts w:ascii="宋体" w:eastAsia="宋体" w:hAnsi="宋体" w:cs="宋体" w:hint="eastAsia"/>
                <w:szCs w:val="21"/>
              </w:rPr>
              <w:t>服务类型</w:t>
            </w:r>
          </w:p>
          <w:p>
            <w:pPr>
              <w:pStyle w:val="NormalIndent"/>
              <w:ind w:firstLine="0"/>
              <w:jc w:val="both"/>
              <w:rPr>
                <w:rFonts w:ascii="宋体" w:eastAsia="宋体" w:hAnsi="宋体" w:cs="宋体" w:hint="eastAsia"/>
                <w:szCs w:val="21"/>
              </w:rPr>
            </w:pPr>
            <w:r>
              <w:rPr>
                <w:rFonts w:ascii="宋体" w:eastAsia="宋体" w:hAnsi="宋体" w:cs="宋体" w:hint="eastAsia"/>
                <w:szCs w:val="21"/>
              </w:rPr>
              <w:t>中标金额(万元)</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货物招标</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服务招标</w:t>
            </w:r>
          </w:p>
        </w:tc>
        <w:tc>
          <w:tcPr>
            <w:tcW w:w="1788"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工程招标</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100以下</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1.00%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100-500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1.10%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0.80%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0.70%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500-1000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0.80%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0.45%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0.55%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1000-5000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0.50%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0.35%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5000-10000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0.10%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0.20%</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10000-100000</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0.05%</w:t>
            </w:r>
          </w:p>
        </w:tc>
      </w:tr>
      <w:tr>
        <w:tblPrEx>
          <w:tblW w:w="7811" w:type="dxa"/>
          <w:jc w:val="center"/>
          <w:tblLayout w:type="fixed"/>
          <w:tblCellMar>
            <w:top w:w="0" w:type="dxa"/>
            <w:left w:w="108" w:type="dxa"/>
            <w:bottom w:w="0" w:type="dxa"/>
            <w:right w:w="108" w:type="dxa"/>
          </w:tblCellMar>
        </w:tblPrEx>
        <w:trPr>
          <w:trHeight w:val="402"/>
          <w:jc w:val="center"/>
        </w:trPr>
        <w:tc>
          <w:tcPr>
            <w:tcW w:w="2447" w:type="dxa"/>
            <w:vAlign w:val="center"/>
          </w:tcPr>
          <w:p>
            <w:pPr>
              <w:snapToGrid w:val="0"/>
              <w:spacing w:line="360" w:lineRule="auto"/>
              <w:jc w:val="center"/>
              <w:rPr>
                <w:rFonts w:ascii="宋体" w:eastAsia="宋体" w:hAnsi="宋体" w:cs="宋体" w:hint="eastAsia"/>
                <w:szCs w:val="21"/>
              </w:rPr>
            </w:pPr>
            <w:r>
              <w:rPr>
                <w:rFonts w:ascii="宋体" w:eastAsia="宋体" w:hAnsi="宋体" w:cs="宋体" w:hint="eastAsia"/>
                <w:szCs w:val="21"/>
              </w:rPr>
              <w:t>1000000以上</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c>
          <w:tcPr>
            <w:tcW w:w="1788" w:type="dxa"/>
          </w:tcPr>
          <w:p>
            <w:pPr>
              <w:spacing w:line="360" w:lineRule="auto"/>
              <w:jc w:val="center"/>
              <w:rPr>
                <w:rFonts w:ascii="宋体" w:eastAsia="宋体" w:hAnsi="宋体" w:cs="宋体" w:hint="eastAsia"/>
              </w:rPr>
            </w:pPr>
            <w:r>
              <w:rPr>
                <w:rFonts w:ascii="宋体" w:eastAsia="宋体" w:hAnsi="宋体" w:cs="宋体" w:hint="eastAsia"/>
              </w:rPr>
              <w:t>0.01%</w:t>
            </w:r>
          </w:p>
        </w:tc>
      </w:tr>
    </w:tbl>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例如：某服务招标代理业务中标金额为600万元，计算招标代理服务收费额如下：</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100万元×1.5%=1.5万元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（500-100）万元×0.8%=3.2万元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（600-500）万元×0.45%=0.45万元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合计收费=1.5+3.2+0.45=5.15万元：</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中标人须在中标公告公示期结束后，领取《中标通知书》前，向招标代理机构缴纳中标服务费。</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41.4.2 招标代理服务费以转账、现金形式交付。</w:t>
      </w:r>
    </w:p>
    <w:p>
      <w:pPr>
        <w:rPr>
          <w:rFonts w:ascii="宋体" w:eastAsia="宋体" w:hAnsi="宋体" w:cs="宋体" w:hint="eastAsia"/>
        </w:rPr>
      </w:pP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bookmarkEnd w:id="76"/>
      <w:r>
        <w:rPr>
          <w:rFonts w:cs="宋体" w:hint="eastAsia"/>
          <w:color w:val="000000" w:themeColor="text1"/>
          <w:sz w:val="28"/>
          <w:szCs w:val="28"/>
          <w14:textFill>
            <w14:solidFill>
              <w14:schemeClr w14:val="tx1"/>
            </w14:solidFill>
          </w14:textFill>
        </w:rPr>
        <w:t>公开招标失败的后续处理</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42．公开招标失败的处理</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42.1本项目公开招标过程中若由于投标截止后</w:t>
      </w:r>
      <w:r>
        <w:rPr>
          <w:rFonts w:ascii="宋体" w:eastAsia="宋体" w:hAnsi="宋体" w:cs="宋体" w:hint="eastAsia"/>
          <w:color w:val="000000" w:themeColor="text1"/>
          <w14:textFill>
            <w14:solidFill>
              <w14:schemeClr w14:val="tx1"/>
            </w14:solidFill>
          </w14:textFill>
        </w:rPr>
        <w:t>实际递交投标文件的供应商数量不足、经</w:t>
      </w:r>
      <w:r>
        <w:rPr>
          <w:rFonts w:ascii="宋体" w:eastAsia="宋体" w:hAnsi="宋体" w:cs="宋体" w:hint="eastAsia"/>
          <w:color w:val="000000" w:themeColor="text1"/>
          <w:szCs w:val="21"/>
          <w14:textFill>
            <w14:solidFill>
              <w14:schemeClr w14:val="tx1"/>
            </w14:solidFill>
          </w14:textFill>
        </w:rPr>
        <w:t>评审委员会</w:t>
      </w:r>
      <w:r>
        <w:rPr>
          <w:rFonts w:ascii="宋体" w:eastAsia="宋体" w:hAnsi="宋体" w:cs="宋体" w:hint="eastAsia"/>
          <w:color w:val="000000" w:themeColor="text1"/>
          <w14:textFill>
            <w14:solidFill>
              <w14:schemeClr w14:val="tx1"/>
            </w14:solidFill>
          </w14:textFill>
        </w:rPr>
        <w:t>评审对招标文件作实质响应的供应商不足等原因造成公开招标失败，可由招标机构重新组织采购。</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42.2对公开招标失败的项目，评审委员会在出具该项目招标失败结论的同时，可以提出重新采购组织形式的建议，以及进一步完善招标文件的资格、技术、商务要求的修改建议。</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42.3重新组织采购有以下两种组织形式：</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（1）由招标机构重新组织公开招标；</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（2）根据实际情况需要向同级财政部门提出非公开招标方式申请，经同级财政部门批准，公开招标失败采购项目可转为竞争性谈判或单一来源谈判方式采购。</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42.4公开招标失败的采购项目重新组织公开招标，由招标机构重新按公开招标流程组织采购活动。</w:t>
      </w:r>
    </w:p>
    <w:p>
      <w:pPr>
        <w:ind w:firstLine="47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42.5公开招标失败的采购项目经同级财政部门批准转为竞争性谈判或单一来源谈判方式采购的，按规定要求组织政府采购工作。</w:t>
      </w: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bookmarkStart w:id="77" w:name="_Hlk72439043"/>
      <w:r>
        <w:rPr>
          <w:rFonts w:cs="宋体" w:hint="eastAsia"/>
          <w:color w:val="000000" w:themeColor="text1"/>
          <w:sz w:val="28"/>
          <w:szCs w:val="28"/>
          <w14:textFill>
            <w14:solidFill>
              <w14:schemeClr w14:val="tx1"/>
            </w14:solidFill>
          </w14:textFill>
        </w:rPr>
        <w:t>合同的授予与备案</w:t>
      </w:r>
      <w:bookmarkEnd w:id="77"/>
    </w:p>
    <w:p>
      <w:pPr>
        <w:rPr>
          <w:rFonts w:ascii="宋体" w:eastAsia="宋体" w:hAnsi="宋体" w:cs="宋体" w:hint="eastAsia"/>
          <w:color w:val="000000" w:themeColor="text1"/>
          <w14:textFill>
            <w14:solidFill>
              <w14:schemeClr w14:val="tx1"/>
            </w14:solidFill>
          </w14:textFill>
        </w:rPr>
      </w:pPr>
      <w:bookmarkStart w:id="78" w:name="_Toc100052408"/>
      <w:bookmarkStart w:id="79" w:name="_Toc73517679"/>
      <w:bookmarkStart w:id="80" w:name="_Toc73521586"/>
      <w:bookmarkStart w:id="81" w:name="_Toc73521674"/>
      <w:bookmarkStart w:id="82" w:name="_Toc73518157"/>
      <w:bookmarkStart w:id="83" w:name="_Hlk72439088"/>
      <w:r>
        <w:rPr>
          <w:rFonts w:ascii="宋体" w:eastAsia="宋体" w:hAnsi="宋体" w:cs="宋体" w:hint="eastAsia"/>
          <w:color w:val="000000" w:themeColor="text1"/>
          <w14:textFill>
            <w14:solidFill>
              <w14:schemeClr w14:val="tx1"/>
            </w14:solidFill>
          </w14:textFill>
        </w:rPr>
        <w:t>43．合同授予标准</w:t>
      </w:r>
      <w:bookmarkEnd w:id="78"/>
      <w:bookmarkEnd w:id="79"/>
      <w:bookmarkEnd w:id="80"/>
      <w:bookmarkEnd w:id="81"/>
      <w:bookmarkEnd w:id="82"/>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本项目的合同将授予经本招标文件规定评审确定的中标供应商。</w:t>
      </w:r>
    </w:p>
    <w:p>
      <w:pPr>
        <w:rPr>
          <w:rFonts w:ascii="宋体" w:eastAsia="宋体" w:hAnsi="宋体" w:cs="宋体" w:hint="eastAsia"/>
          <w:color w:val="000000" w:themeColor="text1"/>
          <w14:textFill>
            <w14:solidFill>
              <w14:schemeClr w14:val="tx1"/>
            </w14:solidFill>
          </w14:textFill>
        </w:rPr>
      </w:pPr>
      <w:bookmarkStart w:id="84" w:name="_Toc73521587"/>
      <w:bookmarkStart w:id="85" w:name="_Toc73518158"/>
      <w:bookmarkStart w:id="86" w:name="_Toc73517680"/>
      <w:bookmarkStart w:id="87" w:name="_Toc100052409"/>
      <w:bookmarkStart w:id="88" w:name="_Toc73521675"/>
      <w:r>
        <w:rPr>
          <w:rFonts w:ascii="宋体" w:eastAsia="宋体" w:hAnsi="宋体" w:cs="宋体" w:hint="eastAsia"/>
          <w:color w:val="000000" w:themeColor="text1"/>
          <w14:textFill>
            <w14:solidFill>
              <w14:schemeClr w14:val="tx1"/>
            </w14:solidFill>
          </w14:textFill>
        </w:rPr>
        <w:t>44．</w:t>
      </w:r>
      <w:bookmarkEnd w:id="84"/>
      <w:bookmarkEnd w:id="85"/>
      <w:bookmarkEnd w:id="86"/>
      <w:bookmarkEnd w:id="87"/>
      <w:bookmarkEnd w:id="88"/>
      <w:r>
        <w:rPr>
          <w:rFonts w:ascii="宋体" w:eastAsia="宋体" w:hAnsi="宋体" w:cs="宋体" w:hint="eastAsia"/>
          <w:color w:val="000000" w:themeColor="text1"/>
          <w14:textFill>
            <w14:solidFill>
              <w14:schemeClr w14:val="tx1"/>
            </w14:solidFill>
          </w14:textFill>
        </w:rPr>
        <w:t>接受和拒绝任何或所有投标的权力</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招标机构和采购人保留在投标之前任何时候接受或拒绝任何投标或所有投标，以及宣布招标无效的权力，对受影响的投标人不承担任何责任，也无义务向受影响的投标人解释采取这一行动的理由。</w:t>
      </w:r>
    </w:p>
    <w:p>
      <w:pPr>
        <w:rPr>
          <w:rFonts w:ascii="宋体" w:eastAsia="宋体" w:hAnsi="宋体" w:cs="宋体" w:hint="eastAsia"/>
          <w:color w:val="000000" w:themeColor="text1"/>
          <w14:textFill>
            <w14:solidFill>
              <w14:schemeClr w14:val="tx1"/>
            </w14:solidFill>
          </w14:textFill>
        </w:rPr>
      </w:pPr>
      <w:bookmarkStart w:id="89" w:name="_Toc73517682"/>
      <w:bookmarkStart w:id="90" w:name="_Toc73518160"/>
      <w:bookmarkStart w:id="91" w:name="_Toc73521677"/>
      <w:bookmarkStart w:id="92" w:name="_Toc73521589"/>
      <w:bookmarkStart w:id="93" w:name="_Toc100052410"/>
      <w:r>
        <w:rPr>
          <w:rFonts w:ascii="宋体" w:eastAsia="宋体" w:hAnsi="宋体" w:cs="宋体" w:hint="eastAsia"/>
          <w:color w:val="000000" w:themeColor="text1"/>
          <w14:textFill>
            <w14:solidFill>
              <w14:schemeClr w14:val="tx1"/>
            </w14:solidFill>
          </w14:textFill>
        </w:rPr>
        <w:t>45．合同的签订</w:t>
      </w:r>
      <w:bookmarkEnd w:id="89"/>
      <w:bookmarkEnd w:id="90"/>
      <w:bookmarkEnd w:id="91"/>
      <w:bookmarkEnd w:id="92"/>
      <w:bookmarkEnd w:id="93"/>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45.1中标人将于中标通知书发出之日起十个工作日内，按照采购文件（招标文件和投标文件等）内容与采购人签订政府采购合同；合同的实质性内容应当符合招标文件的规定；</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45.2中标人如不按本通用条款第45.1款的规定与采购人签订合同，情节严重的，由同级财政部门记入供应商诚信档案，予以通报；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45.3中标人应当按照合同约定履行义务，完成中标项目，不得将中标项目转让（转包）给他人。</w:t>
      </w:r>
    </w:p>
    <w:p>
      <w:pPr>
        <w:rPr>
          <w:rFonts w:ascii="宋体" w:eastAsia="宋体" w:hAnsi="宋体" w:cs="宋体" w:hint="eastAsia"/>
          <w:color w:val="000000" w:themeColor="text1"/>
          <w14:textFill>
            <w14:solidFill>
              <w14:schemeClr w14:val="tx1"/>
            </w14:solidFill>
          </w14:textFill>
        </w:rPr>
      </w:pPr>
      <w:bookmarkStart w:id="94" w:name="_Toc100052411"/>
      <w:bookmarkStart w:id="95" w:name="_Toc73521678"/>
      <w:bookmarkStart w:id="96" w:name="_Toc73517683"/>
      <w:bookmarkStart w:id="97" w:name="_Toc73521590"/>
      <w:bookmarkStart w:id="98" w:name="_Toc73518161"/>
      <w:r>
        <w:rPr>
          <w:rFonts w:ascii="宋体" w:eastAsia="宋体" w:hAnsi="宋体" w:cs="宋体" w:hint="eastAsia"/>
          <w:color w:val="000000" w:themeColor="text1"/>
          <w14:textFill>
            <w14:solidFill>
              <w14:schemeClr w14:val="tx1"/>
            </w14:solidFill>
          </w14:textFill>
        </w:rPr>
        <w:t>46．履约担保</w:t>
      </w:r>
      <w:bookmarkEnd w:id="94"/>
      <w:bookmarkEnd w:id="95"/>
      <w:bookmarkEnd w:id="96"/>
      <w:bookmarkEnd w:id="97"/>
      <w:bookmarkEnd w:id="98"/>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46.1在签订项目合同的同时，中标人应按“对通用条款的补充内容”中规定的金额向采购人提交履约担保；</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46.2允许供应商自主选择以支票、汇票、本票、保函等非现金方式提交履约担保；</w:t>
      </w:r>
      <w:r>
        <w:rPr>
          <w:rFonts w:ascii="宋体" w:eastAsia="宋体" w:hAnsi="宋体" w:cs="宋体" w:hint="eastAsia"/>
          <w:color w:val="000000" w:themeColor="text1"/>
          <w14:textFill>
            <w14:solidFill>
              <w14:schemeClr w14:val="tx1"/>
            </w14:solidFill>
          </w14:textFill>
        </w:rPr>
        <w:t>中标人提交履约担保不是合同签订的前提条件，不要求中标人提供除法律、法规明确规定外的其他担保。</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47. 合同备案</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采购人与中标人应于合同签订之日起十日内，由采购人或委托中标人将采购合同副本抄送合同备案工作实施机构备案。</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48. 合同变更</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合同变更事宜按《深圳市财政局 深圳市政府采购中心关于进一步加强市本级政府采购合同备案管理工作的通知》（深财购〔2019〕43号）相关规定执行。</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 项目验收</w:t>
      </w:r>
    </w:p>
    <w:p>
      <w:pPr>
        <w:ind w:right="176" w:firstLine="420"/>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49.1采购人应当按照招标文件和合同规定的标准和方法，及时组织验收。</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50. 宣传</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凡与政府采购活动有关的宣传或广告，若当中提及政府采购，必须事先将具体对外宣传方案报同级财政部门和招标机构，并征得其同意。对外市场宣传包括但不限于以下形式：</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a.名片、宣传册、广告标语等；</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b.案例介绍、推广等；</w:t>
      </w:r>
    </w:p>
    <w:p>
      <w:pPr>
        <w:ind w:left="240" w:firstLine="470" w:leftChars="100" w:firstLineChars="196"/>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c.工作人员向其他消费群体宣传。</w:t>
      </w:r>
    </w:p>
    <w:p>
      <w:pP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51. 供应商违法责任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51.1《深圳经济特区政府采购条例》第五十七条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（1）在采购活动中应当回避而未回避的；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（2）未按本条例规定签订、履行采购合同，造成严重后果的；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（3）隐瞒真实情况，提供虚假资料的；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（4）以非法手段排斥其他供应商参与竞争的；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（5）与其他采购参加人串通投标的；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（6）恶意投诉的；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（7）向采购项目相关人行贿或者提供其他不当利益的；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（8）阻碍、抗拒主管部门监督检查的；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（9）其他违反本条例规定的行为。</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51.2 根据《深圳市财政局关于明确政府采购保证金管理工作的通知》（深财购[2019]42号）的要求，供应商在政府采购活动中出现《深圳经济特区政府采购条例实施细则》第八十四条所列情形的，</w:t>
      </w:r>
      <w:bookmarkStart w:id="99" w:name="_Hlk72440769"/>
      <w:r>
        <w:rPr>
          <w:rFonts w:ascii="宋体" w:eastAsia="宋体" w:hAnsi="宋体" w:cs="宋体" w:hint="eastAsia"/>
          <w:color w:val="000000" w:themeColor="text1"/>
          <w:szCs w:val="21"/>
          <w14:textFill>
            <w14:solidFill>
              <w14:schemeClr w14:val="tx1"/>
            </w14:solidFill>
          </w14:textFill>
        </w:rPr>
        <w:t>采购人或</w:t>
      </w:r>
      <w:bookmarkEnd w:id="99"/>
      <w:r>
        <w:rPr>
          <w:rFonts w:ascii="宋体" w:eastAsia="宋体" w:hAnsi="宋体" w:cs="宋体" w:hint="eastAsia"/>
          <w:color w:val="000000" w:themeColor="text1"/>
          <w:szCs w:val="21"/>
          <w14:textFill>
            <w14:solidFill>
              <w14:schemeClr w14:val="tx1"/>
            </w14:solidFill>
          </w14:textFill>
        </w:rPr>
        <w:t>招标机构可将有关情况报同级财政部门，由财政部门根据实际情况记入供应商诚信档案，予以通报：</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（1）投标截止后，撤销投标的；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（2）中标后无正当理由未在规定期限内签订合同的；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（3）将中标项目转让给他人、或者在投标文件中未说明且未经采购人、采购招标机构同意，将中标项目分包给他人的；</w:t>
      </w:r>
    </w:p>
    <w:p>
      <w:pPr>
        <w:ind w:firstLine="470" w:firstLineChars="196"/>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（4）拒绝履行合同义务的。</w:t>
      </w:r>
    </w:p>
    <w:p>
      <w:pPr>
        <w:pStyle w:val="Heading2"/>
        <w:numPr>
          <w:ilvl w:val="0"/>
          <w:numId w:val="2"/>
        </w:numPr>
        <w:tabs>
          <w:tab w:val="left" w:pos="360"/>
          <w:tab w:val="clear" w:pos="720"/>
        </w:tabs>
        <w:spacing w:before="120" w:beforeLines="50" w:after="120" w:afterLines="50"/>
        <w:ind w:left="562" w:hanging="562"/>
        <w:rPr>
          <w:rFonts w:cs="宋体" w:hint="eastAsia"/>
          <w:color w:val="000000" w:themeColor="text1"/>
          <w:sz w:val="28"/>
          <w:szCs w:val="28"/>
          <w14:textFill>
            <w14:solidFill>
              <w14:schemeClr w14:val="tx1"/>
            </w14:solidFill>
          </w14:textFill>
        </w:rPr>
      </w:pPr>
      <w:bookmarkEnd w:id="83"/>
      <w:r>
        <w:rPr>
          <w:rFonts w:cs="宋体" w:hint="eastAsia"/>
          <w:color w:val="000000" w:themeColor="text1"/>
          <w:sz w:val="28"/>
          <w:szCs w:val="28"/>
          <w14:textFill>
            <w14:solidFill>
              <w14:schemeClr w14:val="tx1"/>
            </w14:solidFill>
          </w14:textFill>
        </w:rPr>
        <w:t>质疑处理</w:t>
      </w:r>
    </w:p>
    <w:p>
      <w:pPr>
        <w:rPr>
          <w:rFonts w:ascii="宋体" w:eastAsia="宋体" w:hAnsi="宋体" w:cs="宋体" w:hint="eastAsia"/>
          <w:color w:val="000000" w:themeColor="text1"/>
          <w14:textFill>
            <w14:solidFill>
              <w14:schemeClr w14:val="tx1"/>
            </w14:solidFill>
          </w14:textFill>
        </w:rPr>
      </w:pPr>
      <w:bookmarkStart w:id="100" w:name="_Hlk72439706"/>
      <w:r>
        <w:rPr>
          <w:rFonts w:ascii="宋体" w:eastAsia="宋体" w:hAnsi="宋体" w:cs="宋体" w:hint="eastAsia"/>
          <w:color w:val="000000" w:themeColor="text1"/>
          <w14:textFill>
            <w14:solidFill>
              <w14:schemeClr w14:val="tx1"/>
            </w14:solidFill>
          </w14:textFill>
        </w:rPr>
        <w:t>52.质疑提出与答复</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52.1提出质疑</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参与政府采购活动的供应商认为自己的权益在采购活动中受到损害的，应当自知道或者应当知道其权益受到损害之日起七个工作日内向采购人、招标机构以书面形式提出质疑。</w:t>
      </w:r>
    </w:p>
    <w:p>
      <w:pPr>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52.2法律依据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中华人民共和国政府采购法》、《中华人民共和国政府采购法实施条例》、《深圳经济特区政府采购条例》、《深圳经济特区政府采购条例实施细则》、《政府采购质疑和投诉办法》（财政部令第94号）和其他有关法律法规规定。</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52.3质疑条件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52.3.1提出质疑的供应商应当是参与所质疑项目采购活动的供应商；</w:t>
      </w:r>
      <w:bookmarkStart w:id="101" w:name="_Hlk75374941"/>
      <w:r>
        <w:rPr>
          <w:rFonts w:ascii="宋体" w:eastAsia="宋体" w:hAnsi="宋体" w:cs="宋体" w:hint="eastAsia"/>
          <w:color w:val="000000" w:themeColor="text1"/>
          <w:szCs w:val="21"/>
          <w14:textFill>
            <w14:solidFill>
              <w14:schemeClr w14:val="tx1"/>
            </w14:solidFill>
          </w14:textFill>
        </w:rPr>
        <w:t>以联合体形式参与的，质疑应当由组成联合体的所有成员共同提出</w:t>
      </w:r>
      <w:bookmarkEnd w:id="101"/>
      <w:r>
        <w:rPr>
          <w:rFonts w:ascii="宋体" w:eastAsia="宋体" w:hAnsi="宋体" w:cs="宋体" w:hint="eastAsia"/>
          <w:color w:val="000000" w:themeColor="text1"/>
          <w:szCs w:val="21"/>
          <w14:textFill>
            <w14:solidFill>
              <w14:schemeClr w14:val="tx1"/>
            </w14:solidFill>
          </w14:textFill>
        </w:rPr>
        <w:t>；</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52.3.3应提交书面质疑函，质疑函应当包括以下内容：</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（1）供应商的名称（或者姓名）、地址、邮编、邮箱、联系人及联系电话；</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（2）质疑项目的名称、编号；</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（3）具体、明确的质疑对象、质疑事项和质疑请求；</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（4）因质疑事项而受损害的权益；</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（5）事实依据；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（6）必要的法律依据；</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（7）提出质疑的日期。</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供应商为自然人的，应当由本人签字；供应商为法人或者其他组织的，应当由法定代表人（负责人），或者其授权代理人签字或者盖章，并加盖公章。</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52.4提交材料</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供应商质疑实行实名制。供应商为自然人的，应当提交本人身份证复印件；供应商为法人或者其他组织的，应当根据自身性质提交营业执照复印件或者其他证明文件（如事业单位法人证书等）复印件。</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52.5提交方式</w:t>
      </w:r>
    </w:p>
    <w:p>
      <w:pPr>
        <w:ind w:firstLine="42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52.5.1供应商登录“深圳政府采购智慧平台用户网上办事子系统（http://zfcg.szggzy.com:8081/TPBidder/memberLogin）”，在“【我的项目】→【项目流程】→【质疑】”中提出质疑。</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52.5.2请质疑供应商根据深圳政府采购智慧平台（http://zfcg.szggzy.com:8081/）所发布的质疑指引、质疑函模板填写质疑函并提交质疑材料。</w:t>
      </w:r>
      <w:r>
        <w:rPr>
          <w:rFonts w:ascii="宋体" w:eastAsia="宋体" w:hAnsi="宋体" w:cs="宋体" w:hint="eastAsia"/>
          <w:b/>
          <w:bCs/>
          <w:color w:val="000000" w:themeColor="text1"/>
          <w:szCs w:val="21"/>
          <w14:textFill>
            <w14:solidFill>
              <w14:schemeClr w14:val="tx1"/>
            </w14:solidFill>
          </w14:textFill>
        </w:rPr>
        <w:t>地址：深圳市福田区福田体育公园西北角友和招标代理服务中心（靠近北门），质疑咨询电话：0755-83889026。</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52.6收文办理程序</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pPr>
        <w:ind w:firstLine="480" w:firstLineChars="200"/>
        <w:rPr>
          <w:rFonts w:ascii="宋体" w:eastAsia="宋体" w:hAnsi="宋体" w:cs="宋体" w:hint="eastAsia"/>
          <w:color w:val="000000" w:themeColor="text1"/>
          <w:sz w:val="28"/>
          <w:szCs w:val="28"/>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52.6.2供应商提交的质疑材料不符合质疑条件的，视情况处理：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供应商提交的质疑材料不全或者未按要求签字或者盖章的，招标机构应当一次性告知供应商需补正的内容和补正期限。</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供应商提交的质疑存在下列情形之一的，不予受理：</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（1）质疑主体不满足要求的；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（2）供应商自身权益未受到损害的；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（3）供应商未在法定质疑期限内提出质疑的；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（4）质疑材料不全或者未按要求签字或者盖章的情况下，要求补正后，逾期未补正或者补正后仍不符合规定的；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（5）其他不符合受理条件情形的。</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质疑事项不予受理的，招标机构应当向供应商出具不符合质疑条件告知书。</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52.7质疑答复时限</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 xml:space="preserve">    自收文之日起七个工作日内。</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52.8投诉</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对质疑答复不满意或者未在规定时间内答复的，提出质疑的供应商可以在答复期满后15个工作日内向同级财政部门投诉。</w:t>
      </w:r>
    </w:p>
    <w:p>
      <w:pPr>
        <w:ind w:firstLine="480" w:firstLineChars="200"/>
        <w:rPr>
          <w:rFonts w:ascii="宋体" w:eastAsia="宋体" w:hAnsi="宋体" w:cs="宋体" w:hint="eastAsia"/>
          <w:b/>
          <w:bCs/>
          <w:color w:val="000000" w:themeColor="text1"/>
          <w:szCs w:val="21"/>
          <w14:textFill>
            <w14:solidFill>
              <w14:schemeClr w14:val="tx1"/>
            </w14:solidFill>
          </w14:textFill>
        </w:rPr>
      </w:pPr>
      <w:r>
        <w:rPr>
          <w:rFonts w:ascii="宋体" w:eastAsia="宋体" w:hAnsi="宋体" w:cs="宋体" w:hint="eastAsia"/>
          <w:b/>
          <w:bCs/>
          <w:color w:val="000000" w:themeColor="text1"/>
          <w:szCs w:val="21"/>
          <w14:textFill>
            <w14:solidFill>
              <w14:schemeClr w14:val="tx1"/>
            </w14:solidFill>
          </w14:textFill>
        </w:rPr>
        <w:t xml:space="preserve">53. 质疑后续处理   </w:t>
      </w:r>
    </w:p>
    <w:p>
      <w:pPr>
        <w:ind w:firstLine="480" w:firstLineChars="200"/>
        <w:rPr>
          <w:rFonts w:ascii="宋体" w:eastAsia="宋体" w:hAnsi="宋体" w:cs="宋体" w:hint="eastAsia"/>
          <w:color w:val="000000" w:themeColor="text1"/>
          <w:szCs w:val="21"/>
          <w14:textFill>
            <w14:solidFill>
              <w14:schemeClr w14:val="tx1"/>
            </w14:solidFill>
          </w14:textFill>
        </w:rPr>
      </w:pPr>
      <w:r>
        <w:rPr>
          <w:rFonts w:ascii="宋体" w:eastAsia="宋体" w:hAnsi="宋体" w:cs="宋体" w:hint="eastAsia"/>
          <w:color w:val="000000" w:themeColor="text1"/>
          <w:szCs w:val="21"/>
          <w14:textFill>
            <w14:solidFill>
              <w14:schemeClr w14:val="tx1"/>
            </w14:solidFill>
          </w14:textFill>
        </w:rPr>
        <w:t>53.1供应商质疑不成立，或者成立但未对中标、成交结果构成影响的，继续开展采购活动。</w:t>
      </w:r>
    </w:p>
    <w:p>
      <w:pPr>
        <w:ind w:firstLine="480" w:firstLineChars="200"/>
        <w:rPr>
          <w:rFonts w:ascii="宋体" w:eastAsia="宋体" w:hAnsi="宋体" w:cs="宋体" w:hint="eastAsia"/>
        </w:rPr>
      </w:pPr>
      <w:r>
        <w:rPr>
          <w:rFonts w:ascii="宋体" w:eastAsia="宋体" w:hAnsi="宋体" w:cs="宋体" w:hint="eastAsia"/>
          <w:color w:val="000000" w:themeColor="text1"/>
          <w:szCs w:val="21"/>
          <w14:textFill>
            <w14:solidFill>
              <w14:schemeClr w14:val="tx1"/>
            </w14:solidFill>
          </w14:textFill>
        </w:rPr>
        <w:t>53.2供</w:t>
      </w:r>
      <w:r>
        <w:rPr>
          <w:rFonts w:ascii="宋体" w:eastAsia="宋体" w:hAnsi="宋体" w:cs="宋体" w:hint="eastAsia"/>
        </w:rPr>
        <w:t>应商质疑成立且影响或者可能影响中标、成交结果的，按照下列情况处理：（1）对采购文件提出的质疑，依法通过澄清或者修改可以继续开展采购活动的，澄清或者修改采购文件后继续开展采购活动；否则应当修改采购文件后重新开展采购活动。（2）对采购过程、中标或者成交结果提出的质疑，如果合格供应商符合法定数量，依法从合格的中标或者成交候选人中另行确定中标、成交供应商；如果合格供应商不符合法定数量，应当重新开展采购活动。</w:t>
      </w:r>
    </w:p>
    <w:p>
      <w:pPr>
        <w:rPr>
          <w:rFonts w:ascii="宋体" w:eastAsia="宋体" w:hAnsi="宋体" w:cs="宋体" w:hint="eastAsia"/>
        </w:rPr>
      </w:pPr>
      <w:r>
        <w:rPr>
          <w:rFonts w:ascii="宋体" w:eastAsia="宋体" w:hAnsi="宋体" w:cs="宋体" w:hint="eastAsia"/>
        </w:rPr>
        <w:br w:type="page"/>
      </w:r>
    </w:p>
    <w:p>
      <w:pPr>
        <w:pStyle w:val="NormalWeb"/>
        <w:shd w:val="clear" w:color="auto" w:fill="FFFFFF"/>
        <w:spacing w:line="360" w:lineRule="auto"/>
        <w:ind w:firstLine="420"/>
        <w:jc w:val="center"/>
        <w:rPr>
          <w:rFonts w:ascii="宋体" w:hAnsi="宋体" w:cs="宋体"/>
          <w:shd w:val="clear" w:color="auto" w:fill="FFFFFF"/>
        </w:rPr>
      </w:pPr>
      <w:r>
        <w:rPr>
          <w:rFonts w:ascii="宋体" w:hAnsi="宋体" w:cs="宋体" w:hint="eastAsia"/>
        </w:rPr>
        <w:t>附1：中小企业划型标准规定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一、根据《</w:t>
      </w:r>
      <w:r>
        <w:fldChar w:fldCharType="begin"/>
      </w:r>
      <w:r>
        <w:instrText xml:space="preserve"> HYPERLINK "https://baike.so.com/doc/6614161-6827954.html" \t "https://baike.so.com/doc/_blank" </w:instrText>
      </w:r>
      <w:r>
        <w:fldChar w:fldCharType="separate"/>
      </w:r>
      <w:r>
        <w:rPr>
          <w:rStyle w:val="Hyperlink"/>
          <w:rFonts w:ascii="宋体" w:hAnsi="宋体" w:cs="宋体" w:hint="eastAsia"/>
          <w:color w:val="auto"/>
          <w:u w:val="none"/>
          <w:shd w:val="clear" w:color="auto" w:fill="FFFFFF"/>
        </w:rPr>
        <w:t>中华人民共和国中小企业促进法</w:t>
      </w:r>
      <w:r>
        <w:rPr>
          <w:rStyle w:val="Hyperlink"/>
          <w:rFonts w:ascii="宋体" w:hAnsi="宋体" w:cs="宋体" w:hint="eastAsia"/>
          <w:color w:val="auto"/>
          <w:u w:val="none"/>
          <w:shd w:val="clear" w:color="auto" w:fill="FFFFFF"/>
        </w:rPr>
        <w:fldChar w:fldCharType="end"/>
      </w:r>
      <w:r>
        <w:rPr>
          <w:rFonts w:ascii="宋体" w:hAnsi="宋体" w:cs="宋体" w:hint="eastAsia"/>
          <w:shd w:val="clear" w:color="auto" w:fill="FFFFFF"/>
        </w:rPr>
        <w:t>》和《国务院关于进一步促进中小企业发展的若干意见》(国发〔2009〕36号)，制定本规定。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二、中小企业划分为中型、小型、微型三种类型，具体标准根据企业从业人员、营业收入、资产总额等指标，结合行业特点制定。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软件和信息技术服务业，软件和信息技术服务业(包括科学研究和技术服务业，水利、环境和公共设施管理业，居民服务、修理和其他服务业，社会工作，文化、体育和娱乐业等)。</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四、各行业划型标准为:</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(一)农、林、牧、渔业。营业收入20000万元以下的为中小微型企业。其中，营业收入500万元及以上的为中型企业，营业收入50万元及以上的为小型企业，营业收入50万元以下的为微型企业。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pPr>
        <w:pStyle w:val="NormalWeb"/>
        <w:shd w:val="clear" w:color="auto" w:fill="FFFFFF"/>
        <w:spacing w:line="360" w:lineRule="auto"/>
        <w:ind w:firstLine="420"/>
        <w:rPr>
          <w:rFonts w:ascii="宋体" w:hAnsi="宋体" w:cs="宋体"/>
          <w:b/>
          <w:bCs/>
        </w:rPr>
      </w:pPr>
      <w:r>
        <w:rPr>
          <w:rFonts w:ascii="宋体" w:hAnsi="宋体" w:cs="宋体" w:hint="eastAsia"/>
          <w:b/>
          <w:bCs/>
          <w:shd w:val="clear" w:color="auto" w:fill="FFFFFF"/>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(十六)其他未列明行业。从业人员300人以下的为中小微型企业。其中，从业人员100人及以上的为中型企业;从业人员10人及以上的为小型企业;从业人员10人以下的为微型企业。</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五、企业类型的划分以统计部门的统计数据为依据。</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六、本规定适用于在中华人民共和国境内依法设立的各类所有制和各种组织形式的企业。个体工商户和本规定以外的行业，参照本规定进行划型。</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七、本规定的中型企业标准上限即为大型企业标准的下限，国家统计部门据此制定大中小微型企业的统计分类。国务院有关部门据此进行相关数据分析，不得制定与本规定不一致的企业划型标准。</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八、本规定由工业和信息化部、国家统计局会同有关部门根据《</w:t>
      </w:r>
      <w:r>
        <w:fldChar w:fldCharType="begin"/>
      </w:r>
      <w:r>
        <w:instrText xml:space="preserve"> HYPERLINK "https://baike.so.com/doc/5401471-5639092.html" \t "https://baike.so.com/doc/_blank" </w:instrText>
      </w:r>
      <w:r>
        <w:fldChar w:fldCharType="separate"/>
      </w:r>
      <w:r>
        <w:rPr>
          <w:rStyle w:val="Hyperlink"/>
          <w:rFonts w:ascii="宋体" w:hAnsi="宋体" w:cs="宋体" w:hint="eastAsia"/>
          <w:color w:val="auto"/>
          <w:u w:val="none"/>
          <w:shd w:val="clear" w:color="auto" w:fill="FFFFFF"/>
        </w:rPr>
        <w:t>国民经济行业分类</w:t>
      </w:r>
      <w:r>
        <w:rPr>
          <w:rStyle w:val="Hyperlink"/>
          <w:rFonts w:ascii="宋体" w:hAnsi="宋体" w:cs="宋体" w:hint="eastAsia"/>
          <w:color w:val="auto"/>
          <w:u w:val="none"/>
          <w:shd w:val="clear" w:color="auto" w:fill="FFFFFF"/>
        </w:rPr>
        <w:fldChar w:fldCharType="end"/>
      </w:r>
      <w:r>
        <w:rPr>
          <w:rFonts w:ascii="宋体" w:hAnsi="宋体" w:cs="宋体" w:hint="eastAsia"/>
          <w:shd w:val="clear" w:color="auto" w:fill="FFFFFF"/>
        </w:rPr>
        <w:t>》修订情况和企业发展变化情况适时修订。</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九、本规定由工业和信息化部、国家统计局会同有关部门负责解释。</w:t>
      </w:r>
    </w:p>
    <w:p>
      <w:pPr>
        <w:pStyle w:val="NormalWeb"/>
        <w:shd w:val="clear" w:color="auto" w:fill="FFFFFF"/>
        <w:spacing w:line="360" w:lineRule="auto"/>
        <w:ind w:firstLine="420"/>
        <w:rPr>
          <w:rFonts w:ascii="宋体" w:hAnsi="宋体" w:cs="宋体"/>
        </w:rPr>
      </w:pPr>
      <w:r>
        <w:rPr>
          <w:rFonts w:ascii="宋体" w:hAnsi="宋体" w:cs="宋体" w:hint="eastAsia"/>
          <w:shd w:val="clear" w:color="auto" w:fill="FFFFFF"/>
        </w:rPr>
        <w:t>十、本规定自发布之日起执行，原国家经贸委、原国家计委、财政部和国家统计局2003年颁布的《中小企业标准暂行规定》同时废止。</w:t>
      </w:r>
    </w:p>
    <w:p>
      <w:pPr>
        <w:ind w:firstLine="480" w:firstLineChars="200"/>
        <w:rPr>
          <w:rFonts w:ascii="宋体" w:eastAsia="宋体" w:hAnsi="宋体" w:cs="宋体" w:hint="eastAsia"/>
        </w:rPr>
      </w:pPr>
    </w:p>
    <w:p>
      <w:pPr>
        <w:jc w:val="center"/>
        <w:rPr>
          <w:rFonts w:ascii="宋体" w:eastAsia="宋体" w:hAnsi="宋体" w:cs="宋体" w:hint="eastAsia"/>
          <w:color w:val="000000" w:themeColor="text1"/>
          <w14:textFill>
            <w14:solidFill>
              <w14:schemeClr w14:val="tx1"/>
            </w14:solidFill>
          </w14:textFill>
        </w:rPr>
      </w:pPr>
      <w:r>
        <w:rPr>
          <w:rFonts w:ascii="宋体" w:eastAsia="宋体" w:hAnsi="宋体" w:cs="宋体" w:hint="eastAsia"/>
          <w:color w:val="000000" w:themeColor="text1"/>
          <w14:textFill>
            <w14:solidFill>
              <w14:schemeClr w14:val="tx1"/>
            </w14:solidFill>
          </w14:textFill>
        </w:rPr>
        <w:t>---- END ----</w:t>
      </w:r>
      <w:bookmarkEnd w:id="100"/>
    </w:p>
    <w:p>
      <w:pPr>
        <w:rPr>
          <w:rFonts w:ascii="宋体" w:eastAsia="宋体" w:hAnsi="宋体" w:cs="宋体" w:hint="eastAsia"/>
          <w:color w:val="000000" w:themeColor="text1"/>
          <w:szCs w:val="21"/>
          <w14:textFill>
            <w14:solidFill>
              <w14:schemeClr w14:val="tx1"/>
            </w14:solidFill>
          </w14:textFill>
        </w:rPr>
      </w:pPr>
    </w:p>
    <w:p>
      <w:pPr>
        <w:rPr>
          <w:rFonts w:ascii="宋体" w:eastAsia="宋体" w:hAnsi="宋体" w:cs="宋体" w:hint="eastAsia"/>
        </w:rPr>
      </w:pPr>
    </w:p>
    <w:p>
      <w:pPr>
        <w:rPr>
          <w:rFonts w:ascii="宋体" w:eastAsia="宋体" w:hAnsi="宋体" w:cs="宋体" w:hint="eastAsia"/>
        </w:rPr>
      </w:pPr>
    </w:p>
    <w:sectPr>
      <w:footerReference w:type="default" r:id="rId10"/>
      <w:type w:val="continuous"/>
      <w:pgSz w:w="11906" w:h="16838"/>
      <w:pgMar w:top="1440" w:right="1800" w:bottom="1440" w:left="1800" w:header="720" w:footer="720" w:gutter="0"/>
      <w:pgNumType w:start="1"/>
      <w:cols w:num="1"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FE8A734-EE58-4FBB-9C9D-89151D38184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embedRegular r:id="rId2" w:fontKey="{BDD19E9A-F46F-443A-8F3C-04959F0EDE11}"/>
  </w:font>
  <w:font w:name="仿宋">
    <w:panose1 w:val="02010609060101010101"/>
    <w:charset w:val="86"/>
    <w:family w:val="modern"/>
    <w:pitch w:val="default"/>
    <w:sig w:usb0="800002BF" w:usb1="38CF7CFA" w:usb2="00000016" w:usb3="00000000" w:csb0="00040001" w:csb1="00000000"/>
    <w:embedRegular r:id="rId3" w:fontKey="{35117F82-F0DB-41B7-9A40-3F99143F1259}"/>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1026" o:spid="_x0000_s2049" type="#_x0000_t202" style="height:2in;margin-left:0;margin-top:0;mso-height-relative:page;mso-position-horizontal:center;mso-position-horizontal-relative:margin;mso-width-relative:page;mso-wrap-style:none;position:absolute;width:2in;z-index:251658240"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49</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TrueTypeFonts/>
  <w:saveSubsetFonts/>
  <w:trackRevisions/>
  <w:defaultTabStop w:val="720"/>
  <w:noPunctuationKerning/>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2YzRiYjY2MTI2ODc2NDJjODQ5NTZiNzM1ZjlmYj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qFormat="1"/>
    <w:lsdException w:name="footnote text" w:semiHidden="0" w:uiPriority="0" w:unhideWhenUsed="0"/>
    <w:lsdException w:name="annotation text" w:semiHidden="0" w:uiPriority="0" w:qFormat="1"/>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qFormat="1"/>
    <w:lsdException w:name="Body Text Indent" w:semiHidden="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nhideWhenUsed="0" w:qFormat="1"/>
    <w:lsdException w:name="Body Text 2" w:semiHidden="0" w:uiPriority="0" w:unhideWhenUsed="0" w:qFormat="1"/>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nhideWhenUsed="0" w:qFormat="1"/>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qFormat="1"/>
    <w:lsdException w:name="Table Grid" w:semiHidden="0" w:uiPriority="0" w:unhideWhenUsed="0" w:qFormat="1"/>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PlainText"/>
    <w:autoRedefine/>
    <w:qFormat/>
    <w:rPr>
      <w:rFonts w:ascii="Times New Roman" w:eastAsia="Times New Roman" w:hAnsi="Times New Roman" w:cs="Times New Roman"/>
      <w:sz w:val="24"/>
      <w:szCs w:val="24"/>
      <w:lang w:val="en-US" w:eastAsia="zh-CN" w:bidi="ar-SA"/>
    </w:rPr>
  </w:style>
  <w:style w:type="paragraph" w:styleId="Heading1">
    <w:name w:val="heading 1"/>
    <w:basedOn w:val="Heading3"/>
    <w:next w:val="Normal"/>
    <w:link w:val="1"/>
    <w:autoRedefine/>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autoRedefine/>
    <w:qFormat/>
    <w:pPr>
      <w:adjustRightInd w:val="0"/>
      <w:jc w:val="center"/>
      <w:textAlignment w:val="baseline"/>
      <w:outlineLvl w:val="1"/>
    </w:pPr>
    <w:rPr>
      <w:sz w:val="24"/>
      <w:szCs w:val="20"/>
    </w:rPr>
  </w:style>
  <w:style w:type="paragraph" w:styleId="Heading3">
    <w:name w:val="heading 3"/>
    <w:basedOn w:val="Heading4"/>
    <w:next w:val="Normal"/>
    <w:link w:val="3"/>
    <w:autoRedefine/>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autoRedefine/>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qFormat/>
    <w:rPr>
      <w:rFonts w:ascii="宋体" w:hAnsi="Courier New"/>
      <w:szCs w:val="20"/>
    </w:rPr>
  </w:style>
  <w:style w:type="paragraph" w:styleId="NormalIndent">
    <w:name w:val="Normal Indent"/>
    <w:basedOn w:val="Normal"/>
    <w:link w:val="a0"/>
    <w:autoRedefine/>
    <w:qFormat/>
    <w:pPr>
      <w:ind w:firstLine="420"/>
    </w:pPr>
    <w:rPr>
      <w:szCs w:val="20"/>
    </w:rPr>
  </w:style>
  <w:style w:type="paragraph" w:styleId="CommentText">
    <w:name w:val="annotation text"/>
    <w:basedOn w:val="Normal"/>
    <w:link w:val="a1"/>
    <w:autoRedefine/>
    <w:unhideWhenUsed/>
    <w:qFormat/>
  </w:style>
  <w:style w:type="paragraph" w:styleId="BodyText">
    <w:name w:val="Body Text"/>
    <w:basedOn w:val="Normal"/>
    <w:next w:val="BodyText2"/>
    <w:link w:val="a2"/>
    <w:autoRedefine/>
    <w:qFormat/>
    <w:pPr>
      <w:spacing w:line="360" w:lineRule="auto"/>
    </w:pPr>
    <w:rPr>
      <w:b/>
      <w:bCs/>
    </w:rPr>
  </w:style>
  <w:style w:type="paragraph" w:styleId="BodyText2">
    <w:name w:val="Body Text 2"/>
    <w:basedOn w:val="Normal"/>
    <w:autoRedefine/>
    <w:qFormat/>
    <w:pPr>
      <w:spacing w:line="360" w:lineRule="auto"/>
    </w:pPr>
  </w:style>
  <w:style w:type="paragraph" w:styleId="BodyTextIndent">
    <w:name w:val="Body Text Indent"/>
    <w:basedOn w:val="Normal"/>
    <w:autoRedefine/>
    <w:uiPriority w:val="99"/>
    <w:qFormat/>
    <w:pPr>
      <w:spacing w:after="120"/>
      <w:ind w:left="420" w:leftChars="200"/>
    </w:pPr>
    <w:rPr>
      <w:rFonts w:eastAsia="宋体"/>
      <w:sz w:val="21"/>
    </w:rPr>
  </w:style>
  <w:style w:type="paragraph" w:styleId="BalloonText">
    <w:name w:val="Balloon Text"/>
    <w:basedOn w:val="Normal"/>
    <w:autoRedefine/>
    <w:qFormat/>
    <w:rPr>
      <w:sz w:val="18"/>
      <w:szCs w:val="18"/>
    </w:rPr>
  </w:style>
  <w:style w:type="paragraph" w:styleId="Footer">
    <w:name w:val="footer"/>
    <w:basedOn w:val="Normal"/>
    <w:autoRedefine/>
    <w:qFormat/>
    <w:pPr>
      <w:tabs>
        <w:tab w:val="center" w:pos="4153"/>
        <w:tab w:val="right" w:pos="8306"/>
      </w:tabs>
      <w:snapToGrid w:val="0"/>
    </w:pPr>
    <w:rPr>
      <w:sz w:val="18"/>
    </w:rPr>
  </w:style>
  <w:style w:type="paragraph" w:styleId="Header">
    <w:name w:val="header"/>
    <w:basedOn w:val="Normal"/>
    <w:autoRedefine/>
    <w:qFormat/>
    <w:pPr>
      <w:pBdr>
        <w:top w:val="nil"/>
        <w:left w:val="nil"/>
        <w:bottom w:val="nil"/>
        <w:right w:val="nil"/>
      </w:pBdr>
      <w:tabs>
        <w:tab w:val="center" w:pos="4153"/>
        <w:tab w:val="right" w:pos="8306"/>
      </w:tabs>
      <w:snapToGrid w:val="0"/>
      <w:jc w:val="both"/>
    </w:pPr>
    <w:rPr>
      <w:sz w:val="18"/>
    </w:rPr>
  </w:style>
  <w:style w:type="paragraph" w:styleId="NormalWeb">
    <w:name w:val="Normal (Web)"/>
    <w:basedOn w:val="Normal"/>
    <w:link w:val="a"/>
    <w:autoRedefine/>
    <w:uiPriority w:val="99"/>
    <w:qFormat/>
  </w:style>
  <w:style w:type="paragraph" w:styleId="Title">
    <w:name w:val="Title"/>
    <w:basedOn w:val="Normal"/>
    <w:next w:val="Normal"/>
    <w:qFormat/>
    <w:pPr>
      <w:adjustRightInd w:val="0"/>
      <w:spacing w:before="240" w:after="60" w:line="420" w:lineRule="atLeast"/>
      <w:jc w:val="center"/>
      <w:textAlignment w:val="baseline"/>
      <w:outlineLvl w:val="0"/>
    </w:pPr>
    <w:rPr>
      <w:rFonts w:ascii="Arial" w:hAnsi="Arial"/>
      <w:b/>
      <w:sz w:val="32"/>
      <w:szCs w:val="20"/>
    </w:rPr>
  </w:style>
  <w:style w:type="paragraph" w:styleId="BodyTextFirstIndent2">
    <w:name w:val="Body Text First Indent 2"/>
    <w:basedOn w:val="BodyTextIndent"/>
    <w:autoRedefine/>
    <w:uiPriority w:val="99"/>
    <w:qFormat/>
    <w:pPr>
      <w:ind w:firstLine="420" w:firstLineChars="200"/>
    </w:pPr>
  </w:style>
  <w:style w:type="table" w:styleId="TableGrid">
    <w:name w:val="Table Grid"/>
    <w:basedOn w:val="TableNormal"/>
    <w:autoRedefine/>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autoRedefine/>
    <w:qFormat/>
    <w:rPr>
      <w:b/>
    </w:rPr>
  </w:style>
  <w:style w:type="character" w:styleId="Hyperlink">
    <w:name w:val="Hyperlink"/>
    <w:basedOn w:val="DefaultParagraphFont"/>
    <w:autoRedefine/>
    <w:uiPriority w:val="99"/>
    <w:qFormat/>
    <w:rPr>
      <w:color w:val="0000FF"/>
      <w:u w:val="single"/>
    </w:rPr>
  </w:style>
  <w:style w:type="paragraph" w:customStyle="1" w:styleId="AONormal">
    <w:name w:val="AONormal"/>
    <w:autoRedefine/>
    <w:qFormat/>
    <w:pPr>
      <w:autoSpaceDE w:val="0"/>
      <w:autoSpaceDN w:val="0"/>
      <w:adjustRightInd w:val="0"/>
      <w:spacing w:line="400" w:lineRule="exact"/>
      <w:ind w:firstLine="440" w:firstLineChars="200"/>
    </w:pPr>
    <w:rPr>
      <w:rFonts w:ascii="华文楷体" w:eastAsia="华文楷体" w:hAnsi="华文楷体" w:cs="华文楷体"/>
      <w:sz w:val="22"/>
      <w:szCs w:val="21"/>
      <w:lang w:val="en-US" w:eastAsia="zh-CN" w:bidi="ar-SA"/>
    </w:rPr>
  </w:style>
  <w:style w:type="character" w:customStyle="1" w:styleId="a">
    <w:name w:val="普通(网站) 字符"/>
    <w:link w:val="NormalWeb"/>
    <w:autoRedefine/>
    <w:qFormat/>
    <w:rPr>
      <w:kern w:val="2"/>
      <w:sz w:val="24"/>
      <w:szCs w:val="24"/>
    </w:rPr>
  </w:style>
  <w:style w:type="paragraph" w:customStyle="1" w:styleId="TableParagraph">
    <w:name w:val="Table Paragraph"/>
    <w:basedOn w:val="Normal"/>
    <w:autoRedefine/>
    <w:uiPriority w:val="1"/>
    <w:qFormat/>
    <w:rPr>
      <w:rFonts w:ascii="宋体" w:hAnsi="宋体" w:cs="宋体"/>
      <w:lang w:val="zh-CN" w:bidi="zh-CN"/>
    </w:rPr>
  </w:style>
  <w:style w:type="character" w:customStyle="1" w:styleId="a0">
    <w:name w:val="正文缩进 字符"/>
    <w:link w:val="NormalIndent"/>
    <w:autoRedefine/>
    <w:qFormat/>
    <w:rPr>
      <w:rFonts w:eastAsia="宋体"/>
      <w:kern w:val="2"/>
      <w:sz w:val="21"/>
      <w:lang w:val="en-US" w:eastAsia="zh-CN" w:bidi="ar-SA"/>
    </w:rPr>
  </w:style>
  <w:style w:type="character" w:customStyle="1" w:styleId="4">
    <w:name w:val="标题 4 字符"/>
    <w:link w:val="Heading4"/>
    <w:autoRedefine/>
    <w:uiPriority w:val="9"/>
    <w:qFormat/>
    <w:rPr>
      <w:rFonts w:ascii="Arial" w:eastAsia="黑体" w:hAnsi="Arial"/>
      <w:b/>
      <w:bCs/>
      <w:kern w:val="2"/>
      <w:sz w:val="28"/>
      <w:szCs w:val="28"/>
      <w:lang w:val="en-US" w:eastAsia="zh-CN" w:bidi="ar-SA"/>
    </w:rPr>
  </w:style>
  <w:style w:type="character" w:customStyle="1" w:styleId="3">
    <w:name w:val="标题 3 字符"/>
    <w:link w:val="Heading3"/>
    <w:autoRedefine/>
    <w:uiPriority w:val="9"/>
    <w:qFormat/>
    <w:rPr>
      <w:rFonts w:ascii="宋体" w:eastAsia="宋体" w:hAnsi="宋体"/>
      <w:b/>
      <w:bCs/>
      <w:kern w:val="2"/>
      <w:sz w:val="28"/>
      <w:szCs w:val="32"/>
      <w:lang w:val="en-US" w:eastAsia="zh-CN" w:bidi="ar-SA"/>
    </w:rPr>
  </w:style>
  <w:style w:type="character" w:customStyle="1" w:styleId="1">
    <w:name w:val="标题 1 字符"/>
    <w:link w:val="Heading1"/>
    <w:autoRedefine/>
    <w:qFormat/>
    <w:rPr>
      <w:rFonts w:ascii="宋体" w:eastAsia="黑体" w:hAnsi="宋体"/>
      <w:b/>
      <w:bCs/>
      <w:kern w:val="44"/>
      <w:sz w:val="28"/>
      <w:szCs w:val="44"/>
      <w:lang w:val="en-US" w:eastAsia="zh-CN" w:bidi="ar-SA"/>
    </w:rPr>
  </w:style>
  <w:style w:type="character" w:customStyle="1" w:styleId="2">
    <w:name w:val="标题 2 字符"/>
    <w:link w:val="Heading2"/>
    <w:autoRedefine/>
    <w:qFormat/>
    <w:rPr>
      <w:rFonts w:ascii="宋体" w:eastAsia="宋体" w:hAnsi="宋体"/>
      <w:b/>
      <w:bCs/>
      <w:sz w:val="24"/>
      <w:lang w:val="en-US" w:eastAsia="zh-CN" w:bidi="ar-SA"/>
    </w:rPr>
  </w:style>
  <w:style w:type="character" w:customStyle="1" w:styleId="a1">
    <w:name w:val="批注文字 字符"/>
    <w:basedOn w:val="DefaultParagraphFont"/>
    <w:link w:val="CommentText"/>
    <w:autoRedefine/>
    <w:qFormat/>
    <w:rPr>
      <w:sz w:val="24"/>
      <w:szCs w:val="24"/>
    </w:rPr>
  </w:style>
  <w:style w:type="character" w:customStyle="1" w:styleId="a2">
    <w:name w:val="正文文本 字符"/>
    <w:link w:val="BodyText"/>
    <w:autoRedefine/>
    <w:qFormat/>
    <w:rPr>
      <w:rFonts w:eastAsia="宋体"/>
      <w:b/>
      <w:bCs/>
      <w:kern w:val="2"/>
      <w:sz w:val="24"/>
      <w:szCs w:val="24"/>
      <w:lang w:val="en-US" w:eastAsia="zh-CN" w:bidi="ar-SA"/>
    </w:rPr>
  </w:style>
  <w:style w:type="character" w:customStyle="1" w:styleId="3Char">
    <w:name w:val="标题 3 Char"/>
    <w:autoRedefine/>
    <w:qFormat/>
    <w:rPr>
      <w:rFonts w:ascii="黑体" w:eastAsia="黑体"/>
      <w:bCs/>
      <w:sz w:val="30"/>
    </w:rPr>
  </w:style>
  <w:style w:type="paragraph" w:customStyle="1" w:styleId="10">
    <w:name w:val="正文1"/>
    <w:basedOn w:val="Normal"/>
    <w:autoRedefine/>
    <w:qFormat/>
    <w:pPr>
      <w:tabs>
        <w:tab w:val="left" w:pos="4"/>
      </w:tabs>
    </w:pPr>
    <w:rPr>
      <w:rFonts w:ascii="宋体" w:hAnsi="宋体"/>
      <w:sz w:val="18"/>
    </w:rPr>
  </w:style>
  <w:style w:type="paragraph" w:customStyle="1" w:styleId="-111">
    <w:name w:val="彩色列表 - 强调文字颜色 111"/>
    <w:basedOn w:val="Normal"/>
    <w:autoRedefine/>
    <w:qFormat/>
    <w:pPr>
      <w:ind w:firstLine="420" w:firstLineChars="200"/>
    </w:pPr>
  </w:style>
  <w:style w:type="character" w:customStyle="1" w:styleId="font41">
    <w:name w:val="font41"/>
    <w:basedOn w:val="DefaultParagraphFont"/>
    <w:qFormat/>
    <w:rPr>
      <w:rFonts w:ascii="宋体" w:eastAsia="宋体" w:hAnsi="宋体" w:cs="宋体" w:hint="eastAsia"/>
      <w:color w:val="000000"/>
      <w:sz w:val="16"/>
      <w:szCs w:val="16"/>
      <w:u w:val="none"/>
    </w:rPr>
  </w:style>
  <w:style w:type="character" w:customStyle="1" w:styleId="font21">
    <w:name w:val="font21"/>
    <w:basedOn w:val="DefaultParagraphFont"/>
    <w:qFormat/>
    <w:rPr>
      <w:rFonts w:ascii="宋体" w:eastAsia="宋体" w:hAnsi="宋体" w:cs="宋体" w:hint="eastAsia"/>
      <w:color w:val="FF0000"/>
      <w:sz w:val="16"/>
      <w:szCs w:val="16"/>
      <w:u w:val="none"/>
    </w:rPr>
  </w:style>
  <w:style w:type="paragraph" w:customStyle="1" w:styleId="Revision">
    <w:name w:val="Revision"/>
    <w:hidden/>
    <w:uiPriority w:val="99"/>
    <w:unhideWhenUsed/>
    <w:qFormat/>
    <w:rPr>
      <w:rFonts w:ascii="Times New Roman" w:eastAsia="Times New Roman" w:hAnsi="Times New Roman" w:cs="Times New Roman"/>
      <w:sz w:val="24"/>
      <w:szCs w:val="24"/>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jpeg" /><Relationship Id="rId6" Type="http://schemas.openxmlformats.org/officeDocument/2006/relationships/footer" Target="footer1.xm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 Id="rId2" Type="http://schemas.openxmlformats.org/officeDocument/2006/relationships/font" Target="fonts/font2.odttf" /><Relationship Id="rId3" Type="http://schemas.openxmlformats.org/officeDocument/2006/relationships/font" Target="fonts/font3.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49</Pages>
  <Words>1121</Words>
  <Characters>1171</Characters>
  <Application>Microsoft Office Word</Application>
  <DocSecurity>0</DocSecurity>
  <Lines>325</Lines>
  <Paragraphs>91</Paragraphs>
  <ScaleCrop>false</ScaleCrop>
  <Company/>
  <LinksUpToDate>false</LinksUpToDate>
  <CharactersWithSpaces>1187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WPS_1507534121</cp:lastModifiedBy>
  <cp:revision>2</cp:revision>
  <dcterms:created xsi:type="dcterms:W3CDTF">2022-05-20T08:55:00Z</dcterms:created>
  <dcterms:modified xsi:type="dcterms:W3CDTF">2024-10-30T06:58:07Z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335E8902DCBF4F0E8C7AA027A560E182_13</vt:lpwstr>
  </property>
  <property fmtid="{D5CDD505-2E9C-101B-9397-08002B2CF9AE}" pid="3" name="KSOProductBuildVer">
    <vt:lpwstr>2052-12.1.0.18608</vt:lpwstr>
  </property>
</Properties>
</file>