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726FF">
      <w:pPr>
        <w:jc w:val="right"/>
        <w:rPr>
          <w:rFonts w:hint="eastAsia" w:ascii="宋体" w:hAnsi="宋体"/>
          <w:b/>
          <w:spacing w:val="20"/>
          <w:sz w:val="28"/>
        </w:rPr>
        <w:sectPr>
          <w:footerReference r:id="rId3" w:type="default"/>
          <w:pgSz w:w="11906" w:h="16838"/>
          <w:pgMar w:top="1440" w:right="1800" w:bottom="1440" w:left="1800" w:header="720" w:footer="720" w:gutter="0"/>
          <w:pgNumType w:fmt="decimal"/>
          <w:cols w:space="720" w:num="1"/>
        </w:sectPr>
      </w:pPr>
    </w:p>
    <w:p w14:paraId="65D277BB">
      <w:pPr>
        <w:jc w:val="right"/>
        <w:rPr>
          <w:rFonts w:ascii="黑体" w:hAnsi="Arial" w:eastAsia="黑体" w:cs="Arial"/>
          <w:sz w:val="52"/>
          <w:szCs w:val="52"/>
        </w:rPr>
      </w:pPr>
      <w:r>
        <w:rPr>
          <w:rFonts w:hint="eastAsia" w:ascii="宋体" w:hAnsi="宋体"/>
          <w:b/>
          <w:spacing w:val="20"/>
          <w:sz w:val="28"/>
        </w:rPr>
        <w:t>项目编号：</w:t>
      </w:r>
      <w:r>
        <w:rPr>
          <w:rFonts w:hint="eastAsia" w:ascii="宋体" w:hAnsi="宋体"/>
          <w:b/>
          <w:spacing w:val="20"/>
          <w:sz w:val="28"/>
          <w:lang w:eastAsia="zh-CN"/>
        </w:rPr>
        <w:t>FTDL2025000096</w:t>
      </w:r>
      <w:r>
        <w:rPr>
          <w:rFonts w:hint="eastAsia" w:ascii="宋体" w:hAnsi="宋体"/>
          <w:b/>
          <w:spacing w:val="20"/>
          <w:sz w:val="28"/>
        </w:rPr>
        <w:t xml:space="preserve"> </w:t>
      </w:r>
    </w:p>
    <w:p w14:paraId="4684DCCF">
      <w:pPr>
        <w:pStyle w:val="2"/>
      </w:pPr>
    </w:p>
    <w:p w14:paraId="3E1EF5AF">
      <w:pPr>
        <w:jc w:val="center"/>
        <w:rPr>
          <w:rFonts w:ascii="黑体" w:hAnsi="Arial" w:eastAsia="黑体" w:cs="Arial"/>
          <w:sz w:val="52"/>
          <w:szCs w:val="52"/>
        </w:rPr>
      </w:pPr>
    </w:p>
    <w:p w14:paraId="06AB6440">
      <w:pPr>
        <w:pStyle w:val="2"/>
      </w:pPr>
    </w:p>
    <w:p w14:paraId="2F877849">
      <w:pPr>
        <w:pStyle w:val="13"/>
      </w:pPr>
    </w:p>
    <w:p w14:paraId="2FA8D663">
      <w:pPr>
        <w:pStyle w:val="13"/>
      </w:pPr>
    </w:p>
    <w:p w14:paraId="704E2BE8">
      <w:pPr>
        <w:jc w:val="center"/>
        <w:rPr>
          <w:rFonts w:ascii="黑体" w:hAnsi="Arial" w:eastAsia="黑体" w:cs="Arial"/>
          <w:sz w:val="52"/>
          <w:szCs w:val="52"/>
        </w:rPr>
      </w:pPr>
      <w:r>
        <w:rPr>
          <w:rFonts w:hint="eastAsia" w:ascii="黑体" w:hAnsi="Arial" w:eastAsia="黑体" w:cs="Arial"/>
          <w:sz w:val="52"/>
          <w:szCs w:val="52"/>
        </w:rPr>
        <w:t>【服务类】</w:t>
      </w:r>
    </w:p>
    <w:p w14:paraId="5A06AA59">
      <w:pPr>
        <w:jc w:val="center"/>
        <w:rPr>
          <w:rFonts w:hint="eastAsia" w:ascii="黑体" w:eastAsia="黑体"/>
          <w:sz w:val="52"/>
          <w:szCs w:val="52"/>
          <w:lang w:eastAsia="zh-CN"/>
        </w:rPr>
      </w:pPr>
      <w:r>
        <w:rPr>
          <w:rFonts w:hint="eastAsia" w:ascii="黑体" w:eastAsia="黑体"/>
          <w:sz w:val="52"/>
          <w:szCs w:val="52"/>
          <w:lang w:eastAsia="zh-CN"/>
        </w:rPr>
        <w:t>福田区二类监控及视频联网系统维护项目</w:t>
      </w:r>
    </w:p>
    <w:p w14:paraId="6DB6F26B"/>
    <w:p w14:paraId="44CB7DA1"/>
    <w:p w14:paraId="021865AD"/>
    <w:p w14:paraId="595E1369"/>
    <w:p w14:paraId="7B5EC409">
      <w:pPr>
        <w:keepNext w:val="0"/>
        <w:keepLines w:val="0"/>
        <w:pageBreakBefore w:val="0"/>
        <w:widowControl w:val="0"/>
        <w:kinsoku/>
        <w:wordWrap/>
        <w:overflowPunct/>
        <w:topLinePunct w:val="0"/>
        <w:autoSpaceDE/>
        <w:autoSpaceDN/>
        <w:bidi w:val="0"/>
        <w:adjustRightInd/>
        <w:snapToGrid/>
        <w:spacing w:after="126" w:afterLines="40"/>
        <w:jc w:val="center"/>
        <w:textAlignment w:val="auto"/>
        <w:rPr>
          <w:rFonts w:hint="eastAsia" w:ascii="黑体" w:eastAsia="黑体"/>
          <w:color w:val="000000" w:themeColor="text1"/>
          <w:sz w:val="72"/>
          <w:szCs w:val="52"/>
          <w14:textFill>
            <w14:solidFill>
              <w14:schemeClr w14:val="tx1"/>
            </w14:solidFill>
          </w14:textFill>
        </w:rPr>
      </w:pPr>
      <w:r>
        <w:rPr>
          <w:rFonts w:hint="eastAsia" w:ascii="黑体" w:eastAsia="黑体"/>
          <w:color w:val="000000" w:themeColor="text1"/>
          <w:sz w:val="72"/>
          <w:szCs w:val="52"/>
          <w14:textFill>
            <w14:solidFill>
              <w14:schemeClr w14:val="tx1"/>
            </w14:solidFill>
          </w14:textFill>
        </w:rPr>
        <w:t>招 标 文 件</w:t>
      </w:r>
    </w:p>
    <w:p w14:paraId="5AA3FFDC">
      <w:pPr>
        <w:pStyle w:val="13"/>
        <w:rPr>
          <w:rFonts w:hint="eastAsia"/>
        </w:rPr>
      </w:pPr>
    </w:p>
    <w:p w14:paraId="6A698FAC">
      <w:pPr>
        <w:pStyle w:val="2"/>
        <w:rPr>
          <w:rFonts w:hint="eastAsia"/>
          <w:lang w:eastAsia="zh-CN"/>
        </w:rPr>
      </w:pPr>
    </w:p>
    <w:p w14:paraId="22435899">
      <w:pPr>
        <w:pStyle w:val="13"/>
        <w:rPr>
          <w:rFonts w:hint="eastAsia"/>
          <w:lang w:eastAsia="zh-CN"/>
        </w:rPr>
      </w:pPr>
    </w:p>
    <w:p w14:paraId="6444E8CB">
      <w:pPr>
        <w:pStyle w:val="13"/>
        <w:rPr>
          <w:rFonts w:hint="eastAsia"/>
          <w:lang w:eastAsia="zh-CN"/>
        </w:rPr>
      </w:pPr>
    </w:p>
    <w:p w14:paraId="19F97134">
      <w:pPr>
        <w:pStyle w:val="13"/>
        <w:rPr>
          <w:rFonts w:hint="eastAsia"/>
          <w:lang w:eastAsia="zh-CN"/>
        </w:rPr>
      </w:pPr>
    </w:p>
    <w:p w14:paraId="6F14E6C3">
      <w:pPr>
        <w:pStyle w:val="13"/>
        <w:rPr>
          <w:rFonts w:hint="eastAsia"/>
          <w:lang w:eastAsia="zh-CN"/>
        </w:rPr>
      </w:pPr>
    </w:p>
    <w:p w14:paraId="69F94158">
      <w:pPr>
        <w:pStyle w:val="1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lang w:eastAsia="zh-CN"/>
        </w:rPr>
      </w:pPr>
      <w:r>
        <w:rPr>
          <w:rFonts w:hint="eastAsia" w:ascii="Arial" w:hAnsi="Arial" w:eastAsia="仿宋_GB2312" w:cs="Arial"/>
          <w:sz w:val="44"/>
          <w:lang w:eastAsia="zh-CN"/>
        </w:rPr>
        <w:drawing>
          <wp:inline distT="0" distB="0" distL="114300" distR="114300">
            <wp:extent cx="1210945" cy="1210945"/>
            <wp:effectExtent l="0" t="0" r="8255" b="8255"/>
            <wp:docPr id="3" name="图片 3" descr="b6bbc1c3021ac190a7f1ff08bab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bbc1c3021ac190a7f1ff08bab79ef"/>
                    <pic:cNvPicPr>
                      <a:picLocks noChangeAspect="1"/>
                    </pic:cNvPicPr>
                  </pic:nvPicPr>
                  <pic:blipFill>
                    <a:blip r:embed="rId8"/>
                    <a:stretch>
                      <a:fillRect/>
                    </a:stretch>
                  </pic:blipFill>
                  <pic:spPr>
                    <a:xfrm>
                      <a:off x="0" y="0"/>
                      <a:ext cx="1210945" cy="1210945"/>
                    </a:xfrm>
                    <a:prstGeom prst="rect">
                      <a:avLst/>
                    </a:prstGeom>
                  </pic:spPr>
                </pic:pic>
              </a:graphicData>
            </a:graphic>
          </wp:inline>
        </w:drawing>
      </w:r>
    </w:p>
    <w:p w14:paraId="5E2D8476">
      <w:pPr>
        <w:pStyle w:val="13"/>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12842CC0">
      <w:pPr>
        <w:pStyle w:val="13"/>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155EBC0F">
      <w:pPr>
        <w:snapToGrid w:val="0"/>
        <w:jc w:val="center"/>
        <w:rPr>
          <w:rFonts w:ascii="仿宋_GB2312" w:hAnsi="宋体" w:eastAsia="仿宋_GB2312" w:cs="Arial"/>
          <w:b/>
          <w:bCs/>
          <w:sz w:val="36"/>
          <w:szCs w:val="36"/>
        </w:rPr>
      </w:pPr>
      <w:r>
        <w:rPr>
          <w:rFonts w:hint="eastAsia" w:ascii="仿宋_GB2312" w:hAnsi="宋体" w:eastAsia="仿宋_GB2312" w:cs="Arial"/>
          <w:b/>
          <w:bCs/>
          <w:sz w:val="36"/>
          <w:szCs w:val="36"/>
        </w:rPr>
        <w:t>友和保险经纪有限公司</w:t>
      </w:r>
    </w:p>
    <w:p w14:paraId="2BB0571A">
      <w:pPr>
        <w:snapToGrid w:val="0"/>
        <w:jc w:val="center"/>
        <w:rPr>
          <w:rFonts w:ascii="仿宋_GB2312" w:hAnsi="宋体" w:eastAsia="仿宋_GB2312" w:cs="Arial"/>
          <w:b/>
          <w:bCs/>
          <w:sz w:val="21"/>
          <w:szCs w:val="21"/>
        </w:rPr>
      </w:pPr>
    </w:p>
    <w:p w14:paraId="26D41E1E">
      <w:pPr>
        <w:jc w:val="center"/>
      </w:pPr>
      <w:r>
        <w:rPr>
          <w:rFonts w:hint="eastAsia" w:ascii="仿宋_GB2312" w:hAnsi="Arial" w:eastAsia="仿宋_GB2312" w:cs="Arial"/>
          <w:b/>
          <w:bCs/>
          <w:sz w:val="36"/>
          <w:szCs w:val="36"/>
        </w:rPr>
        <w:t>二</w:t>
      </w:r>
      <w:r>
        <w:rPr>
          <w:rFonts w:hint="eastAsia" w:ascii="仿宋_GB2312" w:hAnsi="宋体" w:cs="宋体"/>
          <w:b/>
          <w:bCs/>
          <w:sz w:val="36"/>
          <w:szCs w:val="36"/>
        </w:rPr>
        <w:t>〇</w:t>
      </w:r>
      <w:r>
        <w:rPr>
          <w:rFonts w:hint="eastAsia" w:ascii="仿宋_GB2312" w:hAnsi="Arial" w:eastAsia="仿宋_GB2312" w:cs="Arial"/>
          <w:b/>
          <w:bCs/>
          <w:sz w:val="36"/>
          <w:szCs w:val="36"/>
        </w:rPr>
        <w:t>二</w:t>
      </w:r>
      <w:r>
        <w:rPr>
          <w:rFonts w:hint="eastAsia" w:ascii="仿宋_GB2312" w:hAnsi="Arial" w:eastAsia="仿宋_GB2312" w:cs="Arial"/>
          <w:b/>
          <w:bCs/>
          <w:sz w:val="36"/>
          <w:szCs w:val="36"/>
          <w:lang w:val="en-US" w:eastAsia="zh-CN"/>
        </w:rPr>
        <w:t>五</w:t>
      </w:r>
      <w:r>
        <w:rPr>
          <w:rFonts w:hint="eastAsia" w:ascii="仿宋_GB2312" w:hAnsi="Arial" w:eastAsia="仿宋_GB2312" w:cs="Arial"/>
          <w:b/>
          <w:bCs/>
          <w:sz w:val="36"/>
          <w:szCs w:val="36"/>
        </w:rPr>
        <w:t>年</w:t>
      </w:r>
      <w:r>
        <w:rPr>
          <w:rFonts w:hint="eastAsia" w:ascii="仿宋_GB2312" w:hAnsi="宋体" w:eastAsia="仿宋_GB2312" w:cs="宋体"/>
          <w:b/>
          <w:bCs/>
          <w:sz w:val="36"/>
          <w:szCs w:val="36"/>
          <w:lang w:val="en-US" w:eastAsia="zh-CN"/>
        </w:rPr>
        <w:t>十一</w:t>
      </w:r>
      <w:r>
        <w:rPr>
          <w:rFonts w:hint="eastAsia" w:ascii="仿宋_GB2312" w:hAnsi="Arial" w:eastAsia="仿宋_GB2312" w:cs="Arial"/>
          <w:b/>
          <w:bCs/>
          <w:sz w:val="36"/>
          <w:szCs w:val="36"/>
        </w:rPr>
        <w:t>月</w:t>
      </w:r>
    </w:p>
    <w:p w14:paraId="06708C4D">
      <w:pPr>
        <w:spacing w:beforeAutospacing="1" w:afterAutospacing="1"/>
        <w:jc w:val="center"/>
        <w:outlineLvl w:val="1"/>
        <w:rPr>
          <w:rFonts w:hint="eastAsia"/>
          <w:b/>
          <w:bCs/>
          <w:color w:val="000000" w:themeColor="text1"/>
          <w:sz w:val="40"/>
          <w:szCs w:val="40"/>
          <w14:textFill>
            <w14:solidFill>
              <w14:schemeClr w14:val="tx1"/>
            </w14:solidFill>
          </w14:textFill>
        </w:rPr>
        <w:sectPr>
          <w:footerReference r:id="rId4" w:type="default"/>
          <w:type w:val="continuous"/>
          <w:pgSz w:w="11906" w:h="16838"/>
          <w:pgMar w:top="1440" w:right="1800" w:bottom="1440" w:left="1800" w:header="720" w:footer="720" w:gutter="0"/>
          <w:pgNumType w:fmt="decimal"/>
          <w:cols w:space="720" w:num="1"/>
        </w:sectPr>
      </w:pPr>
    </w:p>
    <w:p w14:paraId="04FDD0D5">
      <w:pPr>
        <w:pStyle w:val="21"/>
        <w:rPr>
          <w:rFonts w:hint="eastAsia"/>
        </w:rPr>
      </w:pPr>
    </w:p>
    <w:p w14:paraId="7F7C48B6">
      <w:pPr>
        <w:spacing w:beforeAutospacing="1" w:afterAutospacing="1"/>
        <w:jc w:val="center"/>
        <w:outlineLvl w:val="1"/>
        <w:rPr>
          <w:rFonts w:hint="eastAsia"/>
          <w:b/>
          <w:bCs/>
          <w:color w:val="000000" w:themeColor="text1"/>
          <w:sz w:val="40"/>
          <w:szCs w:val="40"/>
          <w14:textFill>
            <w14:solidFill>
              <w14:schemeClr w14:val="tx1"/>
            </w14:solidFill>
          </w14:textFill>
        </w:rPr>
        <w:sectPr>
          <w:footerReference r:id="rId5" w:type="default"/>
          <w:pgSz w:w="11906" w:h="16838"/>
          <w:pgMar w:top="1440" w:right="1800" w:bottom="1440" w:left="1800" w:header="720" w:footer="720" w:gutter="0"/>
          <w:pgNumType w:fmt="decimal" w:start="1"/>
          <w:cols w:space="720" w:num="1"/>
        </w:sectPr>
      </w:pPr>
    </w:p>
    <w:p w14:paraId="27540B3F">
      <w:pPr>
        <w:spacing w:beforeAutospacing="1" w:afterAutospacing="1"/>
        <w:jc w:val="center"/>
        <w:outlineLvl w:val="1"/>
        <w:rPr>
          <w:rFonts w:ascii="黑体" w:hAnsi="宋体" w:eastAsia="黑体" w:cs="黑体"/>
          <w:color w:val="000000" w:themeColor="text1"/>
          <w:sz w:val="40"/>
          <w:szCs w:val="40"/>
          <w14:textFill>
            <w14:solidFill>
              <w14:schemeClr w14:val="tx1"/>
            </w14:solidFill>
          </w14:textFill>
        </w:rPr>
      </w:pPr>
      <w:r>
        <w:rPr>
          <w:rFonts w:hint="eastAsia"/>
          <w:b/>
          <w:bCs/>
          <w:color w:val="000000" w:themeColor="text1"/>
          <w:sz w:val="40"/>
          <w:szCs w:val="40"/>
          <w14:textFill>
            <w14:solidFill>
              <w14:schemeClr w14:val="tx1"/>
            </w14:solidFill>
          </w14:textFill>
        </w:rPr>
        <w:t>招</w:t>
      </w:r>
      <w:r>
        <w:rPr>
          <w:rFonts w:hint="eastAsia" w:ascii="黑体" w:hAnsi="宋体" w:eastAsia="黑体" w:cs="黑体"/>
          <w:color w:val="000000" w:themeColor="text1"/>
          <w:sz w:val="40"/>
          <w:szCs w:val="40"/>
          <w14:textFill>
            <w14:solidFill>
              <w14:schemeClr w14:val="tx1"/>
            </w14:solidFill>
          </w14:textFill>
        </w:rPr>
        <w:t>标文件信息</w:t>
      </w:r>
    </w:p>
    <w:tbl>
      <w:tblPr>
        <w:tblStyle w:val="16"/>
        <w:tblW w:w="7943" w:type="dxa"/>
        <w:jc w:val="center"/>
        <w:tblCellSpacing w:w="0" w:type="dxa"/>
        <w:tblLayout w:type="fixed"/>
        <w:tblCellMar>
          <w:top w:w="45" w:type="dxa"/>
          <w:left w:w="45" w:type="dxa"/>
          <w:bottom w:w="45" w:type="dxa"/>
          <w:right w:w="45" w:type="dxa"/>
        </w:tblCellMar>
      </w:tblPr>
      <w:tblGrid>
        <w:gridCol w:w="2723"/>
        <w:gridCol w:w="5220"/>
      </w:tblGrid>
      <w:tr w14:paraId="686D2D7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3669C66">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项目编号：</w:t>
            </w:r>
          </w:p>
        </w:tc>
        <w:tc>
          <w:tcPr>
            <w:tcW w:w="5220" w:type="dxa"/>
            <w:shd w:val="clear" w:color="auto" w:fill="auto"/>
            <w:vAlign w:val="center"/>
          </w:tcPr>
          <w:p w14:paraId="6721819F">
            <w:pPr>
              <w:rPr>
                <w:rFonts w:hint="eastAsia" w:eastAsia="宋体"/>
                <w:color w:val="000000" w:themeColor="text1"/>
                <w:sz w:val="30"/>
                <w:szCs w:val="30"/>
                <w:lang w:eastAsia="zh-CN"/>
                <w14:textFill>
                  <w14:solidFill>
                    <w14:schemeClr w14:val="tx1"/>
                  </w14:solidFill>
                </w14:textFill>
              </w:rPr>
            </w:pPr>
            <w:r>
              <w:rPr>
                <w:rFonts w:hint="eastAsia" w:eastAsia="宋体"/>
                <w:color w:val="000000" w:themeColor="text1"/>
                <w:sz w:val="30"/>
                <w:szCs w:val="30"/>
                <w:lang w:eastAsia="zh-CN"/>
                <w14:textFill>
                  <w14:solidFill>
                    <w14:schemeClr w14:val="tx1"/>
                  </w14:solidFill>
                </w14:textFill>
              </w:rPr>
              <w:t>FTDL2025000096</w:t>
            </w:r>
          </w:p>
        </w:tc>
      </w:tr>
      <w:tr w14:paraId="3FCD404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CCECDA4">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项目名称：</w:t>
            </w:r>
          </w:p>
        </w:tc>
        <w:tc>
          <w:tcPr>
            <w:tcW w:w="5220" w:type="dxa"/>
            <w:shd w:val="clear" w:color="auto" w:fill="auto"/>
            <w:vAlign w:val="center"/>
          </w:tcPr>
          <w:p w14:paraId="4F8A79D0">
            <w:pPr>
              <w:rPr>
                <w:rFonts w:hint="eastAsia" w:eastAsiaTheme="minorEastAsia"/>
                <w:color w:val="000000" w:themeColor="text1"/>
                <w:sz w:val="30"/>
                <w:szCs w:val="30"/>
                <w:lang w:eastAsia="zh-CN"/>
                <w14:textFill>
                  <w14:solidFill>
                    <w14:schemeClr w14:val="tx1"/>
                  </w14:solidFill>
                </w14:textFill>
              </w:rPr>
            </w:pPr>
            <w:r>
              <w:rPr>
                <w:rFonts w:hint="eastAsia" w:eastAsiaTheme="minorEastAsia"/>
                <w:color w:val="000000" w:themeColor="text1"/>
                <w:sz w:val="30"/>
                <w:szCs w:val="30"/>
                <w:lang w:eastAsia="zh-CN"/>
                <w14:textFill>
                  <w14:solidFill>
                    <w14:schemeClr w14:val="tx1"/>
                  </w14:solidFill>
                </w14:textFill>
              </w:rPr>
              <w:t>福田区二类监控及视频联网系统维护项目</w:t>
            </w:r>
          </w:p>
        </w:tc>
      </w:tr>
      <w:tr w14:paraId="161B485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4D9AE0C">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 xml:space="preserve">包 </w:t>
            </w:r>
            <w:r>
              <w:rPr>
                <w:rFonts w:hint="eastAsia" w:ascii="宋体" w:hAnsi="宋体" w:cs="宋体"/>
                <w:color w:val="000000" w:themeColor="text1"/>
                <w:sz w:val="30"/>
                <w:szCs w:val="30"/>
                <w14:textFill>
                  <w14:solidFill>
                    <w14:schemeClr w14:val="tx1"/>
                  </w14:solidFill>
                </w14:textFill>
              </w:rPr>
              <w:t xml:space="preserve">  </w:t>
            </w:r>
            <w:r>
              <w:rPr>
                <w:rFonts w:ascii="宋体" w:hAnsi="宋体" w:cs="宋体"/>
                <w:color w:val="000000" w:themeColor="text1"/>
                <w:sz w:val="30"/>
                <w:szCs w:val="30"/>
                <w14:textFill>
                  <w14:solidFill>
                    <w14:schemeClr w14:val="tx1"/>
                  </w14:solidFill>
                </w14:textFill>
              </w:rPr>
              <w:t>号：</w:t>
            </w:r>
          </w:p>
        </w:tc>
        <w:tc>
          <w:tcPr>
            <w:tcW w:w="5220" w:type="dxa"/>
            <w:shd w:val="clear" w:color="auto" w:fill="auto"/>
            <w:vAlign w:val="center"/>
          </w:tcPr>
          <w:p w14:paraId="6D1ED629">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A</w:t>
            </w:r>
          </w:p>
        </w:tc>
      </w:tr>
      <w:tr w14:paraId="73A60C24">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2B512E9">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项目类型：</w:t>
            </w:r>
          </w:p>
        </w:tc>
        <w:tc>
          <w:tcPr>
            <w:tcW w:w="5220" w:type="dxa"/>
            <w:shd w:val="clear" w:color="auto" w:fill="auto"/>
            <w:vAlign w:val="center"/>
          </w:tcPr>
          <w:p w14:paraId="106E9AD5">
            <w:pPr>
              <w:rPr>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服务</w:t>
            </w:r>
            <w:r>
              <w:rPr>
                <w:rFonts w:ascii="宋体" w:hAnsi="宋体" w:cs="宋体"/>
                <w:color w:val="000000" w:themeColor="text1"/>
                <w:sz w:val="30"/>
                <w:szCs w:val="30"/>
                <w14:textFill>
                  <w14:solidFill>
                    <w14:schemeClr w14:val="tx1"/>
                  </w14:solidFill>
                </w14:textFill>
              </w:rPr>
              <w:t>类</w:t>
            </w:r>
          </w:p>
        </w:tc>
      </w:tr>
      <w:tr w14:paraId="221F3CC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24DFA">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采购方式：</w:t>
            </w:r>
          </w:p>
        </w:tc>
        <w:tc>
          <w:tcPr>
            <w:tcW w:w="5220" w:type="dxa"/>
            <w:shd w:val="clear" w:color="auto" w:fill="auto"/>
            <w:vAlign w:val="center"/>
          </w:tcPr>
          <w:p w14:paraId="1C5FE025">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公开招标</w:t>
            </w:r>
          </w:p>
        </w:tc>
      </w:tr>
      <w:tr w14:paraId="294ADE1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25763F6">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货币类型：</w:t>
            </w:r>
          </w:p>
        </w:tc>
        <w:tc>
          <w:tcPr>
            <w:tcW w:w="5220" w:type="dxa"/>
            <w:shd w:val="clear" w:color="auto" w:fill="auto"/>
            <w:vAlign w:val="center"/>
          </w:tcPr>
          <w:p w14:paraId="637AE87C">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人民币</w:t>
            </w:r>
          </w:p>
        </w:tc>
      </w:tr>
      <w:tr w14:paraId="216E2E6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06A4032">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评标方法：</w:t>
            </w:r>
          </w:p>
        </w:tc>
        <w:tc>
          <w:tcPr>
            <w:tcW w:w="5220" w:type="dxa"/>
            <w:shd w:val="clear" w:color="auto" w:fill="auto"/>
            <w:vAlign w:val="center"/>
          </w:tcPr>
          <w:p w14:paraId="23CDF502">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综合评分法（新价格分算法）</w:t>
            </w:r>
          </w:p>
        </w:tc>
      </w:tr>
    </w:tbl>
    <w:p w14:paraId="105E9D5E">
      <w:pPr>
        <w:pStyle w:val="14"/>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ascii="黑体" w:hAnsi="黑体" w:eastAsia="黑体"/>
          <w:color w:val="000000" w:themeColor="text1"/>
          <w:sz w:val="40"/>
          <w:szCs w:val="40"/>
          <w14:textFill>
            <w14:solidFill>
              <w14:schemeClr w14:val="tx1"/>
            </w14:solidFill>
          </w14:textFill>
        </w:rPr>
      </w:pPr>
      <w:r>
        <w:rPr>
          <w:rFonts w:hint="eastAsia" w:ascii="宋体" w:hAnsi="宋体" w:eastAsia="宋体" w:cs="黑体"/>
          <w:sz w:val="40"/>
          <w:szCs w:val="40"/>
          <w:lang w:val="en-US" w:eastAsia="zh-CN" w:bidi="ar-SA"/>
        </w:rPr>
        <w:t>资格性审查表</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6B296B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235A9A4">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3632B2A">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内容</w:t>
            </w:r>
          </w:p>
        </w:tc>
      </w:tr>
      <w:tr w14:paraId="573F6E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CAF47DC">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65293CC7">
            <w:pP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投标人不</w:t>
            </w:r>
            <w:r>
              <w:rPr>
                <w:rFonts w:hint="eastAsia" w:ascii="宋体" w:hAnsi="宋体" w:cs="宋体"/>
                <w:color w:val="000000" w:themeColor="text1"/>
                <w:szCs w:val="21"/>
                <w14:textFill>
                  <w14:solidFill>
                    <w14:schemeClr w14:val="tx1"/>
                  </w14:solidFill>
                </w14:textFill>
              </w:rPr>
              <w:t>符合</w:t>
            </w:r>
            <w:r>
              <w:rPr>
                <w:rFonts w:ascii="宋体" w:hAnsi="宋体" w:cs="宋体"/>
                <w:color w:val="000000" w:themeColor="text1"/>
                <w:szCs w:val="21"/>
                <w14:textFill>
                  <w14:solidFill>
                    <w14:schemeClr w14:val="tx1"/>
                  </w14:solidFill>
                </w14:textFill>
              </w:rPr>
              <w:t>资格要求，或未提交相应的资格证明资料（详见招标公告</w:t>
            </w:r>
            <w:r>
              <w:rPr>
                <w:rFonts w:hint="eastAsia" w:ascii="宋体" w:hAnsi="宋体"/>
                <w:color w:val="000000" w:themeColor="text1"/>
                <w:szCs w:val="21"/>
                <w14:textFill>
                  <w14:solidFill>
                    <w14:schemeClr w14:val="tx1"/>
                  </w14:solidFill>
                </w14:textFill>
              </w:rPr>
              <w:t>投标人资格要求，即申请人的资格要求</w:t>
            </w:r>
            <w:r>
              <w:rPr>
                <w:rFonts w:ascii="宋体" w:hAnsi="宋体" w:cs="宋体"/>
                <w:color w:val="000000" w:themeColor="text1"/>
                <w:szCs w:val="21"/>
                <w14:textFill>
                  <w14:solidFill>
                    <w14:schemeClr w14:val="tx1"/>
                  </w14:solidFill>
                </w14:textFill>
              </w:rPr>
              <w:t>）</w:t>
            </w:r>
          </w:p>
        </w:tc>
      </w:tr>
    </w:tbl>
    <w:p w14:paraId="058019FF">
      <w:pPr>
        <w:pStyle w:val="14"/>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符合性审查表</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03460E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2357BEB">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E3EB400">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内容</w:t>
            </w:r>
          </w:p>
        </w:tc>
      </w:tr>
      <w:tr w14:paraId="665F70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9FA9207">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0BD63B04">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将一个包或一个标段的内容拆开投标；</w:t>
            </w:r>
          </w:p>
        </w:tc>
      </w:tr>
      <w:tr w14:paraId="7C98D1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9B4A16D">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278" w:type="dxa"/>
            <w:tcBorders>
              <w:top w:val="single" w:color="000000" w:sz="8" w:space="0"/>
              <w:left w:val="single" w:color="000000" w:sz="8" w:space="0"/>
              <w:bottom w:val="single" w:color="000000" w:sz="8" w:space="0"/>
              <w:right w:val="single" w:color="000000" w:sz="8" w:space="0"/>
            </w:tcBorders>
          </w:tcPr>
          <w:p w14:paraId="650BEB2A">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对同一项目投标时，提供两套以上的投标方案（招标文件另有规定的除外）；</w:t>
            </w:r>
          </w:p>
        </w:tc>
      </w:tr>
      <w:tr w14:paraId="6B1543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618E6BB">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278" w:type="dxa"/>
            <w:tcBorders>
              <w:top w:val="single" w:color="000000" w:sz="8" w:space="0"/>
              <w:left w:val="single" w:color="000000" w:sz="8" w:space="0"/>
              <w:bottom w:val="single" w:color="000000" w:sz="8" w:space="0"/>
              <w:right w:val="single" w:color="000000" w:sz="8" w:space="0"/>
            </w:tcBorders>
            <w:vAlign w:val="top"/>
          </w:tcPr>
          <w:p w14:paraId="0A17DBB4">
            <w:pPr>
              <w:jc w:val="left"/>
              <w:rPr>
                <w:rFonts w:ascii="宋体" w:hAnsi="宋体" w:cs="宋体"/>
                <w:color w:val="000000" w:themeColor="text1"/>
                <w:szCs w:val="21"/>
                <w14:textFill>
                  <w14:solidFill>
                    <w14:schemeClr w14:val="tx1"/>
                  </w14:solidFill>
                </w14:textFill>
              </w:rPr>
            </w:pPr>
            <w:r>
              <w:rPr>
                <w:rFonts w:hint="eastAsia"/>
                <w:highlight w:val="none"/>
              </w:rPr>
              <w:t>分项报价或投标总价高于</w:t>
            </w:r>
            <w:bookmarkStart w:id="0" w:name="_Hlk71832186"/>
            <w:r>
              <w:rPr>
                <w:rFonts w:hint="eastAsia"/>
                <w:highlight w:val="none"/>
              </w:rPr>
              <w:t>相应财政预算金额（或设定的财政预算金额下的最高限价）</w:t>
            </w:r>
            <w:bookmarkEnd w:id="0"/>
            <w:r>
              <w:rPr>
                <w:rFonts w:hint="eastAsia"/>
                <w:highlight w:val="none"/>
              </w:rPr>
              <w:t>；</w:t>
            </w:r>
          </w:p>
        </w:tc>
      </w:tr>
      <w:tr w14:paraId="69C5CC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63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10378E91">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278" w:type="dxa"/>
            <w:tcBorders>
              <w:top w:val="single" w:color="000000" w:sz="8" w:space="0"/>
              <w:left w:val="single" w:color="000000" w:sz="8" w:space="0"/>
              <w:bottom w:val="single" w:color="000000" w:sz="8" w:space="0"/>
              <w:right w:val="single" w:color="000000" w:sz="8" w:space="0"/>
            </w:tcBorders>
          </w:tcPr>
          <w:p w14:paraId="6FBBE3BD">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F1A6E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1BEE09F">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8278" w:type="dxa"/>
            <w:tcBorders>
              <w:top w:val="single" w:color="000000" w:sz="8" w:space="0"/>
              <w:left w:val="single" w:color="000000" w:sz="8" w:space="0"/>
              <w:bottom w:val="single" w:color="000000" w:sz="8" w:space="0"/>
              <w:right w:val="single" w:color="000000" w:sz="8" w:space="0"/>
            </w:tcBorders>
          </w:tcPr>
          <w:p w14:paraId="23B4872B">
            <w:pPr>
              <w:rPr>
                <w:rFonts w:ascii="宋体" w:hAnsi="宋体" w:cs="宋体"/>
                <w:color w:val="000000" w:themeColor="text1"/>
                <w:szCs w:val="21"/>
                <w14:textFill>
                  <w14:solidFill>
                    <w14:schemeClr w14:val="tx1"/>
                  </w14:solidFill>
                </w14:textFill>
              </w:rPr>
            </w:pPr>
            <w:r>
              <w:rPr>
                <w:rFonts w:hint="eastAsia"/>
              </w:rPr>
              <w:t>所投货物、服务在技术、商务等方面没有实质性满足招标文件要求的（是否实质性满足招标文件要求，由评审委员会根据《实质性条款响应情况表》做出评判）</w:t>
            </w:r>
            <w:r>
              <w:rPr>
                <w:rFonts w:hint="eastAsia" w:ascii="宋体" w:hAnsi="宋体" w:eastAsia="宋体"/>
                <w:lang w:eastAsia="zh-CN"/>
              </w:rPr>
              <w:t>，投标文件的轻微瑕疵、非关键内容不得作为认定投标无效的依据</w:t>
            </w:r>
            <w:r>
              <w:rPr>
                <w:rFonts w:hint="eastAsia" w:ascii="宋体" w:hAnsi="宋体" w:eastAsia="宋体"/>
              </w:rPr>
              <w:t>）</w:t>
            </w:r>
            <w:r>
              <w:rPr>
                <w:rFonts w:hint="eastAsia"/>
              </w:rPr>
              <w:t>；</w:t>
            </w:r>
          </w:p>
        </w:tc>
      </w:tr>
      <w:tr w14:paraId="7142C3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1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50EE6029">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8278" w:type="dxa"/>
            <w:tcBorders>
              <w:top w:val="single" w:color="000000" w:sz="8" w:space="0"/>
              <w:left w:val="single" w:color="000000" w:sz="8" w:space="0"/>
              <w:bottom w:val="single" w:color="000000" w:sz="8" w:space="0"/>
              <w:right w:val="single" w:color="000000" w:sz="8" w:space="0"/>
            </w:tcBorders>
          </w:tcPr>
          <w:p w14:paraId="629195EA">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未按招标文件所提供的样式填写《投标函》；</w:t>
            </w:r>
          </w:p>
        </w:tc>
      </w:tr>
      <w:tr w14:paraId="5D997F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6078B00">
            <w:pPr>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7</w:t>
            </w:r>
          </w:p>
        </w:tc>
        <w:tc>
          <w:tcPr>
            <w:tcW w:w="8278" w:type="dxa"/>
            <w:tcBorders>
              <w:top w:val="single" w:color="000000" w:sz="8" w:space="0"/>
              <w:left w:val="single" w:color="000000" w:sz="8" w:space="0"/>
              <w:bottom w:val="single" w:color="000000" w:sz="8" w:space="0"/>
              <w:right w:val="single" w:color="000000" w:sz="8" w:space="0"/>
            </w:tcBorders>
          </w:tcPr>
          <w:p w14:paraId="136709D8">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未按招标文件所提供的《政府采购投标及履约承诺函》进行承诺</w:t>
            </w:r>
            <w:r>
              <w:rPr>
                <w:rFonts w:hint="eastAsia"/>
                <w:color w:val="auto"/>
              </w:rPr>
              <w:t>或不符合承诺的</w:t>
            </w:r>
            <w:r>
              <w:rPr>
                <w:rFonts w:hint="eastAsia"/>
                <w:color w:val="000000" w:themeColor="text1"/>
                <w14:textFill>
                  <w14:solidFill>
                    <w14:schemeClr w14:val="tx1"/>
                  </w14:solidFill>
                </w14:textFill>
              </w:rPr>
              <w:t>；</w:t>
            </w:r>
          </w:p>
        </w:tc>
      </w:tr>
      <w:tr w14:paraId="259284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2E212BB">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8</w:t>
            </w:r>
          </w:p>
        </w:tc>
        <w:tc>
          <w:tcPr>
            <w:tcW w:w="8278" w:type="dxa"/>
            <w:tcBorders>
              <w:top w:val="single" w:color="000000" w:sz="8" w:space="0"/>
              <w:left w:val="single" w:color="000000" w:sz="8" w:space="0"/>
              <w:bottom w:val="single" w:color="000000" w:sz="8" w:space="0"/>
              <w:right w:val="single" w:color="000000" w:sz="8" w:space="0"/>
            </w:tcBorders>
          </w:tcPr>
          <w:p w14:paraId="525BEA55">
            <w:pPr>
              <w:rPr>
                <w:rFonts w:ascii="宋体" w:hAnsi="宋体" w:cs="宋体"/>
                <w:color w:val="000000" w:themeColor="text1"/>
                <w:szCs w:val="21"/>
                <w14:textFill>
                  <w14:solidFill>
                    <w14:schemeClr w14:val="tx1"/>
                  </w14:solidFill>
                </w14:textFill>
              </w:rPr>
            </w:pPr>
            <w:r>
              <w:rPr>
                <w:rFonts w:hint="eastAsia" w:ascii="宋体" w:hAnsi="宋体" w:eastAsia="宋体"/>
                <w:lang w:eastAsia="zh-CN"/>
              </w:rPr>
              <w:t>投标文件对</w:t>
            </w:r>
            <w:r>
              <w:rPr>
                <w:rFonts w:hint="eastAsia" w:ascii="宋体" w:hAnsi="宋体" w:eastAsia="宋体" w:cs="Times New Roman"/>
                <w:kern w:val="0"/>
                <w:sz w:val="24"/>
                <w:szCs w:val="24"/>
                <w:lang w:val="en-US" w:eastAsia="zh-CN" w:bidi="ar"/>
              </w:rPr>
              <w:t>采购标的响应不全（响应不全情形包括：</w:t>
            </w:r>
            <w:r>
              <w:rPr>
                <w:rFonts w:hint="eastAsia" w:ascii="宋体" w:hAnsi="宋体" w:eastAsia="宋体"/>
              </w:rPr>
              <w:t>投标报价有缺漏</w:t>
            </w:r>
            <w:r>
              <w:rPr>
                <w:rFonts w:hint="eastAsia" w:ascii="宋体" w:hAnsi="宋体" w:eastAsia="宋体"/>
                <w:lang w:eastAsia="zh-CN"/>
              </w:rPr>
              <w:t>项，</w:t>
            </w:r>
            <w:r>
              <w:rPr>
                <w:rFonts w:hint="eastAsia" w:ascii="宋体" w:hAnsi="宋体" w:eastAsia="宋体"/>
              </w:rPr>
              <w:t>对招标文件规定的项目需求内容或者需求数量进行修改</w:t>
            </w:r>
            <w:r>
              <w:rPr>
                <w:rFonts w:hint="eastAsia" w:ascii="宋体" w:hAnsi="宋体" w:eastAsia="宋体" w:cs="Times New Roman"/>
                <w:kern w:val="0"/>
                <w:sz w:val="24"/>
                <w:szCs w:val="24"/>
                <w:lang w:val="en-US" w:eastAsia="zh-CN" w:bidi="ar"/>
              </w:rPr>
              <w:t>），</w:t>
            </w:r>
            <w:r>
              <w:rPr>
                <w:rFonts w:hint="eastAsia" w:ascii="宋体" w:hAnsi="宋体" w:eastAsia="宋体"/>
              </w:rPr>
              <w:t>由评审委员会根据《</w:t>
            </w:r>
            <w:r>
              <w:rPr>
                <w:rFonts w:hint="eastAsia" w:ascii="宋体" w:hAnsi="宋体" w:eastAsia="宋体"/>
                <w:b w:val="0"/>
                <w:lang w:eastAsia="zh-CN"/>
              </w:rPr>
              <w:t>项目详细报价</w:t>
            </w:r>
            <w:r>
              <w:rPr>
                <w:rFonts w:hint="eastAsia" w:ascii="宋体" w:hAnsi="宋体" w:eastAsia="宋体"/>
              </w:rPr>
              <w:t>》做出评判）</w:t>
            </w:r>
          </w:p>
        </w:tc>
      </w:tr>
      <w:tr w14:paraId="41F77A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7337F443">
            <w:pPr>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9</w:t>
            </w:r>
          </w:p>
        </w:tc>
        <w:tc>
          <w:tcPr>
            <w:tcW w:w="8278" w:type="dxa"/>
            <w:tcBorders>
              <w:top w:val="single" w:color="000000" w:sz="8" w:space="0"/>
              <w:left w:val="single" w:color="000000" w:sz="8" w:space="0"/>
              <w:bottom w:val="single" w:color="000000" w:sz="8" w:space="0"/>
              <w:right w:val="single" w:color="000000" w:sz="8" w:space="0"/>
            </w:tcBorders>
          </w:tcPr>
          <w:p w14:paraId="6DF675E3">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投标文件存在列放位置错误，导致属于信息公开情形的没有被公开；</w:t>
            </w:r>
          </w:p>
        </w:tc>
      </w:tr>
      <w:tr w14:paraId="2BC96B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51A08655">
            <w:pPr>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8278" w:type="dxa"/>
            <w:tcBorders>
              <w:top w:val="single" w:color="000000" w:sz="8" w:space="0"/>
              <w:left w:val="single" w:color="000000" w:sz="8" w:space="0"/>
              <w:bottom w:val="single" w:color="000000" w:sz="8" w:space="0"/>
              <w:right w:val="single" w:color="000000" w:sz="8" w:space="0"/>
            </w:tcBorders>
          </w:tcPr>
          <w:p w14:paraId="12DBAC4F">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投标文件电子文档带病毒；</w:t>
            </w:r>
          </w:p>
        </w:tc>
      </w:tr>
      <w:tr w14:paraId="7CB704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5BD9957D">
            <w:pPr>
              <w:jc w:val="center"/>
              <w:textAlignment w:val="top"/>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1</w:t>
            </w:r>
          </w:p>
        </w:tc>
        <w:tc>
          <w:tcPr>
            <w:tcW w:w="8278" w:type="dxa"/>
            <w:tcBorders>
              <w:top w:val="single" w:color="000000" w:sz="8" w:space="0"/>
              <w:left w:val="single" w:color="000000" w:sz="8" w:space="0"/>
              <w:bottom w:val="single" w:color="000000" w:sz="8" w:space="0"/>
              <w:right w:val="single" w:color="000000" w:sz="8" w:space="0"/>
            </w:tcBorders>
          </w:tcPr>
          <w:p w14:paraId="1D5F6FBB">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投标文件用不属于本公司的电子密钥进行加密的；</w:t>
            </w:r>
          </w:p>
        </w:tc>
      </w:tr>
      <w:tr w14:paraId="14F14B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0934911A">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12</w:t>
            </w:r>
          </w:p>
        </w:tc>
        <w:tc>
          <w:tcPr>
            <w:tcW w:w="8278" w:type="dxa"/>
            <w:tcBorders>
              <w:top w:val="single" w:color="000000" w:sz="8" w:space="0"/>
              <w:left w:val="single" w:color="000000" w:sz="8" w:space="0"/>
              <w:bottom w:val="single" w:color="000000" w:sz="8" w:space="0"/>
              <w:right w:val="single" w:color="000000" w:sz="8" w:space="0"/>
            </w:tcBorders>
          </w:tcPr>
          <w:p w14:paraId="2C72C0FB">
            <w:pPr>
              <w:rPr>
                <w:rFonts w:hint="eastAsia"/>
                <w:color w:val="000000" w:themeColor="text1"/>
                <w:highlight w:val="none"/>
                <w14:textFill>
                  <w14:solidFill>
                    <w14:schemeClr w14:val="tx1"/>
                  </w14:solidFill>
                </w14:textFill>
              </w:rPr>
            </w:pPr>
            <w:r>
              <w:rPr>
                <w:highlight w:val="none"/>
              </w:rPr>
              <w:t>不同投标供应商投标文件“文件制作机器码”</w:t>
            </w:r>
            <w:r>
              <w:rPr>
                <w:rFonts w:hint="eastAsia" w:eastAsia="宋体"/>
                <w:highlight w:val="none"/>
                <w:lang w:val="en-US" w:eastAsia="zh-CN"/>
              </w:rPr>
              <w:t>或</w:t>
            </w:r>
            <w:r>
              <w:rPr>
                <w:highlight w:val="none"/>
              </w:rPr>
              <w:t>“文件创建标</w:t>
            </w:r>
            <w:r>
              <w:rPr>
                <w:rFonts w:hint="eastAsia"/>
                <w:highlight w:val="none"/>
              </w:rPr>
              <w:t>识码”一致</w:t>
            </w:r>
            <w:r>
              <w:rPr>
                <w:rFonts w:hint="eastAsia"/>
                <w:highlight w:val="none"/>
                <w:lang w:eastAsia="zh-CN"/>
              </w:rPr>
              <w:t>的</w:t>
            </w:r>
            <w:r>
              <w:rPr>
                <w:rFonts w:hint="eastAsia"/>
                <w:color w:val="000000" w:themeColor="text1"/>
                <w:highlight w:val="none"/>
                <w14:textFill>
                  <w14:solidFill>
                    <w14:schemeClr w14:val="tx1"/>
                  </w14:solidFill>
                </w14:textFill>
              </w:rPr>
              <w:t>；</w:t>
            </w:r>
          </w:p>
        </w:tc>
      </w:tr>
      <w:tr w14:paraId="5F2E10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0DE72817">
            <w:pPr>
              <w:jc w:val="center"/>
              <w:textAlignment w:val="top"/>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13</w:t>
            </w:r>
          </w:p>
        </w:tc>
        <w:tc>
          <w:tcPr>
            <w:tcW w:w="8278" w:type="dxa"/>
            <w:tcBorders>
              <w:top w:val="single" w:color="000000" w:sz="8" w:space="0"/>
              <w:left w:val="single" w:color="000000" w:sz="8" w:space="0"/>
              <w:bottom w:val="single" w:color="000000" w:sz="8" w:space="0"/>
              <w:right w:val="single" w:color="000000" w:sz="8" w:space="0"/>
            </w:tcBorders>
          </w:tcPr>
          <w:p w14:paraId="3AD33C93">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法律、法规、规章、规范性文件规定的其他情形。</w:t>
            </w:r>
          </w:p>
        </w:tc>
      </w:tr>
    </w:tbl>
    <w:p w14:paraId="198059BF">
      <w:pPr>
        <w:pStyle w:val="14"/>
        <w:spacing w:before="280" w:beforeAutospacing="0" w:afterAutospacing="1"/>
        <w:jc w:val="center"/>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评标信息</w:t>
      </w:r>
    </w:p>
    <w:tbl>
      <w:tblPr>
        <w:tblStyle w:val="16"/>
        <w:tblW w:w="5001" w:type="pct"/>
        <w:jc w:val="center"/>
        <w:tblCellSpacing w:w="0" w:type="dxa"/>
        <w:tblLayout w:type="autofit"/>
        <w:tblCellMar>
          <w:top w:w="45" w:type="dxa"/>
          <w:left w:w="45" w:type="dxa"/>
          <w:bottom w:w="45" w:type="dxa"/>
          <w:right w:w="45" w:type="dxa"/>
        </w:tblCellMar>
      </w:tblPr>
      <w:tblGrid>
        <w:gridCol w:w="76"/>
        <w:gridCol w:w="401"/>
        <w:gridCol w:w="477"/>
        <w:gridCol w:w="1470"/>
        <w:gridCol w:w="600"/>
        <w:gridCol w:w="5276"/>
        <w:gridCol w:w="96"/>
        <w:gridCol w:w="2"/>
      </w:tblGrid>
      <w:tr w14:paraId="5D035C10">
        <w:tblPrEx>
          <w:tblCellMar>
            <w:top w:w="45" w:type="dxa"/>
            <w:left w:w="45" w:type="dxa"/>
            <w:bottom w:w="45" w:type="dxa"/>
            <w:right w:w="45" w:type="dxa"/>
          </w:tblCellMar>
        </w:tblPrEx>
        <w:trPr>
          <w:gridBefore w:val="1"/>
          <w:gridAfter w:val="1"/>
          <w:wBefore w:w="45" w:type="pct"/>
          <w:wAfter w:w="1" w:type="pct"/>
          <w:tblCellSpacing w:w="0" w:type="dxa"/>
          <w:jc w:val="center"/>
        </w:trPr>
        <w:tc>
          <w:tcPr>
            <w:tcW w:w="4895" w:type="pct"/>
            <w:gridSpan w:val="5"/>
            <w:tcBorders>
              <w:top w:val="nil"/>
              <w:left w:val="nil"/>
              <w:bottom w:val="nil"/>
              <w:right w:val="nil"/>
            </w:tcBorders>
            <w:vAlign w:val="center"/>
          </w:tcPr>
          <w:p w14:paraId="06B79A01">
            <w:pPr>
              <w:keepNext w:val="0"/>
              <w:pageBreakBefore w:val="0"/>
              <w:kinsoku/>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b/>
                <w:bCs/>
                <w:lang w:val="en-US" w:eastAsia="zh-CN" w:bidi="ar-SA"/>
              </w:rPr>
              <w:t>评标方法：最低价法/综合评分法（新价格分算法）</w:t>
            </w:r>
          </w:p>
        </w:tc>
        <w:tc>
          <w:tcPr>
            <w:tcW w:w="57" w:type="pct"/>
            <w:tcBorders>
              <w:top w:val="nil"/>
              <w:left w:val="nil"/>
              <w:bottom w:val="nil"/>
              <w:right w:val="nil"/>
            </w:tcBorders>
            <w:vAlign w:val="center"/>
          </w:tcPr>
          <w:p w14:paraId="25C1FFFE">
            <w:pPr>
              <w:keepNext w:val="0"/>
              <w:pageBreakBefore w:val="0"/>
              <w:kinsoku/>
              <w:overflowPunct/>
              <w:topLinePunct w:val="0"/>
              <w:autoSpaceDE/>
              <w:autoSpaceDN/>
              <w:bidi w:val="0"/>
              <w:adjustRightInd/>
              <w:snapToGrid/>
              <w:spacing w:line="240" w:lineRule="auto"/>
              <w:jc w:val="right"/>
              <w:textAlignment w:val="auto"/>
              <w:rPr>
                <w:rFonts w:hint="eastAsia" w:ascii="宋体" w:hAnsi="宋体" w:eastAsia="宋体" w:cs="宋体"/>
                <w:b/>
                <w:bCs/>
                <w:color w:val="000000" w:themeColor="text1"/>
                <w:sz w:val="24"/>
                <w:szCs w:val="24"/>
                <w14:textFill>
                  <w14:solidFill>
                    <w14:schemeClr w14:val="tx1"/>
                  </w14:solidFill>
                </w14:textFill>
              </w:rPr>
            </w:pPr>
          </w:p>
        </w:tc>
      </w:tr>
      <w:tr w14:paraId="3310498D">
        <w:tblPrEx>
          <w:tblCellMar>
            <w:top w:w="45" w:type="dxa"/>
            <w:left w:w="45" w:type="dxa"/>
            <w:bottom w:w="45" w:type="dxa"/>
            <w:right w:w="45" w:type="dxa"/>
          </w:tblCellMar>
        </w:tblPrEx>
        <w:trPr>
          <w:gridBefore w:val="1"/>
          <w:gridAfter w:val="1"/>
          <w:wBefore w:w="45" w:type="pct"/>
          <w:wAfter w:w="1" w:type="pct"/>
          <w:tblCellSpacing w:w="0" w:type="dxa"/>
          <w:jc w:val="center"/>
        </w:trPr>
        <w:tc>
          <w:tcPr>
            <w:tcW w:w="4952" w:type="pct"/>
            <w:gridSpan w:val="6"/>
            <w:tcBorders>
              <w:top w:val="nil"/>
              <w:left w:val="nil"/>
              <w:bottom w:val="nil"/>
              <w:right w:val="nil"/>
            </w:tcBorders>
            <w:vAlign w:val="center"/>
          </w:tcPr>
          <w:p w14:paraId="4934E6F7">
            <w:pPr>
              <w:spacing w:line="324" w:lineRule="auto"/>
              <w:ind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szCs w:val="21"/>
                <w:lang w:val="en-US" w:eastAsia="zh-CN" w:bidi="ar-SA"/>
              </w:rPr>
              <w:t xml:space="preserve">综合评分法，是指投标文件满足招标文件全部实质性要求，且按照评审因素的量化指标评审得分最高的投标人为中标候选人的评标方法。 </w:t>
            </w:r>
            <w:bookmarkStart w:id="102" w:name="_GoBack"/>
            <w:bookmarkEnd w:id="102"/>
          </w:p>
        </w:tc>
      </w:tr>
      <w:tr w14:paraId="1448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tcBorders>
              <w:tl2br w:val="nil"/>
              <w:tr2bl w:val="nil"/>
            </w:tcBorders>
            <w:shd w:val="clear" w:color="auto" w:fill="E6EFFA"/>
            <w:noWrap w:val="0"/>
            <w:vAlign w:val="center"/>
          </w:tcPr>
          <w:p w14:paraId="441D78D6">
            <w:pPr>
              <w:wordWrap w:val="0"/>
              <w:jc w:val="center"/>
              <w:rPr>
                <w:rFonts w:hint="eastAsia" w:ascii="宋体" w:hAnsi="宋体" w:eastAsia="宋体" w:cs="宋体"/>
                <w:b/>
                <w:bCs/>
                <w:sz w:val="24"/>
                <w:highlight w:val="none"/>
              </w:rPr>
            </w:pPr>
            <w:r>
              <w:rPr>
                <w:rFonts w:hint="eastAsia" w:ascii="宋体" w:hAnsi="宋体" w:eastAsia="宋体" w:cs="宋体"/>
                <w:b/>
                <w:bCs/>
                <w:highlight w:val="none"/>
              </w:rPr>
              <w:t>序号</w:t>
            </w:r>
          </w:p>
        </w:tc>
        <w:tc>
          <w:tcPr>
            <w:tcW w:w="1517" w:type="pct"/>
            <w:gridSpan w:val="3"/>
            <w:tcBorders>
              <w:tl2br w:val="nil"/>
              <w:tr2bl w:val="nil"/>
            </w:tcBorders>
            <w:shd w:val="clear" w:color="auto" w:fill="E6EFFA"/>
            <w:noWrap w:val="0"/>
            <w:vAlign w:val="center"/>
          </w:tcPr>
          <w:p w14:paraId="516839A9">
            <w:pPr>
              <w:wordWrap w:val="0"/>
              <w:jc w:val="center"/>
              <w:rPr>
                <w:rFonts w:hint="eastAsia" w:ascii="宋体" w:hAnsi="宋体" w:eastAsia="宋体" w:cs="宋体"/>
                <w:b/>
                <w:bCs/>
                <w:sz w:val="24"/>
                <w:highlight w:val="none"/>
              </w:rPr>
            </w:pPr>
            <w:r>
              <w:rPr>
                <w:rFonts w:hint="eastAsia" w:ascii="宋体" w:hAnsi="宋体" w:eastAsia="宋体" w:cs="宋体"/>
                <w:b/>
                <w:bCs/>
                <w:highlight w:val="none"/>
              </w:rPr>
              <w:t>评分项</w:t>
            </w:r>
          </w:p>
        </w:tc>
        <w:tc>
          <w:tcPr>
            <w:tcW w:w="3198" w:type="pct"/>
            <w:gridSpan w:val="3"/>
            <w:tcBorders>
              <w:tl2br w:val="nil"/>
              <w:tr2bl w:val="nil"/>
            </w:tcBorders>
            <w:shd w:val="clear" w:color="auto" w:fill="E6EFFA"/>
            <w:noWrap w:val="0"/>
            <w:vAlign w:val="center"/>
          </w:tcPr>
          <w:p w14:paraId="20652750">
            <w:pPr>
              <w:wordWrap w:val="0"/>
              <w:jc w:val="center"/>
              <w:rPr>
                <w:rFonts w:hint="eastAsia" w:ascii="宋体" w:hAnsi="宋体" w:eastAsia="宋体" w:cs="宋体"/>
                <w:b/>
                <w:bCs/>
                <w:sz w:val="24"/>
                <w:highlight w:val="none"/>
              </w:rPr>
            </w:pPr>
            <w:r>
              <w:rPr>
                <w:rFonts w:hint="eastAsia" w:ascii="宋体" w:hAnsi="宋体" w:eastAsia="宋体" w:cs="宋体"/>
                <w:b/>
                <w:bCs/>
                <w:highlight w:val="none"/>
              </w:rPr>
              <w:t>权重(%)</w:t>
            </w:r>
          </w:p>
        </w:tc>
      </w:tr>
      <w:tr w14:paraId="6761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tcBorders>
              <w:tl2br w:val="nil"/>
              <w:tr2bl w:val="nil"/>
            </w:tcBorders>
            <w:shd w:val="clear" w:color="auto" w:fill="E6EFFA"/>
            <w:noWrap w:val="0"/>
            <w:vAlign w:val="center"/>
          </w:tcPr>
          <w:p w14:paraId="69A422AC">
            <w:pPr>
              <w:wordWrap w:val="0"/>
              <w:jc w:val="center"/>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w:t>
            </w:r>
          </w:p>
        </w:tc>
        <w:tc>
          <w:tcPr>
            <w:tcW w:w="1517" w:type="pct"/>
            <w:gridSpan w:val="3"/>
            <w:tcBorders>
              <w:tl2br w:val="nil"/>
              <w:tr2bl w:val="nil"/>
            </w:tcBorders>
            <w:shd w:val="clear"/>
            <w:noWrap w:val="0"/>
            <w:vAlign w:val="center"/>
          </w:tcPr>
          <w:p w14:paraId="4545CDE0">
            <w:pPr>
              <w:wordWrap w:val="0"/>
              <w:jc w:val="center"/>
              <w:rPr>
                <w:rFonts w:hint="eastAsia" w:ascii="宋体" w:hAnsi="宋体" w:eastAsia="宋体" w:cs="宋体"/>
                <w:b/>
                <w:bCs/>
                <w:color w:val="0000FF"/>
                <w:sz w:val="24"/>
                <w:highlight w:val="none"/>
                <w:lang w:val="en-US" w:eastAsia="zh-CN"/>
              </w:rPr>
            </w:pPr>
            <w:r>
              <w:rPr>
                <w:rFonts w:hint="eastAsia" w:ascii="宋体" w:hAnsi="宋体" w:eastAsia="宋体" w:cs="宋体"/>
                <w:b/>
                <w:bCs/>
                <w:color w:val="0000FF"/>
                <w:sz w:val="24"/>
                <w:highlight w:val="none"/>
                <w:lang w:val="en-US" w:eastAsia="zh-CN"/>
              </w:rPr>
              <w:t>价格</w:t>
            </w:r>
          </w:p>
        </w:tc>
        <w:tc>
          <w:tcPr>
            <w:tcW w:w="3198" w:type="pct"/>
            <w:gridSpan w:val="3"/>
            <w:tcBorders>
              <w:tl2br w:val="nil"/>
              <w:tr2bl w:val="nil"/>
            </w:tcBorders>
            <w:shd w:val="clear"/>
            <w:noWrap w:val="0"/>
            <w:vAlign w:val="center"/>
          </w:tcPr>
          <w:p w14:paraId="67102092">
            <w:pPr>
              <w:wordWrap w:val="0"/>
              <w:jc w:val="center"/>
              <w:rPr>
                <w:rFonts w:hint="default" w:ascii="宋体" w:hAnsi="宋体" w:eastAsia="宋体" w:cs="宋体"/>
                <w:b/>
                <w:bCs/>
                <w:color w:val="0000FF"/>
                <w:sz w:val="24"/>
                <w:highlight w:val="none"/>
                <w:lang w:val="en-US" w:eastAsia="zh-CN"/>
              </w:rPr>
            </w:pPr>
            <w:r>
              <w:rPr>
                <w:rFonts w:hint="eastAsia" w:ascii="宋体" w:hAnsi="宋体" w:eastAsia="宋体" w:cs="宋体"/>
                <w:b/>
                <w:bCs/>
                <w:color w:val="0000FF"/>
                <w:sz w:val="24"/>
                <w:highlight w:val="none"/>
                <w:lang w:val="en-US" w:eastAsia="zh-CN"/>
              </w:rPr>
              <w:t>10</w:t>
            </w:r>
          </w:p>
        </w:tc>
      </w:tr>
      <w:tr w14:paraId="5D8D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tcBorders>
              <w:tl2br w:val="nil"/>
              <w:tr2bl w:val="nil"/>
            </w:tcBorders>
            <w:shd w:val="clear" w:color="auto" w:fill="E6EFFA"/>
            <w:noWrap w:val="0"/>
            <w:vAlign w:val="center"/>
          </w:tcPr>
          <w:p w14:paraId="2004F513">
            <w:pPr>
              <w:wordWrap w:val="0"/>
              <w:jc w:val="center"/>
              <w:rPr>
                <w:rFonts w:hint="eastAsia" w:ascii="宋体" w:hAnsi="宋体" w:eastAsia="宋体" w:cs="宋体"/>
                <w:b/>
                <w:bCs/>
                <w:highlight w:val="none"/>
                <w:lang w:val="en-US" w:eastAsia="zh-CN"/>
              </w:rPr>
            </w:pPr>
          </w:p>
        </w:tc>
        <w:tc>
          <w:tcPr>
            <w:tcW w:w="4716" w:type="pct"/>
            <w:gridSpan w:val="6"/>
            <w:tcBorders>
              <w:tl2br w:val="nil"/>
              <w:tr2bl w:val="nil"/>
            </w:tcBorders>
            <w:shd w:val="clear"/>
            <w:noWrap w:val="0"/>
            <w:vAlign w:val="center"/>
          </w:tcPr>
          <w:p w14:paraId="49A9B39E">
            <w:pPr>
              <w:pStyle w:val="14"/>
              <w:spacing w:beforeAutospacing="0" w:afterAutospacing="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价格分计算方法：</w:t>
            </w:r>
          </w:p>
          <w:p w14:paraId="79082F68">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采用低价优先法计算，即满足招标文件要求且投标价格最低的投标报价为评标基准价，其价格分为满分。其他投标人的价格分统一按照下列公式计算： </w:t>
            </w:r>
          </w:p>
          <w:p w14:paraId="4864957C">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投标报价得分=(评标基准价／投标报价)×100 </w:t>
            </w:r>
          </w:p>
          <w:p w14:paraId="56B195BD">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评标总得分＝F1×A1＋F2×A2＋……＋Fn×An </w:t>
            </w:r>
          </w:p>
          <w:p w14:paraId="572191D2">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F1、F2……Fn分别为各项评审因素的得分； </w:t>
            </w:r>
          </w:p>
          <w:p w14:paraId="391B87DE">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A1、A2、……An 分别为各项评审因素所占的权重(A1＋A2＋……＋An＝1)。 </w:t>
            </w:r>
          </w:p>
          <w:p w14:paraId="186A55EB">
            <w:pPr>
              <w:pStyle w:val="14"/>
              <w:spacing w:beforeAutospacing="0" w:afterAutospacing="0"/>
              <w:ind w:firstLine="420" w:firstLineChars="200"/>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评标过程中，不得去掉报价中的最高报价和最低报价。 </w:t>
            </w:r>
          </w:p>
          <w:p w14:paraId="30F93428">
            <w:pPr>
              <w:wordWrap w:val="0"/>
              <w:jc w:val="left"/>
              <w:rPr>
                <w:rFonts w:hint="eastAsia" w:ascii="宋体" w:hAnsi="宋体" w:eastAsia="宋体" w:cs="宋体"/>
                <w:b/>
                <w:bCs/>
                <w:color w:val="0000FF"/>
                <w:sz w:val="24"/>
                <w:highlight w:val="none"/>
                <w:lang w:val="en-US" w:eastAsia="zh-CN"/>
              </w:rPr>
            </w:pPr>
            <w:r>
              <w:rPr>
                <w:rFonts w:hint="eastAsia" w:cs="宋体" w:asciiTheme="majorEastAsia" w:hAnsiTheme="majorEastAsia" w:eastAsiaTheme="majorEastAsia"/>
                <w:sz w:val="21"/>
                <w:szCs w:val="21"/>
              </w:rPr>
              <w:t xml:space="preserve">此方法适用于货物类、服务类、工程类项目。 </w:t>
            </w:r>
          </w:p>
        </w:tc>
      </w:tr>
      <w:tr w14:paraId="14A7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restart"/>
            <w:tcBorders>
              <w:tl2br w:val="nil"/>
              <w:tr2bl w:val="nil"/>
            </w:tcBorders>
            <w:noWrap w:val="0"/>
            <w:vAlign w:val="top"/>
          </w:tcPr>
          <w:p w14:paraId="5C471FE3">
            <w:pPr>
              <w:wordWrap w:val="0"/>
              <w:jc w:val="center"/>
              <w:rPr>
                <w:rFonts w:hint="eastAsia" w:ascii="宋体" w:hAnsi="宋体" w:eastAsia="宋体" w:cs="宋体"/>
                <w:b/>
                <w:bCs/>
                <w:color w:val="0000FF"/>
                <w:sz w:val="24"/>
                <w:highlight w:val="none"/>
                <w:lang w:eastAsia="zh-CN"/>
              </w:rPr>
            </w:pPr>
            <w:r>
              <w:rPr>
                <w:rFonts w:hint="eastAsia" w:ascii="宋体" w:hAnsi="宋体" w:eastAsia="宋体" w:cs="宋体"/>
                <w:b/>
                <w:bCs/>
                <w:color w:val="0000FF"/>
                <w:highlight w:val="none"/>
                <w:lang w:val="en-US" w:eastAsia="zh-CN"/>
              </w:rPr>
              <w:t>2</w:t>
            </w:r>
          </w:p>
        </w:tc>
        <w:tc>
          <w:tcPr>
            <w:tcW w:w="1517" w:type="pct"/>
            <w:gridSpan w:val="3"/>
            <w:tcBorders>
              <w:tl2br w:val="nil"/>
              <w:tr2bl w:val="nil"/>
            </w:tcBorders>
            <w:noWrap w:val="0"/>
            <w:vAlign w:val="top"/>
          </w:tcPr>
          <w:p w14:paraId="09478F89">
            <w:pPr>
              <w:wordWrap w:val="0"/>
              <w:jc w:val="center"/>
              <w:rPr>
                <w:rFonts w:hint="eastAsia" w:ascii="宋体" w:hAnsi="宋体" w:eastAsia="宋体" w:cs="宋体"/>
                <w:b/>
                <w:bCs/>
                <w:color w:val="0000FF"/>
                <w:sz w:val="24"/>
                <w:highlight w:val="none"/>
              </w:rPr>
            </w:pPr>
            <w:r>
              <w:rPr>
                <w:rFonts w:hint="eastAsia" w:ascii="宋体" w:hAnsi="宋体" w:eastAsia="宋体" w:cs="宋体"/>
                <w:b/>
                <w:bCs/>
                <w:color w:val="0000FF"/>
                <w:highlight w:val="none"/>
              </w:rPr>
              <w:t>技术部分</w:t>
            </w:r>
          </w:p>
        </w:tc>
        <w:tc>
          <w:tcPr>
            <w:tcW w:w="3198" w:type="pct"/>
            <w:gridSpan w:val="3"/>
            <w:tcBorders>
              <w:tl2br w:val="nil"/>
              <w:tr2bl w:val="nil"/>
            </w:tcBorders>
            <w:noWrap w:val="0"/>
            <w:vAlign w:val="top"/>
          </w:tcPr>
          <w:p w14:paraId="75A13109">
            <w:pPr>
              <w:wordWrap w:val="0"/>
              <w:jc w:val="center"/>
              <w:rPr>
                <w:rFonts w:hint="default" w:ascii="宋体" w:hAnsi="宋体" w:eastAsia="宋体" w:cs="宋体"/>
                <w:b/>
                <w:bCs/>
                <w:color w:val="0000FF"/>
                <w:sz w:val="24"/>
                <w:highlight w:val="none"/>
                <w:lang w:val="en-US" w:eastAsia="zh-CN"/>
              </w:rPr>
            </w:pPr>
            <w:r>
              <w:rPr>
                <w:rFonts w:hint="eastAsia" w:ascii="宋体" w:hAnsi="宋体" w:eastAsia="宋体" w:cs="宋体"/>
                <w:b/>
                <w:bCs/>
                <w:color w:val="0000FF"/>
                <w:highlight w:val="none"/>
                <w:lang w:val="en-US" w:eastAsia="zh-CN"/>
              </w:rPr>
              <w:t>63</w:t>
            </w:r>
          </w:p>
        </w:tc>
      </w:tr>
      <w:tr w14:paraId="498F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059006C1">
            <w:pPr>
              <w:rPr>
                <w:rFonts w:hint="eastAsia" w:ascii="宋体" w:hAnsi="宋体" w:eastAsia="宋体" w:cs="宋体"/>
                <w:b/>
                <w:bCs/>
                <w:color w:val="0000FF"/>
                <w:sz w:val="24"/>
                <w:highlight w:val="none"/>
              </w:rPr>
            </w:pPr>
          </w:p>
        </w:tc>
        <w:tc>
          <w:tcPr>
            <w:tcW w:w="4716" w:type="pct"/>
            <w:gridSpan w:val="6"/>
            <w:tcBorders>
              <w:tl2br w:val="nil"/>
              <w:tr2bl w:val="nil"/>
            </w:tcBorders>
            <w:noWrap w:val="0"/>
            <w:vAlign w:val="top"/>
          </w:tcPr>
          <w:p w14:paraId="7815CBCC">
            <w:pPr>
              <w:wordWrap w:val="0"/>
              <w:rPr>
                <w:rFonts w:hint="eastAsia" w:ascii="宋体" w:hAnsi="宋体" w:eastAsia="宋体" w:cs="宋体"/>
                <w:szCs w:val="21"/>
                <w:highlight w:val="none"/>
              </w:rPr>
            </w:pPr>
          </w:p>
        </w:tc>
      </w:tr>
      <w:tr w14:paraId="0CBE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shd w:val="clear" w:color="auto" w:fill="E6EFFA"/>
            <w:noWrap w:val="0"/>
            <w:vAlign w:val="center"/>
          </w:tcPr>
          <w:p w14:paraId="531FBE0F">
            <w:pPr>
              <w:rPr>
                <w:rFonts w:hint="eastAsia" w:ascii="宋体" w:hAnsi="宋体" w:eastAsia="宋体" w:cs="宋体"/>
                <w:b/>
                <w:bCs/>
                <w:color w:val="0000FF"/>
                <w:sz w:val="24"/>
                <w:highlight w:val="none"/>
              </w:rPr>
            </w:pPr>
          </w:p>
        </w:tc>
        <w:tc>
          <w:tcPr>
            <w:tcW w:w="283" w:type="pct"/>
            <w:tcBorders>
              <w:tl2br w:val="nil"/>
              <w:tr2bl w:val="nil"/>
            </w:tcBorders>
            <w:shd w:val="clear" w:color="auto" w:fill="E6EFFA"/>
            <w:noWrap w:val="0"/>
            <w:vAlign w:val="center"/>
          </w:tcPr>
          <w:p w14:paraId="15223604">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876" w:type="pct"/>
            <w:tcBorders>
              <w:tl2br w:val="nil"/>
              <w:tr2bl w:val="nil"/>
            </w:tcBorders>
            <w:shd w:val="clear" w:color="auto" w:fill="E6EFFA"/>
            <w:noWrap w:val="0"/>
            <w:vAlign w:val="center"/>
          </w:tcPr>
          <w:p w14:paraId="7632C253">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评审因素</w:t>
            </w:r>
          </w:p>
        </w:tc>
        <w:tc>
          <w:tcPr>
            <w:tcW w:w="357" w:type="pct"/>
            <w:tcBorders>
              <w:tl2br w:val="nil"/>
              <w:tr2bl w:val="nil"/>
            </w:tcBorders>
            <w:shd w:val="clear" w:color="auto" w:fill="E6EFFA"/>
            <w:noWrap w:val="0"/>
            <w:vAlign w:val="center"/>
          </w:tcPr>
          <w:p w14:paraId="2988A41B">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权重(%)</w:t>
            </w:r>
          </w:p>
        </w:tc>
        <w:tc>
          <w:tcPr>
            <w:tcW w:w="3198" w:type="pct"/>
            <w:gridSpan w:val="3"/>
            <w:tcBorders>
              <w:tl2br w:val="nil"/>
              <w:tr2bl w:val="nil"/>
            </w:tcBorders>
            <w:shd w:val="clear" w:color="auto" w:fill="E6EFFA"/>
            <w:noWrap w:val="0"/>
            <w:vAlign w:val="center"/>
          </w:tcPr>
          <w:p w14:paraId="2C7CF0CA">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评分准则</w:t>
            </w:r>
          </w:p>
        </w:tc>
      </w:tr>
      <w:tr w14:paraId="3FD1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3BD2B6A0">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7B36A343">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876" w:type="pct"/>
            <w:tcBorders>
              <w:tl2br w:val="nil"/>
              <w:tr2bl w:val="nil"/>
            </w:tcBorders>
            <w:noWrap w:val="0"/>
            <w:vAlign w:val="center"/>
          </w:tcPr>
          <w:p w14:paraId="2681877B">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实施方案</w:t>
            </w:r>
          </w:p>
        </w:tc>
        <w:tc>
          <w:tcPr>
            <w:tcW w:w="357" w:type="pct"/>
            <w:tcBorders>
              <w:tl2br w:val="nil"/>
              <w:tr2bl w:val="nil"/>
            </w:tcBorders>
            <w:noWrap w:val="0"/>
            <w:vAlign w:val="center"/>
          </w:tcPr>
          <w:p w14:paraId="2EC2E53E">
            <w:pPr>
              <w:keepNext w:val="0"/>
              <w:keepLines w:val="0"/>
              <w:widowControl/>
              <w:suppressLineNumbers w:val="0"/>
              <w:jc w:val="center"/>
              <w:textAlignment w:val="center"/>
              <w:rPr>
                <w:rFonts w:hint="default" w:ascii="宋体" w:hAnsi="宋体" w:eastAsia="宋体" w:cs="宋体"/>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15</w:t>
            </w:r>
          </w:p>
        </w:tc>
        <w:tc>
          <w:tcPr>
            <w:tcW w:w="3198" w:type="pct"/>
            <w:gridSpan w:val="3"/>
            <w:tcBorders>
              <w:tl2br w:val="nil"/>
              <w:tr2bl w:val="nil"/>
            </w:tcBorders>
            <w:noWrap w:val="0"/>
            <w:vAlign w:val="center"/>
          </w:tcPr>
          <w:p w14:paraId="2204A633">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（一）评审内容：</w:t>
            </w:r>
          </w:p>
          <w:p w14:paraId="6718E6B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投标人根据招标文件需求制定实施方案，具体内容包含但不限于以下几点：</w:t>
            </w:r>
          </w:p>
          <w:p w14:paraId="59F395D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1.项目概述：对项目背景、项目目标进行分析阐述，并阐述项目的服务内容，提出项目运行维护服务的原则与内容；</w:t>
            </w:r>
          </w:p>
          <w:p w14:paraId="3C7E15A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2.运行维护服务方案：描述包括日常运行监控、系统故障监测及排除、系统版本升级服务、安全保障服务的各项维护服务的服务目标、服务对象、服务内容、服务成果、服务质量的考核评价指标等。</w:t>
            </w:r>
          </w:p>
          <w:p w14:paraId="51E6851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3.运维保障服务：投标人需针对本项目应用系统提供运维保障服务方案，包含运维服务保障体系、运维服务保障措施、运维技术支撑能力等。</w:t>
            </w:r>
          </w:p>
          <w:p w14:paraId="0A9F3688">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6605C6AF">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本项最高得100分。</w:t>
            </w:r>
          </w:p>
          <w:p w14:paraId="4C9E703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考察以上三点内容，满足全部三点得</w:t>
            </w:r>
            <w:r>
              <w:rPr>
                <w:rFonts w:hint="eastAsia" w:ascii="宋体" w:hAnsi="宋体" w:cs="宋体"/>
                <w:i w:val="0"/>
                <w:iCs w:val="0"/>
                <w:color w:val="000000"/>
                <w:kern w:val="0"/>
                <w:sz w:val="21"/>
                <w:szCs w:val="21"/>
                <w:highlight w:val="none"/>
                <w:u w:val="none"/>
                <w:lang w:val="en-US" w:eastAsia="zh-CN" w:bidi="ar"/>
              </w:rPr>
              <w:t>60</w:t>
            </w:r>
            <w:r>
              <w:rPr>
                <w:rFonts w:hint="eastAsia" w:ascii="宋体" w:hAnsi="宋体" w:eastAsia="宋体" w:cs="宋体"/>
                <w:i w:val="0"/>
                <w:iCs w:val="0"/>
                <w:color w:val="000000"/>
                <w:kern w:val="0"/>
                <w:sz w:val="21"/>
                <w:szCs w:val="21"/>
                <w:highlight w:val="none"/>
                <w:u w:val="none"/>
                <w:lang w:val="en-US" w:eastAsia="zh-CN" w:bidi="ar"/>
              </w:rPr>
              <w:t>分，满足任意两点得40分，满足任意一点得</w:t>
            </w:r>
            <w:r>
              <w:rPr>
                <w:rFonts w:hint="eastAsia" w:ascii="宋体" w:hAnsi="宋体" w:cs="宋体"/>
                <w:i w:val="0"/>
                <w:iCs w:val="0"/>
                <w:color w:val="000000"/>
                <w:kern w:val="0"/>
                <w:sz w:val="21"/>
                <w:szCs w:val="21"/>
                <w:highlight w:val="none"/>
                <w:u w:val="none"/>
                <w:lang w:val="en-US" w:eastAsia="zh-CN" w:bidi="ar"/>
              </w:rPr>
              <w:t>20</w:t>
            </w:r>
            <w:r>
              <w:rPr>
                <w:rFonts w:hint="eastAsia" w:ascii="宋体" w:hAnsi="宋体" w:eastAsia="宋体" w:cs="宋体"/>
                <w:i w:val="0"/>
                <w:iCs w:val="0"/>
                <w:color w:val="000000"/>
                <w:kern w:val="0"/>
                <w:sz w:val="21"/>
                <w:szCs w:val="21"/>
                <w:highlight w:val="none"/>
                <w:u w:val="none"/>
                <w:lang w:val="en-US" w:eastAsia="zh-CN" w:bidi="ar"/>
              </w:rPr>
              <w:t>分，其他情况不得分。在此基础上，专家根据各投标人的具体响应内容按照量化的评审因素指标进一步评审：</w:t>
            </w:r>
          </w:p>
          <w:p w14:paraId="36EF6E50">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优评分标准：</w:t>
            </w:r>
            <w:r>
              <w:rPr>
                <w:rFonts w:hint="eastAsia" w:ascii="宋体" w:hAnsi="宋体" w:eastAsia="宋体" w:cs="宋体"/>
                <w:i w:val="0"/>
                <w:iCs w:val="0"/>
                <w:color w:val="000000"/>
                <w:kern w:val="0"/>
                <w:sz w:val="21"/>
                <w:szCs w:val="21"/>
                <w:highlight w:val="none"/>
                <w:u w:val="none"/>
                <w:lang w:val="en-US" w:eastAsia="zh-CN" w:bidi="ar"/>
              </w:rPr>
              <w:t>方案内容严谨全面，目标理解准确，针对性强，内容覆盖完整，可操作性强，加</w:t>
            </w:r>
            <w:r>
              <w:rPr>
                <w:rFonts w:hint="eastAsia" w:ascii="宋体" w:hAnsi="宋体" w:cs="宋体"/>
                <w:i w:val="0"/>
                <w:iCs w:val="0"/>
                <w:color w:val="000000"/>
                <w:kern w:val="0"/>
                <w:sz w:val="21"/>
                <w:szCs w:val="21"/>
                <w:highlight w:val="none"/>
                <w:u w:val="none"/>
                <w:lang w:val="en-US" w:eastAsia="zh-CN" w:bidi="ar"/>
              </w:rPr>
              <w:t>40</w:t>
            </w:r>
            <w:r>
              <w:rPr>
                <w:rFonts w:hint="eastAsia" w:ascii="宋体" w:hAnsi="宋体" w:eastAsia="宋体" w:cs="宋体"/>
                <w:i w:val="0"/>
                <w:iCs w:val="0"/>
                <w:color w:val="000000"/>
                <w:kern w:val="0"/>
                <w:sz w:val="21"/>
                <w:szCs w:val="21"/>
                <w:highlight w:val="none"/>
                <w:u w:val="none"/>
                <w:lang w:val="en-US" w:eastAsia="zh-CN" w:bidi="ar"/>
              </w:rPr>
              <w:t>分；</w:t>
            </w:r>
          </w:p>
          <w:p w14:paraId="4F3A542F">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良评分标准：</w:t>
            </w:r>
            <w:r>
              <w:rPr>
                <w:rFonts w:hint="eastAsia" w:ascii="宋体" w:hAnsi="宋体" w:eastAsia="宋体" w:cs="宋体"/>
                <w:i w:val="0"/>
                <w:iCs w:val="0"/>
                <w:color w:val="000000"/>
                <w:kern w:val="0"/>
                <w:sz w:val="21"/>
                <w:szCs w:val="21"/>
                <w:highlight w:val="none"/>
                <w:u w:val="none"/>
                <w:lang w:val="en-US" w:eastAsia="zh-CN" w:bidi="ar"/>
              </w:rPr>
              <w:t>方案内容较严谨，目标理解较准确，针对性较强，内容覆盖较完整，可操作性较强，加</w:t>
            </w:r>
            <w:r>
              <w:rPr>
                <w:rFonts w:hint="eastAsia" w:ascii="宋体" w:hAnsi="宋体" w:cs="宋体"/>
                <w:i w:val="0"/>
                <w:iCs w:val="0"/>
                <w:color w:val="000000"/>
                <w:kern w:val="0"/>
                <w:sz w:val="21"/>
                <w:szCs w:val="21"/>
                <w:highlight w:val="none"/>
                <w:u w:val="none"/>
                <w:lang w:val="en-US" w:eastAsia="zh-CN" w:bidi="ar"/>
              </w:rPr>
              <w:t>20</w:t>
            </w:r>
            <w:r>
              <w:rPr>
                <w:rFonts w:hint="eastAsia" w:ascii="宋体" w:hAnsi="宋体" w:eastAsia="宋体" w:cs="宋体"/>
                <w:i w:val="0"/>
                <w:iCs w:val="0"/>
                <w:color w:val="000000"/>
                <w:kern w:val="0"/>
                <w:sz w:val="21"/>
                <w:szCs w:val="21"/>
                <w:highlight w:val="none"/>
                <w:u w:val="none"/>
                <w:lang w:val="en-US" w:eastAsia="zh-CN" w:bidi="ar"/>
              </w:rPr>
              <w:t>分；</w:t>
            </w:r>
          </w:p>
          <w:p w14:paraId="3BFD4AF1">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中评分标准：</w:t>
            </w:r>
            <w:r>
              <w:rPr>
                <w:rFonts w:hint="eastAsia" w:ascii="宋体" w:hAnsi="宋体" w:eastAsia="宋体" w:cs="宋体"/>
                <w:i w:val="0"/>
                <w:iCs w:val="0"/>
                <w:color w:val="000000"/>
                <w:kern w:val="0"/>
                <w:sz w:val="21"/>
                <w:szCs w:val="21"/>
                <w:highlight w:val="none"/>
                <w:u w:val="none"/>
                <w:lang w:val="en-US" w:eastAsia="zh-CN" w:bidi="ar"/>
              </w:rPr>
              <w:t>方案内容基本严谨，目标理解一般，针对性一般，内容覆盖基本完整，可操作性一般，加</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分；</w:t>
            </w:r>
          </w:p>
          <w:p w14:paraId="02F590E0">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差评分标准：</w:t>
            </w:r>
            <w:r>
              <w:rPr>
                <w:rFonts w:hint="eastAsia" w:ascii="宋体" w:hAnsi="宋体" w:eastAsia="宋体" w:cs="宋体"/>
                <w:i w:val="0"/>
                <w:iCs w:val="0"/>
                <w:color w:val="000000"/>
                <w:kern w:val="0"/>
                <w:sz w:val="21"/>
                <w:szCs w:val="21"/>
                <w:highlight w:val="none"/>
                <w:u w:val="none"/>
                <w:lang w:val="en-US" w:eastAsia="zh-CN" w:bidi="ar"/>
              </w:rPr>
              <w:t>未提供方案或方案内容不严谨、目标理解差、针对性差，内容覆盖不完整，可操作性差，得0分。</w:t>
            </w:r>
          </w:p>
          <w:p w14:paraId="293BB7AE">
            <w:pPr>
              <w:keepNext w:val="0"/>
              <w:keepLines w:val="0"/>
              <w:widowControl/>
              <w:suppressLineNumbers w:val="0"/>
              <w:jc w:val="left"/>
              <w:textAlignment w:val="center"/>
              <w:rPr>
                <w:rFonts w:hint="eastAsia" w:ascii="宋体" w:hAnsi="宋体" w:eastAsia="宋体" w:cs="宋体"/>
                <w:szCs w:val="21"/>
                <w:highlight w:val="none"/>
              </w:rPr>
            </w:pPr>
            <w:r>
              <w:rPr>
                <w:rFonts w:hint="eastAsia" w:ascii="宋体" w:hAnsi="宋体" w:eastAsia="宋体" w:cs="宋体"/>
                <w:b/>
                <w:bCs/>
                <w:i w:val="0"/>
                <w:iCs w:val="0"/>
                <w:color w:val="000000"/>
                <w:kern w:val="0"/>
                <w:sz w:val="21"/>
                <w:szCs w:val="21"/>
                <w:highlight w:val="none"/>
                <w:u w:val="none"/>
                <w:lang w:val="en-US" w:eastAsia="zh-CN" w:bidi="ar"/>
              </w:rPr>
              <w:t>如果评审为差，要求专家书面说明理由，并记录在档。</w:t>
            </w:r>
          </w:p>
        </w:tc>
      </w:tr>
      <w:tr w14:paraId="796B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7439DA98">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6BC59AAA">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876" w:type="pct"/>
            <w:tcBorders>
              <w:tl2br w:val="nil"/>
              <w:tr2bl w:val="nil"/>
            </w:tcBorders>
            <w:noWrap w:val="0"/>
            <w:vAlign w:val="center"/>
          </w:tcPr>
          <w:p w14:paraId="7ACA24C3">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质量（完成时间、安全、环保）保障措施及方案</w:t>
            </w:r>
          </w:p>
        </w:tc>
        <w:tc>
          <w:tcPr>
            <w:tcW w:w="357" w:type="pct"/>
            <w:tcBorders>
              <w:tl2br w:val="nil"/>
              <w:tr2bl w:val="nil"/>
            </w:tcBorders>
            <w:noWrap w:val="0"/>
            <w:vAlign w:val="center"/>
          </w:tcPr>
          <w:p w14:paraId="33CC8859">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198" w:type="pct"/>
            <w:gridSpan w:val="3"/>
            <w:tcBorders>
              <w:tl2br w:val="nil"/>
              <w:tr2bl w:val="nil"/>
            </w:tcBorders>
            <w:noWrap w:val="0"/>
            <w:vAlign w:val="center"/>
          </w:tcPr>
          <w:p w14:paraId="5F09E1A2">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（一）评审内容：</w:t>
            </w:r>
          </w:p>
          <w:p w14:paraId="58F1A36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投标人根据招标文件需求制定运维质量保障措施方案，具体内容包含但不限于以下几点：</w:t>
            </w:r>
          </w:p>
          <w:p w14:paraId="2534CF3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1.组织管理，包括运维服务团队的组织架构、组织管理、角色分工稳定性保障等；</w:t>
            </w:r>
          </w:p>
          <w:p w14:paraId="0DC08DC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2.质量保障方案，包括项目进度管理、风险控制、安全保障等；</w:t>
            </w:r>
          </w:p>
          <w:p w14:paraId="72F9814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3.如何运用目前的人工智能等先进技术为运维工作服务，提高运维工作效率。</w:t>
            </w:r>
          </w:p>
          <w:p w14:paraId="46DDE2C9">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6BB4EF22">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本项最高得100分。</w:t>
            </w:r>
          </w:p>
          <w:p w14:paraId="397D14C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考察以上三点内容，满足全部三点得</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0分，满足任意两点得</w:t>
            </w:r>
            <w:r>
              <w:rPr>
                <w:rFonts w:hint="eastAsia" w:ascii="宋体" w:hAnsi="宋体" w:cs="宋体"/>
                <w:i w:val="0"/>
                <w:iCs w:val="0"/>
                <w:color w:val="000000"/>
                <w:kern w:val="0"/>
                <w:sz w:val="21"/>
                <w:szCs w:val="21"/>
                <w:highlight w:val="none"/>
                <w:u w:val="none"/>
                <w:lang w:val="en-US" w:eastAsia="zh-CN" w:bidi="ar"/>
              </w:rPr>
              <w:t>40</w:t>
            </w:r>
            <w:r>
              <w:rPr>
                <w:rFonts w:hint="eastAsia" w:ascii="宋体" w:hAnsi="宋体" w:eastAsia="宋体" w:cs="宋体"/>
                <w:i w:val="0"/>
                <w:iCs w:val="0"/>
                <w:color w:val="000000"/>
                <w:kern w:val="0"/>
                <w:sz w:val="21"/>
                <w:szCs w:val="21"/>
                <w:highlight w:val="none"/>
                <w:u w:val="none"/>
                <w:lang w:val="en-US" w:eastAsia="zh-CN" w:bidi="ar"/>
              </w:rPr>
              <w:t>分，满足任意一点得</w:t>
            </w:r>
            <w:r>
              <w:rPr>
                <w:rFonts w:hint="eastAsia" w:ascii="宋体" w:hAnsi="宋体" w:cs="宋体"/>
                <w:i w:val="0"/>
                <w:iCs w:val="0"/>
                <w:color w:val="000000"/>
                <w:kern w:val="0"/>
                <w:sz w:val="21"/>
                <w:szCs w:val="21"/>
                <w:highlight w:val="none"/>
                <w:u w:val="none"/>
                <w:lang w:val="en-US" w:eastAsia="zh-CN" w:bidi="ar"/>
              </w:rPr>
              <w:t>20</w:t>
            </w:r>
            <w:r>
              <w:rPr>
                <w:rFonts w:hint="eastAsia" w:ascii="宋体" w:hAnsi="宋体" w:eastAsia="宋体" w:cs="宋体"/>
                <w:i w:val="0"/>
                <w:iCs w:val="0"/>
                <w:color w:val="000000"/>
                <w:kern w:val="0"/>
                <w:sz w:val="21"/>
                <w:szCs w:val="21"/>
                <w:highlight w:val="none"/>
                <w:u w:val="none"/>
                <w:lang w:val="en-US" w:eastAsia="zh-CN" w:bidi="ar"/>
              </w:rPr>
              <w:t>分，其他情况不得分。在此基础上，专家根据各供应商的具体响应内容按照量化的评审因素指标进一步评审：</w:t>
            </w:r>
          </w:p>
          <w:p w14:paraId="6CAC1E7D">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优评分标准：</w:t>
            </w:r>
            <w:r>
              <w:rPr>
                <w:rFonts w:hint="eastAsia" w:ascii="宋体" w:hAnsi="宋体" w:eastAsia="宋体" w:cs="宋体"/>
                <w:i w:val="0"/>
                <w:iCs w:val="0"/>
                <w:color w:val="000000"/>
                <w:kern w:val="0"/>
                <w:sz w:val="21"/>
                <w:szCs w:val="21"/>
                <w:highlight w:val="none"/>
                <w:u w:val="none"/>
                <w:lang w:val="en-US" w:eastAsia="zh-CN" w:bidi="ar"/>
              </w:rPr>
              <w:t>内容完整，保障措施完善，针对性强，可操作性强，得</w:t>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0分；</w:t>
            </w:r>
          </w:p>
          <w:p w14:paraId="1138C7A1">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良评分标准：</w:t>
            </w:r>
            <w:r>
              <w:rPr>
                <w:rFonts w:hint="eastAsia" w:ascii="宋体" w:hAnsi="宋体" w:eastAsia="宋体" w:cs="宋体"/>
                <w:i w:val="0"/>
                <w:iCs w:val="0"/>
                <w:color w:val="000000"/>
                <w:kern w:val="0"/>
                <w:sz w:val="21"/>
                <w:szCs w:val="21"/>
                <w:highlight w:val="none"/>
                <w:u w:val="none"/>
                <w:lang w:val="en-US" w:eastAsia="zh-CN" w:bidi="ar"/>
              </w:rPr>
              <w:t>内容较完整，保障措施较完善，针对性较强，可操作性较强，得</w:t>
            </w:r>
            <w:r>
              <w:rPr>
                <w:rFonts w:hint="eastAsia" w:ascii="宋体" w:hAnsi="宋体" w:cs="宋体"/>
                <w:i w:val="0"/>
                <w:iCs w:val="0"/>
                <w:color w:val="000000"/>
                <w:kern w:val="0"/>
                <w:sz w:val="21"/>
                <w:szCs w:val="21"/>
                <w:highlight w:val="none"/>
                <w:u w:val="none"/>
                <w:lang w:val="en-US" w:eastAsia="zh-CN" w:bidi="ar"/>
              </w:rPr>
              <w:t>30</w:t>
            </w:r>
            <w:r>
              <w:rPr>
                <w:rFonts w:hint="eastAsia" w:ascii="宋体" w:hAnsi="宋体" w:eastAsia="宋体" w:cs="宋体"/>
                <w:i w:val="0"/>
                <w:iCs w:val="0"/>
                <w:color w:val="000000"/>
                <w:kern w:val="0"/>
                <w:sz w:val="21"/>
                <w:szCs w:val="21"/>
                <w:highlight w:val="none"/>
                <w:u w:val="none"/>
                <w:lang w:val="en-US" w:eastAsia="zh-CN" w:bidi="ar"/>
              </w:rPr>
              <w:t>分；</w:t>
            </w:r>
          </w:p>
          <w:p w14:paraId="36886779">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中评分标准：</w:t>
            </w:r>
            <w:r>
              <w:rPr>
                <w:rFonts w:hint="eastAsia" w:ascii="宋体" w:hAnsi="宋体" w:eastAsia="宋体" w:cs="宋体"/>
                <w:i w:val="0"/>
                <w:iCs w:val="0"/>
                <w:color w:val="000000"/>
                <w:kern w:val="0"/>
                <w:sz w:val="21"/>
                <w:szCs w:val="21"/>
                <w:highlight w:val="none"/>
                <w:u w:val="none"/>
                <w:lang w:val="en-US" w:eastAsia="zh-CN" w:bidi="ar"/>
              </w:rPr>
              <w:t>内容基本完整，保障措施基本完善，针对性一般，可操作性一般，得</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0分；</w:t>
            </w:r>
          </w:p>
          <w:p w14:paraId="7122A58F">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差评分标准：</w:t>
            </w:r>
            <w:r>
              <w:rPr>
                <w:rFonts w:hint="eastAsia" w:ascii="宋体" w:hAnsi="宋体" w:eastAsia="宋体" w:cs="宋体"/>
                <w:i w:val="0"/>
                <w:iCs w:val="0"/>
                <w:color w:val="000000"/>
                <w:kern w:val="0"/>
                <w:sz w:val="21"/>
                <w:szCs w:val="21"/>
                <w:highlight w:val="none"/>
                <w:u w:val="none"/>
                <w:lang w:val="en-US" w:eastAsia="zh-CN" w:bidi="ar"/>
              </w:rPr>
              <w:t>内容不完整，保障措施不完善，针对性差，可操作性差，得0分。</w:t>
            </w:r>
          </w:p>
          <w:p w14:paraId="7D4AB957">
            <w:pPr>
              <w:keepNext w:val="0"/>
              <w:keepLines w:val="0"/>
              <w:widowControl/>
              <w:suppressLineNumbers w:val="0"/>
              <w:jc w:val="left"/>
              <w:textAlignment w:val="center"/>
              <w:rPr>
                <w:rFonts w:hint="eastAsia" w:ascii="宋体" w:hAnsi="宋体" w:eastAsia="宋体" w:cs="宋体"/>
                <w:szCs w:val="21"/>
                <w:highlight w:val="none"/>
              </w:rPr>
            </w:pPr>
            <w:r>
              <w:rPr>
                <w:rFonts w:hint="eastAsia" w:ascii="宋体" w:hAnsi="宋体" w:eastAsia="宋体" w:cs="宋体"/>
                <w:b/>
                <w:bCs/>
                <w:i w:val="0"/>
                <w:iCs w:val="0"/>
                <w:color w:val="000000"/>
                <w:kern w:val="0"/>
                <w:sz w:val="21"/>
                <w:szCs w:val="21"/>
                <w:highlight w:val="none"/>
                <w:u w:val="none"/>
                <w:lang w:val="en-US" w:eastAsia="zh-CN" w:bidi="ar"/>
              </w:rPr>
              <w:t>如果评审为差，要求专家书面说明理由，并记录在档。</w:t>
            </w:r>
          </w:p>
        </w:tc>
      </w:tr>
      <w:tr w14:paraId="5D24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11D3CD52">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5D015026">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876" w:type="pct"/>
            <w:tcBorders>
              <w:tl2br w:val="nil"/>
              <w:tr2bl w:val="nil"/>
            </w:tcBorders>
            <w:noWrap w:val="0"/>
            <w:vAlign w:val="center"/>
          </w:tcPr>
          <w:p w14:paraId="1951D358">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项目完成（服务期满）后的服务承诺</w:t>
            </w:r>
          </w:p>
        </w:tc>
        <w:tc>
          <w:tcPr>
            <w:tcW w:w="357" w:type="pct"/>
            <w:tcBorders>
              <w:tl2br w:val="nil"/>
              <w:tr2bl w:val="nil"/>
            </w:tcBorders>
            <w:noWrap w:val="0"/>
            <w:vAlign w:val="center"/>
          </w:tcPr>
          <w:p w14:paraId="08FF5491">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198" w:type="pct"/>
            <w:gridSpan w:val="3"/>
            <w:tcBorders>
              <w:tl2br w:val="nil"/>
              <w:tr2bl w:val="nil"/>
            </w:tcBorders>
            <w:noWrap w:val="0"/>
            <w:vAlign w:val="center"/>
          </w:tcPr>
          <w:p w14:paraId="2BB59A11">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（一）评审内容：</w:t>
            </w:r>
          </w:p>
          <w:p w14:paraId="027793A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投标人承诺以下全部两项得100分，否则不得分。</w:t>
            </w:r>
          </w:p>
          <w:p w14:paraId="4FB336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1.项目交接手续：承诺服务期满后，配合办理交接手续；</w:t>
            </w:r>
          </w:p>
          <w:p w14:paraId="55CC3E0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2.服务期满后，若采购人有问题需要咨询，将提供一年免费的咨询服务。</w:t>
            </w:r>
          </w:p>
          <w:p w14:paraId="2533DD8A">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7EAAA323">
            <w:pPr>
              <w:keepNext w:val="0"/>
              <w:keepLines w:val="0"/>
              <w:widowControl/>
              <w:suppressLineNumbers w:val="0"/>
              <w:jc w:val="left"/>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要求提供承诺（格式自定）作为得分依据，未提供承诺或承诺内容不满足要求不得分。</w:t>
            </w:r>
          </w:p>
        </w:tc>
      </w:tr>
      <w:tr w14:paraId="6EE8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07322F30">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1F5ADB22">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876" w:type="pct"/>
            <w:tcBorders>
              <w:tl2br w:val="nil"/>
              <w:tr2bl w:val="nil"/>
            </w:tcBorders>
            <w:noWrap w:val="0"/>
            <w:vAlign w:val="center"/>
          </w:tcPr>
          <w:p w14:paraId="4F82D05D">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违约承诺</w:t>
            </w:r>
          </w:p>
        </w:tc>
        <w:tc>
          <w:tcPr>
            <w:tcW w:w="357" w:type="pct"/>
            <w:tcBorders>
              <w:tl2br w:val="nil"/>
              <w:tr2bl w:val="nil"/>
            </w:tcBorders>
            <w:noWrap w:val="0"/>
            <w:vAlign w:val="center"/>
          </w:tcPr>
          <w:p w14:paraId="48214512">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198" w:type="pct"/>
            <w:gridSpan w:val="3"/>
            <w:tcBorders>
              <w:tl2br w:val="nil"/>
              <w:tr2bl w:val="nil"/>
            </w:tcBorders>
            <w:noWrap w:val="0"/>
            <w:vAlign w:val="center"/>
          </w:tcPr>
          <w:p w14:paraId="51804025">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（一）评审内容：</w:t>
            </w:r>
          </w:p>
          <w:p w14:paraId="6173185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投标人承诺以下全部两项的得100分，否则不得分。</w:t>
            </w:r>
          </w:p>
          <w:p w14:paraId="67EDD62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1.服务质量达到招标文件要求；</w:t>
            </w:r>
          </w:p>
          <w:p w14:paraId="3366970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2.对未能达到的管理要求承担管理责任。</w:t>
            </w:r>
          </w:p>
          <w:p w14:paraId="49AC7ED7">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2E52F38B">
            <w:pPr>
              <w:keepNext w:val="0"/>
              <w:keepLines w:val="0"/>
              <w:widowControl/>
              <w:suppressLineNumbers w:val="0"/>
              <w:jc w:val="left"/>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要求提供承诺（格式自定）作为得分依据，未提供承诺或承诺内容不满足要求不得分。</w:t>
            </w:r>
          </w:p>
        </w:tc>
      </w:tr>
      <w:tr w14:paraId="2257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7AC173E9">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41A75BD8">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876" w:type="pct"/>
            <w:tcBorders>
              <w:tl2br w:val="nil"/>
              <w:tr2bl w:val="nil"/>
            </w:tcBorders>
            <w:noWrap w:val="0"/>
            <w:vAlign w:val="center"/>
          </w:tcPr>
          <w:p w14:paraId="6049EE2F">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拟安排的项目负责人情况（仅限一人）</w:t>
            </w:r>
          </w:p>
        </w:tc>
        <w:tc>
          <w:tcPr>
            <w:tcW w:w="357" w:type="pct"/>
            <w:tcBorders>
              <w:tl2br w:val="nil"/>
              <w:tr2bl w:val="nil"/>
            </w:tcBorders>
            <w:noWrap w:val="0"/>
            <w:vAlign w:val="center"/>
          </w:tcPr>
          <w:p w14:paraId="0B8E34AD">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198" w:type="pct"/>
            <w:gridSpan w:val="3"/>
            <w:tcBorders>
              <w:tl2br w:val="nil"/>
              <w:tr2bl w:val="nil"/>
            </w:tcBorders>
            <w:noWrap w:val="0"/>
            <w:vAlign w:val="center"/>
          </w:tcPr>
          <w:p w14:paraId="3B48E42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（一）评分内容：</w:t>
            </w:r>
          </w:p>
          <w:p w14:paraId="0EC270B4">
            <w:pPr>
              <w:keepNext w:val="0"/>
              <w:keepLines w:val="0"/>
              <w:widowControl/>
              <w:suppressLineNumbers w:val="0"/>
              <w:jc w:val="left"/>
              <w:textAlignment w:val="center"/>
              <w:rPr>
                <w:rFonts w:hint="eastAsia"/>
                <w:highlight w:val="none"/>
              </w:rPr>
            </w:pPr>
            <w:r>
              <w:rPr>
                <w:rFonts w:hint="eastAsia" w:ascii="宋体" w:hAnsi="宋体" w:eastAsia="宋体" w:cs="宋体"/>
                <w:i w:val="0"/>
                <w:iCs w:val="0"/>
                <w:color w:val="000000"/>
                <w:kern w:val="0"/>
                <w:sz w:val="21"/>
                <w:szCs w:val="21"/>
                <w:highlight w:val="none"/>
                <w:u w:val="none"/>
                <w:lang w:val="en-US" w:eastAsia="zh-CN" w:bidi="ar"/>
              </w:rPr>
              <w:t>拟安排的项目负责人为投标单位员工（以社保为准），按以下标准进行打分：</w:t>
            </w:r>
          </w:p>
          <w:p w14:paraId="0642E24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1.具有人力资源和社会保障部和工业和信息化部颁发的信息系统项目管理师（高级）证书，得</w:t>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0分；</w:t>
            </w:r>
          </w:p>
          <w:p w14:paraId="1A55C2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2.具有人力资源和社会保障部门颁发的系统分析师（高级）证书，得40分；</w:t>
            </w:r>
          </w:p>
          <w:p w14:paraId="4CAB1DA8">
            <w:pPr>
              <w:pStyle w:val="21"/>
              <w:rPr>
                <w:rFonts w:hint="default"/>
                <w:highlight w:val="none"/>
                <w:lang w:val="en-US"/>
              </w:rPr>
            </w:pPr>
            <w:r>
              <w:rPr>
                <w:rFonts w:hint="eastAsia" w:ascii="宋体" w:hAnsi="宋体" w:cs="宋体"/>
                <w:i w:val="0"/>
                <w:iCs w:val="0"/>
                <w:color w:val="000000"/>
                <w:kern w:val="0"/>
                <w:sz w:val="21"/>
                <w:szCs w:val="21"/>
                <w:highlight w:val="none"/>
                <w:u w:val="none"/>
                <w:lang w:val="en-US" w:eastAsia="zh-CN" w:bidi="ar"/>
              </w:rPr>
              <w:t>3.具有</w:t>
            </w:r>
            <w:r>
              <w:rPr>
                <w:rFonts w:hint="eastAsia" w:ascii="宋体" w:hAnsi="宋体" w:eastAsia="宋体" w:cs="宋体"/>
                <w:i w:val="0"/>
                <w:iCs w:val="0"/>
                <w:color w:val="000000"/>
                <w:kern w:val="0"/>
                <w:sz w:val="21"/>
                <w:szCs w:val="21"/>
                <w:highlight w:val="none"/>
                <w:u w:val="none"/>
                <w:lang w:val="en-US" w:eastAsia="zh-CN" w:bidi="ar"/>
              </w:rPr>
              <w:t>专业为计算机相关专业学历证书的得10分，在此基础上，具有硕士及以上学历的，加10分，满分20分。</w:t>
            </w:r>
          </w:p>
          <w:p w14:paraId="0176E37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以上</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项累计计分，最高得100分。</w:t>
            </w:r>
          </w:p>
          <w:p w14:paraId="2F16EE83">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49831C3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通过投标人缴纳的近一个月（2025年10月）的社保证明作为本单位员工的证明依据，如供应商成立不足一个月或员工入职不足一个月的，提供情况说明函（格式自拟），无需提供相关人员社保，亦可得分。如因社保部门原因无法提供，可提供前一个月（2025年9月）的社保证明，并须附具相关情况说明（格式自拟）；</w:t>
            </w:r>
          </w:p>
          <w:p w14:paraId="75ADFA3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2.上述评分均需提供有效的证书扫描件</w:t>
            </w:r>
            <w:r>
              <w:rPr>
                <w:rFonts w:hint="eastAsia" w:ascii="宋体" w:hAnsi="宋体" w:cs="宋体"/>
                <w:i w:val="0"/>
                <w:iCs w:val="0"/>
                <w:color w:val="000000"/>
                <w:kern w:val="0"/>
                <w:sz w:val="21"/>
                <w:szCs w:val="21"/>
                <w:highlight w:val="none"/>
                <w:u w:val="none"/>
                <w:lang w:val="en-US" w:eastAsia="zh-CN" w:bidi="ar"/>
              </w:rPr>
              <w:t>和</w:t>
            </w:r>
            <w:r>
              <w:rPr>
                <w:rFonts w:hint="eastAsia" w:ascii="宋体" w:hAnsi="宋体" w:eastAsia="宋体" w:cs="宋体"/>
                <w:i w:val="0"/>
                <w:iCs w:val="0"/>
                <w:color w:val="000000"/>
                <w:kern w:val="0"/>
                <w:sz w:val="21"/>
                <w:szCs w:val="21"/>
                <w:highlight w:val="none"/>
                <w:u w:val="none"/>
                <w:lang w:val="en-US" w:eastAsia="zh-CN" w:bidi="ar"/>
              </w:rPr>
              <w:t>书官网或权威机构网站（如人事考试网、政务官网、人社相关部门查询网站或工信相关部门查询官网等）的证书查询记录截图作为得分依据。</w:t>
            </w:r>
          </w:p>
          <w:p w14:paraId="462DDC1D">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证书在公开渠道无法查询的，需提供颁发机构的证明材料，证明证书真实有效，否则该证书不得分。若证书为社会组织颁发的，则还需要提供该机构在中国社会组织政务服务平台（网址https://xxgs.chinanpo.mca.gov.cn)的查询“正常”页面截图；评分中出现无证明资料或专家无法凭所提供资料判断是否得分的情况，一律作不得分处理。《中华人民共和国境外非政府组织境内活动管理法》规定的“离岸社团”“山寨社团”，《取缔非法民间组织暂行办法》（民政部令第 21 号）规定的“非法社会组织”颁发的证书，均不得分；</w:t>
            </w:r>
          </w:p>
          <w:p w14:paraId="1D6E81F0">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要求提供学历证书以及学信网查询记录。对于较早颁发的学历证书，学信网无法查询的，除要求提供证书扫描件，还需提供其他佐证材料（如毕业院校、人社部门等颁发机构或监管机构等单位出具的证明），海外留学（含港澳台）人员学历无法通过学信网站查询，应当提供教育部留学服务中心出具的国外学历认证证书以及教育部留学服务中心官网查询截图。</w:t>
            </w:r>
          </w:p>
          <w:p w14:paraId="1CFCD977">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4.以上资料均要求提供扫描件。评分中出现无证明资料或专家无法凭所提供资料判断是否得分的情况，一律作不得分处理。</w:t>
            </w:r>
          </w:p>
        </w:tc>
      </w:tr>
      <w:tr w14:paraId="7FEB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60C55853">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4A5011D0">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6</w:t>
            </w:r>
          </w:p>
        </w:tc>
        <w:tc>
          <w:tcPr>
            <w:tcW w:w="876" w:type="pct"/>
            <w:tcBorders>
              <w:tl2br w:val="nil"/>
              <w:tr2bl w:val="nil"/>
            </w:tcBorders>
            <w:noWrap w:val="0"/>
            <w:vAlign w:val="center"/>
          </w:tcPr>
          <w:p w14:paraId="60BD499D">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拟安排的项目主要团队成员（主要技术人员）情况（项目负责人除外）</w:t>
            </w:r>
          </w:p>
        </w:tc>
        <w:tc>
          <w:tcPr>
            <w:tcW w:w="357" w:type="pct"/>
            <w:tcBorders>
              <w:tl2br w:val="nil"/>
              <w:tr2bl w:val="nil"/>
            </w:tcBorders>
            <w:noWrap w:val="0"/>
            <w:vAlign w:val="center"/>
          </w:tcPr>
          <w:p w14:paraId="5ABE85C2">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198" w:type="pct"/>
            <w:gridSpan w:val="3"/>
            <w:tcBorders>
              <w:tl2br w:val="nil"/>
              <w:tr2bl w:val="nil"/>
            </w:tcBorders>
            <w:noWrap w:val="0"/>
            <w:vAlign w:val="center"/>
          </w:tcPr>
          <w:p w14:paraId="74A65738">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（一）评分内容：</w:t>
            </w:r>
          </w:p>
          <w:p w14:paraId="0C3FD0D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拟安排的项目团队成员（项目负责人除外）为投标单位自有员工（以社保为准），否则该人员情况不计分。在此基础上，按以下标准进行打分：</w:t>
            </w:r>
          </w:p>
          <w:p w14:paraId="53219D3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eastAsia="宋体" w:cs="宋体"/>
                <w:b/>
                <w:bCs/>
                <w:i w:val="0"/>
                <w:iCs w:val="0"/>
                <w:color w:val="000000"/>
                <w:kern w:val="0"/>
                <w:sz w:val="21"/>
                <w:szCs w:val="21"/>
                <w:highlight w:val="none"/>
                <w:u w:val="none"/>
                <w:lang w:val="en-US" w:eastAsia="zh-CN" w:bidi="ar"/>
              </w:rPr>
              <w:t>负责人（2人）</w:t>
            </w:r>
          </w:p>
          <w:p w14:paraId="3C3F4425">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网络负责人：</w:t>
            </w:r>
          </w:p>
          <w:p w14:paraId="537553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（1）具有人力资源和社会保障部门颁发的网络工程师证书的，得10分；</w:t>
            </w:r>
          </w:p>
          <w:p w14:paraId="7E2243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（2）具有专业为网络相关专业学历证书的得10分，在此基础上，具有本科及以上学历的，加5分，满分15分；</w:t>
            </w:r>
          </w:p>
          <w:p w14:paraId="6FBAC3D3">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运维负责人：</w:t>
            </w:r>
          </w:p>
          <w:p w14:paraId="1B9301D4">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具有信息安全保障人员（安全运维认证方向）认证证书的，得10分；</w:t>
            </w:r>
          </w:p>
          <w:p w14:paraId="0081197B">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具有专业为计算机或信息系统相关专业学历证书的得10分，在此基础上，具有本科及以上学历的，加5分，满分15分；</w:t>
            </w:r>
          </w:p>
          <w:p w14:paraId="39222F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以上累计得分，最高50分。</w:t>
            </w:r>
          </w:p>
          <w:p w14:paraId="4767677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b/>
                <w:bCs/>
                <w:i w:val="0"/>
                <w:iCs w:val="0"/>
                <w:color w:val="000000"/>
                <w:kern w:val="0"/>
                <w:sz w:val="21"/>
                <w:szCs w:val="21"/>
                <w:highlight w:val="none"/>
                <w:u w:val="none"/>
                <w:lang w:val="en-US" w:eastAsia="zh-CN" w:bidi="ar"/>
              </w:rPr>
              <w:t>其他核心团队成员</w:t>
            </w:r>
            <w:r>
              <w:rPr>
                <w:rFonts w:hint="eastAsia" w:ascii="宋体" w:hAnsi="宋体" w:eastAsia="宋体" w:cs="宋体"/>
                <w:i w:val="0"/>
                <w:iCs w:val="0"/>
                <w:color w:val="000000"/>
                <w:kern w:val="0"/>
                <w:sz w:val="21"/>
                <w:szCs w:val="21"/>
                <w:highlight w:val="none"/>
                <w:u w:val="none"/>
                <w:lang w:val="en-US" w:eastAsia="zh-CN" w:bidi="ar"/>
              </w:rPr>
              <w:t>，按照以下规则评分：</w:t>
            </w:r>
          </w:p>
          <w:p w14:paraId="0FF431B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（1）具有人力资源和社会保障部和工业和信息化部颁发的计算机技术与软件专业技术资格证书（专业：信息安全工程师），每提供一人得10分，本小项最高得10分；</w:t>
            </w:r>
          </w:p>
          <w:p w14:paraId="2771A55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（2）具有工业和信息化部电子工业标准化研究院或工业和信息化部教育与考试中心颁发的数据分析师证书，每提供一人得10分，本小项最高得10分；</w:t>
            </w:r>
          </w:p>
          <w:p w14:paraId="30E0333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（3）具有人力资源和社会保障部和工业和信息化部颁发的计算机技术与软件专业技术资格证书（专业：数据库系统工程师），每提供一人得10分，本小项最高得10分。</w:t>
            </w:r>
          </w:p>
          <w:p w14:paraId="3197DC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r>
              <w:rPr>
                <w:rFonts w:hint="default" w:ascii="宋体" w:hAnsi="宋体" w:eastAsia="宋体" w:cs="宋体"/>
                <w:i w:val="0"/>
                <w:iCs w:val="0"/>
                <w:color w:val="000000"/>
                <w:kern w:val="0"/>
                <w:sz w:val="21"/>
                <w:szCs w:val="21"/>
                <w:highlight w:val="none"/>
                <w:u w:val="none"/>
                <w:lang w:val="en-US" w:eastAsia="zh-CN" w:bidi="ar"/>
              </w:rPr>
              <w:t>具有人社部门或高级专业技术</w:t>
            </w:r>
            <w:r>
              <w:rPr>
                <w:rFonts w:hint="eastAsia" w:ascii="宋体" w:hAnsi="宋体" w:eastAsia="宋体" w:cs="宋体"/>
                <w:i w:val="0"/>
                <w:iCs w:val="0"/>
                <w:color w:val="000000"/>
                <w:kern w:val="0"/>
                <w:sz w:val="21"/>
                <w:szCs w:val="21"/>
                <w:highlight w:val="none"/>
                <w:u w:val="none"/>
                <w:lang w:val="en-US" w:eastAsia="zh-CN" w:bidi="ar"/>
              </w:rPr>
              <w:t>资格</w:t>
            </w:r>
            <w:r>
              <w:rPr>
                <w:rFonts w:hint="default" w:ascii="宋体" w:hAnsi="宋体" w:eastAsia="宋体" w:cs="宋体"/>
                <w:i w:val="0"/>
                <w:iCs w:val="0"/>
                <w:color w:val="000000"/>
                <w:kern w:val="0"/>
                <w:sz w:val="21"/>
                <w:szCs w:val="21"/>
                <w:highlight w:val="none"/>
                <w:u w:val="none"/>
                <w:lang w:val="en-US" w:eastAsia="zh-CN" w:bidi="ar"/>
              </w:rPr>
              <w:t>评审委员会颁发的高级工程师证书（专业：通信类或计算机类）</w:t>
            </w:r>
            <w:r>
              <w:rPr>
                <w:rFonts w:hint="eastAsia" w:ascii="宋体" w:hAnsi="宋体" w:eastAsia="宋体" w:cs="宋体"/>
                <w:i w:val="0"/>
                <w:iCs w:val="0"/>
                <w:color w:val="000000"/>
                <w:kern w:val="0"/>
                <w:sz w:val="21"/>
                <w:szCs w:val="21"/>
                <w:highlight w:val="none"/>
                <w:u w:val="none"/>
                <w:lang w:val="en-US" w:eastAsia="zh-CN" w:bidi="ar"/>
              </w:rPr>
              <w:t>，每提供一人得10分，本小项最高得10分。</w:t>
            </w:r>
          </w:p>
          <w:p w14:paraId="3F547E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（5）具有人力资源和社会保障部和工业和信息化部颁发的计算机技术与软件专业技术资格证书（专业：网络工程师）证书，得10分。</w:t>
            </w:r>
          </w:p>
          <w:p w14:paraId="4462A68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以上（1）-（5）项累计得分，最高50分。</w:t>
            </w:r>
          </w:p>
          <w:p w14:paraId="60BEFDB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以上1-2项累计计分，最高得100分。</w:t>
            </w:r>
          </w:p>
          <w:p w14:paraId="173F686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其他核心团队成员一人提供多项证书不重复得分，如同一人具有上述多个证书的，按得分最优情况计分。提供相关证明材料扫描件。</w:t>
            </w:r>
          </w:p>
          <w:p w14:paraId="2EF75178">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0E80972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通过投标人缴纳的近一个月（2025年10月）的社保证明作为本单位员工的证明依据，如供应商成立不足一个月或员工入职不足一个月的，提供情况说明函（格式自拟），无需提供相关人员社保，亦可得分。如因社保部门原因无法提供，可提供前一个月（2025年9月）的社保证明，并须附具相关情况说明（格式自拟）；</w:t>
            </w:r>
          </w:p>
          <w:p w14:paraId="364EAC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2.上述评分均需提供有效的证书复印件</w:t>
            </w:r>
            <w:r>
              <w:rPr>
                <w:rFonts w:hint="eastAsia" w:ascii="宋体" w:hAnsi="宋体" w:cs="宋体"/>
                <w:i w:val="0"/>
                <w:iCs w:val="0"/>
                <w:color w:val="000000"/>
                <w:kern w:val="0"/>
                <w:sz w:val="21"/>
                <w:szCs w:val="21"/>
                <w:highlight w:val="none"/>
                <w:u w:val="none"/>
                <w:lang w:val="en-US" w:eastAsia="zh-CN" w:bidi="ar"/>
              </w:rPr>
              <w:t>和</w:t>
            </w:r>
            <w:r>
              <w:rPr>
                <w:rFonts w:hint="eastAsia" w:ascii="宋体" w:hAnsi="宋体" w:eastAsia="宋体" w:cs="宋体"/>
                <w:i w:val="0"/>
                <w:iCs w:val="0"/>
                <w:color w:val="000000"/>
                <w:kern w:val="0"/>
                <w:sz w:val="21"/>
                <w:szCs w:val="21"/>
                <w:highlight w:val="none"/>
                <w:u w:val="none"/>
                <w:lang w:val="en-US" w:eastAsia="zh-CN" w:bidi="ar"/>
              </w:rPr>
              <w:t>证书官网或权威机构网站（如人事考试网、政务官网、人社相关部门查询网站或工信相关部门查询官网等）的证书查询记录截图作为得分依据。证书在公开渠道无法查询的，需提供颁发机构的证明材料，证明证书真实有效，否则该证书不得分。若证书为社会组织颁发的，则还需要提供该机构在中国社会组织政务服务平台（网址https://xxgs.chinanpo.mca.gov.cn)的查询“正常”页面截图；评分中出现无证明资料或专家无法凭所提供资料判断是否得分的情况，一律作不得分处理。《中华人民共和国境外非政府组织境内活动管理法》规定的“离岸社团”“山寨社团”，《取缔非法民间组织暂行办法》（民政部令第 21 号）规定的“非法社会组织”颁发的证书，均不得分；</w:t>
            </w:r>
          </w:p>
          <w:p w14:paraId="2A91EEA2">
            <w:pPr>
              <w:pStyle w:val="21"/>
              <w:rPr>
                <w:rFonts w:hint="default"/>
                <w:lang w:val="en-US"/>
              </w:rPr>
            </w:pP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要求提供学历证书以及学信网查询记录。对于较早颁发的学历证书，学信网无法查询的，除要求提供证书扫描件，还需提供其他佐证材料（如毕业院校、人社部门等颁发机构或监管机构等单位出具的证明），海外留学（含港澳台）人员学历无法通过学信网站查询，应当提供教育部留学服务中心出具的国外学历认证证书以及教育部留学服务中心官网查询截图。</w:t>
            </w:r>
          </w:p>
          <w:p w14:paraId="0EC826BF">
            <w:pPr>
              <w:keepNext w:val="0"/>
              <w:keepLines w:val="0"/>
              <w:widowControl/>
              <w:suppressLineNumbers w:val="0"/>
              <w:jc w:val="left"/>
              <w:textAlignment w:val="center"/>
              <w:rPr>
                <w:rFonts w:hint="eastAsia" w:ascii="宋体" w:hAnsi="宋体" w:eastAsia="宋体" w:cs="宋体"/>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4.以上资料均要求提供扫描件。评分中出现无证明资料或所提供的证明材料未能体现上述评分内容的，视为该证明材料无效，一律作不得分处理。</w:t>
            </w:r>
          </w:p>
        </w:tc>
      </w:tr>
      <w:tr w14:paraId="53C5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restart"/>
            <w:tcBorders>
              <w:tl2br w:val="nil"/>
              <w:tr2bl w:val="nil"/>
            </w:tcBorders>
            <w:noWrap w:val="0"/>
            <w:vAlign w:val="top"/>
          </w:tcPr>
          <w:p w14:paraId="290A420C">
            <w:pPr>
              <w:wordWrap w:val="0"/>
              <w:jc w:val="center"/>
              <w:rPr>
                <w:rFonts w:hint="eastAsia" w:ascii="宋体" w:hAnsi="宋体" w:eastAsia="宋体" w:cs="宋体"/>
                <w:b/>
                <w:bCs/>
                <w:color w:val="0000FF"/>
                <w:sz w:val="24"/>
                <w:highlight w:val="none"/>
                <w:lang w:eastAsia="zh-CN"/>
              </w:rPr>
            </w:pPr>
            <w:r>
              <w:rPr>
                <w:rFonts w:hint="eastAsia" w:ascii="宋体" w:hAnsi="宋体" w:eastAsia="宋体" w:cs="宋体"/>
                <w:b/>
                <w:bCs/>
                <w:color w:val="0000FF"/>
                <w:highlight w:val="none"/>
                <w:lang w:val="en-US" w:eastAsia="zh-CN"/>
              </w:rPr>
              <w:t>3</w:t>
            </w:r>
          </w:p>
        </w:tc>
        <w:tc>
          <w:tcPr>
            <w:tcW w:w="1517" w:type="pct"/>
            <w:gridSpan w:val="3"/>
            <w:tcBorders>
              <w:tl2br w:val="nil"/>
              <w:tr2bl w:val="nil"/>
            </w:tcBorders>
            <w:noWrap w:val="0"/>
            <w:vAlign w:val="top"/>
          </w:tcPr>
          <w:p w14:paraId="2B797382">
            <w:pPr>
              <w:wordWrap w:val="0"/>
              <w:jc w:val="center"/>
              <w:rPr>
                <w:rFonts w:hint="eastAsia" w:ascii="宋体" w:hAnsi="宋体" w:eastAsia="宋体" w:cs="宋体"/>
                <w:b/>
                <w:bCs/>
                <w:color w:val="0000FF"/>
                <w:sz w:val="24"/>
                <w:highlight w:val="none"/>
              </w:rPr>
            </w:pPr>
            <w:r>
              <w:rPr>
                <w:rFonts w:hint="eastAsia" w:ascii="宋体" w:hAnsi="宋体" w:eastAsia="宋体" w:cs="宋体"/>
                <w:b/>
                <w:bCs/>
                <w:color w:val="0000FF"/>
                <w:highlight w:val="none"/>
              </w:rPr>
              <w:t>商务部分</w:t>
            </w:r>
          </w:p>
        </w:tc>
        <w:tc>
          <w:tcPr>
            <w:tcW w:w="3198" w:type="pct"/>
            <w:gridSpan w:val="3"/>
            <w:tcBorders>
              <w:tl2br w:val="nil"/>
              <w:tr2bl w:val="nil"/>
            </w:tcBorders>
            <w:noWrap w:val="0"/>
            <w:vAlign w:val="top"/>
          </w:tcPr>
          <w:p w14:paraId="2AB53042">
            <w:pPr>
              <w:wordWrap w:val="0"/>
              <w:jc w:val="center"/>
              <w:rPr>
                <w:rFonts w:hint="default" w:ascii="宋体" w:hAnsi="宋体" w:eastAsia="宋体" w:cs="宋体"/>
                <w:b/>
                <w:bCs/>
                <w:color w:val="0000FF"/>
                <w:sz w:val="24"/>
                <w:highlight w:val="none"/>
                <w:lang w:val="en-US" w:eastAsia="zh-CN"/>
              </w:rPr>
            </w:pPr>
            <w:r>
              <w:rPr>
                <w:rFonts w:hint="eastAsia" w:ascii="宋体" w:hAnsi="宋体" w:eastAsia="宋体" w:cs="宋体"/>
                <w:b/>
                <w:bCs/>
                <w:color w:val="0000FF"/>
                <w:sz w:val="24"/>
                <w:highlight w:val="none"/>
                <w:lang w:val="en-US" w:eastAsia="zh-CN"/>
              </w:rPr>
              <w:t>22</w:t>
            </w:r>
          </w:p>
        </w:tc>
      </w:tr>
      <w:tr w14:paraId="6918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0622B5EC">
            <w:pPr>
              <w:rPr>
                <w:rFonts w:hint="eastAsia" w:ascii="宋体" w:hAnsi="宋体" w:eastAsia="宋体" w:cs="宋体"/>
                <w:b/>
                <w:bCs/>
                <w:color w:val="0000FF"/>
                <w:sz w:val="24"/>
                <w:highlight w:val="none"/>
              </w:rPr>
            </w:pPr>
          </w:p>
        </w:tc>
        <w:tc>
          <w:tcPr>
            <w:tcW w:w="4716" w:type="pct"/>
            <w:gridSpan w:val="6"/>
            <w:tcBorders>
              <w:tl2br w:val="nil"/>
              <w:tr2bl w:val="nil"/>
            </w:tcBorders>
            <w:noWrap w:val="0"/>
            <w:vAlign w:val="top"/>
          </w:tcPr>
          <w:p w14:paraId="3294655E">
            <w:pPr>
              <w:wordWrap w:val="0"/>
              <w:rPr>
                <w:rFonts w:hint="eastAsia" w:ascii="宋体" w:hAnsi="宋体" w:eastAsia="宋体" w:cs="宋体"/>
                <w:szCs w:val="21"/>
                <w:highlight w:val="none"/>
              </w:rPr>
            </w:pPr>
          </w:p>
        </w:tc>
      </w:tr>
      <w:tr w14:paraId="0DDA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shd w:val="clear" w:color="auto" w:fill="E6EFFA"/>
            <w:noWrap w:val="0"/>
            <w:vAlign w:val="center"/>
          </w:tcPr>
          <w:p w14:paraId="2C6ED0E8">
            <w:pPr>
              <w:rPr>
                <w:rFonts w:hint="eastAsia" w:ascii="宋体" w:hAnsi="宋体" w:eastAsia="宋体" w:cs="宋体"/>
                <w:b/>
                <w:bCs/>
                <w:color w:val="0000FF"/>
                <w:sz w:val="24"/>
                <w:highlight w:val="none"/>
              </w:rPr>
            </w:pPr>
          </w:p>
        </w:tc>
        <w:tc>
          <w:tcPr>
            <w:tcW w:w="283" w:type="pct"/>
            <w:tcBorders>
              <w:tl2br w:val="nil"/>
              <w:tr2bl w:val="nil"/>
            </w:tcBorders>
            <w:shd w:val="clear" w:color="auto" w:fill="E6EFFA"/>
            <w:noWrap w:val="0"/>
            <w:vAlign w:val="center"/>
          </w:tcPr>
          <w:p w14:paraId="2F8575FE">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876" w:type="pct"/>
            <w:tcBorders>
              <w:tl2br w:val="nil"/>
              <w:tr2bl w:val="nil"/>
            </w:tcBorders>
            <w:shd w:val="clear" w:color="auto" w:fill="E6EFFA"/>
            <w:noWrap w:val="0"/>
            <w:vAlign w:val="center"/>
          </w:tcPr>
          <w:p w14:paraId="17618872">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评审因素</w:t>
            </w:r>
          </w:p>
        </w:tc>
        <w:tc>
          <w:tcPr>
            <w:tcW w:w="357" w:type="pct"/>
            <w:tcBorders>
              <w:tl2br w:val="nil"/>
              <w:tr2bl w:val="nil"/>
            </w:tcBorders>
            <w:shd w:val="clear" w:color="auto" w:fill="E6EFFA"/>
            <w:noWrap w:val="0"/>
            <w:vAlign w:val="center"/>
          </w:tcPr>
          <w:p w14:paraId="57712250">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权重(%)</w:t>
            </w:r>
          </w:p>
        </w:tc>
        <w:tc>
          <w:tcPr>
            <w:tcW w:w="3198" w:type="pct"/>
            <w:gridSpan w:val="3"/>
            <w:tcBorders>
              <w:tl2br w:val="nil"/>
              <w:tr2bl w:val="nil"/>
            </w:tcBorders>
            <w:shd w:val="clear" w:color="auto" w:fill="E6EFFA"/>
            <w:noWrap w:val="0"/>
            <w:vAlign w:val="center"/>
          </w:tcPr>
          <w:p w14:paraId="1F07A62A">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评分准则</w:t>
            </w:r>
          </w:p>
        </w:tc>
      </w:tr>
      <w:tr w14:paraId="08C1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05465C7A">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311BFAEB">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876" w:type="pct"/>
            <w:tcBorders>
              <w:tl2br w:val="nil"/>
              <w:tr2bl w:val="nil"/>
            </w:tcBorders>
            <w:noWrap w:val="0"/>
            <w:vAlign w:val="center"/>
          </w:tcPr>
          <w:p w14:paraId="1DFD7235">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供应商认证情况</w:t>
            </w:r>
          </w:p>
        </w:tc>
        <w:tc>
          <w:tcPr>
            <w:tcW w:w="357" w:type="pct"/>
            <w:tcBorders>
              <w:tl2br w:val="nil"/>
              <w:tr2bl w:val="nil"/>
            </w:tcBorders>
            <w:noWrap w:val="0"/>
            <w:vAlign w:val="center"/>
          </w:tcPr>
          <w:p w14:paraId="60CE5676">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198" w:type="pct"/>
            <w:gridSpan w:val="3"/>
            <w:tcBorders>
              <w:tl2br w:val="nil"/>
              <w:tr2bl w:val="nil"/>
            </w:tcBorders>
            <w:noWrap w:val="0"/>
            <w:vAlign w:val="center"/>
          </w:tcPr>
          <w:p w14:paraId="2903DCAA">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（一）评分内容</w:t>
            </w:r>
            <w:r>
              <w:rPr>
                <w:rFonts w:hint="eastAsia" w:ascii="宋体" w:hAnsi="宋体" w:eastAsia="宋体" w:cs="宋体"/>
                <w:i w:val="0"/>
                <w:iCs w:val="0"/>
                <w:color w:val="000000"/>
                <w:kern w:val="0"/>
                <w:sz w:val="21"/>
                <w:szCs w:val="21"/>
                <w:highlight w:val="none"/>
                <w:u w:val="none"/>
                <w:lang w:val="en-US" w:eastAsia="zh-CN" w:bidi="ar"/>
              </w:rPr>
              <w:t>：</w:t>
            </w:r>
          </w:p>
          <w:p w14:paraId="1846D9D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1.投标人具有ISO22320应急预案管理体系认证证书，得35分；</w:t>
            </w:r>
          </w:p>
          <w:p w14:paraId="587E6A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2.具有数据存储安全管理体系认证证书（认证体系标准号为ISO/IEC27040），得35分；</w:t>
            </w:r>
          </w:p>
          <w:p w14:paraId="0674D8D6">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3.具有ISO37301合规管理体系认证证书，得35分；</w:t>
            </w:r>
          </w:p>
          <w:p w14:paraId="6E06827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以上3项累计计分，最高得100分。</w:t>
            </w:r>
          </w:p>
          <w:p w14:paraId="6B4353EE">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4F91075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1.要求提供所有有效的认证证书扫描件，在国家认证认可监督管理委员会官方网站www.cnca.gov.cn查询，附上证书在http://cx.cnca.cn/CertECloud/index/index/page的查询截图，证明证书真实有效。</w:t>
            </w:r>
          </w:p>
          <w:p w14:paraId="4320697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2.评分中出现无证明资料或专家无法凭所提供资料判断是否得分的情况，一律作不得分处理。</w:t>
            </w:r>
          </w:p>
          <w:p w14:paraId="0E613A27">
            <w:pPr>
              <w:keepNext w:val="0"/>
              <w:keepLines w:val="0"/>
              <w:widowControl/>
              <w:suppressLineNumbers w:val="0"/>
              <w:jc w:val="left"/>
              <w:textAlignment w:val="center"/>
              <w:rPr>
                <w:rFonts w:hint="eastAsia" w:ascii="宋体" w:hAnsi="宋体" w:eastAsia="宋体" w:cs="宋体"/>
                <w:highlight w:val="none"/>
              </w:rPr>
            </w:pPr>
            <w:r>
              <w:rPr>
                <w:rFonts w:hint="eastAsia" w:ascii="宋体" w:hAnsi="宋体" w:eastAsia="宋体" w:cs="宋体"/>
                <w:i w:val="0"/>
                <w:iCs w:val="0"/>
                <w:color w:val="000000"/>
                <w:kern w:val="0"/>
                <w:sz w:val="21"/>
                <w:szCs w:val="21"/>
                <w:highlight w:val="none"/>
                <w:u w:val="none"/>
                <w:lang w:val="en-US" w:eastAsia="zh-CN" w:bidi="ar"/>
              </w:rPr>
              <w:t>3.如投标人成立时间不足三个月，可提供情况说明作为佐证材料，无需提供证书和认证信息查询截图亦视为满足评分要求。</w:t>
            </w:r>
          </w:p>
        </w:tc>
      </w:tr>
      <w:tr w14:paraId="259B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810" w:hRule="atLeast"/>
          <w:tblCellSpacing w:w="0" w:type="dxa"/>
          <w:jc w:val="center"/>
        </w:trPr>
        <w:tc>
          <w:tcPr>
            <w:tcW w:w="283" w:type="pct"/>
            <w:gridSpan w:val="2"/>
            <w:vMerge w:val="continue"/>
            <w:tcBorders>
              <w:tl2br w:val="nil"/>
              <w:tr2bl w:val="nil"/>
            </w:tcBorders>
            <w:noWrap w:val="0"/>
            <w:vAlign w:val="center"/>
          </w:tcPr>
          <w:p w14:paraId="6237F79C">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7AEF936F">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876" w:type="pct"/>
            <w:tcBorders>
              <w:tl2br w:val="nil"/>
              <w:tr2bl w:val="nil"/>
            </w:tcBorders>
            <w:noWrap w:val="0"/>
            <w:vAlign w:val="center"/>
          </w:tcPr>
          <w:p w14:paraId="03DECCA3">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供应商同类项目业绩情况</w:t>
            </w:r>
          </w:p>
        </w:tc>
        <w:tc>
          <w:tcPr>
            <w:tcW w:w="357" w:type="pct"/>
            <w:tcBorders>
              <w:tl2br w:val="nil"/>
              <w:tr2bl w:val="nil"/>
            </w:tcBorders>
            <w:noWrap w:val="0"/>
            <w:vAlign w:val="center"/>
          </w:tcPr>
          <w:p w14:paraId="4C296A6F">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198" w:type="pct"/>
            <w:gridSpan w:val="3"/>
            <w:tcBorders>
              <w:tl2br w:val="nil"/>
              <w:tr2bl w:val="nil"/>
            </w:tcBorders>
            <w:noWrap w:val="0"/>
            <w:vAlign w:val="center"/>
          </w:tcPr>
          <w:p w14:paraId="2C43679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（一）评分内容：</w:t>
            </w:r>
          </w:p>
          <w:p w14:paraId="50BDF9C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投标人自2022年11月1日起至本项目投标截止之日（具体以合同签订时间为准）具有信息系统运维类项目业绩的，每提供1项得50分，最高得100分。</w:t>
            </w:r>
          </w:p>
          <w:p w14:paraId="06E6C6C0">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（二）评分依据：</w:t>
            </w:r>
          </w:p>
          <w:p w14:paraId="2CFCD51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1.要求提供合同关键信息（首页、服务内容页、金额页、签章页等）作为得分依据。</w:t>
            </w:r>
          </w:p>
          <w:p w14:paraId="27D87AD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2.通过合同关键信息无法判断是否得分的，还须同时提供能证明得分的其它证明资料；</w:t>
            </w:r>
          </w:p>
          <w:p w14:paraId="684CB391">
            <w:pPr>
              <w:keepNext w:val="0"/>
              <w:keepLines w:val="0"/>
              <w:widowControl/>
              <w:suppressLineNumbers w:val="0"/>
              <w:jc w:val="left"/>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3.以上资料均要求提供扫描件。评分中出现无证明资料或专家无法凭所提供资料判断是否得分的情况，一律作不得分处理。</w:t>
            </w:r>
          </w:p>
        </w:tc>
      </w:tr>
      <w:tr w14:paraId="705E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364" w:hRule="atLeast"/>
          <w:tblCellSpacing w:w="0" w:type="dxa"/>
          <w:jc w:val="center"/>
        </w:trPr>
        <w:tc>
          <w:tcPr>
            <w:tcW w:w="283" w:type="pct"/>
            <w:gridSpan w:val="2"/>
            <w:vMerge w:val="continue"/>
            <w:tcBorders>
              <w:tl2br w:val="nil"/>
              <w:tr2bl w:val="nil"/>
            </w:tcBorders>
            <w:noWrap w:val="0"/>
            <w:vAlign w:val="center"/>
          </w:tcPr>
          <w:p w14:paraId="1FF3A104">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58DE9F17">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876" w:type="pct"/>
            <w:tcBorders>
              <w:tl2br w:val="nil"/>
              <w:tr2bl w:val="nil"/>
            </w:tcBorders>
            <w:noWrap w:val="0"/>
            <w:vAlign w:val="center"/>
          </w:tcPr>
          <w:p w14:paraId="368CF0B5">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供应商自主知识产权产品（创新、设计）情况</w:t>
            </w:r>
          </w:p>
        </w:tc>
        <w:tc>
          <w:tcPr>
            <w:tcW w:w="357" w:type="pct"/>
            <w:tcBorders>
              <w:tl2br w:val="nil"/>
              <w:tr2bl w:val="nil"/>
            </w:tcBorders>
            <w:noWrap w:val="0"/>
            <w:vAlign w:val="center"/>
          </w:tcPr>
          <w:p w14:paraId="2D8C772E">
            <w:pPr>
              <w:keepNext w:val="0"/>
              <w:keepLines w:val="0"/>
              <w:widowControl/>
              <w:suppressLineNumbers w:val="0"/>
              <w:jc w:val="center"/>
              <w:textAlignment w:val="center"/>
              <w:rPr>
                <w:rFonts w:hint="eastAsia" w:ascii="宋体" w:hAnsi="宋体" w:eastAsia="宋体" w:cs="宋体"/>
                <w:szCs w:val="21"/>
                <w:highlight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198" w:type="pct"/>
            <w:gridSpan w:val="3"/>
            <w:tcBorders>
              <w:tl2br w:val="nil"/>
              <w:tr2bl w:val="nil"/>
            </w:tcBorders>
            <w:noWrap w:val="0"/>
            <w:vAlign w:val="center"/>
          </w:tcPr>
          <w:p w14:paraId="1B7474DD">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（一）评分内容：</w:t>
            </w:r>
          </w:p>
          <w:p w14:paraId="5B3F100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投标人具有以下发明专利证书（证书类别分别为：①设备运维；②机房运维；③线路故障溯源；④监测及预警）的，证书需包含“设备运维”、“机房运维”、“线路故障溯源”、“监测及预警”关键字或功能用途一致。每提供一类得25分，同一类证书不重复计分，最高得100分。</w:t>
            </w:r>
          </w:p>
          <w:p w14:paraId="3086CFD6">
            <w:pPr>
              <w:keepNext w:val="0"/>
              <w:keepLines w:val="0"/>
              <w:widowControl/>
              <w:suppressLineNumbers w:val="0"/>
              <w:jc w:val="left"/>
              <w:textAlignment w:val="center"/>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 xml:space="preserve">（二）评分依据： </w:t>
            </w:r>
          </w:p>
          <w:p w14:paraId="42AD3B3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（1）提供体现上述要求的专利证书扫描件（专利权人须为投标人）或官网截图；</w:t>
            </w:r>
          </w:p>
          <w:p w14:paraId="543CC204">
            <w:pPr>
              <w:keepNext w:val="0"/>
              <w:keepLines w:val="0"/>
              <w:widowControl/>
              <w:suppressLineNumbers w:val="0"/>
              <w:jc w:val="left"/>
              <w:textAlignment w:val="center"/>
              <w:rPr>
                <w:rFonts w:hint="eastAsia" w:ascii="宋体" w:hAnsi="宋体" w:eastAsia="宋体" w:cs="宋体"/>
                <w:highlight w:val="none"/>
              </w:rPr>
            </w:pPr>
            <w:r>
              <w:rPr>
                <w:rFonts w:hint="eastAsia" w:ascii="宋体" w:hAnsi="宋体" w:eastAsia="宋体" w:cs="宋体"/>
                <w:i w:val="0"/>
                <w:iCs w:val="0"/>
                <w:color w:val="000000"/>
                <w:kern w:val="0"/>
                <w:sz w:val="21"/>
                <w:szCs w:val="21"/>
                <w:highlight w:val="none"/>
                <w:u w:val="none"/>
                <w:lang w:val="en-US" w:eastAsia="zh-CN" w:bidi="ar"/>
              </w:rPr>
              <w:t>（2）供应商提供承诺函（格式自拟），承诺：“所提供的上述证书不存在知识产权纠纷、侵权，不存在服务期间不能为本项目正常使用，不存在其他违反法律、法规的问题，直到本项目服务结束。如因出现上述问题所引发的所有不利后果由供应商全部承担。”</w:t>
            </w:r>
          </w:p>
        </w:tc>
      </w:tr>
      <w:tr w14:paraId="3AA0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tcBorders>
              <w:tl2br w:val="nil"/>
              <w:tr2bl w:val="nil"/>
            </w:tcBorders>
            <w:noWrap w:val="0"/>
            <w:vAlign w:val="top"/>
          </w:tcPr>
          <w:p w14:paraId="4AAD513F">
            <w:pPr>
              <w:wordWrap w:val="0"/>
              <w:jc w:val="center"/>
              <w:rPr>
                <w:rFonts w:hint="eastAsia" w:ascii="宋体" w:hAnsi="宋体" w:eastAsia="宋体" w:cs="宋体"/>
                <w:b/>
                <w:bCs/>
                <w:color w:val="0000FF"/>
                <w:sz w:val="24"/>
                <w:highlight w:val="none"/>
                <w:lang w:eastAsia="zh-CN"/>
              </w:rPr>
            </w:pPr>
            <w:r>
              <w:rPr>
                <w:rFonts w:hint="eastAsia" w:ascii="宋体" w:hAnsi="宋体" w:eastAsia="宋体" w:cs="宋体"/>
                <w:b/>
                <w:bCs/>
                <w:color w:val="0000FF"/>
                <w:highlight w:val="none"/>
                <w:lang w:val="en-US" w:eastAsia="zh-CN"/>
              </w:rPr>
              <w:t>4</w:t>
            </w:r>
          </w:p>
        </w:tc>
        <w:tc>
          <w:tcPr>
            <w:tcW w:w="1517" w:type="pct"/>
            <w:gridSpan w:val="3"/>
            <w:tcBorders>
              <w:tl2br w:val="nil"/>
              <w:tr2bl w:val="nil"/>
            </w:tcBorders>
            <w:noWrap w:val="0"/>
            <w:vAlign w:val="top"/>
          </w:tcPr>
          <w:p w14:paraId="24ADFD1B">
            <w:pPr>
              <w:wordWrap w:val="0"/>
              <w:jc w:val="center"/>
              <w:rPr>
                <w:rFonts w:hint="eastAsia" w:ascii="宋体" w:hAnsi="宋体" w:eastAsia="宋体" w:cs="宋体"/>
                <w:b/>
                <w:bCs/>
                <w:color w:val="0000FF"/>
                <w:sz w:val="24"/>
                <w:highlight w:val="none"/>
              </w:rPr>
            </w:pPr>
            <w:r>
              <w:rPr>
                <w:rFonts w:hint="eastAsia" w:ascii="宋体" w:hAnsi="宋体" w:eastAsia="宋体" w:cs="宋体"/>
                <w:b/>
                <w:bCs/>
                <w:color w:val="0000FF"/>
                <w:highlight w:val="none"/>
              </w:rPr>
              <w:t>诚信情况</w:t>
            </w:r>
          </w:p>
        </w:tc>
        <w:tc>
          <w:tcPr>
            <w:tcW w:w="3198" w:type="pct"/>
            <w:gridSpan w:val="3"/>
            <w:tcBorders>
              <w:tl2br w:val="nil"/>
              <w:tr2bl w:val="nil"/>
            </w:tcBorders>
            <w:noWrap w:val="0"/>
            <w:vAlign w:val="top"/>
          </w:tcPr>
          <w:p w14:paraId="60680A67">
            <w:pPr>
              <w:wordWrap w:val="0"/>
              <w:jc w:val="center"/>
              <w:rPr>
                <w:rFonts w:hint="eastAsia" w:ascii="宋体" w:hAnsi="宋体" w:eastAsia="宋体" w:cs="宋体"/>
                <w:b/>
                <w:bCs/>
                <w:color w:val="0000FF"/>
                <w:sz w:val="24"/>
                <w:highlight w:val="none"/>
              </w:rPr>
            </w:pPr>
            <w:r>
              <w:rPr>
                <w:rFonts w:hint="eastAsia" w:ascii="宋体" w:hAnsi="宋体" w:eastAsia="宋体" w:cs="宋体"/>
                <w:b/>
                <w:bCs/>
                <w:color w:val="0000FF"/>
                <w:highlight w:val="none"/>
                <w:lang w:val="en-US" w:eastAsia="zh-CN"/>
              </w:rPr>
              <w:t>5</w:t>
            </w:r>
          </w:p>
        </w:tc>
      </w:tr>
      <w:tr w14:paraId="144E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restart"/>
            <w:tcBorders>
              <w:tl2br w:val="nil"/>
              <w:tr2bl w:val="nil"/>
            </w:tcBorders>
            <w:shd w:val="clear" w:color="auto" w:fill="E6EFFA"/>
            <w:noWrap w:val="0"/>
            <w:vAlign w:val="center"/>
          </w:tcPr>
          <w:p w14:paraId="59B01EF3">
            <w:pPr>
              <w:rPr>
                <w:rFonts w:hint="eastAsia" w:ascii="宋体" w:hAnsi="宋体" w:eastAsia="宋体" w:cs="宋体"/>
                <w:b/>
                <w:bCs/>
                <w:color w:val="0000FF"/>
                <w:sz w:val="24"/>
                <w:highlight w:val="none"/>
              </w:rPr>
            </w:pPr>
          </w:p>
        </w:tc>
        <w:tc>
          <w:tcPr>
            <w:tcW w:w="283" w:type="pct"/>
            <w:tcBorders>
              <w:tl2br w:val="nil"/>
              <w:tr2bl w:val="nil"/>
            </w:tcBorders>
            <w:shd w:val="clear" w:color="auto" w:fill="E6EFFA"/>
            <w:noWrap w:val="0"/>
            <w:vAlign w:val="center"/>
          </w:tcPr>
          <w:p w14:paraId="618EE3F7">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序号</w:t>
            </w:r>
          </w:p>
        </w:tc>
        <w:tc>
          <w:tcPr>
            <w:tcW w:w="876" w:type="pct"/>
            <w:tcBorders>
              <w:tl2br w:val="nil"/>
              <w:tr2bl w:val="nil"/>
            </w:tcBorders>
            <w:shd w:val="clear" w:color="auto" w:fill="E6EFFA"/>
            <w:noWrap w:val="0"/>
            <w:vAlign w:val="center"/>
          </w:tcPr>
          <w:p w14:paraId="33B232BA">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评审因素</w:t>
            </w:r>
          </w:p>
        </w:tc>
        <w:tc>
          <w:tcPr>
            <w:tcW w:w="357" w:type="pct"/>
            <w:tcBorders>
              <w:tl2br w:val="nil"/>
              <w:tr2bl w:val="nil"/>
            </w:tcBorders>
            <w:shd w:val="clear" w:color="auto" w:fill="E6EFFA"/>
            <w:noWrap w:val="0"/>
            <w:vAlign w:val="center"/>
          </w:tcPr>
          <w:p w14:paraId="47470FF9">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权重(%)</w:t>
            </w:r>
          </w:p>
        </w:tc>
        <w:tc>
          <w:tcPr>
            <w:tcW w:w="3198" w:type="pct"/>
            <w:gridSpan w:val="3"/>
            <w:tcBorders>
              <w:tl2br w:val="nil"/>
              <w:tr2bl w:val="nil"/>
            </w:tcBorders>
            <w:shd w:val="clear" w:color="auto" w:fill="E6EFFA"/>
            <w:noWrap w:val="0"/>
            <w:vAlign w:val="center"/>
          </w:tcPr>
          <w:p w14:paraId="25F862D1">
            <w:pPr>
              <w:wordWrap w:val="0"/>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评分准则</w:t>
            </w:r>
          </w:p>
        </w:tc>
      </w:tr>
      <w:tr w14:paraId="214F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283" w:type="pct"/>
            <w:gridSpan w:val="2"/>
            <w:vMerge w:val="continue"/>
            <w:tcBorders>
              <w:tl2br w:val="nil"/>
              <w:tr2bl w:val="nil"/>
            </w:tcBorders>
            <w:noWrap w:val="0"/>
            <w:vAlign w:val="center"/>
          </w:tcPr>
          <w:p w14:paraId="4C309440">
            <w:pPr>
              <w:rPr>
                <w:rFonts w:hint="eastAsia" w:ascii="宋体" w:hAnsi="宋体" w:eastAsia="宋体" w:cs="宋体"/>
                <w:b/>
                <w:bCs/>
                <w:color w:val="0000FF"/>
                <w:sz w:val="24"/>
                <w:highlight w:val="none"/>
              </w:rPr>
            </w:pPr>
          </w:p>
        </w:tc>
        <w:tc>
          <w:tcPr>
            <w:tcW w:w="283" w:type="pct"/>
            <w:tcBorders>
              <w:tl2br w:val="nil"/>
              <w:tr2bl w:val="nil"/>
            </w:tcBorders>
            <w:noWrap w:val="0"/>
            <w:vAlign w:val="center"/>
          </w:tcPr>
          <w:p w14:paraId="3A872858">
            <w:pPr>
              <w:wordWrap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876" w:type="pct"/>
            <w:tcBorders>
              <w:tl2br w:val="nil"/>
              <w:tr2bl w:val="nil"/>
            </w:tcBorders>
            <w:noWrap w:val="0"/>
            <w:vAlign w:val="center"/>
          </w:tcPr>
          <w:p w14:paraId="61F6A526">
            <w:pPr>
              <w:wordWrap w:val="0"/>
              <w:jc w:val="center"/>
              <w:rPr>
                <w:rFonts w:hint="eastAsia" w:ascii="宋体" w:hAnsi="宋体" w:eastAsia="宋体" w:cs="宋体"/>
                <w:szCs w:val="21"/>
                <w:highlight w:val="none"/>
              </w:rPr>
            </w:pPr>
            <w:r>
              <w:rPr>
                <w:rFonts w:hint="eastAsia" w:ascii="宋体" w:hAnsi="宋体" w:eastAsia="宋体" w:cs="宋体"/>
                <w:sz w:val="21"/>
                <w:szCs w:val="21"/>
                <w:highlight w:val="none"/>
              </w:rPr>
              <w:t>诚信情况</w:t>
            </w:r>
          </w:p>
        </w:tc>
        <w:tc>
          <w:tcPr>
            <w:tcW w:w="357" w:type="pct"/>
            <w:tcBorders>
              <w:tl2br w:val="nil"/>
              <w:tr2bl w:val="nil"/>
            </w:tcBorders>
            <w:noWrap w:val="0"/>
            <w:vAlign w:val="center"/>
          </w:tcPr>
          <w:p w14:paraId="4B34D30B">
            <w:pPr>
              <w:wordWrap w:val="0"/>
              <w:jc w:val="center"/>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5</w:t>
            </w:r>
          </w:p>
        </w:tc>
        <w:tc>
          <w:tcPr>
            <w:tcW w:w="3198" w:type="pct"/>
            <w:gridSpan w:val="3"/>
            <w:tcBorders>
              <w:tl2br w:val="nil"/>
              <w:tr2bl w:val="nil"/>
            </w:tcBorders>
            <w:noWrap w:val="0"/>
            <w:vAlign w:val="top"/>
          </w:tcPr>
          <w:p w14:paraId="0ECF162E">
            <w:pPr>
              <w:wordWrap w:val="0"/>
              <w:rPr>
                <w:rFonts w:hint="eastAsia" w:ascii="宋体" w:hAnsi="宋体" w:eastAsia="宋体" w:cs="宋体"/>
                <w:szCs w:val="21"/>
                <w:highlight w:val="none"/>
              </w:rPr>
            </w:pPr>
            <w:r>
              <w:rPr>
                <w:rFonts w:hint="eastAsia" w:ascii="宋体" w:hAnsi="宋体" w:eastAsia="宋体" w:cs="宋体"/>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采购代理机构通过“信用中国”、“中国政府采购网”、“深圳市政府采购监管网”等渠道查询供应商信用信息，投标人无需提供证明材料。）</w:t>
            </w:r>
          </w:p>
        </w:tc>
      </w:tr>
      <w:tr w14:paraId="01FA5E1E">
        <w:tblPrEx>
          <w:tblCellMar>
            <w:top w:w="45" w:type="dxa"/>
            <w:left w:w="45" w:type="dxa"/>
            <w:bottom w:w="45" w:type="dxa"/>
            <w:right w:w="45" w:type="dxa"/>
          </w:tblCellMar>
        </w:tblPrEx>
        <w:trPr>
          <w:gridBefore w:val="1"/>
          <w:gridAfter w:val="1"/>
          <w:wBefore w:w="45" w:type="pct"/>
          <w:wAfter w:w="1" w:type="pct"/>
          <w:tblCellSpacing w:w="0" w:type="dxa"/>
          <w:jc w:val="center"/>
        </w:trPr>
        <w:tc>
          <w:tcPr>
            <w:tcW w:w="4952" w:type="pct"/>
            <w:gridSpan w:val="6"/>
            <w:tcBorders>
              <w:top w:val="nil"/>
              <w:left w:val="nil"/>
              <w:bottom w:val="nil"/>
              <w:right w:val="nil"/>
            </w:tcBorders>
            <w:vAlign w:val="center"/>
          </w:tcPr>
          <w:p w14:paraId="20C41715">
            <w:pPr>
              <w:pStyle w:val="14"/>
              <w:keepNext w:val="0"/>
              <w:pageBreakBefore w:val="0"/>
              <w:kinsoku/>
              <w:overflowPunct/>
              <w:topLinePunct w:val="0"/>
              <w:autoSpaceDE/>
              <w:autoSpaceDN/>
              <w:bidi w:val="0"/>
              <w:adjustRightInd/>
              <w:snapToGrid/>
              <w:spacing w:line="240" w:lineRule="auto"/>
              <w:ind w:left="420"/>
              <w:textAlignment w:val="auto"/>
              <w:rPr>
                <w:rFonts w:hint="eastAsia" w:ascii="宋体" w:hAnsi="宋体" w:eastAsia="宋体" w:cs="宋体"/>
                <w:color w:val="000000" w:themeColor="text1"/>
                <w:sz w:val="24"/>
                <w:szCs w:val="24"/>
                <w14:textFill>
                  <w14:solidFill>
                    <w14:schemeClr w14:val="tx1"/>
                  </w14:solidFill>
                </w14:textFill>
              </w:rPr>
            </w:pPr>
          </w:p>
        </w:tc>
      </w:tr>
    </w:tbl>
    <w:p w14:paraId="3D7AACD1">
      <w:pPr>
        <w:rPr>
          <w:vanish/>
          <w:color w:val="000000" w:themeColor="text1"/>
          <w14:textFill>
            <w14:solidFill>
              <w14:schemeClr w14:val="tx1"/>
            </w14:solidFill>
          </w14:textFill>
        </w:rPr>
      </w:pPr>
    </w:p>
    <w:p w14:paraId="27A02FDF">
      <w:pPr>
        <w:rPr>
          <w:rFonts w:eastAsia="黑体"/>
        </w:rPr>
      </w:pPr>
    </w:p>
    <w:p w14:paraId="6E6B8702">
      <w:pPr>
        <w:rPr>
          <w:rFonts w:eastAsia="黑体"/>
        </w:rPr>
      </w:pPr>
    </w:p>
    <w:p w14:paraId="7BECF070">
      <w:pPr>
        <w:rPr>
          <w:rFonts w:eastAsia="黑体"/>
        </w:rPr>
      </w:pPr>
      <w:r>
        <w:rPr>
          <w:rFonts w:eastAsia="黑体"/>
        </w:rPr>
        <w:br w:type="page"/>
      </w:r>
    </w:p>
    <w:p w14:paraId="5EB44E84">
      <w:pPr>
        <w:pStyle w:val="14"/>
        <w:spacing w:line="360" w:lineRule="auto"/>
        <w:jc w:val="center"/>
        <w:outlineLvl w:val="1"/>
        <w:rPr>
          <w:rFonts w:ascii="黑体" w:hAnsi="黑体" w:eastAsia="黑体"/>
          <w:color w:val="000000" w:themeColor="text1"/>
          <w:sz w:val="40"/>
          <w:szCs w:val="40"/>
          <w14:textFill>
            <w14:solidFill>
              <w14:schemeClr w14:val="tx1"/>
            </w14:solidFill>
          </w14:textFill>
        </w:rPr>
      </w:pPr>
      <w:r>
        <w:rPr>
          <w:rFonts w:hint="eastAsia" w:ascii="黑体" w:hAnsi="黑体" w:eastAsia="黑体"/>
          <w:color w:val="000000" w:themeColor="text1"/>
          <w:sz w:val="40"/>
          <w:szCs w:val="40"/>
          <w14:textFill>
            <w14:solidFill>
              <w14:schemeClr w14:val="tx1"/>
            </w14:solidFill>
          </w14:textFill>
        </w:rPr>
        <w:t>投标书目录</w:t>
      </w:r>
    </w:p>
    <w:tbl>
      <w:tblPr>
        <w:tblStyle w:val="16"/>
        <w:tblW w:w="9072" w:type="dxa"/>
        <w:jc w:val="center"/>
        <w:tblCellSpacing w:w="0" w:type="dxa"/>
        <w:tblLayout w:type="fixed"/>
        <w:tblCellMar>
          <w:top w:w="45" w:type="dxa"/>
          <w:left w:w="45" w:type="dxa"/>
          <w:bottom w:w="45" w:type="dxa"/>
          <w:right w:w="45" w:type="dxa"/>
        </w:tblCellMar>
      </w:tblPr>
      <w:tblGrid>
        <w:gridCol w:w="9072"/>
      </w:tblGrid>
      <w:tr w14:paraId="4B333450">
        <w:tblPrEx>
          <w:tblCellMar>
            <w:top w:w="45" w:type="dxa"/>
            <w:left w:w="45" w:type="dxa"/>
            <w:bottom w:w="45" w:type="dxa"/>
            <w:right w:w="45" w:type="dxa"/>
          </w:tblCellMar>
        </w:tblPrEx>
        <w:trPr>
          <w:trHeight w:val="11432" w:hRule="atLeast"/>
          <w:tblCellSpacing w:w="0" w:type="dxa"/>
          <w:jc w:val="center"/>
        </w:trPr>
        <w:tc>
          <w:tcPr>
            <w:tcW w:w="9072" w:type="dxa"/>
            <w:vAlign w:val="center"/>
          </w:tcPr>
          <w:p w14:paraId="66F5D7E1">
            <w:pPr>
              <w:outlineLvl w:val="1"/>
              <w:rPr>
                <w:rFonts w:ascii="宋体" w:hAnsi="宋体"/>
                <w:b/>
                <w:bCs/>
                <w:color w:val="FF0000"/>
                <w:sz w:val="28"/>
                <w:szCs w:val="28"/>
              </w:rPr>
            </w:pPr>
            <w:r>
              <w:rPr>
                <w:rFonts w:hint="eastAsia" w:ascii="宋体" w:hAnsi="宋体"/>
                <w:b/>
                <w:bCs/>
                <w:color w:val="FF0000"/>
                <w:sz w:val="28"/>
                <w:szCs w:val="28"/>
              </w:rPr>
              <w:t>1.投标文件正文（信息公开部分）：</w:t>
            </w:r>
          </w:p>
          <w:p w14:paraId="397257A4">
            <w:pPr>
              <w:outlineLvl w:val="1"/>
              <w:rPr>
                <w:rFonts w:ascii="宋体" w:hAnsi="宋体"/>
                <w:sz w:val="28"/>
                <w:szCs w:val="28"/>
              </w:rPr>
            </w:pPr>
            <w:r>
              <w:rPr>
                <w:rFonts w:hint="eastAsia" w:ascii="宋体" w:hAnsi="宋体"/>
                <w:sz w:val="28"/>
                <w:szCs w:val="28"/>
              </w:rPr>
              <w:t>（1）投标函</w:t>
            </w:r>
          </w:p>
          <w:p w14:paraId="5745BB9E">
            <w:pPr>
              <w:outlineLvl w:val="1"/>
              <w:rPr>
                <w:rFonts w:ascii="宋体" w:hAnsi="宋体"/>
                <w:sz w:val="28"/>
                <w:szCs w:val="28"/>
              </w:rPr>
            </w:pPr>
            <w:r>
              <w:rPr>
                <w:rFonts w:hint="eastAsia" w:ascii="宋体" w:hAnsi="宋体"/>
                <w:sz w:val="28"/>
                <w:szCs w:val="28"/>
              </w:rPr>
              <w:t>（2）政府采购投标及履约承诺函</w:t>
            </w:r>
          </w:p>
          <w:p w14:paraId="66D84F5F">
            <w:pPr>
              <w:outlineLvl w:val="1"/>
              <w:rPr>
                <w:rFonts w:ascii="宋体" w:hAnsi="宋体"/>
                <w:sz w:val="28"/>
                <w:szCs w:val="28"/>
              </w:rPr>
            </w:pPr>
            <w:r>
              <w:rPr>
                <w:rFonts w:hint="eastAsia" w:ascii="宋体" w:hAnsi="宋体"/>
                <w:sz w:val="28"/>
                <w:szCs w:val="28"/>
              </w:rPr>
              <w:t>（3）投标人情况及资格证明文件</w:t>
            </w:r>
          </w:p>
          <w:p w14:paraId="7DD90D55">
            <w:pPr>
              <w:outlineLvl w:val="1"/>
              <w:rPr>
                <w:rFonts w:ascii="宋体" w:hAnsi="宋体"/>
                <w:sz w:val="28"/>
                <w:szCs w:val="28"/>
                <w:highlight w:val="none"/>
              </w:rPr>
            </w:pPr>
            <w:r>
              <w:rPr>
                <w:rFonts w:hint="eastAsia" w:ascii="宋体" w:hAnsi="宋体"/>
                <w:sz w:val="28"/>
                <w:szCs w:val="28"/>
              </w:rPr>
              <w:t>（4）</w:t>
            </w:r>
            <w:r>
              <w:rPr>
                <w:rFonts w:hint="eastAsia" w:ascii="宋体" w:hAnsi="宋体"/>
                <w:sz w:val="28"/>
                <w:szCs w:val="28"/>
                <w:highlight w:val="none"/>
              </w:rPr>
              <w:t>项目详细报价</w:t>
            </w:r>
          </w:p>
          <w:p w14:paraId="75C084B3">
            <w:pPr>
              <w:outlineLvl w:val="1"/>
              <w:rPr>
                <w:rFonts w:hint="eastAsia" w:ascii="宋体" w:hAnsi="宋体"/>
                <w:sz w:val="28"/>
                <w:szCs w:val="28"/>
                <w:highlight w:val="none"/>
                <w:lang w:val="en-US" w:eastAsia="zh-CN"/>
              </w:rPr>
            </w:pPr>
            <w:r>
              <w:rPr>
                <w:rFonts w:hint="eastAsia" w:ascii="宋体" w:hAnsi="宋体"/>
                <w:sz w:val="28"/>
                <w:szCs w:val="28"/>
                <w:highlight w:val="none"/>
              </w:rPr>
              <w:t>（</w:t>
            </w:r>
            <w:r>
              <w:rPr>
                <w:rFonts w:ascii="宋体" w:hAnsi="宋体"/>
                <w:sz w:val="28"/>
                <w:szCs w:val="28"/>
                <w:highlight w:val="none"/>
              </w:rPr>
              <w:t>5</w:t>
            </w:r>
            <w:r>
              <w:rPr>
                <w:rFonts w:hint="eastAsia" w:ascii="宋体" w:hAnsi="宋体"/>
                <w:sz w:val="28"/>
                <w:szCs w:val="28"/>
                <w:highlight w:val="none"/>
              </w:rPr>
              <w:t>）</w:t>
            </w:r>
            <w:r>
              <w:rPr>
                <w:rFonts w:hint="eastAsia" w:ascii="宋体" w:hAnsi="宋体"/>
                <w:sz w:val="28"/>
                <w:szCs w:val="28"/>
                <w:highlight w:val="none"/>
                <w:lang w:val="en-US" w:eastAsia="zh-CN"/>
              </w:rPr>
              <w:t>供应商认证情况</w:t>
            </w:r>
          </w:p>
          <w:p w14:paraId="1D345240">
            <w:pPr>
              <w:outlineLvl w:val="1"/>
              <w:rPr>
                <w:rFonts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6</w:t>
            </w:r>
            <w:r>
              <w:rPr>
                <w:rFonts w:hint="eastAsia" w:ascii="宋体" w:hAnsi="宋体"/>
                <w:sz w:val="28"/>
                <w:szCs w:val="28"/>
                <w:highlight w:val="none"/>
              </w:rPr>
              <w:t>）</w:t>
            </w:r>
            <w:r>
              <w:rPr>
                <w:rFonts w:hint="eastAsia" w:ascii="宋体" w:hAnsi="宋体"/>
                <w:sz w:val="28"/>
                <w:szCs w:val="28"/>
                <w:highlight w:val="none"/>
                <w:lang w:val="en-US" w:eastAsia="zh-CN"/>
              </w:rPr>
              <w:t>供应商同类项目业绩情况</w:t>
            </w:r>
          </w:p>
          <w:p w14:paraId="618E34BF">
            <w:pPr>
              <w:outlineLvl w:val="1"/>
              <w:rPr>
                <w:rFonts w:hint="eastAsia"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7</w:t>
            </w:r>
            <w:r>
              <w:rPr>
                <w:rFonts w:hint="eastAsia" w:ascii="宋体" w:hAnsi="宋体"/>
                <w:sz w:val="28"/>
                <w:szCs w:val="28"/>
                <w:highlight w:val="none"/>
              </w:rPr>
              <w:t>）</w:t>
            </w:r>
            <w:r>
              <w:rPr>
                <w:rFonts w:hint="eastAsia" w:ascii="宋体" w:hAnsi="宋体"/>
                <w:sz w:val="28"/>
                <w:szCs w:val="28"/>
                <w:highlight w:val="none"/>
                <w:lang w:val="en-US" w:eastAsia="zh-CN"/>
              </w:rPr>
              <w:t>供应商自主知识产权产品（创新、设计）情况</w:t>
            </w:r>
          </w:p>
          <w:p w14:paraId="525C213F">
            <w:pPr>
              <w:outlineLvl w:val="1"/>
              <w:rPr>
                <w:rFonts w:hint="eastAsia" w:ascii="宋体" w:hAnsi="宋体" w:eastAsia="宋体"/>
                <w:sz w:val="28"/>
                <w:szCs w:val="28"/>
                <w:highlight w:val="none"/>
                <w:lang w:eastAsia="zh-CN"/>
              </w:rPr>
            </w:pPr>
            <w:r>
              <w:rPr>
                <w:rFonts w:hint="eastAsia" w:ascii="宋体" w:hAnsi="宋体"/>
                <w:sz w:val="28"/>
                <w:szCs w:val="28"/>
                <w:highlight w:val="none"/>
                <w:lang w:eastAsia="zh-CN"/>
              </w:rPr>
              <w:t>（</w:t>
            </w:r>
            <w:r>
              <w:rPr>
                <w:rFonts w:hint="eastAsia" w:ascii="宋体" w:hAnsi="宋体"/>
                <w:sz w:val="28"/>
                <w:szCs w:val="28"/>
                <w:highlight w:val="none"/>
                <w:lang w:val="en-US" w:eastAsia="zh-CN"/>
              </w:rPr>
              <w:t>8</w:t>
            </w:r>
            <w:r>
              <w:rPr>
                <w:rFonts w:hint="eastAsia" w:ascii="宋体" w:hAnsi="宋体"/>
                <w:sz w:val="28"/>
                <w:szCs w:val="28"/>
                <w:highlight w:val="none"/>
                <w:lang w:eastAsia="zh-CN"/>
              </w:rPr>
              <w:t>）</w:t>
            </w:r>
            <w:r>
              <w:rPr>
                <w:rFonts w:hint="eastAsia" w:ascii="宋体" w:hAnsi="宋体"/>
                <w:sz w:val="28"/>
                <w:szCs w:val="28"/>
                <w:highlight w:val="none"/>
              </w:rPr>
              <w:t>投标人认为需要加以说明的其他内容</w:t>
            </w:r>
            <w:r>
              <w:rPr>
                <w:rFonts w:hint="eastAsia" w:ascii="宋体" w:hAnsi="宋体" w:eastAsia="宋体"/>
                <w:sz w:val="28"/>
                <w:szCs w:val="28"/>
                <w:highlight w:val="none"/>
                <w:lang w:eastAsia="zh-CN"/>
              </w:rPr>
              <w:t>（</w:t>
            </w:r>
            <w:r>
              <w:rPr>
                <w:rFonts w:hint="eastAsia" w:ascii="宋体" w:hAnsi="宋体" w:eastAsia="宋体"/>
                <w:sz w:val="28"/>
                <w:szCs w:val="28"/>
                <w:highlight w:val="none"/>
                <w:lang w:val="en-US" w:eastAsia="zh-CN"/>
              </w:rPr>
              <w:t>格式自定</w:t>
            </w:r>
            <w:r>
              <w:rPr>
                <w:rFonts w:hint="eastAsia" w:ascii="宋体" w:hAnsi="宋体" w:eastAsia="宋体"/>
                <w:sz w:val="28"/>
                <w:szCs w:val="28"/>
                <w:highlight w:val="none"/>
                <w:lang w:eastAsia="zh-CN"/>
              </w:rPr>
              <w:t>）</w:t>
            </w:r>
          </w:p>
          <w:p w14:paraId="4B5533AA">
            <w:pPr>
              <w:outlineLvl w:val="1"/>
              <w:rPr>
                <w:rFonts w:ascii="宋体" w:hAnsi="宋体"/>
                <w:b/>
                <w:bCs/>
                <w:color w:val="FF0000"/>
                <w:sz w:val="28"/>
                <w:szCs w:val="28"/>
                <w:highlight w:val="none"/>
              </w:rPr>
            </w:pPr>
            <w:r>
              <w:rPr>
                <w:rFonts w:hint="eastAsia" w:ascii="宋体" w:hAnsi="宋体"/>
                <w:b/>
                <w:bCs/>
                <w:color w:val="FF0000"/>
                <w:sz w:val="28"/>
                <w:szCs w:val="28"/>
                <w:highlight w:val="none"/>
              </w:rPr>
              <w:t>2.投标文件附件（信息不公开部分）：</w:t>
            </w:r>
          </w:p>
          <w:p w14:paraId="254C8F28">
            <w:pPr>
              <w:outlineLvl w:val="1"/>
              <w:rPr>
                <w:rFonts w:hint="eastAsia" w:ascii="宋体" w:hAnsi="宋体" w:eastAsia="宋体" w:cs="Times New Roman"/>
                <w:sz w:val="28"/>
                <w:szCs w:val="28"/>
                <w:highlight w:val="none"/>
                <w:lang w:eastAsia="zh-CN"/>
              </w:rPr>
            </w:pPr>
            <w:r>
              <w:rPr>
                <w:rFonts w:hint="eastAsia" w:ascii="宋体" w:hAnsi="宋体" w:cs="Times New Roman"/>
                <w:sz w:val="28"/>
                <w:szCs w:val="28"/>
                <w:highlight w:val="none"/>
              </w:rPr>
              <w:t>（1）</w:t>
            </w:r>
            <w:r>
              <w:rPr>
                <w:rFonts w:hint="eastAsia" w:ascii="宋体" w:hAnsi="宋体" w:eastAsia="宋体" w:cs="Times New Roman"/>
                <w:sz w:val="28"/>
                <w:szCs w:val="28"/>
                <w:highlight w:val="none"/>
                <w:lang w:eastAsia="zh-CN"/>
              </w:rPr>
              <w:t>法定代表人（负责人或执行事务合伙人）资格证明书</w:t>
            </w:r>
          </w:p>
          <w:p w14:paraId="0301A29C">
            <w:pPr>
              <w:outlineLvl w:val="1"/>
              <w:rPr>
                <w:rFonts w:hint="eastAsia" w:ascii="宋体" w:hAnsi="宋体" w:cs="Times New Roman"/>
                <w:sz w:val="28"/>
                <w:szCs w:val="28"/>
                <w:highlight w:val="none"/>
              </w:rPr>
            </w:pPr>
            <w:r>
              <w:rPr>
                <w:rFonts w:hint="eastAsia" w:ascii="宋体" w:hAnsi="宋体" w:cs="Times New Roman"/>
                <w:sz w:val="28"/>
                <w:szCs w:val="28"/>
                <w:highlight w:val="none"/>
              </w:rPr>
              <w:t>（2）投标文件签署授权委托书</w:t>
            </w:r>
          </w:p>
          <w:p w14:paraId="026914A2">
            <w:pPr>
              <w:outlineLvl w:val="1"/>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（3）供应商基本情况表</w:t>
            </w:r>
          </w:p>
          <w:p w14:paraId="32C4DA9E">
            <w:pPr>
              <w:outlineLvl w:val="1"/>
              <w:rPr>
                <w:rFonts w:hint="eastAsia"/>
              </w:rPr>
            </w:pPr>
            <w:r>
              <w:rPr>
                <w:rFonts w:hint="eastAsia" w:ascii="宋体" w:hAnsi="宋体" w:eastAsia="宋体" w:cs="Times New Roman"/>
                <w:sz w:val="28"/>
                <w:szCs w:val="28"/>
                <w:highlight w:val="none"/>
                <w:lang w:val="en-US" w:eastAsia="zh-CN"/>
              </w:rPr>
              <w:t>（4）供应商基本情况表及附件</w:t>
            </w:r>
          </w:p>
          <w:p w14:paraId="7F650BF3">
            <w:pPr>
              <w:outlineLvl w:val="1"/>
              <w:rPr>
                <w:rFonts w:hint="eastAsia" w:ascii="宋体" w:hAnsi="宋体" w:cs="Times New Roman"/>
                <w:sz w:val="28"/>
                <w:szCs w:val="28"/>
                <w:highlight w:val="none"/>
              </w:rPr>
            </w:pPr>
            <w:r>
              <w:rPr>
                <w:rFonts w:hint="eastAsia" w:ascii="宋体" w:hAnsi="宋体" w:cs="Times New Roman"/>
                <w:sz w:val="28"/>
                <w:szCs w:val="28"/>
                <w:highlight w:val="none"/>
              </w:rPr>
              <w:t>（</w:t>
            </w:r>
            <w:r>
              <w:rPr>
                <w:rFonts w:hint="eastAsia" w:ascii="宋体" w:hAnsi="宋体" w:eastAsia="宋体" w:cs="Times New Roman"/>
                <w:sz w:val="28"/>
                <w:szCs w:val="28"/>
                <w:highlight w:val="none"/>
                <w:lang w:val="en-US" w:eastAsia="zh-CN"/>
              </w:rPr>
              <w:t>5</w:t>
            </w:r>
            <w:r>
              <w:rPr>
                <w:rFonts w:hint="eastAsia" w:ascii="宋体" w:hAnsi="宋体" w:cs="Times New Roman"/>
                <w:sz w:val="28"/>
                <w:szCs w:val="28"/>
                <w:highlight w:val="none"/>
              </w:rPr>
              <w:t>）实质性条款响应情况表</w:t>
            </w:r>
          </w:p>
          <w:p w14:paraId="704C4C7B">
            <w:pPr>
              <w:outlineLvl w:val="1"/>
              <w:rPr>
                <w:rFonts w:hint="eastAsia" w:ascii="宋体" w:hAnsi="宋体" w:cs="Times New Roman"/>
                <w:sz w:val="28"/>
                <w:szCs w:val="28"/>
                <w:highlight w:val="none"/>
              </w:rPr>
            </w:pPr>
            <w:r>
              <w:rPr>
                <w:rFonts w:hint="eastAsia" w:ascii="宋体" w:hAnsi="宋体" w:cs="Times New Roman"/>
                <w:sz w:val="28"/>
                <w:szCs w:val="28"/>
                <w:highlight w:val="none"/>
              </w:rPr>
              <w:t>（</w:t>
            </w:r>
            <w:r>
              <w:rPr>
                <w:rFonts w:hint="eastAsia" w:ascii="宋体" w:hAnsi="宋体" w:eastAsia="宋体" w:cs="Times New Roman"/>
                <w:sz w:val="28"/>
                <w:szCs w:val="28"/>
                <w:highlight w:val="none"/>
                <w:lang w:val="en-US" w:eastAsia="zh-CN"/>
              </w:rPr>
              <w:t>6</w:t>
            </w:r>
            <w:r>
              <w:rPr>
                <w:rFonts w:hint="eastAsia" w:ascii="宋体" w:hAnsi="宋体" w:cs="Times New Roman"/>
                <w:sz w:val="28"/>
                <w:szCs w:val="28"/>
                <w:highlight w:val="none"/>
              </w:rPr>
              <w:t>）商务、技术条款偏离表</w:t>
            </w:r>
          </w:p>
          <w:p w14:paraId="3218273A">
            <w:pPr>
              <w:outlineLvl w:val="1"/>
              <w:rPr>
                <w:rFonts w:hint="eastAsia" w:ascii="宋体" w:hAnsi="宋体" w:cs="Times New Roman"/>
                <w:sz w:val="28"/>
                <w:szCs w:val="28"/>
                <w:highlight w:val="none"/>
              </w:rPr>
            </w:pPr>
            <w:r>
              <w:rPr>
                <w:rFonts w:hint="eastAsia" w:ascii="宋体" w:hAnsi="宋体" w:cs="Times New Roman"/>
                <w:sz w:val="28"/>
                <w:szCs w:val="28"/>
                <w:highlight w:val="none"/>
              </w:rPr>
              <w:t>（</w:t>
            </w:r>
            <w:r>
              <w:rPr>
                <w:rFonts w:hint="eastAsia" w:ascii="宋体" w:hAnsi="宋体" w:eastAsia="宋体" w:cs="Times New Roman"/>
                <w:sz w:val="28"/>
                <w:szCs w:val="28"/>
                <w:highlight w:val="none"/>
                <w:lang w:val="en-US" w:eastAsia="zh-CN"/>
              </w:rPr>
              <w:t>7</w:t>
            </w:r>
            <w:r>
              <w:rPr>
                <w:rFonts w:hint="eastAsia" w:ascii="宋体" w:hAnsi="宋体" w:cs="Times New Roman"/>
                <w:sz w:val="28"/>
                <w:szCs w:val="28"/>
                <w:highlight w:val="none"/>
              </w:rPr>
              <w:t>）拟安排的项目负责人情况（仅限一人）</w:t>
            </w:r>
          </w:p>
          <w:p w14:paraId="31C431AD">
            <w:pPr>
              <w:outlineLvl w:val="1"/>
              <w:rPr>
                <w:rFonts w:hint="eastAsia" w:ascii="宋体" w:hAnsi="宋体" w:cs="Times New Roman"/>
                <w:sz w:val="28"/>
                <w:szCs w:val="28"/>
                <w:highlight w:val="none"/>
              </w:rPr>
            </w:pPr>
            <w:r>
              <w:rPr>
                <w:rFonts w:hint="eastAsia" w:ascii="宋体" w:hAnsi="宋体" w:cs="Times New Roman"/>
                <w:sz w:val="28"/>
                <w:szCs w:val="28"/>
                <w:highlight w:val="none"/>
              </w:rPr>
              <w:t>（</w:t>
            </w:r>
            <w:r>
              <w:rPr>
                <w:rFonts w:hint="eastAsia" w:ascii="宋体" w:hAnsi="宋体" w:eastAsia="宋体" w:cs="Times New Roman"/>
                <w:sz w:val="28"/>
                <w:szCs w:val="28"/>
                <w:highlight w:val="none"/>
                <w:lang w:val="en-US" w:eastAsia="zh-CN"/>
              </w:rPr>
              <w:t>8</w:t>
            </w:r>
            <w:r>
              <w:rPr>
                <w:rFonts w:hint="eastAsia" w:ascii="宋体" w:hAnsi="宋体" w:cs="Times New Roman"/>
                <w:sz w:val="28"/>
                <w:szCs w:val="28"/>
                <w:highlight w:val="none"/>
              </w:rPr>
              <w:t>）拟安排的项目主要团队成员（主要技术人员）情况（项目负责人除外）</w:t>
            </w:r>
          </w:p>
          <w:p w14:paraId="7FB1E6E3">
            <w:pPr>
              <w:outlineLvl w:val="1"/>
              <w:rPr>
                <w:rFonts w:hint="eastAsia" w:ascii="宋体" w:hAnsi="宋体" w:cs="Times New Roman"/>
                <w:sz w:val="28"/>
                <w:szCs w:val="28"/>
                <w:highlight w:val="none"/>
              </w:rPr>
            </w:pPr>
            <w:r>
              <w:rPr>
                <w:rFonts w:hint="eastAsia" w:ascii="宋体" w:hAnsi="宋体" w:cs="Times New Roman"/>
                <w:sz w:val="28"/>
                <w:szCs w:val="28"/>
                <w:highlight w:val="none"/>
                <w:lang w:eastAsia="zh-CN"/>
              </w:rPr>
              <w:t>（</w:t>
            </w:r>
            <w:r>
              <w:rPr>
                <w:rFonts w:hint="eastAsia" w:ascii="宋体" w:hAnsi="宋体" w:cs="Times New Roman"/>
                <w:sz w:val="28"/>
                <w:szCs w:val="28"/>
                <w:highlight w:val="none"/>
                <w:lang w:val="en-US" w:eastAsia="zh-CN"/>
              </w:rPr>
              <w:t>9）实施方案</w:t>
            </w:r>
            <w:r>
              <w:rPr>
                <w:rFonts w:hint="eastAsia" w:ascii="宋体" w:hAnsi="宋体" w:cs="Times New Roman"/>
                <w:sz w:val="28"/>
                <w:szCs w:val="28"/>
                <w:highlight w:val="none"/>
              </w:rPr>
              <w:t>（格式自定）</w:t>
            </w:r>
          </w:p>
          <w:p w14:paraId="192602FB">
            <w:pPr>
              <w:outlineLvl w:val="1"/>
              <w:rPr>
                <w:rFonts w:hint="eastAsia" w:ascii="宋体" w:hAnsi="宋体" w:cs="Times New Roman"/>
                <w:sz w:val="28"/>
                <w:szCs w:val="28"/>
                <w:highlight w:val="none"/>
              </w:rPr>
            </w:pPr>
            <w:r>
              <w:rPr>
                <w:rFonts w:hint="eastAsia" w:ascii="宋体" w:hAnsi="宋体" w:cs="Times New Roman"/>
                <w:sz w:val="28"/>
                <w:szCs w:val="28"/>
                <w:highlight w:val="none"/>
                <w:lang w:eastAsia="zh-CN"/>
              </w:rPr>
              <w:t>（</w:t>
            </w:r>
            <w:r>
              <w:rPr>
                <w:rFonts w:hint="eastAsia" w:ascii="宋体" w:hAnsi="宋体" w:cs="Times New Roman"/>
                <w:sz w:val="28"/>
                <w:szCs w:val="28"/>
                <w:highlight w:val="none"/>
                <w:lang w:val="en-US" w:eastAsia="zh-CN"/>
              </w:rPr>
              <w:t>10</w:t>
            </w:r>
            <w:r>
              <w:rPr>
                <w:rFonts w:hint="eastAsia" w:ascii="宋体" w:hAnsi="宋体" w:cs="Times New Roman"/>
                <w:sz w:val="28"/>
                <w:szCs w:val="28"/>
                <w:highlight w:val="none"/>
                <w:lang w:eastAsia="zh-CN"/>
              </w:rPr>
              <w:t>）</w:t>
            </w:r>
            <w:r>
              <w:rPr>
                <w:rFonts w:hint="eastAsia" w:ascii="宋体" w:hAnsi="宋体" w:cs="Times New Roman"/>
                <w:sz w:val="28"/>
                <w:szCs w:val="28"/>
                <w:highlight w:val="none"/>
                <w:lang w:val="en-US" w:eastAsia="zh-CN"/>
              </w:rPr>
              <w:t>质量（完成时间、安全、环保）保障措施及方案</w:t>
            </w:r>
            <w:r>
              <w:rPr>
                <w:rFonts w:hint="eastAsia" w:ascii="宋体" w:hAnsi="宋体" w:cs="Times New Roman"/>
                <w:sz w:val="28"/>
                <w:szCs w:val="28"/>
                <w:highlight w:val="none"/>
              </w:rPr>
              <w:t>（格式自定）</w:t>
            </w:r>
          </w:p>
          <w:p w14:paraId="4C5DCADF">
            <w:pPr>
              <w:outlineLvl w:val="1"/>
              <w:rPr>
                <w:rFonts w:hint="eastAsia" w:ascii="宋体" w:hAnsi="宋体" w:cs="Times New Roman"/>
                <w:sz w:val="28"/>
                <w:szCs w:val="28"/>
                <w:highlight w:val="none"/>
              </w:rPr>
            </w:pPr>
            <w:r>
              <w:rPr>
                <w:rFonts w:hint="eastAsia" w:ascii="宋体" w:hAnsi="宋体" w:cs="Times New Roman"/>
                <w:sz w:val="28"/>
                <w:szCs w:val="28"/>
                <w:highlight w:val="none"/>
                <w:lang w:eastAsia="zh-CN"/>
              </w:rPr>
              <w:t>（</w:t>
            </w:r>
            <w:r>
              <w:rPr>
                <w:rFonts w:hint="eastAsia" w:ascii="宋体" w:hAnsi="宋体" w:cs="Times New Roman"/>
                <w:sz w:val="28"/>
                <w:szCs w:val="28"/>
                <w:highlight w:val="none"/>
                <w:lang w:val="en-US" w:eastAsia="zh-CN"/>
              </w:rPr>
              <w:t>11</w:t>
            </w:r>
            <w:r>
              <w:rPr>
                <w:rFonts w:hint="eastAsia" w:ascii="宋体" w:hAnsi="宋体" w:cs="Times New Roman"/>
                <w:sz w:val="28"/>
                <w:szCs w:val="28"/>
                <w:highlight w:val="none"/>
                <w:lang w:eastAsia="zh-CN"/>
              </w:rPr>
              <w:t>）</w:t>
            </w:r>
            <w:r>
              <w:rPr>
                <w:rFonts w:hint="eastAsia" w:ascii="宋体" w:hAnsi="宋体" w:cs="Times New Roman"/>
                <w:sz w:val="28"/>
                <w:szCs w:val="28"/>
                <w:highlight w:val="none"/>
                <w:lang w:val="en-US" w:eastAsia="zh-CN"/>
              </w:rPr>
              <w:t>项目完成（服务期满）后的服务承诺</w:t>
            </w:r>
            <w:r>
              <w:rPr>
                <w:rFonts w:hint="eastAsia" w:ascii="宋体" w:hAnsi="宋体" w:cs="Times New Roman"/>
                <w:sz w:val="28"/>
                <w:szCs w:val="28"/>
                <w:highlight w:val="none"/>
              </w:rPr>
              <w:t>（格式自定）</w:t>
            </w:r>
          </w:p>
          <w:p w14:paraId="187F0587">
            <w:pPr>
              <w:outlineLvl w:val="1"/>
              <w:rPr>
                <w:rFonts w:hint="eastAsia" w:ascii="宋体" w:hAnsi="宋体" w:cs="Times New Roman"/>
                <w:sz w:val="28"/>
                <w:szCs w:val="28"/>
                <w:highlight w:val="none"/>
              </w:rPr>
            </w:pPr>
            <w:r>
              <w:rPr>
                <w:rFonts w:hint="eastAsia" w:ascii="宋体" w:hAnsi="宋体" w:cs="Times New Roman"/>
                <w:sz w:val="28"/>
                <w:szCs w:val="28"/>
                <w:highlight w:val="none"/>
              </w:rPr>
              <w:t>（</w:t>
            </w:r>
            <w:r>
              <w:rPr>
                <w:rFonts w:hint="eastAsia" w:ascii="宋体" w:hAnsi="宋体" w:cs="Times New Roman"/>
                <w:sz w:val="28"/>
                <w:szCs w:val="28"/>
                <w:highlight w:val="none"/>
                <w:lang w:val="en-US" w:eastAsia="zh-CN"/>
              </w:rPr>
              <w:t>12</w:t>
            </w:r>
            <w:r>
              <w:rPr>
                <w:rFonts w:hint="eastAsia" w:ascii="宋体" w:hAnsi="宋体" w:cs="Times New Roman"/>
                <w:sz w:val="28"/>
                <w:szCs w:val="28"/>
                <w:highlight w:val="none"/>
              </w:rPr>
              <w:t>）</w:t>
            </w:r>
            <w:r>
              <w:rPr>
                <w:rFonts w:hint="eastAsia" w:ascii="宋体" w:hAnsi="宋体" w:cs="Times New Roman"/>
                <w:sz w:val="28"/>
                <w:szCs w:val="28"/>
                <w:highlight w:val="none"/>
                <w:lang w:val="en-US" w:eastAsia="zh-CN"/>
              </w:rPr>
              <w:t>违约承诺</w:t>
            </w:r>
            <w:r>
              <w:rPr>
                <w:rFonts w:hint="eastAsia" w:ascii="宋体" w:hAnsi="宋体" w:cs="Times New Roman"/>
                <w:sz w:val="28"/>
                <w:szCs w:val="28"/>
                <w:highlight w:val="none"/>
              </w:rPr>
              <w:t>（格式自定）</w:t>
            </w:r>
          </w:p>
          <w:p w14:paraId="352E6740">
            <w:pPr>
              <w:outlineLvl w:val="1"/>
              <w:rPr>
                <w:rFonts w:ascii="宋体" w:hAnsi="宋体" w:cs="宋体"/>
              </w:rPr>
            </w:pPr>
            <w:r>
              <w:rPr>
                <w:rFonts w:hint="eastAsia" w:ascii="宋体" w:hAnsi="宋体" w:cs="Times New Roman"/>
                <w:sz w:val="28"/>
                <w:szCs w:val="28"/>
                <w:highlight w:val="none"/>
              </w:rPr>
              <w:t>（</w:t>
            </w:r>
            <w:r>
              <w:rPr>
                <w:rFonts w:hint="eastAsia" w:ascii="宋体" w:hAnsi="宋体" w:eastAsia="宋体" w:cs="Times New Roman"/>
                <w:sz w:val="28"/>
                <w:szCs w:val="28"/>
                <w:highlight w:val="none"/>
                <w:lang w:val="en-US" w:eastAsia="zh-CN"/>
              </w:rPr>
              <w:t>13</w:t>
            </w:r>
            <w:r>
              <w:rPr>
                <w:rFonts w:hint="eastAsia" w:ascii="宋体" w:hAnsi="宋体" w:cs="Times New Roman"/>
                <w:sz w:val="28"/>
                <w:szCs w:val="28"/>
                <w:highlight w:val="none"/>
              </w:rPr>
              <w:t>）投标人认为需要加以说明的其他内容（格式自定）</w:t>
            </w:r>
          </w:p>
        </w:tc>
      </w:tr>
    </w:tbl>
    <w:p w14:paraId="5DC1508B"/>
    <w:p w14:paraId="7B27B3FA">
      <w:pPr>
        <w:pStyle w:val="7"/>
      </w:pPr>
    </w:p>
    <w:p w14:paraId="00B9146F">
      <w:r>
        <w:br w:type="page"/>
      </w:r>
    </w:p>
    <w:p w14:paraId="6E48D466"/>
    <w:p w14:paraId="2E455B12"/>
    <w:p w14:paraId="4967F388"/>
    <w:p w14:paraId="10398CCB"/>
    <w:p w14:paraId="10DDA6EB"/>
    <w:p w14:paraId="068ADD8E"/>
    <w:p w14:paraId="63D15BCD"/>
    <w:p w14:paraId="4B25A539">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政府采购</w:t>
      </w:r>
    </w:p>
    <w:p w14:paraId="6922B6D1">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招标文件</w:t>
      </w:r>
    </w:p>
    <w:p w14:paraId="2A9BF341">
      <w:pPr>
        <w:jc w:val="center"/>
        <w:rPr>
          <w:b/>
          <w:color w:val="000000" w:themeColor="text1"/>
          <w:sz w:val="52"/>
          <w:szCs w:val="52"/>
          <w14:textFill>
            <w14:solidFill>
              <w14:schemeClr w14:val="tx1"/>
            </w14:solidFill>
          </w14:textFill>
        </w:rPr>
      </w:pPr>
    </w:p>
    <w:p w14:paraId="3A708636">
      <w:pPr>
        <w:jc w:val="center"/>
        <w:rPr>
          <w:b/>
          <w:color w:val="000000" w:themeColor="text1"/>
          <w:sz w:val="52"/>
          <w:szCs w:val="52"/>
          <w14:textFill>
            <w14:solidFill>
              <w14:schemeClr w14:val="tx1"/>
            </w14:solidFill>
          </w14:textFill>
        </w:rPr>
      </w:pPr>
    </w:p>
    <w:p w14:paraId="49B861F0">
      <w:pPr>
        <w:jc w:val="center"/>
        <w:rPr>
          <w:b/>
          <w:color w:val="000000" w:themeColor="text1"/>
          <w:sz w:val="52"/>
          <w:szCs w:val="52"/>
          <w14:textFill>
            <w14:solidFill>
              <w14:schemeClr w14:val="tx1"/>
            </w14:solidFill>
          </w14:textFill>
        </w:rPr>
      </w:pPr>
    </w:p>
    <w:p w14:paraId="20C781C1">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（服务类）</w:t>
      </w:r>
    </w:p>
    <w:p w14:paraId="4D7523FC">
      <w:pPr>
        <w:rPr>
          <w:color w:val="000000" w:themeColor="text1"/>
          <w14:textFill>
            <w14:solidFill>
              <w14:schemeClr w14:val="tx1"/>
            </w14:solidFill>
          </w14:textFill>
        </w:rPr>
      </w:pPr>
    </w:p>
    <w:p w14:paraId="3DC8889E">
      <w:pPr>
        <w:rPr>
          <w:color w:val="000000" w:themeColor="text1"/>
          <w14:textFill>
            <w14:solidFill>
              <w14:schemeClr w14:val="tx1"/>
            </w14:solidFill>
          </w14:textFill>
        </w:rPr>
      </w:pPr>
    </w:p>
    <w:p w14:paraId="0E3DD39B">
      <w:pPr>
        <w:rPr>
          <w:color w:val="000000" w:themeColor="text1"/>
          <w14:textFill>
            <w14:solidFill>
              <w14:schemeClr w14:val="tx1"/>
            </w14:solidFill>
          </w14:textFill>
        </w:rPr>
      </w:pPr>
    </w:p>
    <w:p w14:paraId="3B521541">
      <w:pPr>
        <w:rPr>
          <w:color w:val="000000" w:themeColor="text1"/>
          <w14:textFill>
            <w14:solidFill>
              <w14:schemeClr w14:val="tx1"/>
            </w14:solidFill>
          </w14:textFill>
        </w:rPr>
      </w:pPr>
    </w:p>
    <w:p w14:paraId="0A3DF2F2">
      <w:pPr>
        <w:rPr>
          <w:color w:val="000000" w:themeColor="text1"/>
          <w14:textFill>
            <w14:solidFill>
              <w14:schemeClr w14:val="tx1"/>
            </w14:solidFill>
          </w14:textFill>
        </w:rPr>
      </w:pPr>
    </w:p>
    <w:p w14:paraId="6131E4E8">
      <w:pPr>
        <w:rPr>
          <w:color w:val="000000" w:themeColor="text1"/>
          <w14:textFill>
            <w14:solidFill>
              <w14:schemeClr w14:val="tx1"/>
            </w14:solidFill>
          </w14:textFill>
        </w:rPr>
      </w:pPr>
    </w:p>
    <w:p w14:paraId="7DF6DA0B">
      <w:pPr>
        <w:jc w:val="center"/>
        <w:rPr>
          <w:b/>
          <w:color w:val="000000" w:themeColor="text1"/>
          <w:sz w:val="44"/>
          <w:szCs w:val="44"/>
          <w14:textFill>
            <w14:solidFill>
              <w14:schemeClr w14:val="tx1"/>
            </w14:solidFill>
          </w14:textFill>
        </w:rPr>
      </w:pPr>
    </w:p>
    <w:p w14:paraId="656796A6">
      <w:pPr>
        <w:jc w:val="center"/>
        <w:rPr>
          <w:b/>
          <w:color w:val="000000" w:themeColor="text1"/>
          <w:sz w:val="44"/>
          <w:szCs w:val="44"/>
          <w14:textFill>
            <w14:solidFill>
              <w14:schemeClr w14:val="tx1"/>
            </w14:solidFill>
          </w14:textFill>
        </w:rPr>
      </w:pPr>
    </w:p>
    <w:p w14:paraId="174A9F96">
      <w:pPr>
        <w:jc w:val="center"/>
        <w:rPr>
          <w:b/>
          <w:color w:val="000000" w:themeColor="text1"/>
          <w:sz w:val="44"/>
          <w:szCs w:val="44"/>
          <w14:textFill>
            <w14:solidFill>
              <w14:schemeClr w14:val="tx1"/>
            </w14:solidFill>
          </w14:textFill>
        </w:rPr>
      </w:pPr>
    </w:p>
    <w:p w14:paraId="543432C6">
      <w:pPr>
        <w:jc w:val="center"/>
        <w:rPr>
          <w:rFonts w:eastAsia="宋体"/>
          <w:b/>
          <w:color w:val="000000" w:themeColor="text1"/>
          <w:sz w:val="44"/>
          <w:szCs w:val="44"/>
          <w14:textFill>
            <w14:solidFill>
              <w14:schemeClr w14:val="tx1"/>
            </w14:solidFill>
          </w14:textFill>
        </w:rPr>
      </w:pPr>
      <w:bookmarkStart w:id="1" w:name="_Hlk71465316"/>
      <w:r>
        <w:rPr>
          <w:rFonts w:hint="eastAsia" w:eastAsia="宋体"/>
          <w:b/>
          <w:color w:val="000000" w:themeColor="text1"/>
          <w:sz w:val="44"/>
          <w:szCs w:val="44"/>
          <w14:textFill>
            <w14:solidFill>
              <w14:schemeClr w14:val="tx1"/>
            </w14:solidFill>
          </w14:textFill>
        </w:rPr>
        <w:t>友和保险经纪有限公司</w:t>
      </w:r>
    </w:p>
    <w:bookmarkEnd w:id="1"/>
    <w:p w14:paraId="7B1A18EC">
      <w:pPr>
        <w:keepNext w:val="0"/>
        <w:keepLines w:val="0"/>
        <w:pageBreakBefore w:val="0"/>
        <w:widowControl/>
        <w:kinsoku/>
        <w:wordWrap/>
        <w:overflowPunct/>
        <w:topLinePunct w:val="0"/>
        <w:autoSpaceDE/>
        <w:autoSpaceDN/>
        <w:bidi w:val="0"/>
        <w:adjustRightInd/>
        <w:snapToGrid/>
        <w:spacing w:line="360" w:lineRule="auto"/>
        <w:ind w:firstLine="3600" w:firstLineChars="1500"/>
        <w:textAlignment w:val="auto"/>
        <w:outlineLvl w:val="1"/>
        <w:rPr>
          <w:rFonts w:ascii="宋体" w:hAnsi="宋体"/>
          <w:color w:val="FF0000"/>
          <w:sz w:val="30"/>
          <w:szCs w:val="30"/>
        </w:rPr>
      </w:pPr>
      <w:r>
        <w:rPr>
          <w:rFonts w:hint="eastAsia"/>
          <w:color w:val="000000" w:themeColor="text1"/>
          <w14:textFill>
            <w14:solidFill>
              <w14:schemeClr w14:val="tx1"/>
            </w14:solidFill>
          </w14:textFill>
        </w:rPr>
        <w:br w:type="page"/>
      </w:r>
      <w:r>
        <w:rPr>
          <w:rFonts w:hint="eastAsia" w:ascii="宋体" w:hAnsi="宋体" w:eastAsia="黑体"/>
          <w:b/>
          <w:bCs/>
          <w:color w:val="FF0000"/>
          <w:kern w:val="44"/>
          <w:sz w:val="30"/>
          <w:szCs w:val="30"/>
        </w:rPr>
        <w:t>警示条款</w:t>
      </w:r>
    </w:p>
    <w:p w14:paraId="0FD97F84">
      <w:pPr>
        <w:ind w:firstLine="480" w:firstLineChars="200"/>
        <w:rPr>
          <w:rFonts w:hint="eastAsia" w:ascii="宋体" w:hAnsi="宋体"/>
          <w:color w:val="FF0000"/>
        </w:rPr>
      </w:pPr>
      <w:r>
        <w:rPr>
          <w:rFonts w:hint="eastAsia" w:ascii="宋体" w:hAnsi="宋体"/>
          <w:color w:val="FF0000"/>
          <w:lang w:eastAsia="zh-CN"/>
        </w:rPr>
        <w:t>一、</w:t>
      </w:r>
      <w:r>
        <w:rPr>
          <w:rFonts w:hint="eastAsia" w:ascii="宋体" w:hAnsi="宋体"/>
          <w:color w:val="FF0000"/>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0913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6548C434">
            <w:pPr>
              <w:widowControl w:val="0"/>
              <w:jc w:val="center"/>
              <w:rPr>
                <w:rFonts w:hint="eastAsia" w:ascii="宋体" w:hAnsi="宋体"/>
                <w:color w:val="FF0000"/>
              </w:rPr>
            </w:pPr>
            <w:r>
              <w:rPr>
                <w:rFonts w:hint="eastAsia" w:ascii="宋体" w:hAnsi="宋体"/>
                <w:color w:val="FF0000"/>
              </w:rPr>
              <w:t>序号</w:t>
            </w:r>
          </w:p>
        </w:tc>
        <w:tc>
          <w:tcPr>
            <w:tcW w:w="7711" w:type="dxa"/>
            <w:vAlign w:val="center"/>
          </w:tcPr>
          <w:p w14:paraId="6B452D86">
            <w:pPr>
              <w:widowControl w:val="0"/>
              <w:jc w:val="center"/>
              <w:rPr>
                <w:rFonts w:hint="eastAsia" w:ascii="宋体" w:hAnsi="宋体"/>
                <w:color w:val="FF0000"/>
              </w:rPr>
            </w:pPr>
            <w:r>
              <w:rPr>
                <w:rFonts w:hint="eastAsia" w:ascii="宋体" w:hAnsi="宋体"/>
                <w:color w:val="FF0000"/>
              </w:rPr>
              <w:t>供应商参与投标禁止情形</w:t>
            </w:r>
          </w:p>
        </w:tc>
      </w:tr>
      <w:tr w14:paraId="0826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5234D947">
            <w:pPr>
              <w:widowControl w:val="0"/>
              <w:jc w:val="center"/>
              <w:rPr>
                <w:rFonts w:hint="eastAsia" w:ascii="宋体" w:hAnsi="宋体"/>
                <w:color w:val="FF0000"/>
              </w:rPr>
            </w:pPr>
            <w:r>
              <w:rPr>
                <w:rFonts w:hint="eastAsia" w:ascii="宋体" w:hAnsi="宋体"/>
                <w:color w:val="FF0000"/>
              </w:rPr>
              <w:t>1</w:t>
            </w:r>
          </w:p>
        </w:tc>
        <w:tc>
          <w:tcPr>
            <w:tcW w:w="7711" w:type="dxa"/>
            <w:vAlign w:val="center"/>
          </w:tcPr>
          <w:p w14:paraId="6E4D23A0">
            <w:pPr>
              <w:widowControl w:val="0"/>
              <w:jc w:val="both"/>
              <w:rPr>
                <w:rFonts w:hint="eastAsia" w:ascii="宋体" w:hAnsi="宋体"/>
                <w:color w:val="FF0000"/>
              </w:rPr>
            </w:pPr>
            <w:r>
              <w:rPr>
                <w:rFonts w:hint="eastAsia" w:ascii="宋体" w:hAnsi="宋体"/>
                <w:color w:val="FF0000"/>
              </w:rPr>
              <w:t>与其他投标供应商的法定代表人、主要经营负责人、投标授权代表人、项目负责人、主要技术人员为</w:t>
            </w:r>
            <w:r>
              <w:rPr>
                <w:rFonts w:hint="eastAsia" w:ascii="宋体" w:hAnsi="宋体"/>
                <w:b/>
                <w:bCs/>
                <w:color w:val="FF0000"/>
              </w:rPr>
              <w:t>同一人、属同一单位或者在同一单位缴纳社会保险。</w:t>
            </w:r>
          </w:p>
        </w:tc>
      </w:tr>
      <w:tr w14:paraId="3BE4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1810478D">
            <w:pPr>
              <w:widowControl w:val="0"/>
              <w:jc w:val="center"/>
              <w:rPr>
                <w:rFonts w:hint="eastAsia" w:ascii="宋体" w:hAnsi="宋体"/>
                <w:color w:val="FF0000"/>
              </w:rPr>
            </w:pPr>
            <w:r>
              <w:rPr>
                <w:rFonts w:hint="eastAsia" w:ascii="宋体" w:hAnsi="宋体"/>
                <w:color w:val="FF0000"/>
              </w:rPr>
              <w:t>2</w:t>
            </w:r>
          </w:p>
        </w:tc>
        <w:tc>
          <w:tcPr>
            <w:tcW w:w="7711" w:type="dxa"/>
            <w:vAlign w:val="center"/>
          </w:tcPr>
          <w:p w14:paraId="71697ABD">
            <w:pPr>
              <w:widowControl w:val="0"/>
              <w:jc w:val="both"/>
              <w:rPr>
                <w:rFonts w:hint="eastAsia" w:ascii="宋体" w:hAnsi="宋体"/>
                <w:color w:val="FF0000"/>
              </w:rPr>
            </w:pPr>
            <w:r>
              <w:rPr>
                <w:rFonts w:hint="eastAsia" w:ascii="宋体" w:hAnsi="宋体"/>
                <w:color w:val="FF0000"/>
              </w:rPr>
              <w:t>参与本项目政府采购活动时，与其他投标供应商存在单位负责人为</w:t>
            </w:r>
            <w:r>
              <w:rPr>
                <w:rFonts w:hint="eastAsia" w:ascii="宋体" w:hAnsi="宋体"/>
                <w:b/>
                <w:bCs/>
                <w:color w:val="FF0000"/>
              </w:rPr>
              <w:t>同一人或直接控股、管理关系</w:t>
            </w:r>
            <w:r>
              <w:rPr>
                <w:rFonts w:hint="eastAsia" w:ascii="宋体" w:hAnsi="宋体"/>
                <w:color w:val="FF0000"/>
              </w:rPr>
              <w:t>。</w:t>
            </w:r>
          </w:p>
        </w:tc>
      </w:tr>
      <w:tr w14:paraId="064C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266B0F45">
            <w:pPr>
              <w:widowControl w:val="0"/>
              <w:jc w:val="center"/>
              <w:rPr>
                <w:rFonts w:hint="eastAsia" w:ascii="宋体" w:hAnsi="宋体"/>
                <w:color w:val="FF0000"/>
              </w:rPr>
            </w:pPr>
            <w:r>
              <w:rPr>
                <w:rFonts w:hint="eastAsia" w:ascii="宋体" w:hAnsi="宋体"/>
                <w:color w:val="FF0000"/>
              </w:rPr>
              <w:t>3</w:t>
            </w:r>
          </w:p>
        </w:tc>
        <w:tc>
          <w:tcPr>
            <w:tcW w:w="7711" w:type="dxa"/>
            <w:vAlign w:val="center"/>
          </w:tcPr>
          <w:p w14:paraId="3CE80DE9">
            <w:pPr>
              <w:widowControl w:val="0"/>
              <w:jc w:val="both"/>
              <w:rPr>
                <w:rFonts w:hint="eastAsia" w:ascii="宋体" w:hAnsi="宋体"/>
                <w:color w:val="FF0000"/>
              </w:rPr>
            </w:pPr>
            <w:r>
              <w:rPr>
                <w:rFonts w:hint="eastAsia" w:ascii="宋体" w:hAnsi="宋体"/>
                <w:color w:val="FF0000"/>
              </w:rPr>
              <w:t>与其他投标供应商的投标文件或部分投标文件</w:t>
            </w:r>
            <w:r>
              <w:rPr>
                <w:rFonts w:hint="eastAsia" w:ascii="宋体" w:hAnsi="宋体"/>
                <w:b/>
                <w:bCs/>
                <w:color w:val="FF0000"/>
              </w:rPr>
              <w:t>相互混装或存在非正常一致</w:t>
            </w:r>
            <w:r>
              <w:rPr>
                <w:rFonts w:hint="eastAsia" w:ascii="宋体" w:hAnsi="宋体"/>
                <w:color w:val="FF0000"/>
              </w:rPr>
              <w:t>。</w:t>
            </w:r>
          </w:p>
        </w:tc>
      </w:tr>
      <w:tr w14:paraId="0109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F0FB01A">
            <w:pPr>
              <w:widowControl w:val="0"/>
              <w:jc w:val="center"/>
              <w:rPr>
                <w:rFonts w:hint="eastAsia" w:ascii="宋体" w:hAnsi="宋体"/>
                <w:color w:val="FF0000"/>
              </w:rPr>
            </w:pPr>
            <w:r>
              <w:rPr>
                <w:rFonts w:hint="eastAsia" w:ascii="宋体" w:hAnsi="宋体"/>
                <w:color w:val="FF0000"/>
              </w:rPr>
              <w:t>4</w:t>
            </w:r>
          </w:p>
        </w:tc>
        <w:tc>
          <w:tcPr>
            <w:tcW w:w="7711" w:type="dxa"/>
            <w:vAlign w:val="center"/>
          </w:tcPr>
          <w:p w14:paraId="018477F0">
            <w:pPr>
              <w:widowControl w:val="0"/>
              <w:jc w:val="both"/>
              <w:rPr>
                <w:rFonts w:hint="eastAsia" w:ascii="宋体" w:hAnsi="宋体"/>
                <w:color w:val="FF0000"/>
              </w:rPr>
            </w:pPr>
            <w:r>
              <w:rPr>
                <w:rFonts w:hint="eastAsia" w:ascii="宋体" w:hAnsi="宋体"/>
                <w:color w:val="FF0000"/>
              </w:rPr>
              <w:t>与其他投标供应商的投标文件由</w:t>
            </w:r>
            <w:r>
              <w:rPr>
                <w:rFonts w:hint="eastAsia" w:ascii="宋体" w:hAnsi="宋体"/>
                <w:b/>
                <w:bCs/>
                <w:color w:val="FF0000"/>
              </w:rPr>
              <w:t>同一单位或者同一人编制</w:t>
            </w:r>
            <w:r>
              <w:rPr>
                <w:rFonts w:hint="eastAsia" w:ascii="宋体" w:hAnsi="宋体"/>
                <w:color w:val="FF0000"/>
              </w:rPr>
              <w:t>，或者使用</w:t>
            </w:r>
            <w:r>
              <w:rPr>
                <w:rFonts w:hint="eastAsia" w:ascii="宋体" w:hAnsi="宋体"/>
                <w:b/>
                <w:bCs/>
                <w:color w:val="FF0000"/>
              </w:rPr>
              <w:t>同一设备编制</w:t>
            </w:r>
            <w:r>
              <w:rPr>
                <w:rFonts w:hint="eastAsia" w:ascii="宋体" w:hAnsi="宋体"/>
                <w:color w:val="FF0000"/>
              </w:rPr>
              <w:t>（“文件制作机器码”“文件创建标识码”一致）。</w:t>
            </w:r>
          </w:p>
        </w:tc>
      </w:tr>
      <w:tr w14:paraId="6CE1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44F77092">
            <w:pPr>
              <w:widowControl w:val="0"/>
              <w:jc w:val="center"/>
              <w:rPr>
                <w:rFonts w:hint="eastAsia" w:ascii="宋体" w:hAnsi="宋体"/>
                <w:color w:val="FF0000"/>
              </w:rPr>
            </w:pPr>
            <w:r>
              <w:rPr>
                <w:rFonts w:hint="eastAsia" w:ascii="宋体" w:hAnsi="宋体"/>
                <w:color w:val="FF0000"/>
              </w:rPr>
              <w:t>5</w:t>
            </w:r>
          </w:p>
        </w:tc>
        <w:tc>
          <w:tcPr>
            <w:tcW w:w="7711" w:type="dxa"/>
            <w:vAlign w:val="center"/>
          </w:tcPr>
          <w:p w14:paraId="6321A3D0">
            <w:pPr>
              <w:widowControl w:val="0"/>
              <w:jc w:val="both"/>
              <w:rPr>
                <w:rFonts w:hint="eastAsia" w:ascii="宋体" w:hAnsi="宋体"/>
                <w:color w:val="FF0000"/>
              </w:rPr>
            </w:pPr>
            <w:r>
              <w:rPr>
                <w:rFonts w:hint="eastAsia" w:ascii="宋体" w:hAnsi="宋体"/>
                <w:color w:val="FF0000"/>
              </w:rPr>
              <w:t>提供</w:t>
            </w:r>
            <w:r>
              <w:rPr>
                <w:rFonts w:hint="eastAsia" w:ascii="宋体" w:hAnsi="宋体"/>
                <w:b/>
                <w:bCs/>
                <w:color w:val="FF0000"/>
              </w:rPr>
              <w:t>未经出具机构核实</w:t>
            </w:r>
            <w:r>
              <w:rPr>
                <w:rFonts w:hint="eastAsia" w:ascii="宋体" w:hAnsi="宋体"/>
                <w:color w:val="FF0000"/>
              </w:rPr>
              <w:t>的虚假的检验检测报告、业绩材料、社保缴纳证明、学历学位证书、职称认证证书等材料。</w:t>
            </w:r>
          </w:p>
        </w:tc>
      </w:tr>
      <w:tr w14:paraId="2CD5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6CB90902">
            <w:pPr>
              <w:widowControl w:val="0"/>
              <w:jc w:val="center"/>
              <w:rPr>
                <w:rFonts w:hint="eastAsia" w:ascii="宋体" w:hAnsi="宋体"/>
                <w:color w:val="FF0000"/>
              </w:rPr>
            </w:pPr>
            <w:r>
              <w:rPr>
                <w:rFonts w:hint="eastAsia" w:ascii="宋体" w:hAnsi="宋体"/>
                <w:color w:val="FF0000"/>
              </w:rPr>
              <w:t>6</w:t>
            </w:r>
          </w:p>
        </w:tc>
        <w:tc>
          <w:tcPr>
            <w:tcW w:w="7711" w:type="dxa"/>
            <w:vAlign w:val="center"/>
          </w:tcPr>
          <w:p w14:paraId="2A088D41">
            <w:pPr>
              <w:widowControl w:val="0"/>
              <w:jc w:val="both"/>
              <w:rPr>
                <w:rFonts w:hint="eastAsia" w:ascii="宋体" w:hAnsi="宋体"/>
                <w:color w:val="FF0000"/>
              </w:rPr>
            </w:pPr>
            <w:r>
              <w:rPr>
                <w:rFonts w:hint="eastAsia" w:ascii="宋体" w:hAnsi="宋体"/>
                <w:color w:val="FF0000"/>
              </w:rPr>
              <w:t>擅自将投标密钥或电子营业执照出借他人使用或未妥善保管。</w:t>
            </w:r>
          </w:p>
        </w:tc>
      </w:tr>
    </w:tbl>
    <w:p w14:paraId="5F4B9780">
      <w:pPr>
        <w:ind w:firstLine="480" w:firstLineChars="200"/>
        <w:rPr>
          <w:rFonts w:ascii="宋体" w:hAnsi="宋体"/>
          <w:color w:val="FF0000"/>
        </w:rPr>
      </w:pPr>
      <w:r>
        <w:rPr>
          <w:rFonts w:hint="eastAsia" w:ascii="宋体" w:hAnsi="宋体" w:eastAsia="宋体"/>
          <w:color w:val="FF0000"/>
          <w:lang w:eastAsia="zh-CN"/>
        </w:rPr>
        <w:t>二</w:t>
      </w:r>
      <w:r>
        <w:rPr>
          <w:rFonts w:hint="eastAsia" w:ascii="宋体" w:hAnsi="宋体"/>
          <w:color w:val="FF0000"/>
        </w:rPr>
        <w:t>、</w:t>
      </w:r>
      <w:r>
        <w:rPr>
          <w:rFonts w:hint="eastAsia" w:ascii="宋体" w:hAnsi="宋体"/>
          <w:b/>
          <w:bCs/>
          <w:color w:val="FF0000"/>
        </w:rPr>
        <w:t>《深圳经济特区政府采购条例》第五十七条</w:t>
      </w:r>
      <w:r>
        <w:rPr>
          <w:rFonts w:hint="eastAsia" w:ascii="宋体" w:hAnsi="宋体"/>
          <w:color w:val="FF0000"/>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D1AB281">
      <w:pPr>
        <w:ind w:firstLine="480" w:firstLineChars="200"/>
        <w:rPr>
          <w:rFonts w:ascii="宋体" w:hAnsi="宋体"/>
          <w:color w:val="FF0000"/>
        </w:rPr>
      </w:pPr>
      <w:r>
        <w:rPr>
          <w:rFonts w:hint="eastAsia" w:ascii="宋体" w:hAnsi="宋体"/>
          <w:color w:val="FF0000"/>
        </w:rPr>
        <w:t>（一）在采购活动中应当回避而未回避的；</w:t>
      </w:r>
    </w:p>
    <w:p w14:paraId="3BB57F24">
      <w:pPr>
        <w:ind w:firstLine="480" w:firstLineChars="200"/>
        <w:rPr>
          <w:rFonts w:ascii="宋体" w:hAnsi="宋体"/>
          <w:color w:val="FF0000"/>
        </w:rPr>
      </w:pPr>
      <w:r>
        <w:rPr>
          <w:rFonts w:hint="eastAsia" w:ascii="宋体" w:hAnsi="宋体"/>
          <w:color w:val="FF0000"/>
        </w:rPr>
        <w:t>（二）未按本条例规定签订、履行采购合同，造成严重后果的；</w:t>
      </w:r>
    </w:p>
    <w:p w14:paraId="2CFA0688">
      <w:pPr>
        <w:ind w:firstLine="480" w:firstLineChars="200"/>
        <w:rPr>
          <w:rFonts w:ascii="宋体" w:hAnsi="宋体"/>
          <w:color w:val="FF0000"/>
        </w:rPr>
      </w:pPr>
      <w:r>
        <w:rPr>
          <w:rFonts w:hint="eastAsia" w:ascii="宋体" w:hAnsi="宋体"/>
          <w:color w:val="FF0000"/>
        </w:rPr>
        <w:t>（三）隐瞒真实情况，提供虚假资料的；</w:t>
      </w:r>
    </w:p>
    <w:p w14:paraId="691FEFE0">
      <w:pPr>
        <w:ind w:firstLine="480" w:firstLineChars="200"/>
        <w:rPr>
          <w:rFonts w:ascii="宋体" w:hAnsi="宋体"/>
          <w:color w:val="FF0000"/>
        </w:rPr>
      </w:pPr>
      <w:r>
        <w:rPr>
          <w:rFonts w:hint="eastAsia" w:ascii="宋体" w:hAnsi="宋体"/>
          <w:color w:val="FF0000"/>
        </w:rPr>
        <w:t>（四）以非法手段排斥其他供应商参与竞争的；</w:t>
      </w:r>
    </w:p>
    <w:p w14:paraId="46BA6C8F">
      <w:pPr>
        <w:ind w:firstLine="480" w:firstLineChars="200"/>
        <w:rPr>
          <w:rFonts w:ascii="宋体" w:hAnsi="宋体"/>
          <w:color w:val="FF0000"/>
        </w:rPr>
      </w:pPr>
      <w:r>
        <w:rPr>
          <w:rFonts w:hint="eastAsia" w:ascii="宋体" w:hAnsi="宋体"/>
          <w:color w:val="FF0000"/>
        </w:rPr>
        <w:t>（五）与其他采购参加人串通投标的；</w:t>
      </w:r>
    </w:p>
    <w:p w14:paraId="591FAAE9">
      <w:pPr>
        <w:ind w:firstLine="480" w:firstLineChars="200"/>
        <w:rPr>
          <w:rFonts w:ascii="宋体" w:hAnsi="宋体"/>
          <w:color w:val="FF0000"/>
        </w:rPr>
      </w:pPr>
      <w:r>
        <w:rPr>
          <w:rFonts w:hint="eastAsia" w:ascii="宋体" w:hAnsi="宋体"/>
          <w:color w:val="FF0000"/>
        </w:rPr>
        <w:t>（六）恶意投诉的；</w:t>
      </w:r>
    </w:p>
    <w:p w14:paraId="170C5B8A">
      <w:pPr>
        <w:ind w:firstLine="480" w:firstLineChars="200"/>
        <w:rPr>
          <w:rFonts w:ascii="宋体" w:hAnsi="宋体"/>
          <w:color w:val="FF0000"/>
        </w:rPr>
      </w:pPr>
      <w:r>
        <w:rPr>
          <w:rFonts w:hint="eastAsia" w:ascii="宋体" w:hAnsi="宋体"/>
          <w:color w:val="FF0000"/>
        </w:rPr>
        <w:t>（七）向采购项目相关人行贿或者提供其他不当利益的；</w:t>
      </w:r>
    </w:p>
    <w:p w14:paraId="77110986">
      <w:pPr>
        <w:ind w:firstLine="480" w:firstLineChars="200"/>
        <w:rPr>
          <w:rFonts w:ascii="宋体" w:hAnsi="宋体"/>
          <w:color w:val="FF0000"/>
        </w:rPr>
      </w:pPr>
      <w:r>
        <w:rPr>
          <w:rFonts w:hint="eastAsia" w:ascii="宋体" w:hAnsi="宋体"/>
          <w:color w:val="FF0000"/>
        </w:rPr>
        <w:t>（八）阻碍、抗拒主管部门监督检查的；</w:t>
      </w:r>
    </w:p>
    <w:p w14:paraId="27C0998B">
      <w:pPr>
        <w:ind w:firstLine="480" w:firstLineChars="200"/>
        <w:rPr>
          <w:rFonts w:ascii="宋体" w:hAnsi="宋体"/>
          <w:color w:val="FF0000"/>
        </w:rPr>
      </w:pPr>
      <w:r>
        <w:rPr>
          <w:rFonts w:hint="eastAsia" w:ascii="宋体" w:hAnsi="宋体"/>
          <w:color w:val="FF0000"/>
        </w:rPr>
        <w:t>（九）其他违反本条例规定的行为。</w:t>
      </w:r>
    </w:p>
    <w:p w14:paraId="7C0646EA">
      <w:pPr>
        <w:ind w:firstLine="482" w:firstLineChars="200"/>
        <w:rPr>
          <w:rFonts w:ascii="宋体" w:hAnsi="宋体"/>
          <w:color w:val="FF0000"/>
        </w:rPr>
      </w:pPr>
      <w:r>
        <w:rPr>
          <w:rFonts w:hint="eastAsia" w:ascii="宋体" w:hAnsi="宋体" w:eastAsia="宋体"/>
          <w:b/>
          <w:bCs/>
          <w:color w:val="FF0000"/>
          <w:lang w:eastAsia="zh-CN"/>
        </w:rPr>
        <w:t>三</w:t>
      </w:r>
      <w:r>
        <w:rPr>
          <w:rFonts w:hint="eastAsia" w:ascii="宋体" w:hAnsi="宋体"/>
          <w:b/>
          <w:bCs/>
          <w:color w:val="FF0000"/>
        </w:rPr>
        <w:t>、《深圳经济特区政府采购条例实施细则》第七十五条 </w:t>
      </w:r>
      <w:r>
        <w:rPr>
          <w:rFonts w:hint="eastAsia" w:ascii="宋体" w:hAnsi="宋体"/>
          <w:color w:val="FF000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664FC94">
      <w:pPr>
        <w:ind w:firstLine="482" w:firstLineChars="200"/>
        <w:rPr>
          <w:rFonts w:ascii="宋体" w:hAnsi="宋体"/>
          <w:color w:val="FF0000"/>
        </w:rPr>
      </w:pPr>
      <w:r>
        <w:rPr>
          <w:rFonts w:hint="eastAsia" w:ascii="宋体" w:hAnsi="宋体" w:eastAsia="宋体"/>
          <w:b/>
          <w:bCs/>
          <w:color w:val="FF0000"/>
          <w:lang w:eastAsia="zh-CN"/>
        </w:rPr>
        <w:t>四</w:t>
      </w:r>
      <w:r>
        <w:rPr>
          <w:rFonts w:hint="eastAsia" w:ascii="宋体" w:hAnsi="宋体"/>
          <w:b/>
          <w:bCs/>
          <w:color w:val="FF0000"/>
        </w:rPr>
        <w:t>、《深圳经济特区政府采购条例实施细则》第七十七条 </w:t>
      </w:r>
      <w:r>
        <w:rPr>
          <w:rFonts w:hint="eastAsia" w:ascii="宋体" w:hAnsi="宋体"/>
          <w:color w:val="FF0000"/>
        </w:rPr>
        <w:t>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69E29EA4">
      <w:pPr>
        <w:ind w:firstLine="480" w:firstLineChars="200"/>
        <w:rPr>
          <w:rFonts w:hint="eastAsia" w:ascii="宋体" w:hAnsi="宋体"/>
          <w:color w:val="FF0000"/>
          <w:highlight w:val="none"/>
        </w:rPr>
      </w:pPr>
      <w:r>
        <w:rPr>
          <w:rFonts w:hint="eastAsia" w:ascii="宋体" w:hAnsi="宋体"/>
          <w:color w:val="FF0000"/>
          <w:highlight w:val="none"/>
        </w:rPr>
        <w:t>投标供应商不能提供项目负责人或者主要技术人员的劳动合同、社会保险等劳动关系证明材料的，视为存在前款第（三）项规定的情形。</w:t>
      </w:r>
    </w:p>
    <w:p w14:paraId="0794E714">
      <w:pPr>
        <w:ind w:firstLine="480" w:firstLineChars="200"/>
        <w:rPr>
          <w:rFonts w:hint="eastAsia" w:ascii="宋体" w:hAnsi="宋体" w:eastAsia="宋体" w:cs="Times New Roman"/>
          <w:color w:val="FF0000"/>
          <w:highlight w:val="none"/>
          <w:lang w:eastAsia="zh-CN"/>
        </w:rPr>
      </w:pPr>
      <w:r>
        <w:rPr>
          <w:rFonts w:hint="eastAsia" w:ascii="宋体" w:hAnsi="宋体" w:eastAsia="宋体" w:cs="Times New Roman"/>
          <w:color w:val="FF0000"/>
          <w:highlight w:val="none"/>
          <w:lang w:eastAsia="zh-CN"/>
        </w:rPr>
        <w:t>五</w:t>
      </w:r>
      <w:r>
        <w:rPr>
          <w:rFonts w:hint="eastAsia" w:ascii="宋体" w:hAnsi="宋体" w:eastAsia="Times New Roman" w:cs="Times New Roman"/>
          <w:color w:val="FF0000"/>
          <w:highlight w:val="none"/>
        </w:rPr>
        <w:t>、请投标供应商阅读《政府采购违法行为风险知悉确认书》（内容详见“投标文件附件（信息不公开部分）”中“投标人认为需要加以说明的其他内容（格式自定）”</w:t>
      </w:r>
      <w:r>
        <w:rPr>
          <w:rFonts w:hint="eastAsia" w:ascii="宋体" w:hAnsi="宋体" w:eastAsia="宋体" w:cs="Times New Roman"/>
          <w:color w:val="FF0000"/>
          <w:highlight w:val="none"/>
          <w:lang w:eastAsia="zh-CN"/>
        </w:rPr>
        <w:t>）</w:t>
      </w:r>
      <w:r>
        <w:rPr>
          <w:rFonts w:hint="eastAsia" w:ascii="宋体" w:hAnsi="宋体" w:eastAsia="Times New Roman" w:cs="Times New Roman"/>
          <w:color w:val="FF0000"/>
          <w:highlight w:val="none"/>
        </w:rPr>
        <w:t>，并经各投标供应商负责人或投标授权代表签字并加盖单位公章后，扫描上传至投标文件一并提交。</w:t>
      </w:r>
    </w:p>
    <w:p w14:paraId="2FF45F21">
      <w:pPr>
        <w:ind w:firstLine="480" w:firstLineChars="200"/>
        <w:rPr>
          <w:rFonts w:hint="eastAsia" w:ascii="宋体" w:hAnsi="宋体" w:eastAsia="Times New Roman" w:cs="Times New Roman"/>
          <w:color w:val="FF0000"/>
          <w:highlight w:val="none"/>
        </w:rPr>
      </w:pPr>
      <w:r>
        <w:rPr>
          <w:rFonts w:hint="eastAsia" w:ascii="宋体" w:hAnsi="宋体" w:eastAsia="Times New Roman" w:cs="Times New Roman"/>
          <w:color w:val="FF0000"/>
          <w:highlight w:val="none"/>
        </w:rPr>
        <w:t>注：该风险知悉确认书用于对供应商违法行为的警示，不作为供应商资格性审查及符合性审查条件。</w:t>
      </w:r>
    </w:p>
    <w:p w14:paraId="432581F1">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cs="Times New Roman"/>
          <w:b w:val="0"/>
          <w:bCs w:val="0"/>
          <w:color w:val="FF0000"/>
          <w:sz w:val="24"/>
          <w:szCs w:val="24"/>
          <w:highlight w:val="none"/>
          <w:lang w:val="en-US" w:eastAsia="zh-CN"/>
        </w:rPr>
        <w:t>六</w:t>
      </w:r>
      <w:r>
        <w:rPr>
          <w:rFonts w:hint="eastAsia" w:ascii="宋体" w:hAnsi="宋体" w:eastAsia="Times New Roman" w:cs="Times New Roman"/>
          <w:b w:val="0"/>
          <w:bCs w:val="0"/>
          <w:color w:val="FF0000"/>
          <w:sz w:val="24"/>
          <w:szCs w:val="24"/>
          <w:highlight w:val="none"/>
          <w:lang w:val="en-US" w:eastAsia="zh-CN"/>
        </w:rPr>
        <w:t>、</w:t>
      </w:r>
      <w:r>
        <w:rPr>
          <w:rFonts w:hint="eastAsia" w:ascii="宋体" w:hAnsi="宋体" w:eastAsia="Times New Roman" w:cs="Times New Roman"/>
          <w:b w:val="0"/>
          <w:bCs w:val="0"/>
          <w:color w:val="FF0000"/>
          <w:highlight w:val="none"/>
        </w:rPr>
        <w:t>供应商在使用深圳政府采购智慧平台的投标文件制作工具创建投标文件时，该工具将自动在投标文件中记录文件创建标识码，同时提取投标文件制作电脑的网卡MAC地址、硬盘序列号、CPU 序列号、主板序列号和工具标识号，经加密生成文件制作机器码并在投标文件中记录。文件制作机器码一致表明不同供应商使用了同一设备编制投标文件，文件创建标识码一致表明不同供应商的投标文件为同一份文件，IP 地址一致表明上传投标文件时使用了相同的网络。</w:t>
      </w:r>
    </w:p>
    <w:p w14:paraId="776E2870">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rPr>
      </w:pPr>
      <w:r>
        <w:rPr>
          <w:rFonts w:hint="eastAsia" w:ascii="宋体" w:hAnsi="宋体" w:eastAsia="宋体" w:cs="Times New Roman"/>
          <w:b w:val="0"/>
          <w:bCs w:val="0"/>
          <w:color w:val="FF0000"/>
          <w:highlight w:val="none"/>
          <w:lang w:eastAsia="zh-CN"/>
        </w:rPr>
        <w:t>七</w:t>
      </w:r>
      <w:r>
        <w:rPr>
          <w:rFonts w:hint="eastAsia" w:ascii="宋体" w:hAnsi="宋体" w:eastAsia="Times New Roman" w:cs="Times New Roman"/>
          <w:b w:val="0"/>
          <w:bCs w:val="0"/>
          <w:color w:val="FF0000"/>
          <w:highlight w:val="none"/>
        </w:rPr>
        <w:t>、为避免出现不同供应商投标文件的文件制作机器码、文件创建标识码、IP地址一致的异常情况，建议各供应商编制、上传投标文件时不要使用公共电脑设备或公共网络。</w:t>
      </w:r>
    </w:p>
    <w:p w14:paraId="5627C20A">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eastAsia="宋体" w:cs="Times New Roman"/>
          <w:b w:val="0"/>
          <w:bCs w:val="0"/>
          <w:color w:val="FF0000"/>
          <w:highlight w:val="none"/>
          <w:lang w:eastAsia="zh-CN"/>
        </w:rPr>
        <w:t>八</w:t>
      </w:r>
      <w:r>
        <w:rPr>
          <w:rFonts w:hint="eastAsia" w:ascii="宋体" w:hAnsi="宋体" w:eastAsia="Times New Roman" w:cs="Times New Roman"/>
          <w:b w:val="0"/>
          <w:bCs w:val="0"/>
          <w:color w:val="FF0000"/>
          <w:highlight w:val="none"/>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61F73DBB">
      <w:pPr>
        <w:rPr>
          <w:color w:val="000000" w:themeColor="text1"/>
          <w14:textFill>
            <w14:solidFill>
              <w14:schemeClr w14:val="tx1"/>
            </w14:solidFill>
          </w14:textFill>
        </w:rPr>
      </w:pPr>
    </w:p>
    <w:p w14:paraId="5A7585C4">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目   录</w:t>
      </w:r>
    </w:p>
    <w:p w14:paraId="34434CD4">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第一册  专用条款</w:t>
      </w:r>
    </w:p>
    <w:p w14:paraId="721D4C83">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招标公告</w:t>
      </w:r>
    </w:p>
    <w:p w14:paraId="651FFDE0">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第二章  </w:t>
      </w:r>
      <w:bookmarkStart w:id="2" w:name="_Hlk71994379"/>
      <w:r>
        <w:rPr>
          <w:rFonts w:hint="eastAsia" w:ascii="宋体" w:hAnsi="宋体" w:eastAsia="宋体"/>
          <w:color w:val="000000" w:themeColor="text1"/>
          <w:szCs w:val="21"/>
          <w14:textFill>
            <w14:solidFill>
              <w14:schemeClr w14:val="tx1"/>
            </w14:solidFill>
          </w14:textFill>
        </w:rPr>
        <w:t>对通用条款的补充内容及其他关键信息</w:t>
      </w:r>
      <w:bookmarkEnd w:id="2"/>
    </w:p>
    <w:p w14:paraId="21F064FE">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用户需求书</w:t>
      </w:r>
    </w:p>
    <w:p w14:paraId="442C1636">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投标文件组成要求及格式</w:t>
      </w:r>
    </w:p>
    <w:p w14:paraId="3C12190E">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合同条款及格式</w:t>
      </w:r>
    </w:p>
    <w:p w14:paraId="3F1D923F">
      <w:pPr>
        <w:rPr>
          <w:rFonts w:eastAsia="宋体"/>
        </w:rPr>
      </w:pPr>
    </w:p>
    <w:p w14:paraId="69B8D17A">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第二册  通用条款</w:t>
      </w:r>
    </w:p>
    <w:p w14:paraId="04AD4894">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总则</w:t>
      </w:r>
    </w:p>
    <w:p w14:paraId="5328A70A">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第二章  招标文件</w:t>
      </w:r>
    </w:p>
    <w:p w14:paraId="3BAE73F9">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投标文件的编制</w:t>
      </w:r>
    </w:p>
    <w:p w14:paraId="1136301C">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投标文件的递交</w:t>
      </w:r>
    </w:p>
    <w:p w14:paraId="5226ACE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开标</w:t>
      </w:r>
    </w:p>
    <w:p w14:paraId="00E82EBF">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第六章  评审要求</w:t>
      </w:r>
    </w:p>
    <w:p w14:paraId="6B765496">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第七章  评审程序及评审方法</w:t>
      </w:r>
    </w:p>
    <w:p w14:paraId="5C837272">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第八章  定标及公示</w:t>
      </w:r>
    </w:p>
    <w:p w14:paraId="6EF2356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第九章  公开招标失败的后续处理</w:t>
      </w:r>
    </w:p>
    <w:p w14:paraId="250301DA">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第十章  合同的授予与备案</w:t>
      </w:r>
    </w:p>
    <w:p w14:paraId="72C44A0B">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第十一章  质疑处理</w:t>
      </w:r>
    </w:p>
    <w:p w14:paraId="1C29A5AC">
      <w:pPr>
        <w:spacing w:line="360" w:lineRule="auto"/>
        <w:ind w:firstLine="480" w:firstLineChars="200"/>
        <w:rPr>
          <w:rFonts w:ascii="宋体" w:hAnsi="宋体" w:eastAsia="宋体"/>
          <w:color w:val="000000" w:themeColor="text1"/>
          <w:szCs w:val="21"/>
          <w14:textFill>
            <w14:solidFill>
              <w14:schemeClr w14:val="tx1"/>
            </w14:solidFill>
          </w14:textFill>
        </w:rPr>
      </w:pPr>
    </w:p>
    <w:p w14:paraId="3CFB6875">
      <w:pPr>
        <w:pStyle w:val="3"/>
        <w:rPr>
          <w:color w:val="000000" w:themeColor="text1"/>
          <w:sz w:val="24"/>
          <w14:textFill>
            <w14:solidFill>
              <w14:schemeClr w14:val="tx1"/>
            </w14:solidFill>
          </w14:textFill>
        </w:rPr>
      </w:pPr>
      <w:r>
        <w:rPr>
          <w:rFonts w:eastAsia="宋体"/>
          <w:color w:val="000000" w:themeColor="text1"/>
          <w14:textFill>
            <w14:solidFill>
              <w14:schemeClr w14:val="tx1"/>
            </w14:solidFill>
          </w14:textFill>
        </w:rPr>
        <w:br w:type="page"/>
      </w:r>
      <w:bookmarkStart w:id="3" w:name="bt开标一览表"/>
      <w:bookmarkEnd w:id="3"/>
      <w:bookmarkStart w:id="4" w:name="bt合同格式"/>
      <w:bookmarkEnd w:id="4"/>
      <w:bookmarkStart w:id="5" w:name="bt合同条款"/>
      <w:bookmarkEnd w:id="5"/>
      <w:bookmarkStart w:id="6" w:name="bt项目管理班子配备情况"/>
      <w:bookmarkEnd w:id="6"/>
      <w:bookmarkStart w:id="7" w:name="bt说明"/>
      <w:bookmarkEnd w:id="7"/>
      <w:bookmarkStart w:id="8" w:name="bt技术标投标文件格式"/>
      <w:bookmarkEnd w:id="8"/>
      <w:bookmarkStart w:id="9" w:name="bt投标函"/>
      <w:bookmarkEnd w:id="9"/>
      <w:bookmarkStart w:id="10" w:name="bt商务标投标文件格式"/>
      <w:bookmarkEnd w:id="10"/>
      <w:bookmarkStart w:id="11" w:name="bt其他资料由投标人自定"/>
      <w:bookmarkEnd w:id="11"/>
      <w:bookmarkStart w:id="12" w:name="bt投标人情况介绍"/>
      <w:bookmarkEnd w:id="12"/>
      <w:bookmarkStart w:id="13" w:name="bt其他资料2"/>
      <w:bookmarkEnd w:id="13"/>
      <w:bookmarkStart w:id="14" w:name="bt本工程承诺书"/>
      <w:bookmarkEnd w:id="14"/>
      <w:bookmarkStart w:id="15" w:name="bt投标人须知"/>
      <w:bookmarkEnd w:id="15"/>
      <w:bookmarkStart w:id="16" w:name="合同格式"/>
      <w:bookmarkEnd w:id="16"/>
      <w:bookmarkStart w:id="17" w:name="bt投标文件签署授权委托书"/>
      <w:bookmarkEnd w:id="17"/>
      <w:bookmarkStart w:id="18" w:name="bt投标报价汇总表"/>
      <w:bookmarkEnd w:id="18"/>
      <w:bookmarkStart w:id="19" w:name="bt合同条款及格式"/>
      <w:bookmarkEnd w:id="19"/>
      <w:r>
        <w:rPr>
          <w:rFonts w:hint="eastAsia"/>
          <w:color w:val="000000" w:themeColor="text1"/>
          <w14:textFill>
            <w14:solidFill>
              <w14:schemeClr w14:val="tx1"/>
            </w14:solidFill>
          </w14:textFill>
        </w:rPr>
        <w:t>第一册专用条款</w:t>
      </w:r>
    </w:p>
    <w:p w14:paraId="31CE54D7">
      <w:pPr>
        <w:pStyle w:val="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第一章  </w:t>
      </w:r>
      <w:r>
        <w:rPr>
          <w:rFonts w:hint="eastAsia" w:cs="宋体"/>
          <w:b/>
          <w:bCs/>
          <w:color w:val="000000" w:themeColor="text1"/>
          <w:szCs w:val="21"/>
          <w14:textFill>
            <w14:solidFill>
              <w14:schemeClr w14:val="tx1"/>
            </w14:solidFill>
          </w14:textFill>
        </w:rPr>
        <w:t>招标公告</w:t>
      </w:r>
      <w:r>
        <w:rPr>
          <w:rFonts w:hint="eastAsia"/>
          <w:b/>
          <w:bCs/>
          <w:color w:val="000000" w:themeColor="text1"/>
          <w14:textFill>
            <w14:solidFill>
              <w14:schemeClr w14:val="tx1"/>
            </w14:solidFill>
          </w14:textFill>
        </w:rPr>
        <w:t xml:space="preserve">  </w:t>
      </w:r>
    </w:p>
    <w:p w14:paraId="12E8B3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本公告内涉及时间的相关内容均已对外发布的招标公告内容为准</w:t>
      </w:r>
    </w:p>
    <w:p w14:paraId="46AC07B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p>
    <w:p w14:paraId="163EA11E">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lang w:eastAsia="zh-CN"/>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一、项目概况：</w:t>
      </w:r>
    </w:p>
    <w:p w14:paraId="0A76215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color w:val="FF0000"/>
          <w:highlight w:val="yellow"/>
          <w:u w:val="single"/>
          <w:lang w:val="en-US" w:eastAsia="zh-CN"/>
        </w:rPr>
        <w:t>福田区二类监控及视频联网系统维护项目</w:t>
      </w:r>
      <w:r>
        <w:rPr>
          <w:rFonts w:hint="eastAsia" w:ascii="宋体" w:hAnsi="宋体" w:eastAsia="宋体" w:cs="宋体"/>
        </w:rPr>
        <w:t>的潜在投标人应在（本公告附件中）获取招标文件，于</w:t>
      </w:r>
      <w:r>
        <w:rPr>
          <w:rFonts w:hint="eastAsia" w:ascii="宋体" w:hAnsi="宋体" w:eastAsia="宋体" w:cs="宋体"/>
          <w:color w:val="FF0000"/>
          <w:highlight w:val="yellow"/>
          <w:lang w:eastAsia="zh-CN"/>
        </w:rPr>
        <w:t>202</w:t>
      </w:r>
      <w:r>
        <w:rPr>
          <w:rFonts w:hint="eastAsia" w:ascii="宋体" w:hAnsi="宋体" w:eastAsia="宋体" w:cs="宋体"/>
          <w:color w:val="FF0000"/>
          <w:highlight w:val="yellow"/>
          <w:lang w:val="en-US" w:eastAsia="zh-CN"/>
        </w:rPr>
        <w:t>5</w:t>
      </w:r>
      <w:r>
        <w:rPr>
          <w:rFonts w:hint="eastAsia" w:ascii="宋体" w:hAnsi="宋体" w:eastAsia="宋体" w:cs="宋体"/>
          <w:color w:val="FF0000"/>
          <w:highlight w:val="yellow"/>
          <w:lang w:eastAsia="zh-CN"/>
        </w:rPr>
        <w:t>年</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月</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日</w:t>
      </w:r>
      <w:r>
        <w:rPr>
          <w:rFonts w:hint="eastAsia" w:ascii="宋体" w:hAnsi="宋体" w:eastAsia="宋体" w:cs="宋体"/>
          <w:color w:val="FF0000"/>
          <w:highlight w:val="yellow"/>
          <w:lang w:val="en-US" w:eastAsia="zh-CN"/>
        </w:rPr>
        <w:t>XX时XX分XX秒</w:t>
      </w:r>
      <w:r>
        <w:rPr>
          <w:rFonts w:hint="eastAsia" w:ascii="宋体" w:hAnsi="宋体" w:eastAsia="宋体" w:cs="宋体"/>
        </w:rPr>
        <w:t>（北京时间）前递交投标文件。</w:t>
      </w:r>
    </w:p>
    <w:p w14:paraId="47F71DE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一、项目基本情况</w:t>
      </w:r>
    </w:p>
    <w:p w14:paraId="38948B3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lang w:val="en-US" w:eastAsia="zh-CN"/>
        </w:rPr>
      </w:pPr>
      <w:r>
        <w:rPr>
          <w:rFonts w:hint="eastAsia" w:ascii="宋体" w:hAnsi="宋体" w:eastAsia="宋体" w:cs="宋体"/>
        </w:rPr>
        <w:t>1.项目编号：</w:t>
      </w:r>
      <w:r>
        <w:rPr>
          <w:rFonts w:hint="eastAsia" w:ascii="宋体" w:hAnsi="宋体" w:eastAsia="宋体" w:cs="宋体"/>
          <w:color w:val="FF0000"/>
          <w:highlight w:val="yellow"/>
          <w:u w:val="single"/>
          <w:lang w:val="en-US" w:eastAsia="zh-CN"/>
        </w:rPr>
        <w:t>FTDL2025000096</w:t>
      </w:r>
    </w:p>
    <w:p w14:paraId="2A07477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lang w:eastAsia="zh-CN"/>
        </w:rPr>
      </w:pPr>
      <w:r>
        <w:rPr>
          <w:rFonts w:hint="eastAsia" w:ascii="宋体" w:hAnsi="宋体" w:eastAsia="宋体" w:cs="宋体"/>
        </w:rPr>
        <w:t>2.项目名称：</w:t>
      </w:r>
      <w:r>
        <w:rPr>
          <w:rFonts w:hint="eastAsia" w:ascii="宋体" w:hAnsi="宋体" w:eastAsia="宋体" w:cs="宋体"/>
          <w:color w:val="FF0000"/>
          <w:highlight w:val="yellow"/>
          <w:u w:val="single"/>
          <w:lang w:val="en-US" w:eastAsia="zh-CN"/>
        </w:rPr>
        <w:t>福田区二类监控及视频联网系统维护项目</w:t>
      </w:r>
    </w:p>
    <w:p w14:paraId="6708205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3.预算金额：</w:t>
      </w:r>
      <w:r>
        <w:rPr>
          <w:rFonts w:hint="eastAsia" w:ascii="宋体" w:hAnsi="宋体" w:eastAsia="宋体" w:cs="宋体"/>
          <w:color w:val="FF0000"/>
          <w:highlight w:val="yellow"/>
          <w:lang w:val="en-US" w:eastAsia="zh-CN"/>
        </w:rPr>
        <w:t>18,319,000.00元</w:t>
      </w:r>
    </w:p>
    <w:p w14:paraId="5C15ECB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4.最高限价：</w:t>
      </w:r>
      <w:r>
        <w:rPr>
          <w:rFonts w:hint="eastAsia" w:ascii="宋体" w:hAnsi="宋体" w:eastAsia="宋体" w:cs="宋体"/>
          <w:color w:val="FF0000"/>
          <w:highlight w:val="yellow"/>
          <w:lang w:val="en-US" w:eastAsia="zh-CN"/>
        </w:rPr>
        <w:t>18,319,000.00元</w:t>
      </w:r>
    </w:p>
    <w:p w14:paraId="6DFE95C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5.采购需求：</w:t>
      </w:r>
    </w:p>
    <w:tbl>
      <w:tblPr>
        <w:tblStyle w:val="16"/>
        <w:tblW w:w="7941" w:type="dxa"/>
        <w:tblInd w:w="0" w:type="dxa"/>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fixed"/>
        <w:tblCellMar>
          <w:top w:w="60" w:type="dxa"/>
          <w:left w:w="60" w:type="dxa"/>
          <w:bottom w:w="60" w:type="dxa"/>
          <w:right w:w="60" w:type="dxa"/>
        </w:tblCellMar>
      </w:tblPr>
      <w:tblGrid>
        <w:gridCol w:w="2228"/>
        <w:gridCol w:w="714"/>
        <w:gridCol w:w="714"/>
        <w:gridCol w:w="3571"/>
        <w:gridCol w:w="714"/>
      </w:tblGrid>
      <w:tr w14:paraId="3E8D3205">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594BB623">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标的名称</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3F86D356">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数量</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7288507A">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单位</w:t>
            </w:r>
          </w:p>
        </w:tc>
        <w:tc>
          <w:tcPr>
            <w:tcW w:w="3571"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781BD616">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简要技术需求（服务需求）</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476CFB0C">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备注</w:t>
            </w:r>
          </w:p>
        </w:tc>
      </w:tr>
      <w:tr w14:paraId="3E331B1F">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vAlign w:val="center"/>
          </w:tcPr>
          <w:p w14:paraId="3F919990">
            <w:pPr>
              <w:spacing w:before="100" w:beforeAutospacing="1" w:after="100" w:afterAutospacing="1"/>
              <w:jc w:val="center"/>
              <w:rPr>
                <w:rFonts w:hint="eastAsia" w:cs="宋体" w:asciiTheme="minorEastAsia" w:hAnsiTheme="minorEastAsia" w:eastAsiaTheme="minorEastAsia"/>
                <w:szCs w:val="21"/>
                <w:highlight w:val="yellow"/>
                <w:lang w:eastAsia="zh-CN"/>
              </w:rPr>
            </w:pPr>
            <w:r>
              <w:rPr>
                <w:rFonts w:hint="eastAsia" w:ascii="宋体" w:hAnsi="宋体" w:eastAsia="宋体" w:cs="宋体"/>
                <w:color w:val="FF0000"/>
                <w:highlight w:val="yellow"/>
                <w:u w:val="single"/>
                <w:lang w:val="en-US" w:eastAsia="zh-CN"/>
              </w:rPr>
              <w:t>福田区二类监控及视频联网系统维护项目</w:t>
            </w:r>
          </w:p>
        </w:tc>
        <w:tc>
          <w:tcPr>
            <w:tcW w:w="714" w:type="dxa"/>
            <w:tcBorders>
              <w:top w:val="outset" w:color="AAAAAA" w:sz="6" w:space="0"/>
              <w:left w:val="outset" w:color="AAAAAA" w:sz="6" w:space="0"/>
              <w:bottom w:val="outset" w:color="AAAAAA" w:sz="6" w:space="0"/>
              <w:right w:val="outset" w:color="AAAAAA" w:sz="6" w:space="0"/>
            </w:tcBorders>
            <w:vAlign w:val="center"/>
          </w:tcPr>
          <w:p w14:paraId="1328E6B3">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1.0</w:t>
            </w:r>
          </w:p>
        </w:tc>
        <w:tc>
          <w:tcPr>
            <w:tcW w:w="714" w:type="dxa"/>
            <w:tcBorders>
              <w:top w:val="outset" w:color="AAAAAA" w:sz="6" w:space="0"/>
              <w:left w:val="outset" w:color="AAAAAA" w:sz="6" w:space="0"/>
              <w:bottom w:val="outset" w:color="AAAAAA" w:sz="6" w:space="0"/>
              <w:right w:val="outset" w:color="AAAAAA" w:sz="6" w:space="0"/>
            </w:tcBorders>
            <w:vAlign w:val="center"/>
          </w:tcPr>
          <w:p w14:paraId="240AF474">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项</w:t>
            </w:r>
          </w:p>
        </w:tc>
        <w:tc>
          <w:tcPr>
            <w:tcW w:w="3571" w:type="dxa"/>
            <w:tcBorders>
              <w:top w:val="outset" w:color="AAAAAA" w:sz="6" w:space="0"/>
              <w:left w:val="outset" w:color="AAAAAA" w:sz="6" w:space="0"/>
              <w:bottom w:val="outset" w:color="AAAAAA" w:sz="6" w:space="0"/>
              <w:right w:val="outset" w:color="AAAAAA" w:sz="6" w:space="0"/>
            </w:tcBorders>
            <w:vAlign w:val="center"/>
          </w:tcPr>
          <w:p w14:paraId="53C08F04">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详见采购文件</w:t>
            </w:r>
          </w:p>
        </w:tc>
        <w:tc>
          <w:tcPr>
            <w:tcW w:w="714" w:type="dxa"/>
            <w:tcBorders>
              <w:top w:val="outset" w:color="AAAAAA" w:sz="6" w:space="0"/>
              <w:left w:val="outset" w:color="AAAAAA" w:sz="6" w:space="0"/>
              <w:bottom w:val="outset" w:color="AAAAAA" w:sz="6" w:space="0"/>
              <w:right w:val="outset" w:color="AAAAAA" w:sz="6" w:space="0"/>
            </w:tcBorders>
            <w:vAlign w:val="center"/>
          </w:tcPr>
          <w:p w14:paraId="716B0DCD">
            <w:pPr>
              <w:jc w:val="center"/>
              <w:rPr>
                <w:rFonts w:cs="宋体" w:asciiTheme="minorEastAsia" w:hAnsiTheme="minorEastAsia" w:eastAsiaTheme="minorEastAsia"/>
                <w:szCs w:val="21"/>
              </w:rPr>
            </w:pPr>
          </w:p>
        </w:tc>
      </w:tr>
    </w:tbl>
    <w:p w14:paraId="3B00E92B">
      <w:pPr>
        <w:spacing w:line="400" w:lineRule="exact"/>
        <w:ind w:firstLine="480" w:firstLineChars="200"/>
        <w:rPr>
          <w:rFonts w:hint="eastAsia" w:ascii="宋体" w:hAnsi="宋体" w:eastAsia="宋体" w:cs="宋体"/>
        </w:rPr>
      </w:pPr>
      <w:r>
        <w:rPr>
          <w:rFonts w:hint="eastAsia" w:ascii="宋体" w:hAnsi="宋体" w:eastAsia="宋体" w:cs="宋体"/>
        </w:rPr>
        <w:t>6.合同履行期限：详见招标文件。</w:t>
      </w:r>
    </w:p>
    <w:p w14:paraId="7D78F43E">
      <w:pPr>
        <w:spacing w:line="400" w:lineRule="exact"/>
        <w:ind w:firstLine="480" w:firstLineChars="200"/>
        <w:rPr>
          <w:rFonts w:hint="eastAsia" w:ascii="宋体" w:hAnsi="宋体" w:eastAsia="宋体" w:cs="宋体"/>
        </w:rPr>
      </w:pPr>
      <w:r>
        <w:rPr>
          <w:rFonts w:hint="eastAsia" w:ascii="宋体" w:hAnsi="宋体" w:eastAsia="宋体" w:cs="宋体"/>
        </w:rPr>
        <w:t>7.本项目</w:t>
      </w:r>
      <w:r>
        <w:rPr>
          <w:rFonts w:hint="eastAsia" w:ascii="宋体" w:hAnsi="宋体" w:eastAsia="宋体" w:cs="宋体"/>
          <w:lang w:val="en-US" w:eastAsia="zh-CN"/>
        </w:rPr>
        <w:t>不</w:t>
      </w:r>
      <w:r>
        <w:rPr>
          <w:rFonts w:hint="eastAsia" w:ascii="宋体" w:hAnsi="宋体" w:eastAsia="宋体" w:cs="宋体"/>
        </w:rPr>
        <w:t>接受联合体投标。</w:t>
      </w:r>
    </w:p>
    <w:p w14:paraId="0C70AB05">
      <w:pPr>
        <w:spacing w:beforeLines="0" w:afterLines="0" w:line="240" w:lineRule="auto"/>
        <w:rPr>
          <w:rFonts w:hint="eastAsia" w:ascii="宋体" w:hAnsi="宋体" w:eastAsia="宋体" w:cs="宋体"/>
          <w:b/>
          <w:color w:val="000000" w:themeColor="text1"/>
          <w:szCs w:val="21"/>
          <w:lang w:eastAsia="zh-CN"/>
          <w14:textFill>
            <w14:solidFill>
              <w14:schemeClr w14:val="tx1"/>
            </w14:solidFill>
          </w14:textFill>
        </w:rPr>
      </w:pPr>
    </w:p>
    <w:p w14:paraId="234310BF">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二、</w:t>
      </w:r>
      <w:r>
        <w:rPr>
          <w:rFonts w:hint="eastAsia" w:ascii="宋体" w:hAnsi="宋体" w:eastAsia="宋体" w:cs="宋体"/>
          <w:b/>
          <w:color w:val="000000" w:themeColor="text1"/>
          <w:szCs w:val="21"/>
          <w14:textFill>
            <w14:solidFill>
              <w14:schemeClr w14:val="tx1"/>
            </w14:solidFill>
          </w14:textFill>
        </w:rPr>
        <w:t>投标人的资格要求：</w:t>
      </w:r>
    </w:p>
    <w:p w14:paraId="0037108D">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1.</w:t>
      </w:r>
      <w:r>
        <w:rPr>
          <w:rFonts w:hint="eastAsia" w:ascii="仿宋" w:hAnsi="仿宋" w:eastAsia="仿宋" w:cs="仿宋"/>
          <w:color w:val="000000"/>
          <w:sz w:val="24"/>
          <w:highlight w:val="none"/>
        </w:rPr>
        <w:t>具有独立法人资格或是具有独立承担民事责任能力的其它组织（提供营业执照或事业单位法人证书或其他证明材料扫描件，如果参与投标的供应商为分公司则须提供分公司营业执照、其所属集团(或总公司)等具有独立法人资格的组织出具愿为其参与本项目投标以及履约行为承担民事责任</w:t>
      </w:r>
      <w:r>
        <w:rPr>
          <w:rFonts w:hint="eastAsia" w:ascii="仿宋" w:hAnsi="仿宋" w:eastAsia="仿宋" w:cs="仿宋"/>
          <w:color w:val="000000"/>
          <w:sz w:val="24"/>
          <w:highlight w:val="none"/>
          <w:lang w:eastAsia="zh-CN"/>
        </w:rPr>
        <w:t>的</w:t>
      </w:r>
      <w:r>
        <w:rPr>
          <w:rFonts w:hint="eastAsia" w:ascii="仿宋" w:hAnsi="仿宋" w:eastAsia="仿宋" w:cs="仿宋"/>
          <w:color w:val="000000"/>
          <w:sz w:val="24"/>
          <w:highlight w:val="none"/>
        </w:rPr>
        <w:t>授权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w:t>
      </w:r>
      <w:r>
        <w:rPr>
          <w:rFonts w:hint="eastAsia" w:ascii="仿宋" w:hAnsi="仿宋" w:eastAsia="仿宋" w:cs="仿宋"/>
          <w:color w:val="000000"/>
          <w:sz w:val="24"/>
          <w:highlight w:val="none"/>
          <w:lang w:eastAsia="zh-CN"/>
        </w:rPr>
        <w:t>应答文件</w:t>
      </w:r>
      <w:r>
        <w:rPr>
          <w:rFonts w:hint="eastAsia" w:ascii="仿宋" w:hAnsi="仿宋" w:eastAsia="仿宋" w:cs="仿宋"/>
          <w:color w:val="000000"/>
          <w:sz w:val="24"/>
          <w:highlight w:val="none"/>
        </w:rPr>
        <w:t>均按无效投标处理)</w:t>
      </w:r>
      <w:r>
        <w:rPr>
          <w:rFonts w:hint="eastAsia" w:ascii="仿宋" w:hAnsi="仿宋" w:eastAsia="仿宋" w:cs="仿宋"/>
          <w:color w:val="000000"/>
          <w:sz w:val="24"/>
          <w:highlight w:val="none"/>
          <w:lang w:eastAsia="zh-CN"/>
        </w:rPr>
        <w:t>。上述资料</w:t>
      </w:r>
      <w:r>
        <w:rPr>
          <w:rFonts w:hint="eastAsia" w:ascii="仿宋" w:hAnsi="仿宋" w:eastAsia="仿宋" w:cs="仿宋"/>
          <w:color w:val="000000"/>
          <w:sz w:val="24"/>
          <w:highlight w:val="none"/>
        </w:rPr>
        <w:t>原件备查）</w:t>
      </w:r>
      <w:r>
        <w:rPr>
          <w:rFonts w:hint="eastAsia" w:ascii="仿宋" w:hAnsi="仿宋" w:eastAsia="仿宋" w:cs="仿宋"/>
          <w:color w:val="000000"/>
          <w:sz w:val="24"/>
          <w:highlight w:val="none"/>
          <w:lang w:eastAsia="zh-CN"/>
        </w:rPr>
        <w:t>；</w:t>
      </w:r>
    </w:p>
    <w:p w14:paraId="19357993">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2.</w:t>
      </w:r>
      <w:r>
        <w:rPr>
          <w:rFonts w:hint="eastAsia" w:ascii="仿宋" w:hAnsi="仿宋" w:eastAsia="仿宋" w:cs="仿宋"/>
          <w:sz w:val="24"/>
        </w:rPr>
        <w:t>参与本项目政府采购活动时不存在被有关部门禁止参与政府采购活动且在有效期内的情况（由供应商在《政府采购投标及履约承诺函》中作出声明，加盖公章）；</w:t>
      </w:r>
    </w:p>
    <w:p w14:paraId="314D6B18">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3.</w:t>
      </w:r>
      <w:r>
        <w:rPr>
          <w:rFonts w:hint="eastAsia" w:ascii="仿宋" w:hAnsi="仿宋" w:eastAsia="仿宋" w:cs="仿宋"/>
          <w:sz w:val="24"/>
        </w:rPr>
        <w:t>具备《中华人民共和国政府采购法》第二十二条第一款的条件（由供应商在《政府采购投标及履约承诺函》中作出声明，加盖公章）；</w:t>
      </w:r>
    </w:p>
    <w:p w14:paraId="7F87198E">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4.</w:t>
      </w:r>
      <w:r>
        <w:rPr>
          <w:rFonts w:hint="eastAsia" w:ascii="仿宋" w:hAnsi="仿宋" w:eastAsia="仿宋" w:cs="仿宋"/>
          <w:sz w:val="24"/>
        </w:rPr>
        <w:t>未被列入失信被执行人、重大税收违法失信主体、政府采购严重违法失信行为记录名单（由供应商在《政府采购投标及履约承诺函》中作出声明，加盖公章）；【注：采购代理机构将通过“信用中国”中“信用服务”栏的“重大税收违法失信主体”“失信被执行人”、“中国政府采购网”中的“政府采购严重违法失信行为记录名单”、“深圳信用网”以及“深圳市政府采购监管网”查询供应商的信用信息，相关信息以开标当日的查询结果为准。信用信息查询记录将作为项目档案材料一并保存。】</w:t>
      </w:r>
    </w:p>
    <w:p w14:paraId="068E9B8D">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5.</w:t>
      </w:r>
      <w:r>
        <w:rPr>
          <w:rFonts w:hint="eastAsia" w:ascii="仿宋" w:hAnsi="仿宋" w:eastAsia="仿宋" w:cs="仿宋"/>
          <w:sz w:val="24"/>
        </w:rPr>
        <w:t>单位法定代表人（负责人）为同一人或者存在直接控股、管理关系的不同供应商，不得同时参加本项目投标（由供应商在《政府采购投标及履约承诺函》中作出声明，加盖公章）【注：采购代理机构将通过国家企业信用信息公示系统(https://www.gsxt.gov.cn/index.html）、机关赋码和事业单位登记管理网（http://gjsy.gov.cn/sydwfrxxcx/)、全国社会组织信用信息公示平台（https://xxgs.chinanpo.mca.gov.cn/gsxt/newList 等网站查询供应商信息，相关信息以截标当日的查询结果为准】；</w:t>
      </w:r>
    </w:p>
    <w:p w14:paraId="2618AC9C">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6.</w:t>
      </w:r>
      <w:r>
        <w:rPr>
          <w:rFonts w:hint="eastAsia" w:ascii="仿宋" w:hAnsi="仿宋" w:eastAsia="仿宋" w:cs="仿宋"/>
          <w:sz w:val="24"/>
        </w:rPr>
        <w:t>不存在《深圳市财政局政府采购供应商信用信息管理办法》（深财规〔2023〕3 号）列明的严重违法失信行为（由供应商在《政府采购投标及履约承诺函》中作出声明）；</w:t>
      </w:r>
    </w:p>
    <w:p w14:paraId="1C3D757D">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7.</w:t>
      </w:r>
      <w:r>
        <w:rPr>
          <w:rFonts w:hint="eastAsia" w:ascii="仿宋" w:hAnsi="仿宋" w:eastAsia="仿宋" w:cs="仿宋"/>
          <w:sz w:val="24"/>
        </w:rPr>
        <w:t>为本项目提供整体设计、规范编制或者项目管理、监理、检测等服务的供应商，不得参加本项目投标。（由供应商在《政府采购投标及履约承诺函》中作出声明，加盖公章）；</w:t>
      </w:r>
    </w:p>
    <w:p w14:paraId="014ED784">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rPr>
      </w:pPr>
      <w:r>
        <w:rPr>
          <w:rFonts w:ascii="仿宋" w:hAnsi="仿宋" w:eastAsia="仿宋" w:cs="仿宋"/>
          <w:sz w:val="24"/>
          <w:szCs w:val="24"/>
        </w:rPr>
        <w:t>8.</w:t>
      </w:r>
      <w:r>
        <w:rPr>
          <w:rFonts w:hint="eastAsia" w:ascii="仿宋" w:hAnsi="仿宋" w:eastAsia="仿宋" w:cs="仿宋"/>
          <w:sz w:val="24"/>
        </w:rPr>
        <w:t>本项目</w:t>
      </w:r>
      <w:r>
        <w:rPr>
          <w:rFonts w:hint="eastAsia" w:ascii="仿宋" w:hAnsi="仿宋" w:eastAsia="仿宋" w:cs="仿宋"/>
          <w:sz w:val="24"/>
          <w:highlight w:val="yellow"/>
          <w:u w:val="single"/>
        </w:rPr>
        <w:t>不接受</w:t>
      </w:r>
      <w:r>
        <w:rPr>
          <w:rFonts w:hint="eastAsia" w:ascii="仿宋" w:hAnsi="仿宋" w:eastAsia="仿宋" w:cs="仿宋"/>
          <w:sz w:val="24"/>
        </w:rPr>
        <w:t>联合体投标，不允许转包分包（由供应商在《政府采购投标及履约承诺函》中作出声明，加盖公章）。</w:t>
      </w:r>
    </w:p>
    <w:p w14:paraId="1C531D83">
      <w:pPr>
        <w:pStyle w:val="34"/>
        <w:numPr>
          <w:ilvl w:val="0"/>
          <w:numId w:val="0"/>
        </w:numPr>
        <w:adjustRightInd w:val="0"/>
        <w:snapToGrid w:val="0"/>
        <w:spacing w:line="400" w:lineRule="exact"/>
        <w:ind w:left="0" w:leftChars="0" w:firstLine="480" w:firstLineChars="200"/>
        <w:jc w:val="left"/>
        <w:rPr>
          <w:rFonts w:ascii="仿宋" w:hAnsi="仿宋" w:eastAsia="仿宋" w:cs="仿宋"/>
          <w:sz w:val="24"/>
          <w:highlight w:val="yellow"/>
        </w:rPr>
      </w:pPr>
      <w:r>
        <w:rPr>
          <w:rFonts w:ascii="仿宋" w:hAnsi="仿宋" w:eastAsia="仿宋" w:cs="仿宋"/>
          <w:sz w:val="24"/>
          <w:szCs w:val="24"/>
        </w:rPr>
        <w:t>9.</w:t>
      </w:r>
      <w:r>
        <w:rPr>
          <w:rFonts w:hint="eastAsia" w:ascii="仿宋" w:hAnsi="仿宋" w:eastAsia="仿宋" w:cs="仿宋"/>
          <w:sz w:val="24"/>
        </w:rPr>
        <w:t>本项目是否专门面向中小企业采购：</w:t>
      </w:r>
      <w:r>
        <w:rPr>
          <w:rFonts w:hint="eastAsia" w:ascii="仿宋" w:hAnsi="仿宋" w:eastAsia="仿宋" w:cs="仿宋"/>
          <w:sz w:val="24"/>
          <w:highlight w:val="yellow"/>
        </w:rPr>
        <w:t>否</w:t>
      </w:r>
      <w:r>
        <w:rPr>
          <w:rFonts w:hint="eastAsia" w:ascii="仿宋" w:hAnsi="仿宋" w:eastAsia="仿宋" w:cs="仿宋"/>
          <w:sz w:val="24"/>
        </w:rPr>
        <w:t>（由供应商在《中小企业声明函（服务）》或《残疾人福利性单位声明函》或《监狱企业声明函》中作出声明）。</w:t>
      </w:r>
    </w:p>
    <w:p w14:paraId="3EB5859E">
      <w:pPr>
        <w:pStyle w:val="2"/>
        <w:spacing w:beforeLines="0" w:after="0" w:afterLines="0" w:line="240" w:lineRule="auto"/>
        <w:ind w:firstLine="482" w:firstLineChars="200"/>
        <w:rPr>
          <w:rFonts w:ascii="宋体" w:hAnsi="宋体" w:eastAsia="宋体"/>
          <w:b/>
          <w:bCs/>
        </w:rPr>
      </w:pPr>
      <w:r>
        <w:rPr>
          <w:rFonts w:hint="eastAsia" w:ascii="宋体" w:hAnsi="宋体" w:eastAsia="宋体"/>
          <w:b/>
          <w:bCs/>
        </w:rPr>
        <w:t>本项目所属行业类型为：</w:t>
      </w:r>
      <w:r>
        <w:rPr>
          <w:rFonts w:hint="eastAsia" w:ascii="宋体" w:hAnsi="宋体" w:eastAsia="宋体"/>
          <w:b/>
          <w:bCs/>
          <w:u w:val="single"/>
        </w:rPr>
        <w:t xml:space="preserve"> </w:t>
      </w:r>
      <w:r>
        <w:rPr>
          <w:rStyle w:val="19"/>
          <w:rFonts w:ascii="仿宋" w:hAnsi="仿宋" w:eastAsia="仿宋" w:cs="仿宋"/>
          <w:b/>
          <w:i w:val="0"/>
          <w:iCs w:val="0"/>
          <w:caps w:val="0"/>
          <w:color w:val="000000"/>
          <w:spacing w:val="0"/>
          <w:sz w:val="24"/>
          <w:szCs w:val="24"/>
          <w:u w:val="single"/>
        </w:rPr>
        <w:t>软件和信息技术服务业</w:t>
      </w:r>
      <w:r>
        <w:rPr>
          <w:rFonts w:hint="eastAsia" w:ascii="宋体" w:hAnsi="宋体" w:eastAsia="宋体"/>
          <w:b/>
          <w:bCs/>
          <w:u w:val="single"/>
        </w:rPr>
        <w:t xml:space="preserve">  </w:t>
      </w:r>
      <w:r>
        <w:rPr>
          <w:rFonts w:hint="eastAsia" w:ascii="宋体" w:hAnsi="宋体" w:eastAsia="宋体"/>
          <w:b/>
          <w:bCs/>
        </w:rPr>
        <w:t>。</w:t>
      </w:r>
    </w:p>
    <w:p w14:paraId="0621134D">
      <w:pPr>
        <w:spacing w:beforeLines="0" w:afterLines="0"/>
        <w:ind w:firstLine="480" w:firstLineChars="200"/>
        <w:jc w:val="both"/>
        <w:rPr>
          <w:rFonts w:ascii="宋体" w:hAnsi="宋体" w:eastAsia="宋体"/>
        </w:rPr>
      </w:pPr>
      <w:r>
        <w:rPr>
          <w:rFonts w:hint="eastAsia" w:ascii="宋体" w:hAnsi="宋体" w:eastAsia="宋体"/>
        </w:rPr>
        <w:t>注：（1）采购代理机构将通过“信用中国”中“信用服务”栏的“</w:t>
      </w:r>
      <w:r>
        <w:rPr>
          <w:rFonts w:hint="eastAsia" w:ascii="宋体" w:hAnsi="宋体" w:eastAsia="宋体"/>
          <w:lang w:eastAsia="zh-CN"/>
        </w:rPr>
        <w:t>重大税收违法失信主体</w:t>
      </w:r>
      <w:r>
        <w:rPr>
          <w:rFonts w:hint="eastAsia" w:ascii="宋体" w:hAnsi="宋体" w:eastAsia="宋体"/>
        </w:rPr>
        <w:t>”“失信被执行人”</w:t>
      </w:r>
      <w:r>
        <w:rPr>
          <w:rFonts w:hint="eastAsia" w:ascii="宋体" w:hAnsi="宋体" w:eastAsia="宋体"/>
          <w:lang w:eastAsia="zh-CN"/>
        </w:rPr>
        <w:t>，</w:t>
      </w:r>
      <w:r>
        <w:rPr>
          <w:rFonts w:hint="eastAsia" w:ascii="宋体" w:hAnsi="宋体" w:eastAsia="宋体"/>
        </w:rPr>
        <w:t>“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7C387978">
      <w:pPr>
        <w:ind w:firstLine="480" w:firstLineChars="200"/>
        <w:jc w:val="both"/>
        <w:rPr>
          <w:rFonts w:hint="eastAsia" w:ascii="宋体" w:hAnsi="宋体" w:eastAsia="宋体"/>
          <w:color w:val="auto"/>
          <w:kern w:val="0"/>
          <w:highlight w:val="none"/>
          <w:lang w:eastAsia="zh-CN"/>
        </w:rPr>
      </w:pPr>
      <w:r>
        <w:rPr>
          <w:rFonts w:hint="eastAsia" w:ascii="宋体" w:hAnsi="宋体"/>
          <w:color w:val="auto"/>
          <w:kern w:val="0"/>
          <w:highlight w:val="none"/>
          <w:lang w:eastAsia="zh-CN"/>
        </w:rPr>
        <w:t>（</w:t>
      </w:r>
      <w:r>
        <w:rPr>
          <w:rFonts w:hint="eastAsia" w:ascii="宋体" w:hAnsi="宋体"/>
          <w:color w:val="auto"/>
          <w:kern w:val="0"/>
          <w:highlight w:val="none"/>
          <w:lang w:val="en-US" w:eastAsia="zh-CN"/>
        </w:rPr>
        <w:t>2</w:t>
      </w:r>
      <w:r>
        <w:rPr>
          <w:rFonts w:hint="eastAsia" w:ascii="宋体" w:hAnsi="宋体"/>
          <w:color w:val="auto"/>
          <w:kern w:val="0"/>
          <w:highlight w:val="none"/>
          <w:lang w:eastAsia="zh-CN"/>
        </w:rPr>
        <w:t>）</w:t>
      </w:r>
      <w:r>
        <w:rPr>
          <w:rFonts w:hint="eastAsia" w:ascii="仿宋" w:hAnsi="仿宋" w:eastAsia="仿宋" w:cs="仿宋"/>
          <w:color w:val="FF0000"/>
          <w:sz w:val="24"/>
        </w:rPr>
        <w:t>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r>
        <w:rPr>
          <w:rFonts w:hint="eastAsia" w:ascii="宋体" w:hAnsi="宋体" w:eastAsia="宋体"/>
          <w:color w:val="auto"/>
          <w:kern w:val="0"/>
          <w:highlight w:val="none"/>
          <w:lang w:eastAsia="zh-CN"/>
        </w:rPr>
        <w:t>；</w:t>
      </w:r>
    </w:p>
    <w:p w14:paraId="5080AD3B">
      <w:pPr>
        <w:spacing w:beforeLines="0" w:afterLines="0"/>
        <w:ind w:firstLine="480" w:firstLineChars="200"/>
        <w:jc w:val="both"/>
        <w:rPr>
          <w:rFonts w:ascii="宋体" w:hAnsi="宋体" w:eastAsia="宋体"/>
          <w:color w:val="4F81BD" w:themeColor="accent1"/>
          <w14:textFill>
            <w14:solidFill>
              <w14:schemeClr w14:val="accent1"/>
            </w14:solidFill>
          </w14:textFill>
        </w:rPr>
      </w:pPr>
      <w:r>
        <w:rPr>
          <w:rFonts w:hint="eastAsia" w:ascii="宋体" w:hAnsi="宋体" w:eastAsia="宋体"/>
          <w:color w:val="4F81BD" w:themeColor="accent1"/>
          <w14:textFill>
            <w14:solidFill>
              <w14:schemeClr w14:val="accent1"/>
            </w14:solidFill>
          </w14:textFill>
        </w:rPr>
        <w:t>（</w:t>
      </w:r>
      <w:r>
        <w:rPr>
          <w:rFonts w:hint="eastAsia" w:ascii="宋体" w:hAnsi="宋体" w:eastAsia="宋体"/>
          <w:color w:val="4F81BD" w:themeColor="accent1"/>
          <w:lang w:val="en-US" w:eastAsia="zh-CN"/>
          <w14:textFill>
            <w14:solidFill>
              <w14:schemeClr w14:val="accent1"/>
            </w14:solidFill>
          </w14:textFill>
        </w:rPr>
        <w:t>3</w:t>
      </w:r>
      <w:r>
        <w:rPr>
          <w:rFonts w:hint="eastAsia" w:ascii="宋体" w:hAnsi="宋体" w:eastAsia="宋体"/>
          <w:color w:val="4F81BD" w:themeColor="accent1"/>
          <w14:textFill>
            <w14:solidFill>
              <w14:schemeClr w14:val="accent1"/>
            </w14:solidFill>
          </w14:textFill>
        </w:rPr>
        <w:t>）供应商投标（上传投标文件）请先行办理注册手续，具体请按照本公告“六、其他补充事宜”相关内容指引办理。</w:t>
      </w:r>
    </w:p>
    <w:p w14:paraId="62930D4C">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0E6EFFE7">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default"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三、获取招标文件</w:t>
      </w:r>
    </w:p>
    <w:p w14:paraId="171C501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时间：发布招标公告当日至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 xml:space="preserve">（北京时间） </w:t>
      </w:r>
    </w:p>
    <w:p w14:paraId="73740B7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地点：登录深圳政府采购智慧平台（http://zfcg.szggzy.com:8081）下载本项目的招标文件。</w:t>
      </w:r>
    </w:p>
    <w:p w14:paraId="0DD2ADE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 xml:space="preserve">方式：在线下载。 </w:t>
      </w:r>
    </w:p>
    <w:p w14:paraId="46516CC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售价：免费。</w:t>
      </w:r>
    </w:p>
    <w:p w14:paraId="7E381B12">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rPr>
      </w:pPr>
      <w:r>
        <w:rPr>
          <w:rFonts w:hint="eastAsia" w:ascii="宋体" w:hAnsi="宋体" w:eastAsia="宋体" w:cs="宋体"/>
        </w:rPr>
        <w:t>凡已注册的深圳市网上政府采购供应商，按照授予的操作权限，可于发布招标公告当日至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北京时间）期间登录深圳政府采购智慧平台（http://zfcg.szggzy.com:8081/）下载本项目的采购文件。投标人如确定参加投标，首先要在深圳政府采购智慧平台网上办事子系统（http://zfcg.szggzy.com:8081/TPBidder/memberLogin）网上报名投标，方法为在网上办事子系统后点击“【招标公告】→【我要报名】”；如果网上报名后上传了投标文件，又不参加投标，应再到【我的项目】→【项目流程】→【递交投标(应答)文件】功能点中进行“【撤回本次投标】”操作；如果是未注册为深圳政府采购智慧平台（http://zfcg.szggzy.com:8081/）的供应商，请先办理密钥（请点击），并前往深圳公共资源交易中心（深圳交易集团有限公司政府采购业务分公司）绑定深圳政府采购智慧平台用户（地址：</w:t>
      </w:r>
      <w:r>
        <w:rPr>
          <w:rFonts w:hint="eastAsia" w:ascii="宋体" w:hAnsi="宋体" w:eastAsia="宋体" w:cs="宋体"/>
          <w:lang w:eastAsia="zh-CN"/>
        </w:rPr>
        <w:t>深圳市南山区沙河西路3185号南山智谷A座（深圳交易集团总部大楼）3楼前台，咨询电话：0755-83948165、0755-83938966、4008301330</w:t>
      </w:r>
      <w:r>
        <w:rPr>
          <w:rFonts w:hint="eastAsia" w:ascii="宋体" w:hAnsi="宋体" w:eastAsia="宋体" w:cs="宋体"/>
        </w:rPr>
        <w:t>），再进行投标报名。在网上报名后，点击“【我的项目】→【项目流程】→【采购文件下载】”进行招标文件的下载。</w:t>
      </w:r>
    </w:p>
    <w:p w14:paraId="60A5DDF3">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5C5DDCE1">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四、提交投标文件截止时间、开标时间和地点</w:t>
      </w:r>
    </w:p>
    <w:p w14:paraId="5985285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1.投标截止时间：所有投标文件应于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之前上传到深圳政府采购智慧平台（http://zfcg.szggzy.com:8081/）。具体操作为登录“深圳政府采购智慧平台用户网上办事子系统（http://zfcg.szggzy.com:8081/TPBidder/memberLogin）”，用“【我的项目】→【项目流程】→【递交投标(应答)文件】”功能点上传投标文件。本项目电子投标文件最大容量为100MB，超过此容量的文件将被拒绝。    </w:t>
      </w:r>
    </w:p>
    <w:p w14:paraId="23867CD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2.开标时间和地点：定于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，在</w:t>
      </w:r>
      <w:r>
        <w:rPr>
          <w:rFonts w:hint="eastAsia" w:ascii="宋体" w:hAnsi="宋体" w:eastAsia="宋体" w:cs="宋体"/>
          <w:highlight w:val="yellow"/>
        </w:rPr>
        <w:t>友和保险经纪有限公司</w:t>
      </w:r>
      <w:r>
        <w:rPr>
          <w:rFonts w:hint="eastAsia" w:ascii="宋体" w:hAnsi="宋体" w:eastAsia="宋体" w:cs="宋体"/>
        </w:rPr>
        <w:t>公开开标。供应商可以登录“深圳政府采购智慧平台用户网上办事子系统（http://zfcg.szggzy.com:8081/TPBidder/memberLogin）”，在“【我的项目】→【项目流程】→【开标及解密】”进行在线解密、查询开标情况。</w:t>
      </w:r>
    </w:p>
    <w:p w14:paraId="6E92C91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3.在线解密：投标人须在</w:t>
      </w:r>
      <w:r>
        <w:rPr>
          <w:rFonts w:hint="eastAsia" w:ascii="宋体" w:hAnsi="宋体" w:eastAsia="宋体" w:cs="宋体"/>
          <w:color w:val="FF0000"/>
          <w:highlight w:val="yellow"/>
          <w:lang w:val="en-US" w:eastAsia="zh-CN"/>
        </w:rPr>
        <w:t>开标当日XX:XX:XX-XX:XX:XX期间</w:t>
      </w:r>
      <w:r>
        <w:rPr>
          <w:rFonts w:hint="eastAsia" w:ascii="宋体" w:hAnsi="宋体" w:eastAsia="宋体" w:cs="宋体"/>
        </w:rPr>
        <w:t>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563C30B9">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5014715C">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五、公告期限</w:t>
      </w:r>
    </w:p>
    <w:p w14:paraId="282FF60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自本公告发布之日起5个工作日。</w:t>
      </w:r>
    </w:p>
    <w:p w14:paraId="5B71138E">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409BF436">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六、其他补充事宜</w:t>
      </w:r>
    </w:p>
    <w:p w14:paraId="4E4A2BB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1.本项目实行网上投标，采用电子投标文件。</w:t>
      </w:r>
    </w:p>
    <w:p w14:paraId="2588B25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报名操作：投标人如确定参加投标，首先要在深圳政府采购网上报名投标，方法为登录深圳公共资源交易中心（深圳交易集团有限公司政府采购业务分公司）网后点击“招标公告”选中要报名标段点击“我要报名”或“代办→邀请提醒”；如果网上报名后上传了投标文件，又不参加投标，应再到【我的项目】→【项目流程】→【递交投标(应答)文件】→【上传投标文件】功能点中进行“撤标”操作；如果是未注册为深圳政府采购的供应商，请访问深圳公共资源交易中心（深圳交易集团有限公司政府采购业务分公司）（http://www.szzfcg.cn/）,先办理注册手续（注册咨询：83938966；电子密钥咨询：83948165</w:t>
      </w:r>
      <w:r>
        <w:rPr>
          <w:rFonts w:hint="eastAsia" w:ascii="宋体" w:hAnsi="宋体" w:eastAsia="宋体" w:cs="宋体"/>
          <w:lang w:eastAsia="zh-CN"/>
        </w:rPr>
        <w:t>、</w:t>
      </w:r>
      <w:r>
        <w:rPr>
          <w:rFonts w:hint="eastAsia" w:ascii="宋体" w:hAnsi="宋体" w:eastAsia="宋体" w:cs="宋体"/>
        </w:rPr>
        <w:t>4008301330 ），再进行投标报名。在网上报名后，点击“我的项目→项目流程”中进行招标文件的下载。</w:t>
      </w:r>
    </w:p>
    <w:p w14:paraId="6F4DE1A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3.开标操作：投标人可以登录“深圳公共资源交易中心（深圳交易集团有限公司政府采购业务分公司）网站”，在系统登录首页面即可查看开标情况。</w:t>
      </w:r>
    </w:p>
    <w:p w14:paraId="2FAFEE2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4.投标操作：具体操作为登录“深圳公共资源交易中心（深圳交易集团有限公司政府采购业务分公司）网站”，用“我的项目→项目流程→递交投标(应答)文件→上传投标文件”功能点上传投标文件。本项目电子投标文件最大容量为100MB，超过此容量的文件将被拒绝。</w:t>
      </w:r>
    </w:p>
    <w:p w14:paraId="72E7F8C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5.采购文件澄清/修改事项：</w:t>
      </w:r>
      <w:r>
        <w:rPr>
          <w:rFonts w:hint="eastAsia" w:ascii="宋体" w:hAnsi="宋体" w:eastAsia="宋体" w:cs="宋体"/>
          <w:color w:val="FF0000"/>
          <w:highlight w:val="yellow"/>
          <w:lang w:val="en-US" w:eastAsia="zh-CN"/>
        </w:rPr>
        <w:t>2025年X月X日XX:XX:XX（北京时间）前</w:t>
      </w:r>
      <w:r>
        <w:rPr>
          <w:rFonts w:hint="eastAsia" w:ascii="宋体" w:hAnsi="宋体" w:eastAsia="宋体" w:cs="宋体"/>
        </w:rPr>
        <w:t>，供应商如果认为采购文件存在不明确、不清晰和前后不一致等问题，可登录深圳公共资源交易中心网（http://zfcg.szggzy.com:8081/）→“深圳政府采购智慧平台用户网上办事子系统（http://zfcg.szggzy.com:8081/TPBidder/memberLogin）”，在“【我的项目】→【项目流程】→【提问】”功能点中填写需澄清内容</w:t>
      </w:r>
      <w:r>
        <w:rPr>
          <w:rFonts w:hint="eastAsia" w:ascii="宋体" w:hAnsi="宋体" w:eastAsia="宋体" w:cs="宋体"/>
          <w:color w:val="FF0000"/>
          <w:highlight w:val="yellow"/>
          <w:lang w:val="en-US" w:eastAsia="zh-CN"/>
        </w:rPr>
        <w:t>2025年X月X日XX:XX:XX（北京时间）</w:t>
      </w:r>
      <w:r>
        <w:rPr>
          <w:rFonts w:hint="eastAsia" w:ascii="宋体" w:hAnsi="宋体" w:eastAsia="宋体" w:cs="宋体"/>
        </w:rPr>
        <w:t>前将采购文件澄清/修改情况在“【我的项目】→【项目流程】→【答疑澄清文件下载】”中公布，望投标人予以关注。</w:t>
      </w:r>
    </w:p>
    <w:p w14:paraId="296DFED6">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lang w:val="en-US" w:eastAsia="zh-CN" w:bidi="ar-SA"/>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中心网（https://www.szggzy.com/globalSearch/details.html?contentId=1211037）所发布的质疑指引、质疑函模板填写质疑函并提交质疑材料。质疑材料可以采用现场或邮寄方式提交，采用邮寄方式提交的，交邮时间应在本公告发布之日起七个工作日内。质疑材料现场提交、邮寄地</w:t>
      </w:r>
      <w:r>
        <w:rPr>
          <w:rFonts w:hint="eastAsia" w:ascii="宋体" w:hAnsi="宋体" w:eastAsia="宋体" w:cs="宋体"/>
          <w:color w:val="auto"/>
          <w:highlight w:val="none"/>
          <w:lang w:val="en-US" w:eastAsia="zh-CN" w:bidi="ar-SA"/>
        </w:rPr>
        <w:t>址：深圳市福田区福田体育公园西北角友和招标代理服务中心（靠近北门）。</w:t>
      </w:r>
      <w:r>
        <w:rPr>
          <w:rFonts w:hint="eastAsia" w:ascii="宋体" w:hAnsi="宋体" w:eastAsia="宋体" w:cs="宋体"/>
          <w:color w:val="auto"/>
          <w:highlight w:val="none"/>
          <w:lang w:val="en-US" w:eastAsia="zh-CN"/>
        </w:rPr>
        <w:t>质疑咨询电话：0755-83881283</w:t>
      </w:r>
      <w:r>
        <w:rPr>
          <w:rFonts w:hint="eastAsia" w:ascii="宋体" w:hAnsi="宋体" w:eastAsia="宋体" w:cs="宋体"/>
          <w:b w:val="0"/>
          <w:bCs w:val="0"/>
          <w:color w:val="auto"/>
          <w:highlight w:val="none"/>
        </w:rPr>
        <w:t>。</w:t>
      </w:r>
      <w:r>
        <w:rPr>
          <w:rFonts w:hint="eastAsia" w:ascii="宋体" w:hAnsi="宋体" w:eastAsia="宋体" w:cs="宋体"/>
          <w:color w:val="auto"/>
          <w:highlight w:val="none"/>
        </w:rPr>
        <w:t xml:space="preserve">根据《深圳经济特区政府采购条例》第四十二条“供应商投诉的事项应当是经过质疑的事项”的规定，未经正式质疑的，将影响供应商行使向财政部门提起投诉的权利。） </w:t>
      </w:r>
    </w:p>
    <w:p w14:paraId="10AA4E3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color w:val="auto"/>
          <w:highlight w:val="none"/>
        </w:rPr>
        <w:t>6.友和保险经纪有限公司有权对投标人就本项目要求提供的相关</w:t>
      </w:r>
      <w:r>
        <w:rPr>
          <w:rFonts w:hint="eastAsia" w:ascii="宋体" w:hAnsi="宋体" w:eastAsia="宋体" w:cs="宋体"/>
        </w:rPr>
        <w:t xml:space="preserve">证明资料（原件）进行审查。供应商提供虚假资料被查实的，则可能面临被取消本项目中标资格、列入不良行为记录名单和三年内禁止参与深圳市政府采购活动的风险。 </w:t>
      </w:r>
    </w:p>
    <w:p w14:paraId="3939F11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7.本招标公告及本项目招标文件所涉及的时间一律为北京时间。投标人有义务在招标活动期间浏览深圳公共资源交易中心（深圳交易集团有限公司政府采购业务分公司）网（http://zfcg.szggzy.com:8081），在深圳公共资源交易中心（深圳交易集团有限公司政府采购业务分公司）网上公布的与本次招标项目有关的信息视为已送达各投标人。</w:t>
      </w:r>
    </w:p>
    <w:p w14:paraId="0393E08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8.本项目不需要投标保证金。</w:t>
      </w:r>
    </w:p>
    <w:p w14:paraId="29DA3E14">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76FDBFC0">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七、对本次采购提出询问，请按以下方式联系</w:t>
      </w:r>
    </w:p>
    <w:p w14:paraId="56B82DF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1.采购人信息</w:t>
      </w:r>
    </w:p>
    <w:p w14:paraId="75CCF96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rPr>
      </w:pPr>
      <w:r>
        <w:rPr>
          <w:rFonts w:hint="eastAsia" w:ascii="宋体" w:hAnsi="宋体" w:eastAsia="宋体" w:cs="宋体"/>
          <w:color w:val="FF0000"/>
          <w:highlight w:val="yellow"/>
          <w:lang w:val="en-US" w:eastAsia="zh-CN"/>
        </w:rPr>
        <w:t>名  称：深圳市公安局福田分局</w:t>
      </w:r>
    </w:p>
    <w:p w14:paraId="6358C7E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rPr>
      </w:pPr>
      <w:r>
        <w:rPr>
          <w:rFonts w:hint="eastAsia" w:ascii="宋体" w:hAnsi="宋体" w:eastAsia="宋体" w:cs="宋体"/>
          <w:color w:val="FF0000"/>
          <w:highlight w:val="yellow"/>
          <w:lang w:val="en-US" w:eastAsia="zh-CN"/>
        </w:rPr>
        <w:t>地  址：深圳市福田区福民路123号</w:t>
      </w:r>
    </w:p>
    <w:p w14:paraId="572E9F7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FF0000"/>
          <w:highlight w:val="yellow"/>
          <w:lang w:val="en-US" w:eastAsia="zh-CN"/>
        </w:rPr>
      </w:pPr>
      <w:r>
        <w:rPr>
          <w:rFonts w:hint="eastAsia" w:ascii="宋体" w:hAnsi="宋体" w:eastAsia="宋体" w:cs="宋体"/>
          <w:color w:val="FF0000"/>
          <w:highlight w:val="yellow"/>
        </w:rPr>
        <w:t>联系方式：</w:t>
      </w:r>
      <w:r>
        <w:rPr>
          <w:rFonts w:hint="eastAsia"/>
          <w:lang w:val="en-US" w:eastAsia="zh-CN"/>
        </w:rPr>
        <w:t xml:space="preserve">吴警官 </w:t>
      </w:r>
      <w:r>
        <w:rPr>
          <w:rFonts w:hint="eastAsia"/>
        </w:rPr>
        <w:t>84461529</w:t>
      </w:r>
    </w:p>
    <w:p w14:paraId="6C3C563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2.招标机构</w:t>
      </w:r>
    </w:p>
    <w:p w14:paraId="104493D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名　称：</w:t>
      </w:r>
      <w:r>
        <w:rPr>
          <w:rFonts w:hint="eastAsia" w:ascii="宋体" w:hAnsi="宋体" w:eastAsia="宋体" w:cs="宋体"/>
          <w:highlight w:val="yellow"/>
        </w:rPr>
        <w:t>友和保险经纪有限公司</w:t>
      </w:r>
    </w:p>
    <w:p w14:paraId="409D327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地　址：深圳市福田区福田体育公园西北角友和招标代理服务中心（靠近北门）</w:t>
      </w:r>
    </w:p>
    <w:p w14:paraId="0F18EC9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监督举报：0755-83889803、83889016</w:t>
      </w:r>
    </w:p>
    <w:p w14:paraId="7DD4BA8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rPr>
        <w:t>3.项目联系方式</w:t>
      </w:r>
    </w:p>
    <w:p w14:paraId="42F670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val="en-US" w:eastAsia="zh-CN"/>
        </w:rPr>
        <w:t>潘艺伟/张挺/王珍</w:t>
      </w:r>
    </w:p>
    <w:p w14:paraId="4014E2F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项目咨询</w:t>
      </w:r>
      <w:r>
        <w:rPr>
          <w:rFonts w:hint="eastAsia" w:ascii="宋体" w:hAnsi="宋体" w:eastAsia="宋体" w:cs="宋体"/>
          <w:color w:val="auto"/>
          <w:highlight w:val="none"/>
        </w:rPr>
        <w:t>：0755-8388</w:t>
      </w:r>
      <w:r>
        <w:rPr>
          <w:rFonts w:hint="eastAsia" w:ascii="宋体" w:hAnsi="宋体" w:eastAsia="宋体" w:cs="宋体"/>
          <w:color w:val="auto"/>
          <w:highlight w:val="none"/>
          <w:lang w:val="en-US" w:eastAsia="zh-CN"/>
        </w:rPr>
        <w:t>1283、0755-83889026</w:t>
      </w:r>
    </w:p>
    <w:p w14:paraId="1E694D6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投标报名：0755-83881111（总机）</w:t>
      </w:r>
    </w:p>
    <w:p w14:paraId="332F60FD">
      <w:pPr>
        <w:pStyle w:val="34"/>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highlight w:val="none"/>
          <w:lang w:val="en-US" w:eastAsia="zh-CN"/>
        </w:rPr>
        <w:t>4.</w:t>
      </w:r>
      <w:r>
        <w:rPr>
          <w:rFonts w:hint="eastAsia" w:ascii="宋体" w:hAnsi="宋体" w:eastAsia="宋体" w:cs="宋体"/>
          <w:sz w:val="24"/>
          <w:szCs w:val="24"/>
          <w:highlight w:val="none"/>
        </w:rPr>
        <w:t>相关项目信息查询网址</w:t>
      </w:r>
    </w:p>
    <w:p w14:paraId="3B11981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深圳政府采购智慧平台</w:t>
      </w:r>
      <w:r>
        <w:rPr>
          <w:rFonts w:hint="eastAsia" w:ascii="宋体" w:hAnsi="宋体" w:eastAsia="宋体" w:cs="宋体"/>
          <w:sz w:val="24"/>
          <w:szCs w:val="24"/>
          <w:highlight w:val="none"/>
          <w:lang w:val="en-US" w:eastAsia="zh-CN"/>
        </w:rPr>
        <w:t xml:space="preserve"> </w:t>
      </w:r>
      <w:r>
        <w:rPr>
          <w:rFonts w:hint="eastAsia" w:ascii="宋体" w:hAnsi="宋体" w:eastAsia="宋体" w:cs="宋体"/>
          <w:color w:val="auto"/>
          <w:sz w:val="24"/>
          <w:szCs w:val="24"/>
          <w:highlight w:val="none"/>
          <w:u w:val="none"/>
        </w:rPr>
        <w:t>http://zfcg.szggzy.com:8081/</w:t>
      </w:r>
    </w:p>
    <w:p w14:paraId="6C8C9C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友和招标代理服务网 http://yhzb.uho.cn/</w:t>
      </w:r>
    </w:p>
    <w:p w14:paraId="1F0A051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highlight w:val="none"/>
          <w:lang w:val="en-US" w:eastAsia="zh-CN"/>
        </w:rPr>
      </w:pPr>
    </w:p>
    <w:p w14:paraId="6F8B3DA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highlight w:val="none"/>
        </w:rPr>
      </w:pPr>
    </w:p>
    <w:p w14:paraId="134DA067">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highlight w:val="none"/>
        </w:rPr>
      </w:pPr>
      <w:r>
        <w:rPr>
          <w:rFonts w:hint="eastAsia" w:ascii="宋体" w:hAnsi="宋体" w:eastAsia="宋体" w:cs="宋体"/>
          <w:highlight w:val="none"/>
        </w:rPr>
        <w:t>友和保险经纪有限公司</w:t>
      </w:r>
    </w:p>
    <w:p w14:paraId="2A4720A5">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rPr>
      </w:pPr>
      <w:r>
        <w:rPr>
          <w:rFonts w:hint="eastAsia" w:ascii="宋体" w:hAnsi="宋体" w:eastAsia="宋体" w:cs="宋体"/>
          <w:lang w:eastAsia="zh-CN"/>
        </w:rPr>
        <w:t>2025年</w:t>
      </w:r>
      <w:r>
        <w:rPr>
          <w:rFonts w:hint="eastAsia" w:ascii="宋体" w:hAnsi="宋体" w:eastAsia="宋体" w:cs="宋体"/>
          <w:lang w:val="en-US" w:eastAsia="zh-CN"/>
        </w:rPr>
        <w:t>X</w:t>
      </w:r>
      <w:r>
        <w:rPr>
          <w:rFonts w:hint="eastAsia" w:ascii="宋体" w:hAnsi="宋体" w:eastAsia="宋体" w:cs="宋体"/>
        </w:rPr>
        <w:t>月</w:t>
      </w:r>
      <w:r>
        <w:rPr>
          <w:rFonts w:hint="eastAsia" w:ascii="宋体" w:hAnsi="宋体" w:eastAsia="宋体" w:cs="宋体"/>
          <w:lang w:val="en-US" w:eastAsia="zh-CN"/>
        </w:rPr>
        <w:t>X</w:t>
      </w:r>
      <w:r>
        <w:rPr>
          <w:rFonts w:hint="eastAsia" w:ascii="宋体" w:hAnsi="宋体" w:eastAsia="宋体" w:cs="宋体"/>
        </w:rPr>
        <w:t>日</w:t>
      </w:r>
    </w:p>
    <w:p w14:paraId="46CAE1AC"/>
    <w:p w14:paraId="6283B7BA">
      <w:pPr>
        <w:spacing w:beforeLines="0" w:afterLines="0"/>
        <w:rPr>
          <w:rFonts w:ascii="宋体" w:hAnsi="宋体" w:eastAsia="宋体" w:cs="宋体"/>
          <w:b/>
          <w:bCs/>
          <w:szCs w:val="21"/>
        </w:rPr>
      </w:pPr>
    </w:p>
    <w:p w14:paraId="5909B9DE">
      <w:pPr>
        <w:pStyle w:val="7"/>
        <w:spacing w:before="0" w:beforeLines="0" w:after="0" w:afterLines="0" w:line="240" w:lineRule="auto"/>
        <w:ind w:firstLine="0"/>
        <w:rPr>
          <w:rFonts w:ascii="宋体" w:hAnsi="宋体" w:eastAsia="宋体"/>
          <w:b/>
          <w:color w:val="auto"/>
          <w:sz w:val="28"/>
          <w:szCs w:val="28"/>
          <w:highlight w:val="yellow"/>
        </w:rPr>
      </w:pPr>
      <w:r>
        <w:rPr>
          <w:rFonts w:hint="eastAsia"/>
          <w:color w:val="auto"/>
          <w:szCs w:val="20"/>
          <w:highlight w:val="none"/>
        </w:rPr>
        <w:t>完整公告内容详见：</w:t>
      </w:r>
      <w:r>
        <w:rPr>
          <w:rFonts w:hint="eastAsia"/>
          <w:color w:val="auto"/>
          <w:szCs w:val="20"/>
          <w:highlight w:val="yellow"/>
        </w:rPr>
        <w:t>http://zfcg.szggzy.com:8081/</w:t>
      </w:r>
    </w:p>
    <w:p w14:paraId="62C6A360">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br w:type="page"/>
      </w:r>
    </w:p>
    <w:p w14:paraId="51CE2961">
      <w:pPr>
        <w:pStyle w:val="6"/>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第二章 对通用条款的补充内容及其他关键信息</w:t>
      </w:r>
    </w:p>
    <w:p w14:paraId="30F0019B">
      <w:pPr>
        <w:jc w:val="center"/>
        <w:outlineLvl w:val="2"/>
        <w:rPr>
          <w:b/>
          <w:bCs/>
          <w:sz w:val="28"/>
          <w:szCs w:val="28"/>
        </w:rPr>
      </w:pPr>
      <w:bookmarkStart w:id="20" w:name="_Toc101074876"/>
      <w:bookmarkStart w:id="21" w:name="_Toc73521635"/>
      <w:bookmarkStart w:id="22" w:name="_Toc100052364"/>
      <w:bookmarkStart w:id="23" w:name="_Toc73521547"/>
      <w:bookmarkStart w:id="24" w:name="_Toc60631620"/>
      <w:bookmarkStart w:id="25" w:name="_Toc60560625"/>
      <w:bookmarkStart w:id="26" w:name="_Toc73517639"/>
      <w:bookmarkStart w:id="27" w:name="_Toc73518117"/>
      <w:r>
        <w:rPr>
          <w:rFonts w:hint="eastAsia" w:ascii="宋体" w:hAnsi="宋体" w:eastAsia="宋体" w:cs="宋体"/>
          <w:b/>
          <w:bCs/>
          <w:sz w:val="28"/>
          <w:szCs w:val="28"/>
        </w:rPr>
        <w:t>一、对通用条款的补充内容</w:t>
      </w:r>
    </w:p>
    <w:bookmarkEnd w:id="20"/>
    <w:bookmarkEnd w:id="21"/>
    <w:bookmarkEnd w:id="22"/>
    <w:bookmarkEnd w:id="23"/>
    <w:bookmarkEnd w:id="24"/>
    <w:bookmarkEnd w:id="25"/>
    <w:bookmarkEnd w:id="26"/>
    <w:bookmarkEnd w:id="27"/>
    <w:tbl>
      <w:tblPr>
        <w:tblStyle w:val="16"/>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888"/>
        <w:gridCol w:w="5501"/>
      </w:tblGrid>
      <w:tr w14:paraId="5E3196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D03C154">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通用条款序号</w:t>
            </w:r>
          </w:p>
        </w:tc>
        <w:tc>
          <w:tcPr>
            <w:tcW w:w="1888" w:type="dxa"/>
            <w:vAlign w:val="center"/>
          </w:tcPr>
          <w:p w14:paraId="36FB49EF">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涉及事项</w:t>
            </w:r>
          </w:p>
        </w:tc>
        <w:tc>
          <w:tcPr>
            <w:tcW w:w="5501" w:type="dxa"/>
            <w:vAlign w:val="center"/>
          </w:tcPr>
          <w:p w14:paraId="7921601B">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 xml:space="preserve">具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体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补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充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内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容</w:t>
            </w:r>
          </w:p>
        </w:tc>
      </w:tr>
      <w:tr w14:paraId="4FFE9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CC2331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.1</w:t>
            </w:r>
          </w:p>
        </w:tc>
        <w:tc>
          <w:tcPr>
            <w:tcW w:w="1888" w:type="dxa"/>
            <w:vAlign w:val="center"/>
          </w:tcPr>
          <w:p w14:paraId="15BADE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采购人</w:t>
            </w:r>
          </w:p>
        </w:tc>
        <w:tc>
          <w:tcPr>
            <w:tcW w:w="5501" w:type="dxa"/>
            <w:vAlign w:val="center"/>
          </w:tcPr>
          <w:p w14:paraId="311DB2FD">
            <w:pPr>
              <w:jc w:val="center"/>
              <w:rPr>
                <w:rFonts w:hint="eastAsia" w:ascii="宋体" w:hAnsi="宋体" w:eastAsiaTheme="minorEastAsia"/>
                <w:color w:val="000000" w:themeColor="text1"/>
                <w:lang w:eastAsia="zh-CN"/>
                <w14:textFill>
                  <w14:solidFill>
                    <w14:schemeClr w14:val="tx1"/>
                  </w14:solidFill>
                </w14:textFill>
              </w:rPr>
            </w:pPr>
            <w:r>
              <w:rPr>
                <w:rFonts w:hint="eastAsia" w:ascii="宋体" w:hAnsi="宋体" w:eastAsiaTheme="minorEastAsia"/>
                <w:color w:val="000000" w:themeColor="text1"/>
                <w:lang w:val="en-US" w:eastAsia="zh-CN"/>
                <w14:textFill>
                  <w14:solidFill>
                    <w14:schemeClr w14:val="tx1"/>
                  </w14:solidFill>
                </w14:textFill>
              </w:rPr>
              <w:t>深圳市公安局福田分局</w:t>
            </w:r>
          </w:p>
        </w:tc>
      </w:tr>
      <w:tr w14:paraId="58E095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75BD6F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.2</w:t>
            </w:r>
          </w:p>
        </w:tc>
        <w:tc>
          <w:tcPr>
            <w:tcW w:w="1888" w:type="dxa"/>
            <w:vAlign w:val="center"/>
          </w:tcPr>
          <w:p w14:paraId="35EC0E0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采购机构</w:t>
            </w:r>
          </w:p>
        </w:tc>
        <w:tc>
          <w:tcPr>
            <w:tcW w:w="5501" w:type="dxa"/>
            <w:vAlign w:val="center"/>
          </w:tcPr>
          <w:p w14:paraId="4152A144">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友和保险经纪有限公司</w:t>
            </w:r>
          </w:p>
        </w:tc>
      </w:tr>
      <w:tr w14:paraId="6F3571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FAC03C">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.3</w:t>
            </w:r>
          </w:p>
        </w:tc>
        <w:tc>
          <w:tcPr>
            <w:tcW w:w="1888" w:type="dxa"/>
            <w:vAlign w:val="center"/>
          </w:tcPr>
          <w:p w14:paraId="34C0365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联合体投标</w:t>
            </w:r>
          </w:p>
        </w:tc>
        <w:tc>
          <w:tcPr>
            <w:tcW w:w="5501" w:type="dxa"/>
            <w:vAlign w:val="center"/>
          </w:tcPr>
          <w:p w14:paraId="51B84E1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74BDCE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18845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w:t>
            </w:r>
          </w:p>
        </w:tc>
        <w:tc>
          <w:tcPr>
            <w:tcW w:w="1888" w:type="dxa"/>
            <w:vAlign w:val="center"/>
          </w:tcPr>
          <w:p w14:paraId="218E6A6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踏勘现场</w:t>
            </w:r>
          </w:p>
        </w:tc>
        <w:tc>
          <w:tcPr>
            <w:tcW w:w="5501" w:type="dxa"/>
            <w:vAlign w:val="center"/>
          </w:tcPr>
          <w:p w14:paraId="55A1D07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2CEB05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F6F0D0">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0</w:t>
            </w:r>
          </w:p>
        </w:tc>
        <w:tc>
          <w:tcPr>
            <w:tcW w:w="1888" w:type="dxa"/>
            <w:vAlign w:val="center"/>
          </w:tcPr>
          <w:p w14:paraId="0550146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标前会议</w:t>
            </w:r>
          </w:p>
        </w:tc>
        <w:tc>
          <w:tcPr>
            <w:tcW w:w="5501" w:type="dxa"/>
            <w:vAlign w:val="center"/>
          </w:tcPr>
          <w:p w14:paraId="1816114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5771CD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5EFCF6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3</w:t>
            </w:r>
          </w:p>
        </w:tc>
        <w:tc>
          <w:tcPr>
            <w:tcW w:w="1888" w:type="dxa"/>
            <w:vAlign w:val="center"/>
          </w:tcPr>
          <w:p w14:paraId="03A3BBB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招标文件的澄清和修改</w:t>
            </w:r>
          </w:p>
        </w:tc>
        <w:tc>
          <w:tcPr>
            <w:tcW w:w="5501" w:type="dxa"/>
            <w:vAlign w:val="center"/>
          </w:tcPr>
          <w:p w14:paraId="3BE7F75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不晚于投标截止日三日前（详见招标公告），投标人有义务在招标期间在</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网站浏览与本项目有关的澄清和修改信息</w:t>
            </w:r>
          </w:p>
        </w:tc>
      </w:tr>
      <w:tr w14:paraId="65D6C3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C23412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0</w:t>
            </w:r>
          </w:p>
        </w:tc>
        <w:tc>
          <w:tcPr>
            <w:tcW w:w="1888" w:type="dxa"/>
            <w:vAlign w:val="center"/>
          </w:tcPr>
          <w:p w14:paraId="63B43FC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投标有效期</w:t>
            </w:r>
          </w:p>
        </w:tc>
        <w:tc>
          <w:tcPr>
            <w:tcW w:w="5501" w:type="dxa"/>
            <w:vAlign w:val="center"/>
          </w:tcPr>
          <w:p w14:paraId="26F3D8D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120个日历日</w:t>
            </w:r>
          </w:p>
        </w:tc>
      </w:tr>
      <w:tr w14:paraId="7F5E48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29DFE5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2</w:t>
            </w:r>
          </w:p>
        </w:tc>
        <w:tc>
          <w:tcPr>
            <w:tcW w:w="1888" w:type="dxa"/>
            <w:vAlign w:val="center"/>
          </w:tcPr>
          <w:p w14:paraId="10A53D9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投标人的替代方案</w:t>
            </w:r>
          </w:p>
        </w:tc>
        <w:tc>
          <w:tcPr>
            <w:tcW w:w="5501" w:type="dxa"/>
            <w:vAlign w:val="center"/>
          </w:tcPr>
          <w:p w14:paraId="60A8CD4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335AAA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4F2987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5</w:t>
            </w:r>
          </w:p>
        </w:tc>
        <w:tc>
          <w:tcPr>
            <w:tcW w:w="1888" w:type="dxa"/>
            <w:vAlign w:val="center"/>
          </w:tcPr>
          <w:p w14:paraId="39E8276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投标文件的大小</w:t>
            </w:r>
          </w:p>
        </w:tc>
        <w:tc>
          <w:tcPr>
            <w:tcW w:w="5501" w:type="dxa"/>
            <w:vAlign w:val="center"/>
          </w:tcPr>
          <w:p w14:paraId="0A04BA6D">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投标文件大小不得超过</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00MB</w:t>
            </w:r>
          </w:p>
        </w:tc>
      </w:tr>
      <w:tr w14:paraId="6CF95D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0CB177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6</w:t>
            </w:r>
          </w:p>
        </w:tc>
        <w:tc>
          <w:tcPr>
            <w:tcW w:w="1888" w:type="dxa"/>
            <w:vAlign w:val="center"/>
          </w:tcPr>
          <w:p w14:paraId="20EFE65B">
            <w:pPr>
              <w:jc w:val="center"/>
              <w:rPr>
                <w:rFonts w:ascii="宋体" w:hAnsi="宋体"/>
                <w:color w:val="000000" w:themeColor="text1"/>
                <w14:textFill>
                  <w14:solidFill>
                    <w14:schemeClr w14:val="tx1"/>
                  </w14:solidFill>
                </w14:textFill>
              </w:rPr>
            </w:pPr>
            <w:bookmarkStart w:id="28" w:name="_Hlk71664860"/>
            <w:r>
              <w:rPr>
                <w:rFonts w:hint="eastAsia" w:ascii="宋体" w:hAnsi="宋体"/>
                <w:color w:val="000000" w:themeColor="text1"/>
                <w14:textFill>
                  <w14:solidFill>
                    <w14:schemeClr w14:val="tx1"/>
                  </w14:solidFill>
                </w14:textFill>
              </w:rPr>
              <w:t>样品、现场演示、方案讲解</w:t>
            </w:r>
            <w:bookmarkEnd w:id="28"/>
          </w:p>
        </w:tc>
        <w:tc>
          <w:tcPr>
            <w:tcW w:w="5501" w:type="dxa"/>
            <w:vAlign w:val="center"/>
          </w:tcPr>
          <w:p w14:paraId="4082D2F5">
            <w:pPr>
              <w:jc w:val="center"/>
              <w:rPr>
                <w:rFonts w:ascii="宋体" w:hAnsi="宋体"/>
                <w:color w:val="000000" w:themeColor="text1"/>
                <w14:textFill>
                  <w14:solidFill>
                    <w14:schemeClr w14:val="tx1"/>
                  </w14:solidFill>
                </w14:textFill>
              </w:rPr>
            </w:pPr>
            <w:r>
              <w:rPr>
                <w:rFonts w:ascii="Wingdings 2" w:hAnsi="Wingdings 2"/>
                <w:b/>
                <w:color w:val="000000" w:themeColor="text1"/>
                <w14:textFill>
                  <w14:solidFill>
                    <w14:schemeClr w14:val="tx1"/>
                  </w14:solidFill>
                </w14:textFill>
              </w:rPr>
              <w:sym w:font="Wingdings 2" w:char="F052"/>
            </w:r>
            <w:r>
              <w:rPr>
                <w:rFonts w:hint="eastAsia" w:ascii="宋体" w:hAnsi="宋体"/>
                <w:color w:val="000000" w:themeColor="text1"/>
                <w14:textFill>
                  <w14:solidFill>
                    <w14:schemeClr w14:val="tx1"/>
                  </w14:solidFill>
                </w14:textFill>
              </w:rPr>
              <w:t xml:space="preserve"> 无</w:t>
            </w:r>
          </w:p>
        </w:tc>
      </w:tr>
      <w:tr w14:paraId="3392BC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98C9A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7</w:t>
            </w:r>
          </w:p>
        </w:tc>
        <w:tc>
          <w:tcPr>
            <w:tcW w:w="1888" w:type="dxa"/>
            <w:vAlign w:val="center"/>
          </w:tcPr>
          <w:p w14:paraId="71A10CD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评审方法</w:t>
            </w:r>
          </w:p>
        </w:tc>
        <w:tc>
          <w:tcPr>
            <w:tcW w:w="5501" w:type="dxa"/>
            <w:vAlign w:val="center"/>
          </w:tcPr>
          <w:p w14:paraId="5EC0D0D5">
            <w:pPr>
              <w:jc w:val="center"/>
              <w:rPr>
                <w:rFonts w:ascii="宋体" w:hAnsi="宋体"/>
                <w:color w:val="000000" w:themeColor="text1"/>
                <w14:textFill>
                  <w14:solidFill>
                    <w14:schemeClr w14:val="tx1"/>
                  </w14:solidFill>
                </w14:textFill>
              </w:rPr>
            </w:pPr>
            <w:r>
              <w:rPr>
                <w:rFonts w:ascii="Wingdings 2" w:hAnsi="Wingdings 2"/>
                <w:b/>
                <w:color w:val="000000" w:themeColor="text1"/>
                <w14:textFill>
                  <w14:solidFill>
                    <w14:schemeClr w14:val="tx1"/>
                  </w14:solidFill>
                </w14:textFill>
              </w:rPr>
              <w:sym w:font="Wingdings 2" w:char="F052"/>
            </w:r>
            <w:r>
              <w:rPr>
                <w:rFonts w:hint="eastAsia" w:ascii="宋体" w:hAnsi="宋体"/>
                <w:b/>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综合评分法</w:t>
            </w:r>
          </w:p>
        </w:tc>
      </w:tr>
      <w:tr w14:paraId="2BEB56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BA96C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8</w:t>
            </w:r>
          </w:p>
        </w:tc>
        <w:tc>
          <w:tcPr>
            <w:tcW w:w="1888" w:type="dxa"/>
            <w:vAlign w:val="center"/>
          </w:tcPr>
          <w:p w14:paraId="3C43573E">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定标方法</w:t>
            </w:r>
          </w:p>
        </w:tc>
        <w:tc>
          <w:tcPr>
            <w:tcW w:w="5501" w:type="dxa"/>
            <w:vAlign w:val="center"/>
          </w:tcPr>
          <w:p w14:paraId="02D716B0">
            <w:pPr>
              <w:jc w:val="center"/>
              <w:rPr>
                <w:rFonts w:ascii="宋体" w:hAnsi="宋体" w:eastAsia="宋体"/>
                <w:color w:val="000000" w:themeColor="text1"/>
                <w14:textFill>
                  <w14:solidFill>
                    <w14:schemeClr w14:val="tx1"/>
                  </w14:solidFill>
                </w14:textFill>
              </w:rPr>
            </w:pPr>
            <w:r>
              <w:rPr>
                <w:rFonts w:ascii="Wingdings 2" w:hAnsi="Wingdings 2" w:eastAsia="宋体"/>
                <w:b/>
                <w:color w:val="000000" w:themeColor="text1"/>
                <w14:textFill>
                  <w14:solidFill>
                    <w14:schemeClr w14:val="tx1"/>
                  </w14:solidFill>
                </w14:textFill>
              </w:rPr>
              <w:t>无</w:t>
            </w:r>
          </w:p>
        </w:tc>
      </w:tr>
      <w:tr w14:paraId="2030A9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B655C00">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6</w:t>
            </w:r>
          </w:p>
        </w:tc>
        <w:tc>
          <w:tcPr>
            <w:tcW w:w="1888" w:type="dxa"/>
            <w:vAlign w:val="center"/>
          </w:tcPr>
          <w:p w14:paraId="0E43292F">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履约担保</w:t>
            </w:r>
          </w:p>
        </w:tc>
        <w:tc>
          <w:tcPr>
            <w:tcW w:w="5501" w:type="dxa"/>
            <w:vAlign w:val="center"/>
          </w:tcPr>
          <w:p w14:paraId="6882B87A">
            <w:pPr>
              <w:pStyle w:val="8"/>
              <w:jc w:val="center"/>
              <w:rPr>
                <w:rFonts w:hint="default" w:ascii="宋体" w:hAnsi="宋体" w:cs="宋体" w:eastAsiaTheme="minorEastAsia"/>
                <w:szCs w:val="21"/>
                <w:lang w:val="en-US" w:eastAsia="zh-CN"/>
              </w:rPr>
            </w:pPr>
            <w:r>
              <w:rPr>
                <w:rFonts w:hint="eastAsia" w:ascii="宋体" w:hAnsi="宋体" w:cs="宋体" w:eastAsiaTheme="minorEastAsia"/>
                <w:szCs w:val="21"/>
                <w:lang w:val="en-US" w:eastAsia="zh-CN"/>
              </w:rPr>
              <w:t>无</w:t>
            </w:r>
          </w:p>
        </w:tc>
      </w:tr>
    </w:tbl>
    <w:p w14:paraId="19C24A52">
      <w:pPr>
        <w:rPr>
          <w:b/>
          <w:color w:val="000000" w:themeColor="text1"/>
          <w14:textFill>
            <w14:solidFill>
              <w14:schemeClr w14:val="tx1"/>
            </w14:solidFill>
          </w14:textFill>
        </w:rPr>
      </w:pPr>
      <w:r>
        <w:rPr>
          <w:rFonts w:hint="eastAsia"/>
          <w:color w:val="000000" w:themeColor="text1"/>
          <w:szCs w:val="21"/>
          <w14:textFill>
            <w14:solidFill>
              <w14:schemeClr w14:val="tx1"/>
            </w14:solidFill>
          </w14:textFill>
        </w:rPr>
        <w:t>备注：本表是通用条款相关条款的补充和明确，如与通用条款内容相冲突的，以本表为准。</w:t>
      </w:r>
      <w:r>
        <w:rPr>
          <w:rFonts w:hint="eastAsia"/>
          <w:b/>
          <w:bCs/>
          <w:color w:val="FF0000"/>
          <w:szCs w:val="21"/>
        </w:rPr>
        <w:t>本项目使用深圳政府采购智慧平台进行操作，通用条款中如有与深圳政府采购智慧平台操作流程不一致的内容，请以深圳政府采购智慧平台</w:t>
      </w:r>
      <w:r>
        <w:rPr>
          <w:b/>
          <w:bCs/>
          <w:color w:val="FF0000"/>
          <w:szCs w:val="21"/>
        </w:rPr>
        <w:t>zfcg.szggzy.com:8081</w:t>
      </w:r>
      <w:r>
        <w:rPr>
          <w:rFonts w:hint="eastAsia"/>
          <w:b/>
          <w:bCs/>
          <w:color w:val="FF0000"/>
          <w:szCs w:val="21"/>
        </w:rPr>
        <w:t>公布的操作手册内容为准。</w:t>
      </w:r>
    </w:p>
    <w:p w14:paraId="78F118A5">
      <w:pPr>
        <w:rPr>
          <w:b/>
          <w:color w:val="000000" w:themeColor="text1"/>
          <w14:textFill>
            <w14:solidFill>
              <w14:schemeClr w14:val="tx1"/>
            </w14:solidFill>
          </w14:textFill>
        </w:rPr>
      </w:pPr>
    </w:p>
    <w:p w14:paraId="1CDCCC84">
      <w:pPr>
        <w:jc w:val="center"/>
        <w:outlineLvl w:val="2"/>
        <w:rPr>
          <w:rFonts w:ascii="宋体" w:hAnsi="宋体" w:eastAsia="宋体" w:cs="宋体"/>
          <w:b/>
          <w:bCs/>
          <w:sz w:val="28"/>
          <w:szCs w:val="28"/>
        </w:rPr>
      </w:pPr>
      <w:r>
        <w:rPr>
          <w:rFonts w:hint="eastAsia" w:ascii="宋体" w:hAnsi="宋体" w:eastAsia="宋体" w:cs="宋体"/>
          <w:b/>
          <w:bCs/>
          <w:sz w:val="28"/>
          <w:szCs w:val="28"/>
        </w:rPr>
        <w:t>二、其他关键信息</w:t>
      </w:r>
    </w:p>
    <w:p w14:paraId="11F9AB49">
      <w:pPr>
        <w:ind w:firstLine="480" w:firstLineChars="200"/>
        <w:rPr>
          <w:rFonts w:hint="eastAsia" w:ascii="仿宋" w:hAnsi="仿宋" w:eastAsia="仿宋" w:cs="仿宋"/>
          <w:b/>
          <w:color w:val="FF0000"/>
          <w:sz w:val="24"/>
        </w:rPr>
      </w:pPr>
      <w:r>
        <w:rPr>
          <w:rFonts w:hint="eastAsia"/>
          <w:b/>
          <w:bCs/>
        </w:rPr>
        <w:t>（一）评标定标信息</w:t>
      </w:r>
    </w:p>
    <w:p w14:paraId="264F8CC5">
      <w:pPr>
        <w:ind w:firstLine="482" w:firstLineChars="200"/>
        <w:rPr>
          <w:rFonts w:ascii="仿宋" w:hAnsi="仿宋" w:eastAsia="仿宋" w:cs="仿宋"/>
          <w:b/>
          <w:color w:val="4F81BD" w:themeColor="accent1"/>
          <w:sz w:val="24"/>
          <w14:textFill>
            <w14:solidFill>
              <w14:schemeClr w14:val="accent1"/>
            </w14:solidFill>
          </w14:textFill>
        </w:rPr>
      </w:pPr>
      <w:r>
        <w:rPr>
          <w:rFonts w:hint="eastAsia" w:ascii="仿宋" w:hAnsi="仿宋" w:eastAsia="仿宋" w:cs="仿宋"/>
          <w:b/>
          <w:color w:val="4F81BD" w:themeColor="accent1"/>
          <w:sz w:val="24"/>
          <w14:textFill>
            <w14:solidFill>
              <w14:schemeClr w14:val="accent1"/>
            </w14:solidFill>
          </w14:textFill>
        </w:rPr>
        <w:t>适用于非评定分离项目</w:t>
      </w:r>
    </w:p>
    <w:p w14:paraId="4773BE74">
      <w:pPr>
        <w:ind w:firstLine="480" w:firstLineChars="200"/>
        <w:rPr>
          <w:rFonts w:hint="eastAsia" w:ascii="仿宋" w:hAnsi="仿宋" w:eastAsia="仿宋" w:cs="仿宋"/>
          <w:color w:val="4F81BD" w:themeColor="accent1"/>
          <w:sz w:val="24"/>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本次评标采用综合评分法，投标文件满足招标文件全部实质性要求，且按照招标文件中规定的各项评审因素进行量化打分，评标结果按评审后得分由高到低顺序排列。得分相同的，按投标报价由低到高顺序排列。得分且投标报价相同的，按技术/服务部分得分由高到低排列。得分、投标报价和技术/服务部分得分均相同的并列，出现并列情况采取随机抽取的方式确定，具体操作办法及流程由评审委员会确定，以评审总得分最高的投标人为中标供应商（排名第二的投标人为第一替补中标候选人、排名第三的投标人为第二替补中标候选人）。</w:t>
      </w:r>
    </w:p>
    <w:tbl>
      <w:tblPr>
        <w:tblStyle w:val="17"/>
        <w:tblpPr w:leftFromText="180" w:rightFromText="180" w:vertAnchor="text" w:horzAnchor="page" w:tblpX="1989" w:tblpY="141"/>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gridCol w:w="4065"/>
      </w:tblGrid>
      <w:tr w14:paraId="2B73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01DDFBDC">
            <w:pPr>
              <w:widowControl w:val="0"/>
              <w:jc w:val="center"/>
            </w:pPr>
            <w:bookmarkStart w:id="29" w:name="_Hlk74239733"/>
            <w:r>
              <w:rPr>
                <w:rFonts w:hint="eastAsia"/>
              </w:rPr>
              <w:t>评标方法</w:t>
            </w:r>
          </w:p>
        </w:tc>
        <w:tc>
          <w:tcPr>
            <w:tcW w:w="4065" w:type="dxa"/>
            <w:vAlign w:val="top"/>
          </w:tcPr>
          <w:p w14:paraId="1B3EC36C">
            <w:pPr>
              <w:widowControl w:val="0"/>
              <w:jc w:val="center"/>
            </w:pPr>
            <w:r>
              <w:rPr>
                <w:rFonts w:hint="eastAsia"/>
              </w:rPr>
              <w:t>综合评分法</w:t>
            </w:r>
          </w:p>
        </w:tc>
      </w:tr>
      <w:tr w14:paraId="3B0E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407BA130">
            <w:pPr>
              <w:widowControl w:val="0"/>
              <w:jc w:val="center"/>
            </w:pPr>
            <w:r>
              <w:rPr>
                <w:rFonts w:hint="eastAsia"/>
              </w:rPr>
              <w:t>候选中标供应商家数</w:t>
            </w:r>
          </w:p>
        </w:tc>
        <w:tc>
          <w:tcPr>
            <w:tcW w:w="4065" w:type="dxa"/>
            <w:vAlign w:val="top"/>
          </w:tcPr>
          <w:p w14:paraId="405A8AC1">
            <w:pPr>
              <w:widowControl w:val="0"/>
              <w:jc w:val="center"/>
            </w:pPr>
            <w:r>
              <w:rPr>
                <w:rFonts w:hint="eastAsia"/>
              </w:rPr>
              <w:t>3</w:t>
            </w:r>
          </w:p>
        </w:tc>
      </w:tr>
      <w:tr w14:paraId="7801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4457A9CC">
            <w:pPr>
              <w:widowControl w:val="0"/>
              <w:jc w:val="center"/>
            </w:pPr>
            <w:r>
              <w:rPr>
                <w:rFonts w:hint="eastAsia"/>
              </w:rPr>
              <w:t>中标供应商家数</w:t>
            </w:r>
          </w:p>
        </w:tc>
        <w:tc>
          <w:tcPr>
            <w:tcW w:w="4065" w:type="dxa"/>
            <w:vAlign w:val="top"/>
          </w:tcPr>
          <w:p w14:paraId="704A3D4A">
            <w:pPr>
              <w:widowControl w:val="0"/>
              <w:jc w:val="center"/>
            </w:pPr>
            <w:r>
              <w:rPr>
                <w:rFonts w:hint="eastAsia"/>
              </w:rPr>
              <w:t>1</w:t>
            </w:r>
          </w:p>
        </w:tc>
      </w:tr>
      <w:bookmarkEnd w:id="29"/>
    </w:tbl>
    <w:p w14:paraId="62C0F09D">
      <w:pPr>
        <w:pStyle w:val="2"/>
      </w:pPr>
    </w:p>
    <w:p w14:paraId="2FE9EB0A">
      <w:pPr>
        <w:ind w:firstLine="480" w:firstLineChars="200"/>
        <w:rPr>
          <w:rFonts w:ascii="仿宋" w:hAnsi="仿宋" w:eastAsia="仿宋" w:cs="仿宋"/>
          <w:color w:val="4F81BD" w:themeColor="accent1"/>
          <w:sz w:val="24"/>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评审委员会对每个通过资格性检查和符合性检查且报价不超过最高限价的投标人进行评审、打分，然后汇总每个投标人每项</w:t>
      </w:r>
      <w:r>
        <w:rPr>
          <w:rFonts w:hint="eastAsia" w:ascii="仿宋" w:hAnsi="仿宋" w:eastAsia="仿宋" w:cs="仿宋"/>
          <w:color w:val="4F81BD" w:themeColor="accent1"/>
          <w:sz w:val="24"/>
          <w:lang w:eastAsia="zh-CN"/>
          <w14:textFill>
            <w14:solidFill>
              <w14:schemeClr w14:val="accent1"/>
            </w14:solidFill>
          </w14:textFill>
        </w:rPr>
        <w:t>评审因素</w:t>
      </w:r>
      <w:r>
        <w:rPr>
          <w:rFonts w:hint="eastAsia" w:ascii="仿宋" w:hAnsi="仿宋" w:eastAsia="仿宋" w:cs="仿宋"/>
          <w:color w:val="4F81BD" w:themeColor="accent1"/>
          <w:sz w:val="24"/>
          <w14:textFill>
            <w14:solidFill>
              <w14:schemeClr w14:val="accent1"/>
            </w14:solidFill>
          </w14:textFill>
        </w:rPr>
        <w:t>的评分。</w:t>
      </w:r>
    </w:p>
    <w:p w14:paraId="500A647C">
      <w:pPr>
        <w:ind w:firstLine="480" w:firstLineChars="200"/>
        <w:rPr>
          <w:rFonts w:hint="eastAsia" w:ascii="仿宋" w:hAnsi="仿宋" w:eastAsia="仿宋" w:cs="仿宋"/>
          <w:color w:val="4F81BD" w:themeColor="accent1"/>
          <w:sz w:val="24"/>
          <w:lang w:eastAsia="zh-CN"/>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评委会在评审时，按照</w:t>
      </w:r>
      <w:r>
        <w:rPr>
          <w:rFonts w:hint="eastAsia" w:ascii="仿宋" w:hAnsi="仿宋" w:eastAsia="仿宋" w:cs="仿宋"/>
          <w:color w:val="4F81BD" w:themeColor="accent1"/>
          <w:sz w:val="24"/>
          <w:lang w:eastAsia="zh-CN"/>
          <w14:textFill>
            <w14:solidFill>
              <w14:schemeClr w14:val="accent1"/>
            </w14:solidFill>
          </w14:textFill>
        </w:rPr>
        <w:t>《评标信息》中</w:t>
      </w:r>
      <w:r>
        <w:rPr>
          <w:rFonts w:hint="eastAsia" w:ascii="仿宋" w:hAnsi="仿宋" w:eastAsia="仿宋" w:cs="仿宋"/>
          <w:color w:val="4F81BD" w:themeColor="accent1"/>
          <w:sz w:val="24"/>
          <w14:textFill>
            <w14:solidFill>
              <w14:schemeClr w14:val="accent1"/>
            </w14:solidFill>
          </w14:textFill>
        </w:rPr>
        <w:t>的评审因素，对进入该阶段评审的各投标文件进行分析和比较</w:t>
      </w:r>
      <w:r>
        <w:rPr>
          <w:rFonts w:hint="eastAsia" w:ascii="仿宋" w:hAnsi="仿宋" w:eastAsia="仿宋" w:cs="仿宋"/>
          <w:color w:val="4F81BD" w:themeColor="accent1"/>
          <w:sz w:val="24"/>
          <w:lang w:eastAsia="zh-CN"/>
          <w14:textFill>
            <w14:solidFill>
              <w14:schemeClr w14:val="accent1"/>
            </w14:solidFill>
          </w14:textFill>
        </w:rPr>
        <w:t>。</w:t>
      </w:r>
    </w:p>
    <w:p w14:paraId="089C29C3">
      <w:pPr>
        <w:pStyle w:val="2"/>
        <w:rPr>
          <w:rFonts w:hint="eastAsia"/>
          <w:lang w:eastAsia="zh-CN"/>
        </w:rPr>
      </w:pPr>
    </w:p>
    <w:p w14:paraId="1628BB3C">
      <w:pPr>
        <w:rPr>
          <w:rFonts w:hint="eastAsia" w:ascii="仿宋" w:hAnsi="仿宋" w:eastAsia="仿宋" w:cs="仿宋"/>
          <w:color w:val="00B050"/>
          <w:sz w:val="24"/>
        </w:rPr>
      </w:pPr>
    </w:p>
    <w:p w14:paraId="634979DA">
      <w:pPr>
        <w:spacing w:line="360" w:lineRule="auto"/>
        <w:ind w:firstLine="480" w:firstLineChars="200"/>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（二）其他事项</w:t>
      </w:r>
    </w:p>
    <w:p w14:paraId="184D3D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eastAsia="宋体"/>
          <w:b/>
          <w:bCs/>
          <w:color w:val="000000" w:themeColor="text1"/>
          <w:lang w:val="en-US" w:eastAsia="zh-CN"/>
          <w14:textFill>
            <w14:solidFill>
              <w14:schemeClr w14:val="tx1"/>
            </w14:solidFill>
          </w14:textFill>
        </w:rPr>
        <w:t>.</w:t>
      </w:r>
      <w:r>
        <w:rPr>
          <w:rFonts w:hint="eastAsia"/>
          <w:b/>
          <w:bCs/>
          <w:color w:val="000000" w:themeColor="text1"/>
          <w14:textFill>
            <w14:solidFill>
              <w14:schemeClr w14:val="tx1"/>
            </w14:solidFill>
          </w14:textFill>
        </w:rPr>
        <w:t>关于享受优惠政策的主体及价格扣除比例</w:t>
      </w:r>
    </w:p>
    <w:p w14:paraId="4B4F8AE3">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（1）投标人提供的服务</w:t>
      </w:r>
      <w:r>
        <w:rPr>
          <w:rFonts w:hint="eastAsia" w:ascii="宋体" w:hAnsi="宋体" w:eastAsia="宋体" w:cs="宋体"/>
          <w:color w:val="000000" w:themeColor="text1"/>
          <w14:textFill>
            <w14:solidFill>
              <w14:schemeClr w14:val="tx1"/>
            </w14:solidFill>
          </w14:textFill>
        </w:rPr>
        <w:t>全部</w:t>
      </w:r>
      <w:r>
        <w:rPr>
          <w:rFonts w:hint="eastAsia"/>
          <w:color w:val="000000" w:themeColor="text1"/>
          <w14:textFill>
            <w14:solidFill>
              <w14:schemeClr w14:val="tx1"/>
            </w14:solidFill>
          </w14:textFill>
        </w:rPr>
        <w:t>均由优惠主体承接，则对其投标总价给予</w:t>
      </w:r>
      <w:r>
        <w:rPr>
          <w:color w:val="000000" w:themeColor="text1"/>
          <w14:textFill>
            <w14:solidFill>
              <w14:schemeClr w14:val="tx1"/>
            </w14:solidFill>
          </w14:textFill>
        </w:rPr>
        <w:t xml:space="preserve"> </w:t>
      </w:r>
      <w:r>
        <w:rPr>
          <w:color w:val="FF0000"/>
        </w:rPr>
        <w:t>10</w:t>
      </w:r>
      <w:r>
        <w:rPr>
          <w:rFonts w:hint="eastAsia"/>
          <w:color w:val="FF0000"/>
        </w:rPr>
        <w:t>%</w:t>
      </w:r>
      <w:r>
        <w:rPr>
          <w:rFonts w:hint="eastAsia"/>
          <w:color w:val="000000" w:themeColor="text1"/>
          <w14:textFill>
            <w14:solidFill>
              <w14:schemeClr w14:val="tx1"/>
            </w14:solidFill>
          </w14:textFill>
        </w:rPr>
        <w:t>的扣除，用扣除后的价格参与评审。</w:t>
      </w:r>
    </w:p>
    <w:p w14:paraId="3A67A020">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color w:val="FF0000"/>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满足多项优惠政策的企业，不重复享受多项价格扣除政策。</w:t>
      </w:r>
      <w:r>
        <w:rPr>
          <w:rFonts w:hint="eastAsia" w:ascii="宋体" w:hAnsi="宋体" w:eastAsia="宋体" w:cs="宋体"/>
          <w:b/>
          <w:bCs/>
          <w:color w:val="FF0000"/>
        </w:rPr>
        <w:t>政策调整后价格仅作为评审依据，不作为中标价格。享受价格扣除获得政府采购合同的，小微企业不得将合同分包给大中型企业。</w:t>
      </w:r>
    </w:p>
    <w:p w14:paraId="09838A73">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ascii="宋体" w:hAnsi="宋体"/>
          <w:bCs/>
        </w:rPr>
      </w:pPr>
      <w:r>
        <w:rPr>
          <w:rFonts w:hint="eastAsia"/>
          <w:color w:val="000000" w:themeColor="text1"/>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优惠主体承接是指提供服务的人员为中小企业依照《中华人民共和国劳动合同法》订立劳动合同的从业人员。(</w:t>
      </w:r>
      <w:r>
        <w:rPr>
          <w:color w:val="000000" w:themeColor="text1"/>
          <w14:textFill>
            <w14:solidFill>
              <w14:schemeClr w14:val="tx1"/>
            </w14:solidFill>
          </w14:textFill>
        </w:rPr>
        <w:t>c)</w:t>
      </w:r>
      <w:r>
        <w:rPr>
          <w:rFonts w:hint="eastAsia" w:ascii="宋体" w:hAnsi="宋体"/>
          <w:bCs/>
        </w:rPr>
        <w:t>小型企业、微型企业、残疾人福利性单位作为优惠主体的认定资料为《中小企业声明函》、《残疾人福利性单位声明函》；监狱企业作为优惠主体的认定资料为省级以上监狱管理局、戒毒管理局出具的监狱企业证明文件。</w:t>
      </w:r>
    </w:p>
    <w:p w14:paraId="24F927EA">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bCs/>
        </w:rPr>
      </w:pPr>
      <w:r>
        <w:rPr>
          <w:rFonts w:hint="eastAsia" w:ascii="宋体" w:hAnsi="宋体"/>
          <w:bCs/>
        </w:rPr>
        <w:t>本项目采购标的对应的中小企业划分标准所属行业，根据《中小企业划型标准规定》（工信部联企业〔2011〕300号）、《</w:t>
      </w:r>
      <w:r>
        <w:rPr>
          <w:rFonts w:ascii="宋体" w:hAnsi="宋体"/>
          <w:bCs/>
        </w:rPr>
        <w:t>统计上大中小微型企业划分办法（2017）</w:t>
      </w:r>
      <w:r>
        <w:rPr>
          <w:rFonts w:hint="eastAsia" w:ascii="宋体" w:hAnsi="宋体"/>
          <w:bCs/>
        </w:rPr>
        <w:t>》（国统字〔2017〕213号）或国务院批准的其他中小企业划分标准文件确定。</w:t>
      </w:r>
    </w:p>
    <w:p w14:paraId="59DF0DB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2.关于落实政府绿色采购有关事项</w:t>
      </w:r>
    </w:p>
    <w:p w14:paraId="55376937">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bCs/>
          <w:lang w:val="en-US" w:eastAsia="zh-CN"/>
        </w:rPr>
      </w:pPr>
      <w:r>
        <w:rPr>
          <w:rFonts w:hint="eastAsia" w:ascii="宋体" w:hAnsi="宋体"/>
          <w:bCs/>
          <w:lang w:val="en-US" w:eastAsia="zh-CN"/>
        </w:rPr>
        <w:t>根据《深圳市财政局关于大力推广政府绿色采购有关事项的通知》（深财购〔2023〕49号）要求，如拟采购的产品属于节能产品或环境标志产品政府采购品目清单范围的，将在采购需求中对产品进行标识，并依据国家确认的认证机构出具的、处于有效期之内的节能产品或环境标志产品认证证书，对获得证书的产品实施政府优先采购或强制采购。如项目涉及商品包装、快递包装、绿色建筑和绿色建材、绿色数据中心等内容，需求标准将严格执行《商品包装政府采购需求标准（试行）》、《快递包装政府采购需求标准（试行）》（财办库〔2020〕123号）、《绿色建筑和绿色建材政府采购需求标准》（财办库〔2022〕35号）、《绿色数据中心政府采购需求标准（试行）》（财办库〔2023〕7号）等文件要求，并在采购文件和采购合同中载明具体需求、履约验收条款和违约责任，促进绿色包装、绿色运输、绿色建筑、绿色建材和绿色数据中心在政府采购领域的应用。</w:t>
      </w:r>
    </w:p>
    <w:p w14:paraId="5C237BED">
      <w:pPr>
        <w:spacing w:line="360" w:lineRule="auto"/>
        <w:jc w:val="center"/>
        <w:rPr>
          <w:rFonts w:hint="eastAsia" w:cs="宋体"/>
          <w:b/>
          <w:bCs/>
          <w:color w:val="000000" w:themeColor="text1"/>
          <w:sz w:val="28"/>
          <w:szCs w:val="28"/>
          <w14:textFill>
            <w14:solidFill>
              <w14:schemeClr w14:val="tx1"/>
            </w14:solidFill>
          </w14:textFill>
        </w:rPr>
      </w:pPr>
      <w:bookmarkStart w:id="30" w:name="_Toc128884461"/>
    </w:p>
    <w:p w14:paraId="36CCF077">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第三章</w:t>
      </w:r>
      <w:r>
        <w:rPr>
          <w:rFonts w:hint="eastAsia"/>
          <w:b/>
          <w:bCs/>
          <w:color w:val="000000" w:themeColor="text1"/>
          <w:sz w:val="28"/>
          <w:szCs w:val="28"/>
          <w14:textFill>
            <w14:solidFill>
              <w14:schemeClr w14:val="tx1"/>
            </w14:solidFill>
          </w14:textFill>
        </w:rPr>
        <w:t xml:space="preserve"> </w:t>
      </w:r>
      <w:r>
        <w:rPr>
          <w:rFonts w:hint="eastAsia" w:cs="宋体"/>
          <w:b/>
          <w:bCs/>
          <w:color w:val="000000" w:themeColor="text1"/>
          <w:sz w:val="28"/>
          <w:szCs w:val="28"/>
          <w14:textFill>
            <w14:solidFill>
              <w14:schemeClr w14:val="tx1"/>
            </w14:solidFill>
          </w14:textFill>
        </w:rPr>
        <w:t>用户需求书</w:t>
      </w:r>
    </w:p>
    <w:bookmarkEnd w:id="30"/>
    <w:p w14:paraId="6F93DBB7">
      <w:pPr>
        <w:spacing w:line="360" w:lineRule="auto"/>
        <w:jc w:val="center"/>
        <w:outlineLvl w:val="2"/>
        <w:rPr>
          <w:rFonts w:eastAsia="宋体"/>
          <w:b/>
          <w:bCs/>
        </w:rPr>
      </w:pPr>
      <w:bookmarkStart w:id="31" w:name="_Toc11426270"/>
      <w:r>
        <w:rPr>
          <w:rFonts w:hint="eastAsia" w:ascii="宋体" w:hAnsi="宋体" w:eastAsia="宋体" w:cs="宋体"/>
          <w:b/>
          <w:bCs/>
        </w:rPr>
        <w:t>一、项目基本信息</w:t>
      </w:r>
    </w:p>
    <w:tbl>
      <w:tblPr>
        <w:tblStyle w:val="16"/>
        <w:tblpPr w:leftFromText="180" w:rightFromText="180" w:vertAnchor="text" w:horzAnchor="margin" w:tblpXSpec="center" w:tblpY="173"/>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166"/>
        <w:gridCol w:w="2175"/>
        <w:gridCol w:w="2205"/>
        <w:gridCol w:w="1224"/>
      </w:tblGrid>
      <w:tr w14:paraId="3110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dxa"/>
            <w:shd w:val="clear" w:color="auto" w:fill="C6D9F0" w:themeFill="text2" w:themeFillTint="33"/>
            <w:vAlign w:val="center"/>
          </w:tcPr>
          <w:p w14:paraId="2CCBAF79">
            <w:pPr>
              <w:jc w:val="center"/>
              <w:rPr>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序</w:t>
            </w:r>
            <w:r>
              <w:rPr>
                <w:rFonts w:hint="eastAsia"/>
                <w:b/>
                <w:color w:val="000000" w:themeColor="text1"/>
                <w:szCs w:val="21"/>
                <w14:textFill>
                  <w14:solidFill>
                    <w14:schemeClr w14:val="tx1"/>
                  </w14:solidFill>
                </w14:textFill>
              </w:rPr>
              <w:t>号</w:t>
            </w:r>
          </w:p>
        </w:tc>
        <w:tc>
          <w:tcPr>
            <w:tcW w:w="2166" w:type="dxa"/>
            <w:shd w:val="clear" w:color="auto" w:fill="C6D9F0" w:themeFill="text2" w:themeFillTint="33"/>
            <w:vAlign w:val="center"/>
          </w:tcPr>
          <w:p w14:paraId="791CBCE1">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采购项目名称</w:t>
            </w:r>
          </w:p>
        </w:tc>
        <w:tc>
          <w:tcPr>
            <w:tcW w:w="2175" w:type="dxa"/>
            <w:shd w:val="clear" w:color="auto" w:fill="C6D9F0" w:themeFill="text2" w:themeFillTint="33"/>
            <w:vAlign w:val="center"/>
          </w:tcPr>
          <w:p w14:paraId="157BD676">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财政预算限额（元）</w:t>
            </w:r>
          </w:p>
        </w:tc>
        <w:tc>
          <w:tcPr>
            <w:tcW w:w="2205" w:type="dxa"/>
            <w:shd w:val="clear" w:color="auto" w:fill="C6D9F0" w:themeFill="text2" w:themeFillTint="33"/>
            <w:vAlign w:val="center"/>
          </w:tcPr>
          <w:p w14:paraId="524A0289">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最高限价（元）</w:t>
            </w:r>
          </w:p>
        </w:tc>
        <w:tc>
          <w:tcPr>
            <w:tcW w:w="1224" w:type="dxa"/>
            <w:shd w:val="clear" w:color="auto" w:fill="C6D9F0" w:themeFill="text2" w:themeFillTint="33"/>
            <w:vAlign w:val="center"/>
          </w:tcPr>
          <w:p w14:paraId="53621564">
            <w:pPr>
              <w:jc w:val="center"/>
              <w:rPr>
                <w:rFonts w:hint="eastAsia" w:eastAsiaTheme="minor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32C6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38" w:type="dxa"/>
            <w:vAlign w:val="center"/>
          </w:tcPr>
          <w:p w14:paraId="03ADE8A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2166" w:type="dxa"/>
            <w:vAlign w:val="center"/>
          </w:tcPr>
          <w:p w14:paraId="428F6EEA">
            <w:pPr>
              <w:jc w:val="center"/>
              <w:rPr>
                <w:rFonts w:hint="eastAsia" w:ascii="宋体" w:hAnsi="宋体" w:eastAsia="宋体" w:cs="宋体"/>
                <w:bCs/>
                <w:color w:val="FF0000"/>
                <w:szCs w:val="21"/>
                <w:lang w:eastAsia="zh-CN"/>
              </w:rPr>
            </w:pPr>
            <w:r>
              <w:rPr>
                <w:rFonts w:hint="eastAsia" w:ascii="宋体" w:hAnsi="宋体" w:eastAsia="宋体" w:cs="宋体"/>
                <w:bCs/>
                <w:color w:val="auto"/>
                <w:szCs w:val="21"/>
                <w:lang w:eastAsia="zh-CN"/>
              </w:rPr>
              <w:t>福田区二类监控及视频联网系统维护项目</w:t>
            </w:r>
          </w:p>
        </w:tc>
        <w:tc>
          <w:tcPr>
            <w:tcW w:w="2175" w:type="dxa"/>
            <w:vAlign w:val="center"/>
          </w:tcPr>
          <w:p w14:paraId="6F9CE836">
            <w:pPr>
              <w:jc w:val="center"/>
              <w:rPr>
                <w:rFonts w:hint="eastAsia" w:ascii="宋体" w:hAnsi="宋体" w:eastAsia="宋体" w:cs="宋体"/>
                <w:bCs/>
                <w:color w:val="auto"/>
                <w:szCs w:val="21"/>
                <w:lang w:eastAsia="zh-CN"/>
              </w:rPr>
            </w:pPr>
            <w:r>
              <w:rPr>
                <w:rFonts w:hint="eastAsia" w:ascii="宋体" w:hAnsi="宋体" w:eastAsia="宋体" w:cs="宋体"/>
                <w:bCs/>
                <w:color w:val="auto"/>
                <w:szCs w:val="21"/>
                <w:lang w:val="en-US" w:eastAsia="zh-CN"/>
              </w:rPr>
              <w:t>18,319,000.00</w:t>
            </w:r>
          </w:p>
        </w:tc>
        <w:tc>
          <w:tcPr>
            <w:tcW w:w="2205" w:type="dxa"/>
            <w:vAlign w:val="center"/>
          </w:tcPr>
          <w:p w14:paraId="213DB329">
            <w:pPr>
              <w:jc w:val="center"/>
              <w:rPr>
                <w:rFonts w:hint="eastAsia" w:ascii="宋体" w:hAnsi="宋体" w:eastAsia="宋体" w:cs="宋体"/>
                <w:bCs/>
                <w:color w:val="auto"/>
                <w:szCs w:val="21"/>
                <w:lang w:eastAsia="zh-CN"/>
              </w:rPr>
            </w:pPr>
            <w:r>
              <w:rPr>
                <w:rFonts w:hint="eastAsia" w:ascii="宋体" w:hAnsi="宋体" w:eastAsia="宋体" w:cs="宋体"/>
                <w:bCs/>
                <w:color w:val="auto"/>
                <w:szCs w:val="21"/>
                <w:lang w:val="en-US" w:eastAsia="zh-CN"/>
              </w:rPr>
              <w:t>18,319,000.00</w:t>
            </w:r>
          </w:p>
        </w:tc>
        <w:tc>
          <w:tcPr>
            <w:tcW w:w="1224" w:type="dxa"/>
            <w:vAlign w:val="center"/>
          </w:tcPr>
          <w:p w14:paraId="05E6DA71">
            <w:pPr>
              <w:jc w:val="center"/>
              <w:rPr>
                <w:rFonts w:hint="eastAsia" w:ascii="宋体" w:hAnsi="宋体" w:eastAsia="宋体" w:cs="宋体"/>
                <w:bCs/>
                <w:color w:val="000000" w:themeColor="text1"/>
                <w:szCs w:val="21"/>
                <w:lang w:eastAsia="zh-CN"/>
                <w14:textFill>
                  <w14:solidFill>
                    <w14:schemeClr w14:val="tx1"/>
                  </w14:solidFill>
                </w14:textFill>
              </w:rPr>
            </w:pPr>
          </w:p>
        </w:tc>
      </w:tr>
    </w:tbl>
    <w:p w14:paraId="124B5D31">
      <w:pPr>
        <w:ind w:firstLine="480" w:firstLineChars="200"/>
        <w:rPr>
          <w:rFonts w:ascii="宋体" w:hAnsi="宋体"/>
          <w:b/>
          <w:color w:val="FF0000"/>
          <w:szCs w:val="21"/>
        </w:rPr>
      </w:pPr>
      <w:r>
        <w:rPr>
          <w:rFonts w:hint="eastAsia" w:ascii="宋体" w:hAnsi="宋体"/>
          <w:b/>
          <w:color w:val="FF0000"/>
          <w:szCs w:val="21"/>
        </w:rPr>
        <w:t>本项目在财政预算金额下设定最高限价，如投标人的投标报价超过最高限价，将按照符合性审查要求作投标无效处理</w:t>
      </w:r>
    </w:p>
    <w:p w14:paraId="2BCEA904">
      <w:pPr>
        <w:pStyle w:val="7"/>
      </w:pPr>
    </w:p>
    <w:p w14:paraId="3C8E196C">
      <w:pPr>
        <w:spacing w:line="360" w:lineRule="auto"/>
        <w:jc w:val="center"/>
        <w:outlineLvl w:val="2"/>
        <w:rPr>
          <w:rFonts w:ascii="宋体" w:hAnsi="宋体" w:eastAsia="宋体" w:cs="宋体"/>
          <w:b/>
          <w:bCs/>
        </w:rPr>
      </w:pPr>
      <w:r>
        <w:rPr>
          <w:rFonts w:hint="eastAsia" w:ascii="宋体" w:hAnsi="宋体" w:eastAsia="宋体" w:cs="宋体"/>
          <w:b/>
          <w:bCs/>
        </w:rPr>
        <w:t>二、</w:t>
      </w:r>
      <w:bookmarkStart w:id="32" w:name="_Hlk72073432"/>
      <w:r>
        <w:rPr>
          <w:rFonts w:hint="eastAsia" w:ascii="宋体" w:hAnsi="宋体" w:eastAsia="宋体" w:cs="宋体"/>
          <w:b/>
          <w:bCs/>
        </w:rPr>
        <w:t>服务需求明细</w:t>
      </w:r>
      <w:bookmarkEnd w:id="32"/>
    </w:p>
    <w:tbl>
      <w:tblPr>
        <w:tblStyle w:val="16"/>
        <w:tblW w:w="8273" w:type="dxa"/>
        <w:jc w:val="center"/>
        <w:tblLayout w:type="fixed"/>
        <w:tblCellMar>
          <w:top w:w="0" w:type="dxa"/>
          <w:left w:w="108" w:type="dxa"/>
          <w:bottom w:w="0" w:type="dxa"/>
          <w:right w:w="108" w:type="dxa"/>
        </w:tblCellMar>
      </w:tblPr>
      <w:tblGrid>
        <w:gridCol w:w="633"/>
        <w:gridCol w:w="3641"/>
        <w:gridCol w:w="797"/>
        <w:gridCol w:w="780"/>
        <w:gridCol w:w="1414"/>
        <w:gridCol w:w="1008"/>
      </w:tblGrid>
      <w:tr w14:paraId="26F032BC">
        <w:tblPrEx>
          <w:tblCellMar>
            <w:top w:w="0" w:type="dxa"/>
            <w:left w:w="108" w:type="dxa"/>
            <w:bottom w:w="0" w:type="dxa"/>
            <w:right w:w="108" w:type="dxa"/>
          </w:tblCellMar>
        </w:tblPrEx>
        <w:trPr>
          <w:trHeight w:val="552" w:hRule="atLeast"/>
          <w:jc w:val="center"/>
        </w:trPr>
        <w:tc>
          <w:tcPr>
            <w:tcW w:w="633" w:type="dxa"/>
            <w:tcBorders>
              <w:top w:val="single" w:color="000000" w:sz="4" w:space="0"/>
              <w:left w:val="single" w:color="000000" w:sz="4" w:space="0"/>
              <w:bottom w:val="single" w:color="000000" w:sz="4" w:space="0"/>
              <w:right w:val="single" w:color="auto" w:sz="4" w:space="0"/>
            </w:tcBorders>
            <w:shd w:val="clear" w:color="auto" w:fill="C6D9F1"/>
            <w:tcMar>
              <w:top w:w="15" w:type="dxa"/>
              <w:left w:w="15" w:type="dxa"/>
              <w:bottom w:w="15" w:type="dxa"/>
              <w:right w:w="15" w:type="dxa"/>
            </w:tcMar>
            <w:vAlign w:val="center"/>
          </w:tcPr>
          <w:p w14:paraId="469FE71A">
            <w:pPr>
              <w:jc w:val="center"/>
              <w:rPr>
                <w:b/>
                <w:bCs/>
              </w:rPr>
            </w:pPr>
            <w:r>
              <w:rPr>
                <w:rFonts w:hint="eastAsia" w:ascii="宋体" w:hAnsi="宋体" w:eastAsia="宋体" w:cs="宋体"/>
                <w:b/>
                <w:bCs/>
              </w:rPr>
              <w:t>序号</w:t>
            </w:r>
          </w:p>
        </w:tc>
        <w:tc>
          <w:tcPr>
            <w:tcW w:w="3641" w:type="dxa"/>
            <w:tcBorders>
              <w:top w:val="single" w:color="000000" w:sz="4" w:space="0"/>
              <w:left w:val="single" w:color="auto"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4A2F8D0C">
            <w:pPr>
              <w:jc w:val="center"/>
              <w:rPr>
                <w:b/>
                <w:bCs/>
              </w:rPr>
            </w:pPr>
            <w:r>
              <w:rPr>
                <w:rFonts w:hint="eastAsia" w:ascii="宋体" w:hAnsi="宋体" w:eastAsia="宋体" w:cs="宋体"/>
                <w:b/>
                <w:bCs/>
              </w:rPr>
              <w:t>服务名称（标的名称）</w:t>
            </w:r>
          </w:p>
        </w:tc>
        <w:tc>
          <w:tcPr>
            <w:tcW w:w="797"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554D455C">
            <w:pPr>
              <w:jc w:val="center"/>
              <w:rPr>
                <w:b/>
                <w:bCs/>
              </w:rPr>
            </w:pPr>
            <w:r>
              <w:rPr>
                <w:rFonts w:hint="eastAsia" w:ascii="宋体" w:hAnsi="宋体" w:eastAsia="宋体" w:cs="宋体"/>
                <w:b/>
                <w:bCs/>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3CD9F1EF">
            <w:pPr>
              <w:jc w:val="center"/>
              <w:rPr>
                <w:b/>
                <w:bCs/>
              </w:rPr>
            </w:pPr>
            <w:r>
              <w:rPr>
                <w:rFonts w:hint="eastAsia" w:ascii="宋体" w:hAnsi="宋体" w:eastAsia="宋体" w:cs="宋体"/>
                <w:b/>
                <w:bCs/>
              </w:rPr>
              <w:t>数量</w:t>
            </w:r>
          </w:p>
        </w:tc>
        <w:tc>
          <w:tcPr>
            <w:tcW w:w="1414"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5BF8E7E9">
            <w:pPr>
              <w:jc w:val="center"/>
              <w:rPr>
                <w:b/>
                <w:bCs/>
                <w:highlight w:val="green"/>
              </w:rPr>
            </w:pPr>
            <w:r>
              <w:rPr>
                <w:rFonts w:hint="eastAsia" w:ascii="宋体" w:hAnsi="宋体" w:eastAsia="宋体" w:cs="宋体"/>
                <w:b/>
                <w:bCs/>
              </w:rPr>
              <w:t>所属行业</w:t>
            </w:r>
          </w:p>
        </w:tc>
        <w:tc>
          <w:tcPr>
            <w:tcW w:w="1008"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3F7C396A">
            <w:pPr>
              <w:jc w:val="center"/>
              <w:rPr>
                <w:b/>
                <w:bCs/>
                <w:highlight w:val="green"/>
              </w:rPr>
            </w:pPr>
            <w:r>
              <w:rPr>
                <w:rFonts w:hint="eastAsia" w:ascii="宋体" w:hAnsi="宋体" w:eastAsia="宋体" w:cs="宋体"/>
                <w:b/>
                <w:bCs/>
              </w:rPr>
              <w:t>备注</w:t>
            </w:r>
          </w:p>
        </w:tc>
      </w:tr>
      <w:tr w14:paraId="4465AC71">
        <w:tblPrEx>
          <w:tblCellMar>
            <w:top w:w="0" w:type="dxa"/>
            <w:left w:w="108" w:type="dxa"/>
            <w:bottom w:w="0" w:type="dxa"/>
            <w:right w:w="108" w:type="dxa"/>
          </w:tblCellMar>
        </w:tblPrEx>
        <w:trPr>
          <w:trHeight w:val="841" w:hRule="atLeast"/>
          <w:jc w:val="center"/>
        </w:trPr>
        <w:tc>
          <w:tcPr>
            <w:tcW w:w="633"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14:paraId="393CB041">
            <w:pPr>
              <w:jc w:val="center"/>
            </w:pPr>
            <w:r>
              <w:rPr>
                <w:rFonts w:hint="eastAsia"/>
              </w:rPr>
              <w:t>1</w:t>
            </w:r>
          </w:p>
        </w:tc>
        <w:tc>
          <w:tcPr>
            <w:tcW w:w="3641"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center"/>
          </w:tcPr>
          <w:p w14:paraId="2C3C0C04">
            <w:pPr>
              <w:jc w:val="center"/>
              <w:rPr>
                <w:rFonts w:hint="eastAsia" w:asciiTheme="minorEastAsia" w:hAnsiTheme="minorEastAsia" w:eastAsiaTheme="minorEastAsia"/>
                <w:b/>
                <w:bCs/>
                <w:highlight w:val="green"/>
                <w:lang w:eastAsia="zh-CN"/>
              </w:rPr>
            </w:pPr>
            <w:r>
              <w:rPr>
                <w:rFonts w:hint="eastAsia" w:asciiTheme="minorEastAsia" w:hAnsiTheme="minorEastAsia" w:eastAsiaTheme="minorEastAsia"/>
                <w:b/>
                <w:bCs/>
                <w:highlight w:val="none"/>
                <w:lang w:eastAsia="zh-CN"/>
              </w:rPr>
              <w:t>福田区二类监控及视频联网系统维护项目</w:t>
            </w:r>
          </w:p>
        </w:tc>
        <w:tc>
          <w:tcPr>
            <w:tcW w:w="7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AA63D3">
            <w:pPr>
              <w:jc w:val="center"/>
              <w:rPr>
                <w:bCs/>
              </w:rPr>
            </w:pPr>
            <w:r>
              <w:rPr>
                <w:rFonts w:hint="eastAsia" w:ascii="宋体" w:hAnsi="宋体" w:eastAsia="宋体" w:cs="宋体"/>
                <w:bCs/>
              </w:rPr>
              <w:t>项</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663037">
            <w:pPr>
              <w:jc w:val="center"/>
              <w:rPr>
                <w:bCs/>
              </w:rPr>
            </w:pPr>
            <w:r>
              <w:rPr>
                <w:bCs/>
              </w:rPr>
              <w:t>1</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045CC9">
            <w:pPr>
              <w:jc w:val="center"/>
              <w:rPr>
                <w:rFonts w:ascii="宋体" w:hAnsi="宋体" w:eastAsia="宋体" w:cs="宋体"/>
                <w:bCs/>
              </w:rPr>
            </w:pPr>
            <w:r>
              <w:rPr>
                <w:rFonts w:ascii="宋体" w:hAnsi="宋体" w:eastAsia="宋体" w:cs="宋体"/>
                <w:bCs/>
              </w:rPr>
              <w:t>软件和信息技术服务业</w:t>
            </w:r>
          </w:p>
        </w:tc>
        <w:tc>
          <w:tcPr>
            <w:tcW w:w="100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006C730">
            <w:pPr>
              <w:jc w:val="center"/>
              <w:rPr>
                <w:bCs/>
                <w:highlight w:val="green"/>
              </w:rPr>
            </w:pPr>
          </w:p>
        </w:tc>
      </w:tr>
      <w:bookmarkEnd w:id="31"/>
    </w:tbl>
    <w:p w14:paraId="14CC8AAE">
      <w:pPr>
        <w:rPr>
          <w:b/>
          <w:sz w:val="28"/>
        </w:rPr>
      </w:pPr>
      <w:r>
        <w:rPr>
          <w:b/>
          <w:sz w:val="28"/>
        </w:rPr>
        <w:t>项目</w:t>
      </w:r>
      <w:r>
        <w:rPr>
          <w:rFonts w:hint="eastAsia"/>
          <w:b/>
          <w:sz w:val="28"/>
        </w:rPr>
        <w:t>概况：</w:t>
      </w:r>
    </w:p>
    <w:p w14:paraId="506A4AC4">
      <w:pPr>
        <w:ind w:left="547" w:leftChars="228" w:firstLine="420" w:firstLineChars="200"/>
        <w:rPr>
          <w:rFonts w:cs="仿宋" w:asciiTheme="minorEastAsia" w:hAnsiTheme="minorEastAsia"/>
          <w:sz w:val="21"/>
          <w:szCs w:val="21"/>
        </w:rPr>
      </w:pPr>
      <w:bookmarkStart w:id="33" w:name="_Toc320311558"/>
      <w:bookmarkEnd w:id="33"/>
      <w:bookmarkStart w:id="34" w:name="_Toc11426271"/>
    </w:p>
    <w:p w14:paraId="0F902432">
      <w:pPr>
        <w:ind w:left="547" w:leftChars="228" w:firstLine="420" w:firstLineChars="200"/>
        <w:rPr>
          <w:rFonts w:cs="仿宋" w:asciiTheme="minorEastAsia" w:hAnsiTheme="minorEastAsia"/>
          <w:sz w:val="21"/>
          <w:szCs w:val="21"/>
        </w:rPr>
      </w:pPr>
    </w:p>
    <w:p w14:paraId="74B4CA0B">
      <w:pPr>
        <w:spacing w:line="360" w:lineRule="auto"/>
        <w:jc w:val="center"/>
        <w:outlineLvl w:val="2"/>
        <w:rPr>
          <w:rFonts w:ascii="宋体" w:hAnsi="宋体" w:eastAsia="宋体" w:cs="宋体"/>
          <w:b/>
          <w:bCs/>
        </w:rPr>
      </w:pPr>
      <w:r>
        <w:rPr>
          <w:rFonts w:hint="eastAsia" w:ascii="宋体" w:hAnsi="宋体" w:eastAsia="宋体" w:cs="宋体"/>
          <w:b/>
          <w:bCs/>
        </w:rPr>
        <w:t>三</w:t>
      </w:r>
      <w:r>
        <w:rPr>
          <w:rFonts w:ascii="宋体" w:hAnsi="宋体" w:eastAsia="宋体" w:cs="宋体"/>
          <w:b/>
          <w:bCs/>
        </w:rPr>
        <w:t>、</w:t>
      </w:r>
      <w:r>
        <w:rPr>
          <w:rFonts w:hint="eastAsia" w:ascii="宋体" w:hAnsi="宋体" w:eastAsia="宋体" w:cs="宋体"/>
          <w:b/>
          <w:bCs/>
        </w:rPr>
        <w:t>实质性条款</w:t>
      </w:r>
    </w:p>
    <w:tbl>
      <w:tblPr>
        <w:tblStyle w:val="16"/>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14:paraId="118C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tcPr>
          <w:p w14:paraId="5C32614E">
            <w:pPr>
              <w:adjustRightInd w:val="0"/>
              <w:snapToGrid w:val="0"/>
              <w:spacing w:line="360" w:lineRule="auto"/>
              <w:jc w:val="center"/>
              <w:rPr>
                <w:rFonts w:asciiTheme="minorEastAsia" w:hAnsiTheme="minorEastAsia"/>
                <w:sz w:val="21"/>
                <w:szCs w:val="21"/>
              </w:rPr>
            </w:pPr>
            <w:r>
              <w:rPr>
                <w:rFonts w:hint="eastAsia" w:asciiTheme="minorEastAsia" w:hAnsiTheme="minorEastAsia"/>
                <w:sz w:val="21"/>
                <w:szCs w:val="21"/>
              </w:rPr>
              <w:t>序号</w:t>
            </w:r>
          </w:p>
        </w:tc>
        <w:tc>
          <w:tcPr>
            <w:tcW w:w="7483" w:type="dxa"/>
          </w:tcPr>
          <w:p w14:paraId="283A5C67">
            <w:pPr>
              <w:adjustRightInd w:val="0"/>
              <w:snapToGrid w:val="0"/>
              <w:spacing w:line="360" w:lineRule="auto"/>
              <w:jc w:val="center"/>
              <w:rPr>
                <w:rFonts w:asciiTheme="minorEastAsia" w:hAnsiTheme="minorEastAsia"/>
                <w:sz w:val="21"/>
                <w:szCs w:val="21"/>
              </w:rPr>
            </w:pPr>
            <w:r>
              <w:rPr>
                <w:rFonts w:hint="eastAsia" w:asciiTheme="minorEastAsia" w:hAnsiTheme="minorEastAsia"/>
                <w:sz w:val="21"/>
                <w:szCs w:val="21"/>
              </w:rPr>
              <w:t>实质性条款具体内容</w:t>
            </w:r>
          </w:p>
        </w:tc>
      </w:tr>
      <w:tr w14:paraId="472F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14:paraId="0A6381EE">
            <w:pPr>
              <w:adjustRightInd w:val="0"/>
              <w:snapToGrid w:val="0"/>
              <w:spacing w:line="360" w:lineRule="auto"/>
              <w:jc w:val="center"/>
              <w:rPr>
                <w:rFonts w:hint="eastAsia" w:cs="Times New Roman" w:asciiTheme="minorEastAsia" w:hAnsiTheme="minorEastAsia"/>
                <w:sz w:val="21"/>
                <w:szCs w:val="21"/>
              </w:rPr>
            </w:pPr>
            <w:r>
              <w:rPr>
                <w:rFonts w:hint="eastAsia" w:ascii="宋体" w:hAnsi="宋体" w:eastAsia="宋体"/>
                <w:szCs w:val="21"/>
              </w:rPr>
              <w:t>1</w:t>
            </w:r>
          </w:p>
        </w:tc>
        <w:tc>
          <w:tcPr>
            <w:tcW w:w="7483" w:type="dxa"/>
            <w:vAlign w:val="top"/>
          </w:tcPr>
          <w:p w14:paraId="100A4CAD">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lang w:val="en-US" w:eastAsia="zh-CN"/>
              </w:rPr>
              <w:t>合同签订之日起至服务结束的时间期限。具体是指合同签订后12个月。</w:t>
            </w:r>
          </w:p>
        </w:tc>
      </w:tr>
      <w:tr w14:paraId="61B5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14:paraId="55F98B0F">
            <w:pPr>
              <w:adjustRightInd w:val="0"/>
              <w:snapToGrid w:val="0"/>
              <w:spacing w:line="360" w:lineRule="auto"/>
              <w:jc w:val="center"/>
              <w:rPr>
                <w:rFonts w:hint="eastAsia" w:cs="Times New Roman" w:asciiTheme="minorEastAsia" w:hAnsiTheme="minorEastAsia"/>
                <w:sz w:val="21"/>
                <w:szCs w:val="21"/>
              </w:rPr>
            </w:pPr>
            <w:r>
              <w:rPr>
                <w:rFonts w:hint="eastAsia" w:ascii="宋体" w:hAnsi="宋体" w:eastAsia="宋体"/>
                <w:szCs w:val="21"/>
                <w:lang w:val="en-US" w:eastAsia="zh-CN"/>
              </w:rPr>
              <w:t>2</w:t>
            </w:r>
          </w:p>
        </w:tc>
        <w:tc>
          <w:tcPr>
            <w:tcW w:w="7483" w:type="dxa"/>
            <w:vAlign w:val="top"/>
          </w:tcPr>
          <w:p w14:paraId="216CBEFE">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本次合同款分四期付款，</w:t>
            </w:r>
          </w:p>
          <w:p w14:paraId="71EC7265">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第一期付款：合同签定生效后，支付合同金额30%；</w:t>
            </w:r>
          </w:p>
          <w:p w14:paraId="5A157120">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第二期付款：合同服务期第三月月底后，支付合同金额25%；</w:t>
            </w:r>
          </w:p>
          <w:p w14:paraId="47C27AB3">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第三期付款：合同服务期第六月月底后，支付合同金额25%；</w:t>
            </w:r>
          </w:p>
          <w:p w14:paraId="4BB18894">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lang w:val="en-US" w:eastAsia="zh-CN"/>
              </w:rPr>
              <w:t>第四期付款：合同期结束后，支付合同金额20%；</w:t>
            </w:r>
          </w:p>
        </w:tc>
      </w:tr>
    </w:tbl>
    <w:p w14:paraId="63F2E358">
      <w:pPr>
        <w:rPr>
          <w:sz w:val="21"/>
        </w:rPr>
      </w:pPr>
      <w:r>
        <w:rPr>
          <w:rFonts w:hint="eastAsia"/>
          <w:sz w:val="21"/>
        </w:rPr>
        <w:t>注：上表所列内容为不可负偏离条款，负偏离将视为未实质性满足招标文件要求作投标无效处理。</w:t>
      </w:r>
    </w:p>
    <w:p w14:paraId="6F618CF4">
      <w:pPr>
        <w:pStyle w:val="4"/>
        <w:jc w:val="center"/>
        <w:rPr>
          <w:rFonts w:asciiTheme="minorEastAsia" w:hAnsiTheme="minorEastAsia" w:eastAsiaTheme="minorEastAsia"/>
          <w:szCs w:val="21"/>
        </w:rPr>
      </w:pPr>
      <w:r>
        <w:rPr>
          <w:rFonts w:hint="eastAsia" w:asciiTheme="minorEastAsia" w:hAnsiTheme="minorEastAsia" w:eastAsiaTheme="minorEastAsia"/>
          <w:szCs w:val="21"/>
        </w:rPr>
        <w:t>四、项目服务要求</w:t>
      </w:r>
    </w:p>
    <w:p w14:paraId="6EB620F7">
      <w:pPr>
        <w:keepNext w:val="0"/>
        <w:keepLines w:val="0"/>
        <w:pageBreakBefore w:val="0"/>
        <w:widowControl/>
        <w:kinsoku/>
        <w:wordWrap/>
        <w:overflowPunct/>
        <w:topLinePunct w:val="0"/>
        <w:autoSpaceDE/>
        <w:autoSpaceDN/>
        <w:bidi w:val="0"/>
        <w:adjustRightInd/>
        <w:snapToGrid/>
        <w:outlineLvl w:val="1"/>
        <w:rPr>
          <w:rFonts w:hint="eastAsia" w:ascii="宋体" w:hAnsi="宋体" w:eastAsia="宋体" w:cs="宋体"/>
          <w:b/>
          <w:color w:val="FF0000"/>
          <w:sz w:val="24"/>
          <w:szCs w:val="24"/>
        </w:rPr>
      </w:pPr>
      <w:bookmarkStart w:id="35" w:name="_Toc26199253"/>
      <w:r>
        <w:rPr>
          <w:rFonts w:hint="eastAsia" w:ascii="宋体" w:hAnsi="宋体" w:eastAsia="宋体" w:cs="宋体"/>
          <w:b/>
          <w:color w:val="FF0000"/>
          <w:sz w:val="24"/>
          <w:szCs w:val="24"/>
        </w:rPr>
        <w:t>（一）</w:t>
      </w:r>
      <w:bookmarkEnd w:id="35"/>
      <w:bookmarkStart w:id="36" w:name="_Toc26199254"/>
      <w:r>
        <w:rPr>
          <w:rFonts w:hint="eastAsia" w:ascii="宋体" w:hAnsi="宋体" w:eastAsia="宋体" w:cs="宋体"/>
          <w:b/>
          <w:color w:val="FF0000"/>
          <w:sz w:val="24"/>
          <w:szCs w:val="24"/>
        </w:rPr>
        <w:t>服务内容</w:t>
      </w:r>
      <w:bookmarkEnd w:id="36"/>
    </w:p>
    <w:p w14:paraId="3C1964FF">
      <w:pPr>
        <w:keepNext w:val="0"/>
        <w:keepLines w:val="0"/>
        <w:pageBreakBefore w:val="0"/>
        <w:widowControl/>
        <w:kinsoku/>
        <w:wordWrap/>
        <w:overflowPunct/>
        <w:topLinePunct w:val="0"/>
        <w:autoSpaceDE/>
        <w:autoSpaceDN/>
        <w:bidi w:val="0"/>
        <w:adjustRightInd/>
        <w:snapToGrid/>
        <w:ind w:firstLine="482" w:firstLineChars="200"/>
        <w:rPr>
          <w:rFonts w:hint="eastAsia" w:ascii="宋体" w:hAnsi="宋体" w:eastAsia="宋体" w:cs="宋体"/>
          <w:b/>
          <w:color w:val="FF0000"/>
          <w:sz w:val="24"/>
          <w:szCs w:val="24"/>
        </w:rPr>
      </w:pPr>
      <w:r>
        <w:rPr>
          <w:rFonts w:hint="eastAsia" w:ascii="宋体" w:hAnsi="宋体" w:eastAsia="宋体" w:cs="宋体"/>
          <w:b/>
          <w:color w:val="FF0000"/>
          <w:sz w:val="24"/>
          <w:szCs w:val="24"/>
        </w:rPr>
        <w:t>1.项目概况：</w:t>
      </w:r>
    </w:p>
    <w:p w14:paraId="6D7DB0C5">
      <w:pPr>
        <w:keepNext w:val="0"/>
        <w:keepLines w:val="0"/>
        <w:pageBreakBefore w:val="0"/>
        <w:widowControl/>
        <w:kinsoku/>
        <w:wordWrap/>
        <w:overflowPunct/>
        <w:topLinePunct w:val="0"/>
        <w:autoSpaceDE/>
        <w:autoSpaceDN/>
        <w:bidi w:val="0"/>
        <w:adjustRightInd/>
        <w:snapToGrid/>
        <w:ind w:firstLine="480" w:firstLineChars="200"/>
        <w:rPr>
          <w:rFonts w:hint="eastAsia" w:ascii="宋体" w:hAnsi="宋体" w:eastAsia="宋体" w:cs="宋体"/>
          <w:color w:val="FF0000"/>
          <w:sz w:val="24"/>
          <w:szCs w:val="24"/>
        </w:rPr>
      </w:pPr>
      <w:r>
        <w:rPr>
          <w:rFonts w:hint="eastAsia"/>
        </w:rPr>
        <w:t>本项目是对《福田区二类监控建设及视频联网系统服务》项目提供维护服务。主要服务内容包括对深圳市公安局福田分局（以下简称“福田分局”）以租代建形式完成并通过验收，已签订设备移交协议的福田区二类监控建设及视频联网系统服务的全部前端监控设备及配套设施（摄像机、光端机、立杆、设备箱、防雷器等）、光纤传输及供电线路、90个社区机房的设备、分局及15个派出所后端机房的存储、网络、平台提供整体运维服务（包含缴交本项目所有设备运行需要的电费），同时积极配合福田分局信息化建设项目查勘，及时</w:t>
      </w:r>
      <w:r>
        <w:rPr>
          <w:rFonts w:hint="eastAsia"/>
          <w:lang w:val="en-US" w:eastAsia="zh-CN"/>
        </w:rPr>
        <w:t>为</w:t>
      </w:r>
      <w:r>
        <w:rPr>
          <w:rFonts w:hint="eastAsia"/>
        </w:rPr>
        <w:t>各类维稳安保及突发事件</w:t>
      </w:r>
      <w:r>
        <w:rPr>
          <w:rFonts w:hint="eastAsia"/>
          <w:lang w:val="en-US" w:eastAsia="zh-CN"/>
        </w:rPr>
        <w:t>提供</w:t>
      </w:r>
      <w:r>
        <w:rPr>
          <w:rFonts w:hint="eastAsia"/>
        </w:rPr>
        <w:t>现场保障及技术支持。（具体维护内容详见附件《福田区二类监控建设及视频联网系统服务清单》）</w:t>
      </w:r>
    </w:p>
    <w:p w14:paraId="0DEDCBB8">
      <w:pPr>
        <w:keepNext w:val="0"/>
        <w:keepLines w:val="0"/>
        <w:pageBreakBefore w:val="0"/>
        <w:widowControl/>
        <w:kinsoku/>
        <w:wordWrap/>
        <w:overflowPunct/>
        <w:topLinePunct w:val="0"/>
        <w:autoSpaceDE/>
        <w:autoSpaceDN/>
        <w:bidi w:val="0"/>
        <w:adjustRightInd/>
        <w:snapToGrid/>
        <w:ind w:firstLine="482" w:firstLineChars="200"/>
        <w:rPr>
          <w:rFonts w:hint="eastAsia" w:ascii="宋体" w:hAnsi="宋体" w:eastAsia="宋体" w:cs="宋体"/>
          <w:b/>
          <w:color w:val="FF0000"/>
          <w:sz w:val="24"/>
          <w:szCs w:val="24"/>
        </w:rPr>
      </w:pPr>
      <w:r>
        <w:rPr>
          <w:rFonts w:hint="eastAsia" w:ascii="宋体" w:hAnsi="宋体" w:eastAsia="宋体" w:cs="宋体"/>
          <w:b/>
          <w:color w:val="FF0000"/>
          <w:sz w:val="24"/>
          <w:szCs w:val="24"/>
        </w:rPr>
        <w:t>2.服务内容：</w:t>
      </w:r>
    </w:p>
    <w:p w14:paraId="446B8A6D">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1、本项目中的</w:t>
      </w:r>
      <w:r>
        <w:rPr>
          <w:rFonts w:hint="eastAsia" w:ascii="Times New Roman" w:hAnsi="Times New Roman" w:eastAsia="Times New Roman" w:cs="Times New Roman"/>
        </w:rPr>
        <w:t>电</w:t>
      </w:r>
      <w:r>
        <w:rPr>
          <w:rFonts w:hint="eastAsia" w:ascii="Times New Roman" w:hAnsi="Times New Roman" w:eastAsia="Times New Roman" w:cs="Times New Roman"/>
          <w:lang w:val="en-US" w:eastAsia="zh-CN"/>
        </w:rPr>
        <w:t>子围栏、WIFI探针、WIFI采集设备（阵控机器人）根据福田分局决定采取关停功能，下线管控后台的措施，要求中标单位在本合同范围中对上述设备在日常的巡检和维护工作中，关停前端设备功能并下线后端管控后台。加强日常巡检管理，确保上述设备不丢失。合同结束前，采购方对上述设备进行清点验收。如有丢失，中标单位照原样赔偿。</w:t>
      </w:r>
    </w:p>
    <w:p w14:paraId="7F82B5D1">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2、中标方负责福田区二类监控建设及视频联网系统服务90个社区机房到15个派出所及派出所至福田分局的6062条光纤线路与供电线路的维护工作（包括电费的缴纳），保证线路正常运转。</w:t>
      </w:r>
    </w:p>
    <w:p w14:paraId="71497E8B">
      <w:pPr>
        <w:keepNext w:val="0"/>
        <w:keepLines w:val="0"/>
        <w:pageBreakBefore w:val="0"/>
        <w:widowControl/>
        <w:kinsoku/>
        <w:wordWrap/>
        <w:overflowPunct/>
        <w:topLinePunct w:val="0"/>
        <w:autoSpaceDE/>
        <w:autoSpaceDN/>
        <w:bidi w:val="0"/>
        <w:adjustRightInd/>
        <w:snapToGrid/>
        <w:ind w:firstLine="480" w:firstLineChars="200"/>
        <w:rPr>
          <w:rFonts w:hint="default"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3、中标方须积极响应采购人信息化工作的应急需求，为各类维稳安保及突发事件的提供保障。</w:t>
      </w:r>
    </w:p>
    <w:p w14:paraId="3711BFBA">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4、福田区二类监控建设及视频联网系统服务供电线路已使用多年，部分线路老化。供电线路故障率高。中标方需在本次招标范围内建设30个集中取电点，改造300条供电线路接入建设的30个集中取电点。集中取电点的定义为：集中供电箱应从路灯箱变、公用或专用环网柜取电，同时需确保一级空开(集中供电箱)32A，二级空开(监控点)16A，电缆敷设按《电力工程电缆设计标准》(GB 50217-2018)要求施工，每个集中供电箱最大负荷不小于 7000W，负荷量应大于接入监控点位总负荷的120%。</w:t>
      </w:r>
    </w:p>
    <w:p w14:paraId="5000A351">
      <w:pPr>
        <w:keepNext w:val="0"/>
        <w:keepLines w:val="0"/>
        <w:pageBreakBefore w:val="0"/>
        <w:widowControl/>
        <w:kinsoku/>
        <w:wordWrap/>
        <w:overflowPunct/>
        <w:topLinePunct w:val="0"/>
        <w:autoSpaceDE/>
        <w:autoSpaceDN/>
        <w:bidi w:val="0"/>
        <w:adjustRightInd/>
        <w:snapToGrid/>
        <w:ind w:firstLine="480" w:firstLineChars="200"/>
        <w:rPr>
          <w:rFonts w:hint="default"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5、中标方须协助采购人做好探头迁移工作，在合同履行期间，采购人因治安管理需要提岀探头迁移需求的（包括需更改光纤线路及供电线路），中标方要根据需求无偿迁移探头位置，累计迁移数量在60个以内（包含60个）。若超过60个之外，双方另行协商相应费用。</w:t>
      </w:r>
    </w:p>
    <w:p w14:paraId="6038D6BB">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6、中标方需配合协助采购人对项目范围</w:t>
      </w:r>
      <w:r>
        <w:rPr>
          <w:rFonts w:hint="eastAsia" w:cs="Times New Roman"/>
          <w:lang w:val="en-US" w:eastAsia="zh-CN"/>
        </w:rPr>
        <w:t>内</w:t>
      </w:r>
      <w:r>
        <w:rPr>
          <w:rFonts w:hint="eastAsia" w:ascii="Times New Roman" w:hAnsi="Times New Roman" w:eastAsia="Times New Roman" w:cs="Times New Roman"/>
          <w:lang w:val="en-US" w:eastAsia="zh-CN"/>
        </w:rPr>
        <w:t>的资产进行清点入库等相关工作。</w:t>
      </w:r>
    </w:p>
    <w:p w14:paraId="75F01269">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7、根据保密法规定，中标方必须与釆购人签订保密承诺书。若因中标方人员导致发生泄密事件，采购人可视情节严重程度，对中标方处以罚款1000至100000元并更换泄密人员，甚至直接与中标方终止合同并向中标方追究相应法律责任。</w:t>
      </w:r>
    </w:p>
    <w:p w14:paraId="5716EFF7">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8、本项目中6690个探头的维护标准为探头在线率97%及以上，根据每日考核结果当日在线率每低一个百分点（不足一个百分点按一个百分点计算）扣除人民币1000元，单点故障应于三日内修复，此后每超出一日扣除人民币500元。由于地铁、市政等施工影响或不可抗力因素导致探头不在线的，由中标方提出免考核申请，采购人批准予以暂免考核</w:t>
      </w:r>
    </w:p>
    <w:p w14:paraId="6CEE4453">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9、本项目包含的所有后端设备软硬件（包括监控存储、交换机等）若出现故障，应于采购人通知或发现故障后48小时内修复，若超过48小时，每天扣除1000元。若是核心设备（导致大面积业务中断的或重要位置的设备）故障应于24小时内修复，若因中标方主观原因（如未按要求准备备品备件、未与产品厂商签订维保协议等）导致修复时间延长，造成采购人关键时刻业务无法使用的，采购人可根据造成影响大小扣款30000元至100000元，或与中标方终止合同并向中标方追究责任与赔偿。</w:t>
      </w:r>
    </w:p>
    <w:p w14:paraId="58E89086">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10、本项目中涉及到的电费等需向第三方缴纳费用的，中标方应及时向第三方缴纳费用，保证对应设备业务的正常运转，若采购人收到第三方投诉后，中标方未能于7日内完成费用缴纳，此后每超出一日扣除人民币500元，存在客观原因未能及时缴纳的，报采购人审批后可不予扣款。</w:t>
      </w:r>
    </w:p>
    <w:p w14:paraId="07E6DD35">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11、中标方应提供足够的备品备件以适应采购人维修需求，若因返厂维修等可由备品备件解决的原因导致修复时间超期，参照上述罚则要求扣款不予免除。对于交通事故导致设备及立杆损坏，协助甲方进行理赔，7天内恢复出图。如7天内未恢复，按不在线进行考核。</w:t>
      </w:r>
    </w:p>
    <w:p w14:paraId="265D7F55">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12、中标方须具有24小时值班电话，并建立24小时故障响应机制，对采购人指定需快速恢复的线路、设备等故障问题或遇重大安保活动，需提供现场保障服务的，中标方需立即安排资深维护工程师于两个小时内赶到现场，若未能及时响应或到达现场每次罚款1000元。</w:t>
      </w:r>
    </w:p>
    <w:p w14:paraId="4BA18740">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13、由于地铁、旧改等市政工程影响，视频监控系统需要迁改的，中标方应协助甲方管理人员进行工程跟踪、协调处理相关问题，并确保涉及点位一个月内恢复至采购人指定位置并通电出图为止，如一个月未及时迁改出图，按不在线考核情况予以扣费处理。</w:t>
      </w:r>
    </w:p>
    <w:p w14:paraId="79B277E1">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14、应急供电服务：根据采购人要求，当重点部位监控集中取电点电力供应出现问题，为保障设备正常运行，中标方需提供临时供电设备确保重点部位的监控恢复正常供电，若未及时供电，每次扣款1000元。当分局机房或派出所机房出现电力供应异常情况，为保障设备正常运行，中标方需提供发电车服务，保证设备正常运行，若未及时提供导致关键时刻业务收到影响的，每次扣款30000元。</w:t>
      </w:r>
    </w:p>
    <w:p w14:paraId="39D81227">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15、中标方应对前端设备及数据服务器进行定期修复系统漏洞和补丁，及时更新探头的一机一档，配合甲方信息化建设项目，为建设、改造提供前端感知设备联网及后端存储扩容技术支持及其它协助等，未按要求完成的每次扣款1000元。</w:t>
      </w:r>
    </w:p>
    <w:p w14:paraId="4DF7871F">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16、若项目验收时，存在部分工作未按要求完成、未能提供台账或弄虚作假的，每项工作扣款30000元（不与上述罚则重复扣款）。</w:t>
      </w:r>
    </w:p>
    <w:p w14:paraId="16C60BDC">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rPr>
      </w:pPr>
      <w:r>
        <w:rPr>
          <w:rFonts w:hint="eastAsia" w:ascii="Times New Roman" w:hAnsi="Times New Roman" w:eastAsia="Times New Roman" w:cs="Times New Roman"/>
          <w:lang w:val="en-US" w:eastAsia="zh-CN"/>
        </w:rPr>
        <w:t>17、每次累积罚款额从所属付款期的支付金额中相应扣除。</w:t>
      </w:r>
    </w:p>
    <w:p w14:paraId="000BB06C">
      <w:pPr>
        <w:keepNext w:val="0"/>
        <w:keepLines w:val="0"/>
        <w:pageBreakBefore w:val="0"/>
        <w:widowControl/>
        <w:kinsoku/>
        <w:wordWrap/>
        <w:overflowPunct/>
        <w:topLinePunct w:val="0"/>
        <w:autoSpaceDE/>
        <w:autoSpaceDN/>
        <w:bidi w:val="0"/>
        <w:adjustRightInd/>
        <w:snapToGrid/>
        <w:rPr>
          <w:rFonts w:hint="eastAsia" w:ascii="宋体" w:hAnsi="宋体" w:eastAsia="宋体" w:cs="宋体"/>
          <w:sz w:val="21"/>
          <w:szCs w:val="21"/>
        </w:rPr>
      </w:pPr>
    </w:p>
    <w:p w14:paraId="709F4F33"/>
    <w:p w14:paraId="670D8A92">
      <w:pPr>
        <w:pStyle w:val="4"/>
        <w:jc w:val="center"/>
        <w:rPr>
          <w:rFonts w:asciiTheme="minorEastAsia" w:hAnsiTheme="minorEastAsia" w:eastAsiaTheme="minorEastAsia"/>
          <w:szCs w:val="21"/>
        </w:rPr>
      </w:pPr>
      <w:r>
        <w:rPr>
          <w:rFonts w:hint="eastAsia" w:asciiTheme="minorEastAsia" w:hAnsiTheme="minorEastAsia" w:eastAsiaTheme="minorEastAsia"/>
          <w:szCs w:val="21"/>
        </w:rPr>
        <w:t>五</w:t>
      </w:r>
      <w:r>
        <w:rPr>
          <w:rFonts w:asciiTheme="minorEastAsia" w:hAnsiTheme="minorEastAsia" w:eastAsiaTheme="minorEastAsia"/>
          <w:szCs w:val="21"/>
        </w:rPr>
        <w:t>、</w:t>
      </w:r>
      <w:r>
        <w:rPr>
          <w:rFonts w:hint="eastAsia" w:asciiTheme="minorEastAsia" w:hAnsiTheme="minorEastAsia" w:eastAsiaTheme="minorEastAsia"/>
          <w:szCs w:val="21"/>
        </w:rPr>
        <w:t>项目商务要求</w:t>
      </w:r>
    </w:p>
    <w:p w14:paraId="59F0B13E">
      <w:pPr>
        <w:ind w:firstLine="480" w:firstLineChars="200"/>
        <w:rPr>
          <w:rFonts w:hint="eastAsia" w:ascii="宋体" w:hAnsi="宋体" w:eastAsia="宋体"/>
          <w:b/>
          <w:color w:val="FF0000"/>
          <w:szCs w:val="21"/>
          <w:lang w:eastAsia="zh-CN"/>
        </w:rPr>
      </w:pPr>
      <w:r>
        <w:rPr>
          <w:rFonts w:hint="eastAsia"/>
          <w:color w:val="FF0000"/>
        </w:rPr>
        <w:t>★</w:t>
      </w:r>
      <w:r>
        <w:rPr>
          <w:rFonts w:hint="eastAsia" w:ascii="宋体" w:hAnsi="宋体"/>
          <w:b/>
          <w:color w:val="FF0000"/>
          <w:szCs w:val="21"/>
        </w:rPr>
        <w:t>1</w:t>
      </w:r>
      <w:r>
        <w:rPr>
          <w:rFonts w:ascii="宋体" w:hAnsi="宋体"/>
          <w:b/>
          <w:color w:val="FF0000"/>
          <w:szCs w:val="21"/>
        </w:rPr>
        <w:t>.项目服务期限</w:t>
      </w:r>
      <w:r>
        <w:rPr>
          <w:rFonts w:hint="eastAsia" w:ascii="宋体" w:hAnsi="宋体" w:eastAsia="宋体"/>
          <w:b/>
          <w:color w:val="FF0000"/>
          <w:szCs w:val="21"/>
          <w:lang w:eastAsia="zh-CN"/>
        </w:rPr>
        <w:t>：</w:t>
      </w:r>
    </w:p>
    <w:p w14:paraId="6D7C13D2">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合同签订之日起至服务结束的时间期限。具体是指合同签订后12个月</w:t>
      </w:r>
      <w:r>
        <w:rPr>
          <w:rFonts w:hint="eastAsia" w:cs="Times New Roman"/>
          <w:lang w:val="en-US" w:eastAsia="zh-CN"/>
        </w:rPr>
        <w:t>。</w:t>
      </w:r>
    </w:p>
    <w:p w14:paraId="6B554613">
      <w:pPr>
        <w:ind w:firstLine="480" w:firstLineChars="200"/>
        <w:rPr>
          <w:rFonts w:hint="eastAsia" w:cs="仿宋_GB2312" w:asciiTheme="minorEastAsia" w:hAnsiTheme="minorEastAsia" w:eastAsiaTheme="minorEastAsia"/>
          <w:b/>
          <w:bCs/>
          <w:color w:val="FF0000"/>
          <w:szCs w:val="21"/>
        </w:rPr>
      </w:pPr>
      <w:r>
        <w:rPr>
          <w:rFonts w:hint="eastAsia"/>
          <w:color w:val="FF0000"/>
        </w:rPr>
        <w:t>★</w:t>
      </w:r>
      <w:r>
        <w:rPr>
          <w:rFonts w:hint="eastAsia" w:cs="仿宋_GB2312" w:asciiTheme="minorEastAsia" w:hAnsiTheme="minorEastAsia" w:eastAsiaTheme="minorEastAsia"/>
          <w:b/>
          <w:bCs/>
          <w:color w:val="FF0000"/>
          <w:szCs w:val="21"/>
        </w:rPr>
        <w:t>2.付款方式：</w:t>
      </w:r>
    </w:p>
    <w:p w14:paraId="68E95F35">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本次合同款分四期付款，</w:t>
      </w:r>
    </w:p>
    <w:p w14:paraId="0D9146D5">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第一期付款：合同签定生效后，支付合同金额30%；</w:t>
      </w:r>
    </w:p>
    <w:p w14:paraId="77D4B4B9">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第二期付款：合同服务期第三月月底后，支付合同金额25%；</w:t>
      </w:r>
    </w:p>
    <w:p w14:paraId="18EADA91">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第三期付款：合同服务期第六月月底后，支付合同金额25%；</w:t>
      </w:r>
    </w:p>
    <w:p w14:paraId="20E405EC">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第四期付款：合同期结束后，支付合同金额20%；</w:t>
      </w:r>
    </w:p>
    <w:p w14:paraId="3254EC7D">
      <w:pPr>
        <w:ind w:firstLine="482" w:firstLineChars="200"/>
        <w:rPr>
          <w:rFonts w:hint="eastAsia" w:cs="仿宋_GB2312" w:asciiTheme="minorEastAsia" w:hAnsiTheme="minorEastAsia" w:eastAsiaTheme="minorEastAsia"/>
          <w:b/>
          <w:bCs/>
          <w:color w:val="FF0000"/>
          <w:szCs w:val="21"/>
        </w:rPr>
      </w:pPr>
      <w:r>
        <w:rPr>
          <w:rFonts w:hint="eastAsia" w:cs="仿宋_GB2312" w:asciiTheme="minorEastAsia" w:hAnsiTheme="minorEastAsia" w:eastAsiaTheme="minorEastAsia"/>
          <w:b/>
          <w:bCs/>
          <w:color w:val="FF0000"/>
          <w:szCs w:val="21"/>
        </w:rPr>
        <w:t>3、履约验收：</w:t>
      </w:r>
    </w:p>
    <w:p w14:paraId="044CC370">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1）服务经过双方检验认可后，签署验收报告。</w:t>
      </w:r>
    </w:p>
    <w:p w14:paraId="78E01446">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2）当满足以下条件时，采购人才向中标人签发验收报告：</w:t>
      </w:r>
    </w:p>
    <w:p w14:paraId="38E75CE1">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a、中标人已按照合同规定提供了全部技术资料。</w:t>
      </w:r>
    </w:p>
    <w:p w14:paraId="0C17A62A">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b、服务项目符合招标文件的服务要求</w:t>
      </w:r>
    </w:p>
    <w:p w14:paraId="6F5C96BB">
      <w:pPr>
        <w:ind w:firstLine="482" w:firstLineChars="200"/>
        <w:rPr>
          <w:rFonts w:hint="eastAsia" w:cs="仿宋_GB2312" w:asciiTheme="minorEastAsia" w:hAnsiTheme="minorEastAsia" w:eastAsiaTheme="minorEastAsia"/>
          <w:b/>
          <w:bCs/>
          <w:color w:val="FF0000"/>
          <w:szCs w:val="21"/>
        </w:rPr>
      </w:pPr>
      <w:r>
        <w:rPr>
          <w:rFonts w:hint="eastAsia" w:cs="仿宋_GB2312" w:asciiTheme="minorEastAsia" w:hAnsiTheme="minorEastAsia" w:eastAsiaTheme="minorEastAsia"/>
          <w:b/>
          <w:bCs/>
          <w:color w:val="FF0000"/>
          <w:szCs w:val="21"/>
        </w:rPr>
        <w:t>4、其他要求：</w:t>
      </w:r>
    </w:p>
    <w:p w14:paraId="0DDCBE84">
      <w:pPr>
        <w:keepNext w:val="0"/>
        <w:keepLines w:val="0"/>
        <w:pageBreakBefore w:val="0"/>
        <w:widowControl/>
        <w:kinsoku/>
        <w:wordWrap/>
        <w:overflowPunct/>
        <w:topLinePunct w:val="0"/>
        <w:autoSpaceDE/>
        <w:autoSpaceDN/>
        <w:bidi w:val="0"/>
        <w:adjustRightInd/>
        <w:snapToGrid/>
        <w:ind w:firstLine="480" w:firstLineChars="200"/>
        <w:rPr>
          <w:rFonts w:hint="eastAsia" w:ascii="Times New Roman" w:hAnsi="Times New Roman" w:eastAsia="Times New Roman" w:cs="Times New Roman"/>
          <w:lang w:val="en-US" w:eastAsia="zh-CN"/>
        </w:rPr>
      </w:pPr>
      <w:r>
        <w:rPr>
          <w:rFonts w:hint="eastAsia" w:ascii="Times New Roman" w:hAnsi="Times New Roman" w:eastAsia="Times New Roman" w:cs="Times New Roman"/>
          <w:lang w:val="en-US" w:eastAsia="zh-CN"/>
        </w:rPr>
        <w:t>如果后续年度经人大审议通过的部门预算中，该采购项目预算金额较提前采购计划金额发生变化的，双方可根据相关规定签订补充协议或终止协议执行。</w:t>
      </w:r>
    </w:p>
    <w:p w14:paraId="3930799D">
      <w:pPr>
        <w:ind w:firstLine="480" w:firstLineChars="200"/>
        <w:rPr>
          <w:rFonts w:ascii="宋体" w:hAnsi="宋体"/>
          <w:b/>
          <w:bCs/>
        </w:rPr>
      </w:pPr>
    </w:p>
    <w:p w14:paraId="72BD4FFA"/>
    <w:p w14:paraId="40B74B28">
      <w:pPr>
        <w:pStyle w:val="4"/>
        <w:jc w:val="center"/>
        <w:rPr>
          <w:rFonts w:asciiTheme="minorEastAsia" w:hAnsiTheme="minorEastAsia" w:eastAsiaTheme="minorEastAsia"/>
          <w:szCs w:val="21"/>
        </w:rPr>
      </w:pPr>
      <w:r>
        <w:rPr>
          <w:rFonts w:hint="eastAsia" w:asciiTheme="minorEastAsia" w:hAnsiTheme="minorEastAsia" w:eastAsiaTheme="minorEastAsia"/>
          <w:szCs w:val="21"/>
        </w:rPr>
        <w:t>六、其他重要条款</w:t>
      </w:r>
    </w:p>
    <w:p w14:paraId="34EFF33F">
      <w:pPr>
        <w:ind w:firstLine="420" w:firstLineChars="200"/>
        <w:rPr>
          <w:rFonts w:asciiTheme="minorEastAsia" w:hAnsiTheme="minorEastAsia"/>
          <w:bCs/>
          <w:sz w:val="21"/>
          <w:szCs w:val="21"/>
        </w:rPr>
      </w:pPr>
      <w:bookmarkStart w:id="37" w:name="_Hlk72257111"/>
      <w:r>
        <w:rPr>
          <w:rFonts w:hint="eastAsia" w:asciiTheme="minorEastAsia" w:hAnsiTheme="minorEastAsia"/>
          <w:bCs/>
          <w:sz w:val="21"/>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6EFC4526">
      <w:pPr>
        <w:pStyle w:val="7"/>
        <w:spacing w:before="60" w:beforeLines="25" w:after="60" w:afterLines="25"/>
        <w:ind w:firstLine="392" w:firstLineChars="187"/>
        <w:rPr>
          <w:rFonts w:asciiTheme="minorEastAsia" w:hAnsiTheme="minorEastAsia"/>
          <w:sz w:val="21"/>
          <w:szCs w:val="21"/>
        </w:rPr>
      </w:pPr>
      <w:r>
        <w:rPr>
          <w:rFonts w:asciiTheme="minorEastAsia" w:hAnsiTheme="minorEastAsia"/>
          <w:bCs/>
          <w:sz w:val="21"/>
          <w:szCs w:val="21"/>
        </w:rPr>
        <w:t>2</w:t>
      </w:r>
      <w:r>
        <w:rPr>
          <w:rFonts w:hint="eastAsia" w:asciiTheme="minorEastAsia" w:hAnsiTheme="minorEastAsia"/>
          <w:bCs/>
          <w:sz w:val="21"/>
          <w:szCs w:val="21"/>
        </w:rPr>
        <w:t>、投标人应充分了解项目的位置、情况、道路及任何其它足以影响投标报价的情况，任何因忽视或误解项目情况而导致的索赔或服务期限延长申请将不获批准。</w:t>
      </w:r>
    </w:p>
    <w:p w14:paraId="71D16A60">
      <w:pPr>
        <w:ind w:firstLine="420" w:firstLineChars="200"/>
        <w:rPr>
          <w:rFonts w:asciiTheme="minorEastAsia" w:hAnsiTheme="minorEastAsia"/>
          <w:bCs/>
          <w:sz w:val="21"/>
          <w:szCs w:val="21"/>
        </w:rPr>
      </w:pPr>
      <w:r>
        <w:rPr>
          <w:rFonts w:asciiTheme="minorEastAsia" w:hAnsiTheme="minorEastAsia"/>
          <w:bCs/>
          <w:sz w:val="21"/>
          <w:szCs w:val="21"/>
        </w:rPr>
        <w:t>3</w:t>
      </w:r>
      <w:r>
        <w:rPr>
          <w:rFonts w:hint="eastAsia" w:asciiTheme="minorEastAsia" w:hAnsiTheme="minorEastAsia"/>
          <w:bCs/>
          <w:sz w:val="21"/>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7AE71C67">
      <w:pPr>
        <w:ind w:firstLine="420" w:firstLineChars="200"/>
        <w:rPr>
          <w:rFonts w:asciiTheme="minorEastAsia" w:hAnsiTheme="minorEastAsia"/>
          <w:bCs/>
          <w:color w:val="auto"/>
          <w:sz w:val="21"/>
          <w:szCs w:val="21"/>
        </w:rPr>
      </w:pPr>
      <w:r>
        <w:rPr>
          <w:rFonts w:asciiTheme="minorEastAsia" w:hAnsiTheme="minorEastAsia"/>
          <w:bCs/>
          <w:color w:val="auto"/>
          <w:sz w:val="21"/>
          <w:szCs w:val="21"/>
        </w:rPr>
        <w:t>4</w:t>
      </w:r>
      <w:r>
        <w:rPr>
          <w:rFonts w:hint="eastAsia" w:asciiTheme="minorEastAsia" w:hAnsiTheme="minorEastAsia"/>
          <w:bCs/>
          <w:color w:val="auto"/>
          <w:sz w:val="21"/>
          <w:szCs w:val="21"/>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5019D860">
      <w:pPr>
        <w:ind w:firstLine="420" w:firstLineChars="200"/>
        <w:rPr>
          <w:rFonts w:asciiTheme="minorEastAsia" w:hAnsiTheme="minorEastAsia"/>
          <w:bCs/>
          <w:sz w:val="21"/>
          <w:szCs w:val="21"/>
        </w:rPr>
      </w:pPr>
      <w:r>
        <w:rPr>
          <w:rFonts w:asciiTheme="minorEastAsia" w:hAnsiTheme="minorEastAsia"/>
          <w:bCs/>
          <w:sz w:val="21"/>
          <w:szCs w:val="21"/>
        </w:rPr>
        <w:t>5</w:t>
      </w:r>
      <w:r>
        <w:rPr>
          <w:rFonts w:hint="eastAsia" w:asciiTheme="minorEastAsia" w:hAnsiTheme="minorEastAsia"/>
          <w:bCs/>
          <w:sz w:val="21"/>
          <w:szCs w:val="21"/>
        </w:rPr>
        <w:t>、除政府采购合同继续履行将损害国家利益和社会公共利益外，双方当事人不得擅自变更、中止或者终止合同。</w:t>
      </w:r>
    </w:p>
    <w:p w14:paraId="7482BC4C">
      <w:pPr>
        <w:ind w:firstLine="420" w:firstLineChars="200"/>
        <w:rPr>
          <w:rFonts w:asciiTheme="minorEastAsia" w:hAnsiTheme="minorEastAsia"/>
          <w:bCs/>
          <w:sz w:val="18"/>
          <w:szCs w:val="21"/>
        </w:rPr>
      </w:pPr>
      <w:r>
        <w:rPr>
          <w:rFonts w:asciiTheme="minorEastAsia" w:hAnsiTheme="minorEastAsia"/>
          <w:bCs/>
          <w:sz w:val="21"/>
          <w:szCs w:val="21"/>
        </w:rPr>
        <w:t>6</w:t>
      </w:r>
      <w:r>
        <w:rPr>
          <w:rFonts w:hint="eastAsia" w:asciiTheme="minorEastAsia" w:hAnsiTheme="minorEastAsia"/>
          <w:bCs/>
          <w:sz w:val="21"/>
          <w:szCs w:val="21"/>
        </w:rPr>
        <w:t>、“信用中国”、“中国政府采购网”、“深圳信用网”以及“深圳市政府采购监管网”为供应商信用信息的查询渠道，相关信息以开标当日的查询结果为准。</w:t>
      </w:r>
      <w:bookmarkEnd w:id="37"/>
    </w:p>
    <w:bookmarkEnd w:id="34"/>
    <w:p w14:paraId="08C8119B">
      <w:pPr>
        <w:pStyle w:val="7"/>
        <w:spacing w:before="60" w:beforeLines="25" w:after="60" w:afterLines="25"/>
        <w:ind w:firstLine="0"/>
        <w:rPr>
          <w:rFonts w:asciiTheme="minorEastAsia" w:hAnsiTheme="minorEastAsia"/>
          <w:sz w:val="21"/>
          <w:szCs w:val="21"/>
        </w:rPr>
      </w:pPr>
      <w:r>
        <w:rPr>
          <w:rFonts w:asciiTheme="minorEastAsia" w:hAnsiTheme="minorEastAsia"/>
          <w:sz w:val="21"/>
          <w:szCs w:val="21"/>
        </w:rPr>
        <w:br w:type="page"/>
      </w:r>
    </w:p>
    <w:p w14:paraId="00B59BC8">
      <w:pPr>
        <w:pStyle w:val="6"/>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第四章 投标文件组成要求及格式</w:t>
      </w:r>
    </w:p>
    <w:p w14:paraId="05CD004E">
      <w:pPr>
        <w:spacing w:line="360" w:lineRule="auto"/>
        <w:rPr>
          <w:rStyle w:val="32"/>
          <w:rFonts w:ascii="宋体" w:hAnsi="宋体" w:eastAsia="宋体" w:cs="宋体"/>
          <w:b/>
          <w:bCs w:val="0"/>
          <w:color w:val="000000" w:themeColor="text1"/>
          <w:sz w:val="24"/>
          <w14:textFill>
            <w14:solidFill>
              <w14:schemeClr w14:val="tx1"/>
            </w14:solidFill>
          </w14:textFill>
        </w:rPr>
      </w:pPr>
      <w:r>
        <w:rPr>
          <w:rStyle w:val="32"/>
          <w:rFonts w:hint="eastAsia" w:ascii="宋体" w:hAnsi="宋体" w:eastAsia="宋体" w:cs="宋体"/>
          <w:b/>
          <w:bCs w:val="0"/>
          <w:color w:val="000000" w:themeColor="text1"/>
          <w:sz w:val="24"/>
          <w14:textFill>
            <w14:solidFill>
              <w14:schemeClr w14:val="tx1"/>
            </w14:solidFill>
          </w14:textFill>
        </w:rPr>
        <w:t>特别提醒：</w:t>
      </w:r>
    </w:p>
    <w:p w14:paraId="26B5C80D">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07B798DC">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投标文件正文（信息公开部分）必须编制于“投标书目录”部分，投标文件附件（非信息公开部分）必须编制于“投标书附件”部分，如下图所示。</w:t>
      </w:r>
    </w:p>
    <w:p w14:paraId="444464E2">
      <w:pPr>
        <w:rPr>
          <w:rFonts w:ascii="宋体" w:hAnsi="宋体" w:cs="宋体"/>
          <w:color w:val="000000" w:themeColor="text1"/>
          <w14:textFill>
            <w14:solidFill>
              <w14:schemeClr w14:val="tx1"/>
            </w14:solidFill>
          </w14:textFill>
        </w:rPr>
      </w:pPr>
      <w:r>
        <w:rPr>
          <w:rFonts w:ascii="仿宋_GB2312" w:eastAsia="仿宋_GB2312"/>
          <w:color w:val="000000" w:themeColor="text1"/>
          <w14:textFill>
            <w14:solidFill>
              <w14:schemeClr w14:val="tx1"/>
            </w14:solidFill>
          </w14:textFill>
        </w:rPr>
        <w:drawing>
          <wp:inline distT="0" distB="0" distL="0" distR="0">
            <wp:extent cx="5278755" cy="412623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4126230"/>
                    </a:xfrm>
                    <a:prstGeom prst="rect">
                      <a:avLst/>
                    </a:prstGeom>
                    <a:noFill/>
                    <a:ln>
                      <a:noFill/>
                    </a:ln>
                  </pic:spPr>
                </pic:pic>
              </a:graphicData>
            </a:graphic>
          </wp:inline>
        </w:drawing>
      </w:r>
    </w:p>
    <w:p w14:paraId="65B6ADFC">
      <w:pPr>
        <w:rPr>
          <w:rFonts w:ascii="仿宋_GB2312" w:eastAsia="仿宋_GB2312"/>
          <w:color w:val="000000" w:themeColor="text1"/>
          <w14:textFill>
            <w14:solidFill>
              <w14:schemeClr w14:val="tx1"/>
            </w14:solidFill>
          </w14:textFill>
        </w:rPr>
      </w:pPr>
    </w:p>
    <w:p w14:paraId="1860D667">
      <w:pPr>
        <w:pStyle w:val="7"/>
        <w:rPr>
          <w:rFonts w:eastAsia="仿宋_GB2312"/>
        </w:rPr>
      </w:pPr>
    </w:p>
    <w:p w14:paraId="219979A7">
      <w:pPr>
        <w:rPr>
          <w:rFonts w:eastAsia="仿宋_GB2312"/>
        </w:rPr>
      </w:pPr>
    </w:p>
    <w:p w14:paraId="388ACDA6">
      <w:pPr>
        <w:pStyle w:val="7"/>
        <w:rPr>
          <w:rFonts w:eastAsia="仿宋_GB2312"/>
        </w:rPr>
      </w:pPr>
    </w:p>
    <w:p w14:paraId="201D6130">
      <w:pPr>
        <w:rPr>
          <w:rFonts w:eastAsia="仿宋_GB2312"/>
        </w:rPr>
      </w:pPr>
    </w:p>
    <w:p w14:paraId="0DC9A138">
      <w:pPr>
        <w:pStyle w:val="7"/>
        <w:rPr>
          <w:rFonts w:eastAsia="仿宋_GB2312"/>
        </w:rPr>
      </w:pPr>
    </w:p>
    <w:p w14:paraId="35A4A78F">
      <w:pPr>
        <w:rPr>
          <w:rFonts w:eastAsia="仿宋_GB2312"/>
        </w:rPr>
      </w:pPr>
    </w:p>
    <w:p w14:paraId="3819A035">
      <w:pPr>
        <w:pStyle w:val="7"/>
        <w:rPr>
          <w:rFonts w:eastAsia="仿宋_GB2312"/>
        </w:rPr>
      </w:pPr>
    </w:p>
    <w:p w14:paraId="7AD2D2ED">
      <w:pPr>
        <w:rPr>
          <w:rFonts w:eastAsia="仿宋_GB2312"/>
        </w:rPr>
      </w:pPr>
    </w:p>
    <w:p w14:paraId="66734383">
      <w:pPr>
        <w:pStyle w:val="7"/>
        <w:rPr>
          <w:rFonts w:eastAsia="仿宋_GB2312"/>
        </w:rPr>
      </w:pPr>
    </w:p>
    <w:p w14:paraId="30482886">
      <w:pPr>
        <w:rPr>
          <w:rFonts w:eastAsia="仿宋_GB2312"/>
        </w:rPr>
      </w:pPr>
    </w:p>
    <w:p w14:paraId="5BB4A2DB">
      <w:pPr>
        <w:pStyle w:val="7"/>
        <w:rPr>
          <w:rFonts w:eastAsia="仿宋_GB2312"/>
        </w:rPr>
      </w:pPr>
    </w:p>
    <w:p w14:paraId="36AE5E49">
      <w:pPr>
        <w:rPr>
          <w:rFonts w:eastAsia="仿宋_GB2312"/>
        </w:rPr>
      </w:pPr>
    </w:p>
    <w:p w14:paraId="0FA4F706">
      <w:pPr>
        <w:pStyle w:val="7"/>
        <w:ind w:firstLine="0"/>
        <w:rPr>
          <w:rFonts w:eastAsia="仿宋_GB2312"/>
        </w:rPr>
      </w:pPr>
    </w:p>
    <w:p w14:paraId="766D4F93">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ascii="仿宋_GB2312" w:eastAsia="仿宋_GB2312"/>
          <w:color w:val="000000" w:themeColor="text1"/>
          <w14:textFill>
            <w14:solidFill>
              <w14:schemeClr w14:val="tx1"/>
            </w14:solidFill>
          </w14:textFill>
        </w:rPr>
      </w:pPr>
      <w:bookmarkStart w:id="38" w:name="_Hlk72257167"/>
      <w:r>
        <w:rPr>
          <w:rFonts w:hint="eastAsia" w:ascii="宋体" w:hAnsi="宋体" w:cs="宋体"/>
          <w:color w:val="000000" w:themeColor="text1"/>
          <w14:textFill>
            <w14:solidFill>
              <w14:schemeClr w14:val="tx1"/>
            </w14:solidFill>
          </w14:textFill>
        </w:rPr>
        <w:t>招标机构公布投标文件正文（信息公开部分）时为计算机截取信息自动公布，</w:t>
      </w:r>
      <w:r>
        <w:rPr>
          <w:rFonts w:hint="eastAsia" w:ascii="宋体" w:hAnsi="宋体" w:cs="宋体"/>
          <w:b/>
          <w:bCs/>
          <w:color w:val="000000" w:themeColor="text1"/>
          <w14:textFill>
            <w14:solidFill>
              <w14:schemeClr w14:val="tx1"/>
            </w14:solidFill>
          </w14:textFill>
        </w:rPr>
        <w:t>如投标人误将涉及个人隐私的信息放入投标文件正文，相关后果由投标人自负；</w:t>
      </w:r>
      <w:r>
        <w:rPr>
          <w:rFonts w:hint="eastAsia" w:ascii="宋体" w:hAnsi="宋体" w:cs="宋体"/>
          <w:color w:val="000000" w:themeColor="text1"/>
          <w14:textFill>
            <w14:solidFill>
              <w14:schemeClr w14:val="tx1"/>
            </w14:solidFill>
          </w14:textFill>
        </w:rPr>
        <w:t>如投标人将必须放于投标文件正文（信息公开部分）的内容放入投标文件附件（非信息公开部分），将作投标无效处理。</w:t>
      </w:r>
      <w:bookmarkEnd w:id="38"/>
    </w:p>
    <w:p w14:paraId="25BFF4A4">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投标文件组成：</w:t>
      </w:r>
    </w:p>
    <w:p w14:paraId="5D181907">
      <w:pPr>
        <w:ind w:firstLine="480"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1.投标文件正文（信息公开部分），主要包括以下内容：</w:t>
      </w:r>
    </w:p>
    <w:p w14:paraId="1C74CC65">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（1）投标函</w:t>
      </w:r>
    </w:p>
    <w:p w14:paraId="47312FB8">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（2）政府采购投标及履约承诺函</w:t>
      </w:r>
    </w:p>
    <w:p w14:paraId="0E187F3E">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（3）投标人情况及资格证明文件</w:t>
      </w:r>
    </w:p>
    <w:p w14:paraId="15D6A281">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（4）项目详细报价</w:t>
      </w:r>
    </w:p>
    <w:p w14:paraId="50805261">
      <w:pPr>
        <w:ind w:firstLine="480" w:firstLineChars="200"/>
        <w:rPr>
          <w:rFonts w:hint="eastAsia" w:ascii="宋体" w:hAnsi="宋体" w:eastAsia="Times New Roman" w:cs="Times New Roman"/>
          <w:color w:val="000000" w:themeColor="text1"/>
          <w:lang w:val="en-US" w:eastAsia="zh-CN"/>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（5）</w:t>
      </w:r>
      <w:r>
        <w:rPr>
          <w:rFonts w:hint="eastAsia" w:ascii="宋体" w:hAnsi="宋体" w:eastAsia="Times New Roman" w:cs="Times New Roman"/>
          <w:color w:val="000000" w:themeColor="text1"/>
          <w:lang w:val="en-US" w:eastAsia="zh-CN"/>
          <w14:textFill>
            <w14:solidFill>
              <w14:schemeClr w14:val="tx1"/>
            </w14:solidFill>
          </w14:textFill>
        </w:rPr>
        <w:t>供应商认证情况</w:t>
      </w:r>
    </w:p>
    <w:p w14:paraId="34597A25">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（6）</w:t>
      </w:r>
      <w:r>
        <w:rPr>
          <w:rFonts w:hint="eastAsia" w:ascii="宋体" w:hAnsi="宋体" w:eastAsia="Times New Roman" w:cs="Times New Roman"/>
          <w:color w:val="000000" w:themeColor="text1"/>
          <w:lang w:val="en-US" w:eastAsia="zh-CN"/>
          <w14:textFill>
            <w14:solidFill>
              <w14:schemeClr w14:val="tx1"/>
            </w14:solidFill>
          </w14:textFill>
        </w:rPr>
        <w:t>供应商同类项目业绩情况</w:t>
      </w:r>
    </w:p>
    <w:p w14:paraId="42869EAD">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（7）</w:t>
      </w:r>
      <w:r>
        <w:rPr>
          <w:rFonts w:hint="eastAsia" w:ascii="宋体" w:hAnsi="宋体" w:eastAsia="Times New Roman" w:cs="Times New Roman"/>
          <w:color w:val="000000" w:themeColor="text1"/>
          <w:lang w:val="en-US" w:eastAsia="zh-CN"/>
          <w14:textFill>
            <w14:solidFill>
              <w14:schemeClr w14:val="tx1"/>
            </w14:solidFill>
          </w14:textFill>
        </w:rPr>
        <w:t>供应商自主知识产权产品（创新、设计）情况</w:t>
      </w:r>
    </w:p>
    <w:p w14:paraId="1450E519">
      <w:pPr>
        <w:ind w:firstLine="480" w:firstLineChars="200"/>
        <w:rPr>
          <w:rFonts w:hint="eastAsia" w:ascii="宋体" w:hAnsi="宋体" w:eastAsia="Times New Roman" w:cs="Times New Roman"/>
          <w:color w:val="000000" w:themeColor="text1"/>
          <w:lang w:eastAsia="zh-CN"/>
          <w14:textFill>
            <w14:solidFill>
              <w14:schemeClr w14:val="tx1"/>
            </w14:solidFill>
          </w14:textFill>
        </w:rPr>
      </w:pP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8</w:t>
      </w: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14:textFill>
            <w14:solidFill>
              <w14:schemeClr w14:val="tx1"/>
            </w14:solidFill>
          </w14:textFill>
        </w:rPr>
        <w:t>投标人认为需要加以说明的其他内容</w:t>
      </w: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格式自定</w:t>
      </w:r>
      <w:r>
        <w:rPr>
          <w:rFonts w:hint="eastAsia" w:ascii="宋体" w:hAnsi="宋体" w:eastAsia="Times New Roman" w:cs="Times New Roman"/>
          <w:color w:val="000000" w:themeColor="text1"/>
          <w:lang w:eastAsia="zh-CN"/>
          <w14:textFill>
            <w14:solidFill>
              <w14:schemeClr w14:val="tx1"/>
            </w14:solidFill>
          </w14:textFill>
        </w:rPr>
        <w:t>）</w:t>
      </w:r>
    </w:p>
    <w:p w14:paraId="3E724264">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2.投标文件附件（信息不公开部分）：</w:t>
      </w:r>
    </w:p>
    <w:p w14:paraId="780978D1">
      <w:pPr>
        <w:ind w:firstLine="480" w:firstLineChars="200"/>
        <w:rPr>
          <w:rFonts w:hint="eastAsia" w:ascii="宋体" w:hAnsi="宋体" w:eastAsia="Times New Roman" w:cs="Times New Roman"/>
          <w:color w:val="000000" w:themeColor="text1"/>
          <w:lang w:eastAsia="zh-CN"/>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（1）</w:t>
      </w:r>
      <w:r>
        <w:rPr>
          <w:rFonts w:hint="eastAsia" w:ascii="宋体" w:hAnsi="宋体" w:eastAsia="Times New Roman" w:cs="Times New Roman"/>
          <w:color w:val="000000" w:themeColor="text1"/>
          <w:lang w:eastAsia="zh-CN"/>
          <w14:textFill>
            <w14:solidFill>
              <w14:schemeClr w14:val="tx1"/>
            </w14:solidFill>
          </w14:textFill>
        </w:rPr>
        <w:t>法定代表人（负责人或执行事务合伙人）资格证明书</w:t>
      </w:r>
    </w:p>
    <w:p w14:paraId="1495C42F">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（2）投标文件签署授权委托书</w:t>
      </w:r>
    </w:p>
    <w:p w14:paraId="511B9348">
      <w:pPr>
        <w:ind w:firstLine="480" w:firstLineChars="200"/>
        <w:rPr>
          <w:rFonts w:hint="eastAsia" w:ascii="宋体" w:hAnsi="宋体" w:eastAsia="Times New Roman" w:cs="Times New Roman"/>
          <w:color w:val="000000" w:themeColor="text1"/>
          <w:lang w:val="en-US" w:eastAsia="zh-CN"/>
          <w14:textFill>
            <w14:solidFill>
              <w14:schemeClr w14:val="tx1"/>
            </w14:solidFill>
          </w14:textFill>
        </w:rPr>
      </w:pPr>
      <w:r>
        <w:rPr>
          <w:rFonts w:hint="eastAsia" w:ascii="宋体" w:hAnsi="宋体" w:eastAsia="Times New Roman" w:cs="Times New Roman"/>
          <w:color w:val="000000" w:themeColor="text1"/>
          <w:lang w:val="en-US" w:eastAsia="zh-CN"/>
          <w14:textFill>
            <w14:solidFill>
              <w14:schemeClr w14:val="tx1"/>
            </w14:solidFill>
          </w14:textFill>
        </w:rPr>
        <w:t>（3）供应商基本情况表</w:t>
      </w:r>
    </w:p>
    <w:p w14:paraId="61708F91">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lang w:val="en-US" w:eastAsia="zh-CN"/>
          <w14:textFill>
            <w14:solidFill>
              <w14:schemeClr w14:val="tx1"/>
            </w14:solidFill>
          </w14:textFill>
        </w:rPr>
        <w:t>（4）供应商基本情况表及附件</w:t>
      </w:r>
    </w:p>
    <w:p w14:paraId="7E1EDDE1">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5</w:t>
      </w:r>
      <w:r>
        <w:rPr>
          <w:rFonts w:hint="eastAsia" w:ascii="宋体" w:hAnsi="宋体" w:eastAsia="Times New Roman" w:cs="Times New Roman"/>
          <w:color w:val="000000" w:themeColor="text1"/>
          <w14:textFill>
            <w14:solidFill>
              <w14:schemeClr w14:val="tx1"/>
            </w14:solidFill>
          </w14:textFill>
        </w:rPr>
        <w:t>）实质性条款响应情况表</w:t>
      </w:r>
    </w:p>
    <w:p w14:paraId="6BFECCDA">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6</w:t>
      </w:r>
      <w:r>
        <w:rPr>
          <w:rFonts w:hint="eastAsia" w:ascii="宋体" w:hAnsi="宋体" w:eastAsia="Times New Roman" w:cs="Times New Roman"/>
          <w:color w:val="000000" w:themeColor="text1"/>
          <w14:textFill>
            <w14:solidFill>
              <w14:schemeClr w14:val="tx1"/>
            </w14:solidFill>
          </w14:textFill>
        </w:rPr>
        <w:t>）商务、技术条款偏离表</w:t>
      </w:r>
    </w:p>
    <w:p w14:paraId="21595F04">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7</w:t>
      </w:r>
      <w:r>
        <w:rPr>
          <w:rFonts w:hint="eastAsia" w:ascii="宋体" w:hAnsi="宋体" w:eastAsia="Times New Roman" w:cs="Times New Roman"/>
          <w:color w:val="000000" w:themeColor="text1"/>
          <w14:textFill>
            <w14:solidFill>
              <w14:schemeClr w14:val="tx1"/>
            </w14:solidFill>
          </w14:textFill>
        </w:rPr>
        <w:t>）拟安排的项目负责人情况（仅限一人）</w:t>
      </w:r>
    </w:p>
    <w:p w14:paraId="292FBA65">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8</w:t>
      </w:r>
      <w:r>
        <w:rPr>
          <w:rFonts w:hint="eastAsia" w:ascii="宋体" w:hAnsi="宋体" w:eastAsia="Times New Roman" w:cs="Times New Roman"/>
          <w:color w:val="000000" w:themeColor="text1"/>
          <w14:textFill>
            <w14:solidFill>
              <w14:schemeClr w14:val="tx1"/>
            </w14:solidFill>
          </w14:textFill>
        </w:rPr>
        <w:t>）拟安排的项目主要团队成员（主要技术人员）情况（项目负责人除外）</w:t>
      </w:r>
    </w:p>
    <w:p w14:paraId="4D9885C8">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9）实施方案</w:t>
      </w:r>
      <w:r>
        <w:rPr>
          <w:rFonts w:hint="eastAsia" w:ascii="宋体" w:hAnsi="宋体" w:eastAsia="Times New Roman" w:cs="Times New Roman"/>
          <w:color w:val="000000" w:themeColor="text1"/>
          <w14:textFill>
            <w14:solidFill>
              <w14:schemeClr w14:val="tx1"/>
            </w14:solidFill>
          </w14:textFill>
        </w:rPr>
        <w:t>（格式自定）</w:t>
      </w:r>
    </w:p>
    <w:p w14:paraId="35C24A8C">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10</w:t>
      </w: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质量（完成时间、安全、环保）保障措施及方案</w:t>
      </w:r>
      <w:r>
        <w:rPr>
          <w:rFonts w:hint="eastAsia" w:ascii="宋体" w:hAnsi="宋体" w:eastAsia="Times New Roman" w:cs="Times New Roman"/>
          <w:color w:val="000000" w:themeColor="text1"/>
          <w14:textFill>
            <w14:solidFill>
              <w14:schemeClr w14:val="tx1"/>
            </w14:solidFill>
          </w14:textFill>
        </w:rPr>
        <w:t>（格式自定）</w:t>
      </w:r>
    </w:p>
    <w:p w14:paraId="60C2FE10">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11</w:t>
      </w:r>
      <w:r>
        <w:rPr>
          <w:rFonts w:hint="eastAsia" w:ascii="宋体" w:hAnsi="宋体" w:eastAsia="Times New Roman" w:cs="Times New Roman"/>
          <w:color w:val="000000" w:themeColor="text1"/>
          <w:lang w:eastAsia="zh-CN"/>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项目完成（服务期满）后的服务承诺</w:t>
      </w:r>
      <w:r>
        <w:rPr>
          <w:rFonts w:hint="eastAsia" w:ascii="宋体" w:hAnsi="宋体" w:eastAsia="Times New Roman" w:cs="Times New Roman"/>
          <w:color w:val="000000" w:themeColor="text1"/>
          <w14:textFill>
            <w14:solidFill>
              <w14:schemeClr w14:val="tx1"/>
            </w14:solidFill>
          </w14:textFill>
        </w:rPr>
        <w:t>（格式自定）</w:t>
      </w:r>
    </w:p>
    <w:p w14:paraId="23DE61EC">
      <w:pPr>
        <w:ind w:firstLine="480" w:firstLineChars="200"/>
        <w:rPr>
          <w:rFonts w:hint="eastAsia" w:ascii="宋体" w:hAnsi="宋体" w:eastAsia="Times New Roman" w:cs="Times New Roman"/>
          <w:color w:val="000000" w:themeColor="text1"/>
          <w14:textFill>
            <w14:solidFill>
              <w14:schemeClr w14:val="tx1"/>
            </w14:solidFill>
          </w14:textFill>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12</w:t>
      </w: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违约承诺</w:t>
      </w:r>
      <w:r>
        <w:rPr>
          <w:rFonts w:hint="eastAsia" w:ascii="宋体" w:hAnsi="宋体" w:eastAsia="Times New Roman" w:cs="Times New Roman"/>
          <w:color w:val="000000" w:themeColor="text1"/>
          <w14:textFill>
            <w14:solidFill>
              <w14:schemeClr w14:val="tx1"/>
            </w14:solidFill>
          </w14:textFill>
        </w:rPr>
        <w:t>（格式自定）</w:t>
      </w:r>
    </w:p>
    <w:p w14:paraId="620218CF">
      <w:pPr>
        <w:ind w:firstLine="480" w:firstLineChars="200"/>
        <w:rPr>
          <w:rFonts w:hint="eastAsia" w:ascii="宋体" w:hAnsi="宋体" w:cs="Times New Roman"/>
          <w:sz w:val="28"/>
          <w:szCs w:val="28"/>
          <w:highlight w:val="none"/>
        </w:rPr>
      </w:pPr>
      <w:r>
        <w:rPr>
          <w:rFonts w:hint="eastAsia" w:ascii="宋体" w:hAnsi="宋体" w:eastAsia="Times New Roman" w:cs="Times New Roman"/>
          <w:color w:val="000000" w:themeColor="text1"/>
          <w14:textFill>
            <w14:solidFill>
              <w14:schemeClr w14:val="tx1"/>
            </w14:solidFill>
          </w14:textFill>
        </w:rPr>
        <w:t>（</w:t>
      </w:r>
      <w:r>
        <w:rPr>
          <w:rFonts w:hint="eastAsia" w:ascii="宋体" w:hAnsi="宋体" w:eastAsia="Times New Roman" w:cs="Times New Roman"/>
          <w:color w:val="000000" w:themeColor="text1"/>
          <w:lang w:val="en-US" w:eastAsia="zh-CN"/>
          <w14:textFill>
            <w14:solidFill>
              <w14:schemeClr w14:val="tx1"/>
            </w14:solidFill>
          </w14:textFill>
        </w:rPr>
        <w:t>13</w:t>
      </w:r>
      <w:r>
        <w:rPr>
          <w:rFonts w:hint="eastAsia" w:ascii="宋体" w:hAnsi="宋体" w:eastAsia="Times New Roman" w:cs="Times New Roman"/>
          <w:color w:val="000000" w:themeColor="text1"/>
          <w14:textFill>
            <w14:solidFill>
              <w14:schemeClr w14:val="tx1"/>
            </w14:solidFill>
          </w14:textFill>
        </w:rPr>
        <w:t>）投标人认为需要加以说明的其他内容（格式自定）</w:t>
      </w:r>
    </w:p>
    <w:p w14:paraId="53BEF6B9">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p w14:paraId="0957FD6A">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1.本项目为网上电子投标项目，投标文件不需法人或授权委托人另行签字，无需加盖单位公章，招标文件专用条款另有规定的除外。</w:t>
      </w:r>
    </w:p>
    <w:p w14:paraId="05AC820E">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2.关于填写“开标一览表”的说明：“开标一览表”中除“投标报价”外，其他信息不作评审依据。</w:t>
      </w:r>
    </w:p>
    <w:p w14:paraId="53CB541A"/>
    <w:p w14:paraId="5E81F269">
      <w:pPr>
        <w:pStyle w:val="7"/>
      </w:pPr>
    </w:p>
    <w:p w14:paraId="039F9B9C"/>
    <w:p w14:paraId="43CF165E">
      <w:pPr>
        <w:pStyle w:val="7"/>
      </w:pPr>
    </w:p>
    <w:p w14:paraId="69F7E3AA"/>
    <w:p w14:paraId="51C23439">
      <w:pPr>
        <w:pStyle w:val="7"/>
      </w:pPr>
      <w:r>
        <w:br w:type="page"/>
      </w:r>
    </w:p>
    <w:p w14:paraId="574EFB34">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2BEAB0D">
      <w:pPr>
        <w:pStyle w:val="4"/>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t>一、投标函</w:t>
      </w:r>
    </w:p>
    <w:p w14:paraId="350D94D4">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 xml:space="preserve">友和保险经纪有限公司 </w:t>
      </w:r>
    </w:p>
    <w:p w14:paraId="20884EB5">
      <w:pPr>
        <w:ind w:firstLine="480" w:firstLineChars="200"/>
        <w:rPr>
          <w:rFonts w:ascii="宋体" w:hAnsi="宋体" w:eastAsia="宋体"/>
          <w:color w:val="000000" w:themeColor="text1"/>
          <w14:textFill>
            <w14:solidFill>
              <w14:schemeClr w14:val="tx1"/>
            </w14:solidFill>
          </w14:textFill>
        </w:rPr>
      </w:pPr>
      <w:bookmarkStart w:id="39" w:name="_Hlk73818812"/>
      <w:r>
        <w:rPr>
          <w:rFonts w:hint="eastAsia" w:ascii="宋体" w:hAnsi="宋体" w:eastAsia="宋体"/>
          <w:color w:val="000000" w:themeColor="text1"/>
          <w14:textFill>
            <w14:solidFill>
              <w14:schemeClr w14:val="tx1"/>
            </w14:solidFill>
          </w14:textFill>
        </w:rPr>
        <w:t>1、根据已收到贵单位的项目编号为</w:t>
      </w:r>
      <w:r>
        <w:rPr>
          <w:rFonts w:hint="eastAsia" w:ascii="宋体" w:hAnsi="宋体" w:eastAsia="宋体"/>
          <w:color w:val="000000" w:themeColor="text1"/>
          <w:u w:val="single"/>
          <w:lang w:val="en-US" w:eastAsia="zh-CN"/>
          <w14:textFill>
            <w14:solidFill>
              <w14:schemeClr w14:val="tx1"/>
            </w14:solidFill>
          </w14:textFill>
        </w:rPr>
        <w:t>FTDL2025000096</w:t>
      </w:r>
      <w:r>
        <w:rPr>
          <w:rFonts w:hint="eastAsia" w:ascii="宋体" w:hAnsi="宋体" w:eastAsia="宋体"/>
          <w:color w:val="000000" w:themeColor="text1"/>
          <w14:textFill>
            <w14:solidFill>
              <w14:schemeClr w14:val="tx1"/>
            </w14:solidFill>
          </w14:textFill>
        </w:rPr>
        <w:t>的</w:t>
      </w:r>
      <w:r>
        <w:rPr>
          <w:rFonts w:hint="eastAsia" w:ascii="宋体" w:hAnsi="宋体" w:eastAsia="宋体"/>
          <w:color w:val="000000" w:themeColor="text1"/>
          <w:u w:val="single"/>
          <w:lang w:val="en-US" w:eastAsia="zh-CN"/>
          <w14:textFill>
            <w14:solidFill>
              <w14:schemeClr w14:val="tx1"/>
            </w14:solidFill>
          </w14:textFill>
        </w:rPr>
        <w:t>福田区二类监控及视频联网系统维护</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项目的招标文件，遵照《深圳经济特区政府采购条例》和《深圳网上政府采购管理暂行办法》等有关规定，我单位经研究上述招标文件的专用条款及通用条款后，</w:t>
      </w:r>
      <w:bookmarkStart w:id="40" w:name="_Hlk72263588"/>
      <w:r>
        <w:rPr>
          <w:rFonts w:hint="eastAsia" w:ascii="宋体" w:hAnsi="宋体" w:eastAsia="宋体"/>
          <w:color w:val="000000" w:themeColor="text1"/>
          <w14:textFill>
            <w14:solidFill>
              <w14:schemeClr w14:val="tx1"/>
            </w14:solidFill>
          </w14:textFill>
        </w:rPr>
        <w:t>愿意按照招标文件要求承包上述项目并修补其任何缺陷。</w:t>
      </w:r>
      <w:bookmarkEnd w:id="40"/>
    </w:p>
    <w:p w14:paraId="08580333">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、投标价格见投标书编制软件中《开标一览表》中填写的投标总价。</w:t>
      </w:r>
    </w:p>
    <w:p w14:paraId="03A6FBC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3、如果我单位中标，我单位将按照招标文件的要求足额提交履约担保。</w:t>
      </w:r>
    </w:p>
    <w:p w14:paraId="3B100F3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4、我单位同意所递交的投标文件在“对通用条款的补充内容”中明确的投标有效期内有效，在此期间内我单位的投标有可能中标，我方将受此约束。</w:t>
      </w:r>
    </w:p>
    <w:p w14:paraId="4FFDB3F2">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5、除非另外达成协议并生效，贵单位的中标通知书和本投标文件将构成合同的重要内容。</w:t>
      </w:r>
    </w:p>
    <w:p w14:paraId="253763C8">
      <w:pPr>
        <w:ind w:left="600" w:leftChars="200" w:hanging="120" w:hangingChars="5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6、我单位理解贵单位将不受必须接受所收到的最低报价或其它任何投标文件的约束。</w:t>
      </w:r>
      <w:bookmarkEnd w:id="39"/>
    </w:p>
    <w:p w14:paraId="51171094">
      <w:pPr>
        <w:ind w:left="600" w:leftChars="200" w:hanging="120" w:hangingChars="50"/>
        <w:rPr>
          <w:rFonts w:hint="eastAsia" w:ascii="宋体" w:hAnsi="宋体" w:eastAsia="宋体"/>
          <w:color w:val="000000" w:themeColor="text1"/>
          <w14:textFill>
            <w14:solidFill>
              <w14:schemeClr w14:val="tx1"/>
            </w14:solidFill>
          </w14:textFill>
        </w:rPr>
      </w:pPr>
    </w:p>
    <w:p w14:paraId="5AB0D373">
      <w:pPr>
        <w:ind w:left="600" w:leftChars="200" w:hanging="120" w:hangingChars="5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单位地址：</w:t>
      </w:r>
      <w:r>
        <w:rPr>
          <w:rFonts w:hint="eastAsia" w:ascii="宋体" w:hAnsi="宋体" w:eastAsia="宋体"/>
          <w:color w:val="000000" w:themeColor="text1"/>
          <w:u w:val="single"/>
          <w14:textFill>
            <w14:solidFill>
              <w14:schemeClr w14:val="tx1"/>
            </w14:solidFill>
          </w14:textFill>
        </w:rPr>
        <w:t xml:space="preserve">               </w:t>
      </w:r>
    </w:p>
    <w:p w14:paraId="78706C12">
      <w:pPr>
        <w:ind w:firstLine="480" w:firstLineChars="20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法定代表人（负责人）或其委托代理人：</w:t>
      </w:r>
      <w:r>
        <w:rPr>
          <w:rFonts w:hint="eastAsia" w:ascii="宋体" w:hAnsi="宋体" w:eastAsia="宋体"/>
          <w:color w:val="000000" w:themeColor="text1"/>
          <w:u w:val="single"/>
          <w14:textFill>
            <w14:solidFill>
              <w14:schemeClr w14:val="tx1"/>
            </w14:solidFill>
          </w14:textFill>
        </w:rPr>
        <w:t xml:space="preserve">                   </w:t>
      </w:r>
    </w:p>
    <w:p w14:paraId="14434F1C">
      <w:pPr>
        <w:ind w:firstLine="480" w:firstLineChars="200"/>
        <w:rPr>
          <w:rFonts w:hint="eastAsia"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邮政编码：</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电话：</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传真：</w:t>
      </w:r>
      <w:r>
        <w:rPr>
          <w:rFonts w:hint="eastAsia" w:ascii="宋体" w:hAnsi="宋体" w:eastAsia="宋体"/>
          <w:color w:val="000000" w:themeColor="text1"/>
          <w:u w:val="single"/>
          <w14:textFill>
            <w14:solidFill>
              <w14:schemeClr w14:val="tx1"/>
            </w14:solidFill>
          </w14:textFill>
        </w:rPr>
        <w:t xml:space="preserve">            </w:t>
      </w:r>
    </w:p>
    <w:p w14:paraId="2C563B5D">
      <w:pPr>
        <w:pStyle w:val="7"/>
        <w:ind w:left="0" w:leftChars="0" w:firstLine="480" w:firstLineChars="200"/>
        <w:rPr>
          <w:rFonts w:hint="eastAsia"/>
          <w:lang w:val="en-US" w:eastAsia="zh-CN"/>
        </w:rPr>
      </w:pPr>
      <w:r>
        <w:rPr>
          <w:rFonts w:hint="eastAsia" w:ascii="宋体" w:hAnsi="宋体" w:eastAsia="宋体"/>
          <w:color w:val="000000" w:themeColor="text1"/>
          <w:lang w:val="en-US" w:eastAsia="zh-CN"/>
          <w14:textFill>
            <w14:solidFill>
              <w14:schemeClr w14:val="tx1"/>
            </w14:solidFill>
          </w14:textFill>
        </w:rPr>
        <w:t>邮箱</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u w:val="single"/>
          <w:lang w:val="en-US" w:eastAsia="zh-CN"/>
          <w14:textFill>
            <w14:solidFill>
              <w14:schemeClr w14:val="tx1"/>
            </w14:solidFill>
          </w14:textFill>
        </w:rPr>
        <w:t xml:space="preserve">                      </w:t>
      </w:r>
      <w:r>
        <w:rPr>
          <w:rFonts w:hint="eastAsia" w:ascii="宋体" w:hAnsi="宋体" w:eastAsia="宋体"/>
          <w:color w:val="000000" w:themeColor="text1"/>
          <w:u w:val="single"/>
          <w14:textFill>
            <w14:solidFill>
              <w14:schemeClr w14:val="tx1"/>
            </w14:solidFill>
          </w14:textFill>
        </w:rPr>
        <w:t xml:space="preserve">     </w:t>
      </w:r>
    </w:p>
    <w:p w14:paraId="7ACB801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开户银行名称：</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14:textFill>
            <w14:solidFill>
              <w14:schemeClr w14:val="tx1"/>
            </w14:solidFill>
          </w14:textFill>
        </w:rPr>
        <w:t>开户银行账号：</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76EEA36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开户银行地址：</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14:textFill>
            <w14:solidFill>
              <w14:schemeClr w14:val="tx1"/>
            </w14:solidFill>
          </w14:textFill>
        </w:rPr>
        <w:t>开户银行电话：</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01B54C17">
      <w:pPr>
        <w:ind w:firstLine="480" w:firstLineChars="200"/>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日    </w:t>
      </w:r>
      <w:r>
        <w:rPr>
          <w:rFonts w:hint="eastAsia"/>
          <w:color w:val="000000" w:themeColor="text1"/>
          <w14:textFill>
            <w14:solidFill>
              <w14:schemeClr w14:val="tx1"/>
            </w14:solidFill>
          </w14:textFill>
        </w:rPr>
        <w:t xml:space="preserve">                            </w:t>
      </w:r>
    </w:p>
    <w:p w14:paraId="1492F06B">
      <w:pPr>
        <w:rPr>
          <w:rFonts w:ascii="黑体" w:hAnsi="宋体" w:eastAsia="黑体"/>
          <w:color w:val="000000" w:themeColor="text1"/>
          <w14:textFill>
            <w14:solidFill>
              <w14:schemeClr w14:val="tx1"/>
            </w14:solidFill>
          </w14:textFill>
        </w:rPr>
      </w:pPr>
    </w:p>
    <w:p w14:paraId="1A757BA1">
      <w:pPr>
        <w:rPr>
          <w:rFonts w:ascii="宋体" w:hAnsi="宋体"/>
          <w:color w:val="000000" w:themeColor="text1"/>
          <w:szCs w:val="21"/>
          <w14:textFill>
            <w14:solidFill>
              <w14:schemeClr w14:val="tx1"/>
            </w14:solidFill>
          </w14:textFill>
        </w:rPr>
      </w:pPr>
    </w:p>
    <w:p w14:paraId="16F02449">
      <w:pPr>
        <w:rPr>
          <w:rFonts w:ascii="黑体" w:hAnsi="宋体" w:eastAsia="黑体"/>
          <w:color w:val="000000" w:themeColor="text1"/>
          <w14:textFill>
            <w14:solidFill>
              <w14:schemeClr w14:val="tx1"/>
            </w14:solidFill>
          </w14:textFill>
        </w:rPr>
      </w:pPr>
    </w:p>
    <w:p w14:paraId="42812077">
      <w:pPr>
        <w:rPr>
          <w:rFonts w:ascii="黑体" w:hAnsi="宋体" w:eastAsia="黑体"/>
          <w:color w:val="000000" w:themeColor="text1"/>
          <w14:textFill>
            <w14:solidFill>
              <w14:schemeClr w14:val="tx1"/>
            </w14:solidFill>
          </w14:textFill>
        </w:rPr>
      </w:pPr>
    </w:p>
    <w:p w14:paraId="7F972B86">
      <w:pPr>
        <w:rPr>
          <w:rFonts w:ascii="黑体" w:hAnsi="宋体" w:eastAsia="黑体"/>
          <w:color w:val="000000" w:themeColor="text1"/>
          <w14:textFill>
            <w14:solidFill>
              <w14:schemeClr w14:val="tx1"/>
            </w14:solidFill>
          </w14:textFill>
        </w:rPr>
      </w:pPr>
    </w:p>
    <w:p w14:paraId="52D1009F">
      <w:pPr>
        <w:pStyle w:val="4"/>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br w:type="page"/>
      </w:r>
      <w:r>
        <w:rPr>
          <w:rFonts w:hint="eastAsia" w:ascii="黑体" w:eastAsia="黑体"/>
          <w:b w:val="0"/>
          <w:color w:val="000000" w:themeColor="text1"/>
          <w:sz w:val="24"/>
          <w14:textFill>
            <w14:solidFill>
              <w14:schemeClr w14:val="tx1"/>
            </w14:solidFill>
          </w14:textFill>
        </w:rPr>
        <w:t>二、政府采购投标及履约承诺函</w:t>
      </w:r>
    </w:p>
    <w:p w14:paraId="46B0A1C7">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友和保险经纪有限公司</w:t>
      </w:r>
    </w:p>
    <w:p w14:paraId="1B93039D">
      <w:pPr>
        <w:ind w:right="-815"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我单位承诺：</w:t>
      </w:r>
    </w:p>
    <w:p w14:paraId="00EEB517">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hint="eastAsia" w:ascii="宋体" w:hAnsi="宋体"/>
          <w:szCs w:val="21"/>
        </w:rPr>
        <w:t>我单位参与本项目所投标（响应）的货物、工程或服务，不存在侵犯知识产权的情况；已知悉并同意中标（成交）结果信息公示（公开）的内容。</w:t>
      </w:r>
    </w:p>
    <w:p w14:paraId="199AEFFC">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lang w:eastAsia="zh-CN"/>
        </w:rPr>
      </w:pPr>
      <w:r>
        <w:rPr>
          <w:rFonts w:hint="eastAsia" w:ascii="宋体" w:hAnsi="宋体" w:eastAsia="宋体"/>
          <w:color w:val="000000" w:themeColor="text1"/>
          <w14:textFill>
            <w14:solidFill>
              <w14:schemeClr w14:val="tx1"/>
            </w14:solidFill>
          </w14:textFill>
        </w:rPr>
        <w:t>2.</w:t>
      </w:r>
      <w:r>
        <w:rPr>
          <w:rFonts w:hint="eastAsia" w:ascii="宋体" w:hAnsi="宋体"/>
          <w:szCs w:val="21"/>
        </w:rPr>
        <w:t>我单位参与该项目投标，</w:t>
      </w:r>
      <w:r>
        <w:rPr>
          <w:rFonts w:hint="eastAsia" w:ascii="宋体" w:hAnsi="宋体" w:eastAsia="宋体"/>
        </w:rPr>
        <w:t>不</w:t>
      </w:r>
      <w:r>
        <w:rPr>
          <w:rFonts w:hint="eastAsia" w:ascii="宋体" w:hAnsi="宋体" w:eastAsia="宋体"/>
          <w:lang w:eastAsia="zh-CN"/>
        </w:rPr>
        <w:t>采用</w:t>
      </w:r>
      <w:r>
        <w:rPr>
          <w:rFonts w:hint="eastAsia" w:ascii="宋体" w:hAnsi="宋体" w:eastAsia="宋体"/>
        </w:rPr>
        <w:t>联合体投标</w:t>
      </w:r>
      <w:r>
        <w:rPr>
          <w:rFonts w:hint="eastAsia" w:ascii="宋体" w:hAnsi="宋体" w:eastAsia="宋体"/>
          <w:lang w:eastAsia="zh-CN"/>
        </w:rPr>
        <w:t>，</w:t>
      </w:r>
      <w:r>
        <w:rPr>
          <w:rFonts w:hint="eastAsia" w:ascii="宋体" w:hAnsi="宋体" w:eastAsia="宋体"/>
        </w:rPr>
        <w:t>不</w:t>
      </w:r>
      <w:r>
        <w:rPr>
          <w:rFonts w:hint="eastAsia" w:ascii="宋体" w:hAnsi="宋体" w:eastAsia="宋体"/>
          <w:lang w:eastAsia="zh-CN"/>
        </w:rPr>
        <w:t>使用</w:t>
      </w:r>
      <w:r>
        <w:rPr>
          <w:rFonts w:hint="eastAsia" w:ascii="宋体" w:hAnsi="宋体" w:eastAsia="宋体"/>
        </w:rPr>
        <w:t>进口产品参与投标</w:t>
      </w:r>
      <w:r>
        <w:rPr>
          <w:rFonts w:hint="eastAsia" w:ascii="宋体" w:hAnsi="宋体" w:eastAsia="宋体"/>
          <w:lang w:eastAsia="zh-CN"/>
        </w:rPr>
        <w:t>。</w:t>
      </w:r>
    </w:p>
    <w:p w14:paraId="035A4934">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3.我单位参与本项目政府采购活动时不存在被有关部门禁止参与政府采购活动且在有效期内的情况。</w:t>
      </w:r>
    </w:p>
    <w:p w14:paraId="749704FA">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4.我单位具备《中华人民共和国政府采购法》第二十二条第一款规定的六项条件。</w:t>
      </w:r>
    </w:p>
    <w:p w14:paraId="3D149DF2">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5.我单位未被列入失信被执行人、</w:t>
      </w:r>
      <w:r>
        <w:rPr>
          <w:rFonts w:hint="eastAsia" w:ascii="宋体" w:hAnsi="宋体" w:eastAsia="宋体"/>
          <w:color w:val="000000" w:themeColor="text1"/>
          <w:lang w:eastAsia="zh-CN"/>
          <w14:textFill>
            <w14:solidFill>
              <w14:schemeClr w14:val="tx1"/>
            </w14:solidFill>
          </w14:textFill>
        </w:rPr>
        <w:t>重大税收违法失信主体</w:t>
      </w:r>
      <w:r>
        <w:rPr>
          <w:rFonts w:hint="eastAsia" w:ascii="宋体" w:hAnsi="宋体" w:eastAsia="宋体"/>
          <w:color w:val="000000" w:themeColor="text1"/>
          <w14:textFill>
            <w14:solidFill>
              <w14:schemeClr w14:val="tx1"/>
            </w14:solidFill>
          </w14:textFill>
        </w:rPr>
        <w:t>、政府采购严重违法失信行为记录名单</w:t>
      </w:r>
      <w:r>
        <w:rPr>
          <w:rFonts w:hint="eastAsia" w:ascii="宋体" w:hAnsi="宋体" w:eastAsia="宋体"/>
          <w:color w:val="000000" w:themeColor="text1"/>
          <w:lang w:eastAsia="zh-CN"/>
          <w14:textFill>
            <w14:solidFill>
              <w14:schemeClr w14:val="tx1"/>
            </w14:solidFill>
          </w14:textFill>
        </w:rPr>
        <w:t>；不存在《深圳市财政局政府采购供应商信用信息管理办法》（深财规〔2023〕3号）列明的严重违法失信行为。</w:t>
      </w:r>
    </w:p>
    <w:p w14:paraId="55741A4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参与该项目投标，严格遵守政府采购相关法律，不造假，不围标、串标、陪标。我单位已清楚，如违反上述要求，投标将作无效处理，被列入不良记录名单并在网上曝光，同时将被提请政府采购主管部门给予一定年限</w:t>
      </w:r>
      <w:r>
        <w:rPr>
          <w:rFonts w:ascii="宋体" w:hAnsi="宋体" w:eastAsia="宋体"/>
          <w:color w:val="000000" w:themeColor="text1"/>
          <w14:textFill>
            <w14:solidFill>
              <w14:schemeClr w14:val="tx1"/>
            </w14:solidFill>
          </w14:textFill>
        </w:rPr>
        <w:t>内禁止参与政府采购活动或其他处罚。</w:t>
      </w:r>
    </w:p>
    <w:p w14:paraId="24475BAE">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我单位不存在“单位负责人为同一人或者存在直接控股、管理关系的不同供应商，参加同一合同项下的政府采购活动”的情形；不存在不同投标供应商法定代表人、主要经营负责人、投标授权代表人、项目负责人、主要技术人员、投标文件编制人员为同一人、属同一单位或者在同一单位缴纳社会保险的情形。</w:t>
      </w:r>
    </w:p>
    <w:p w14:paraId="5F00778D">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w:t>
      </w:r>
      <w:r>
        <w:rPr>
          <w:rFonts w:ascii="宋体" w:hAnsi="宋体" w:eastAsia="宋体"/>
          <w:color w:val="000000" w:themeColor="text1"/>
          <w14:textFill>
            <w14:solidFill>
              <w14:schemeClr w14:val="tx1"/>
            </w14:solidFill>
          </w14:textFill>
        </w:rPr>
        <w:t>.我单位如果中标，做到守信，不偷工减料，依</w:t>
      </w:r>
      <w:r>
        <w:rPr>
          <w:rFonts w:hint="eastAsia" w:ascii="宋体" w:hAnsi="宋体" w:eastAsia="宋体"/>
          <w:color w:val="000000" w:themeColor="text1"/>
          <w14:textFill>
            <w14:solidFill>
              <w14:schemeClr w14:val="tx1"/>
            </w14:solidFill>
          </w14:textFill>
        </w:rPr>
        <w:t>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0523B2D">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9</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我单位清楚，若以</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报价太低而无法履约</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为理由放弃本项目中标资格时，愿意接受主管部门的处理处罚。若我单位中标本项目，我单位的报价明显低于其他通过符合性审查投标人的报价时，我单位清楚，本项目将成为重点监管、重点验收项目，我单位将按时保质保量完成，并全力配合有关监管、验收工作；若我单位未按上述要求履约，我单位愿意接受主管部门的处理处罚。</w:t>
      </w:r>
    </w:p>
    <w:p w14:paraId="681D9324">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10.</w:t>
      </w:r>
      <w:r>
        <w:rPr>
          <w:rFonts w:hint="eastAsia" w:ascii="宋体" w:hAnsi="宋体" w:eastAsia="宋体"/>
          <w:color w:val="000000" w:themeColor="text1"/>
          <w14:textFill>
            <w14:solidFill>
              <w14:schemeClr w14:val="tx1"/>
            </w14:solidFill>
          </w14:textFill>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0236312">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.我</w:t>
      </w:r>
      <w:r>
        <w:rPr>
          <w:rFonts w:hint="eastAsia" w:ascii="宋体" w:hAnsi="宋体" w:eastAsia="宋体"/>
          <w:color w:val="000000" w:themeColor="text1"/>
          <w:lang w:val="en-US" w:eastAsia="zh-CN"/>
          <w14:textFill>
            <w14:solidFill>
              <w14:schemeClr w14:val="tx1"/>
            </w14:solidFill>
          </w14:textFill>
        </w:rPr>
        <w:t>单位</w:t>
      </w:r>
      <w:r>
        <w:rPr>
          <w:rFonts w:hint="eastAsia" w:ascii="宋体" w:hAnsi="宋体" w:eastAsia="宋体"/>
          <w:color w:val="000000" w:themeColor="text1"/>
          <w14:textFill>
            <w14:solidFill>
              <w14:schemeClr w14:val="tx1"/>
            </w14:solidFill>
          </w14:textFill>
        </w:rPr>
        <w:t>承诺中标后项目不转包，未经采购人同意不进行分包。</w:t>
      </w:r>
    </w:p>
    <w:p w14:paraId="380642DF">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9BCBE7A">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13.</w:t>
      </w:r>
      <w:r>
        <w:rPr>
          <w:rFonts w:hint="eastAsia" w:ascii="宋体" w:hAnsi="宋体" w:eastAsia="宋体"/>
          <w:color w:val="000000" w:themeColor="text1"/>
          <w14:textFill>
            <w14:solidFill>
              <w14:schemeClr w14:val="tx1"/>
            </w14:solidFill>
          </w14:textFill>
        </w:rPr>
        <w:t>我单位保证，若所投货物涉及</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财政部生态环境部关于印发节能产品政府采购品目清单的通知》（财库〔20</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号）列明的政府采购强制产品，则所投该产品符合节能产品的认证要求。</w:t>
      </w:r>
    </w:p>
    <w:p w14:paraId="7F074006">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szCs w:val="24"/>
        </w:rPr>
        <w:t>1</w:t>
      </w:r>
      <w:r>
        <w:rPr>
          <w:rFonts w:ascii="宋体" w:hAnsi="宋体" w:eastAsia="宋体"/>
          <w:szCs w:val="24"/>
        </w:rPr>
        <w:t>4.</w:t>
      </w:r>
      <w:r>
        <w:rPr>
          <w:rFonts w:hint="eastAsia" w:ascii="宋体" w:hAnsi="宋体" w:eastAsia="宋体" w:cs="宋体"/>
          <w:color w:val="000000" w:themeColor="text1"/>
          <w:szCs w:val="24"/>
          <w14:textFill>
            <w14:solidFill>
              <w14:schemeClr w14:val="tx1"/>
            </w14:solidFill>
          </w14:textFill>
        </w:rPr>
        <w:t xml:space="preserve"> 我单位承诺未为本项目提供整体设计、规范编制或者管理、监理、检测等服务。</w:t>
      </w:r>
    </w:p>
    <w:p w14:paraId="75341746">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5.</w:t>
      </w:r>
      <w:r>
        <w:rPr>
          <w:rFonts w:hint="eastAsia" w:ascii="宋体" w:hAnsi="宋体" w:eastAsia="宋体" w:cs="宋体"/>
          <w:color w:val="000000" w:themeColor="text1"/>
          <w:szCs w:val="24"/>
          <w14:textFill>
            <w14:solidFill>
              <w14:schemeClr w14:val="tx1"/>
            </w14:solidFill>
          </w14:textFill>
        </w:rPr>
        <w:t>我单位承诺，参与本项目投标前三年内，未受过环境监测行政主管部门行政处罚或未有被政府相关部门（如质检部门等）、媒体通报弄虚作假等情形。</w:t>
      </w:r>
      <w:r>
        <w:rPr>
          <w:rFonts w:ascii="宋体" w:hAnsi="宋体" w:eastAsia="宋体" w:cs="宋体"/>
          <w:color w:val="000000" w:themeColor="text1"/>
          <w:szCs w:val="24"/>
          <w14:textFill>
            <w14:solidFill>
              <w14:schemeClr w14:val="tx1"/>
            </w14:solidFill>
          </w14:textFill>
        </w:rPr>
        <w:t xml:space="preserve"> </w:t>
      </w:r>
    </w:p>
    <w:p w14:paraId="53DB8353">
      <w:pPr>
        <w:pStyle w:val="7"/>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r>
        <w:rPr>
          <w:rFonts w:ascii="宋体" w:hAnsi="宋体" w:eastAsia="宋体" w:cs="宋体"/>
          <w:color w:val="000000" w:themeColor="text1"/>
          <w:szCs w:val="24"/>
          <w14:textFill>
            <w14:solidFill>
              <w14:schemeClr w14:val="tx1"/>
            </w14:solidFill>
          </w14:textFill>
        </w:rPr>
        <w:t xml:space="preserve"> </w:t>
      </w:r>
    </w:p>
    <w:p w14:paraId="1839D66B">
      <w:pPr>
        <w:ind w:firstLine="480"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17.我单位承诺，不同投标供应商不存在直接控股、管理关系的情形。</w:t>
      </w:r>
    </w:p>
    <w:p w14:paraId="6A0F2E1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以上承诺，如有违反，愿依照国家相关法律法规处理，并承担由此给采购人带来的损失。</w:t>
      </w:r>
    </w:p>
    <w:p w14:paraId="1BC4B295">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p>
    <w:p w14:paraId="5732B1A5">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p>
    <w:p w14:paraId="3CF87FE8">
      <w:pPr>
        <w:ind w:firstLine="645"/>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日</w:t>
      </w:r>
    </w:p>
    <w:p w14:paraId="465F36BD">
      <w:pPr>
        <w:rPr>
          <w:rFonts w:ascii="宋体" w:hAnsi="宋体" w:eastAsia="宋体"/>
          <w:color w:val="000000" w:themeColor="text1"/>
          <w14:textFill>
            <w14:solidFill>
              <w14:schemeClr w14:val="tx1"/>
            </w14:solidFill>
          </w14:textFill>
        </w:rPr>
      </w:pPr>
    </w:p>
    <w:p w14:paraId="1036D32D">
      <w:pPr>
        <w:rPr>
          <w:rFonts w:ascii="宋体" w:hAnsi="宋体" w:eastAsia="宋体" w:cs="宋体"/>
          <w:color w:val="000000" w:themeColor="text1"/>
          <w:szCs w:val="21"/>
          <w14:textFill>
            <w14:solidFill>
              <w14:schemeClr w14:val="tx1"/>
            </w14:solidFill>
          </w14:textFill>
        </w:rPr>
      </w:pPr>
    </w:p>
    <w:p w14:paraId="198B5D01">
      <w:pPr>
        <w:pStyle w:val="7"/>
      </w:pPr>
    </w:p>
    <w:p w14:paraId="3A604C6D"/>
    <w:p w14:paraId="12376AED">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10ED805D">
      <w:pPr>
        <w:pStyle w:val="4"/>
        <w:jc w:val="center"/>
      </w:pPr>
      <w:r>
        <w:rPr>
          <w:rFonts w:hint="eastAsia" w:ascii="黑体" w:eastAsia="黑体"/>
          <w:b w:val="0"/>
          <w:color w:val="000000" w:themeColor="text1"/>
          <w:sz w:val="24"/>
          <w14:textFill>
            <w14:solidFill>
              <w14:schemeClr w14:val="tx1"/>
            </w14:solidFill>
          </w14:textFill>
        </w:rPr>
        <w:t>三、投标人情况及资格证明文件</w:t>
      </w:r>
    </w:p>
    <w:p w14:paraId="5AF7EDEE">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（一）投标人资格证明文件</w:t>
      </w:r>
    </w:p>
    <w:p w14:paraId="163E1972">
      <w:pPr>
        <w:spacing w:before="120" w:beforeLines="50"/>
        <w:ind w:firstLine="480"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（特别提示：投标人须按本招标文件第一册第一章招标公告 “申请人的资格要求”（即投标人资格要求）提供相关的资格证明资料，未提供或提供不完整、不符合要求的，将作投标无效处理。）</w:t>
      </w:r>
    </w:p>
    <w:p w14:paraId="3BB80E2F">
      <w:pPr>
        <w:spacing w:line="360" w:lineRule="auto"/>
        <w:ind w:firstLine="480" w:firstLineChars="200"/>
        <w:rPr>
          <w:b/>
          <w:color w:val="000000" w:themeColor="text1"/>
          <w14:textFill>
            <w14:solidFill>
              <w14:schemeClr w14:val="tx1"/>
            </w14:solidFill>
          </w14:textFill>
        </w:rPr>
      </w:pPr>
    </w:p>
    <w:p w14:paraId="04DC0B4F">
      <w:pPr>
        <w:spacing w:line="360" w:lineRule="auto"/>
        <w:rPr>
          <w:rFonts w:eastAsia="黑体"/>
        </w:rPr>
      </w:pPr>
    </w:p>
    <w:p w14:paraId="10682250">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（二）中小企业声明函、残疾人福利性单位声明函及监狱企业声明函</w:t>
      </w:r>
    </w:p>
    <w:p w14:paraId="5544ADBE">
      <w:pPr>
        <w:spacing w:before="120" w:beforeLines="50"/>
        <w:ind w:firstLine="482" w:firstLineChars="200"/>
        <w:rPr>
          <w:rFonts w:hint="eastAsia" w:ascii="宋体" w:hAnsi="宋体" w:eastAsia="宋体"/>
          <w:b/>
          <w:bCs/>
          <w:color w:val="FF0000"/>
          <w:lang w:val="en-US" w:eastAsia="zh-CN"/>
        </w:rPr>
      </w:pPr>
      <w:r>
        <w:rPr>
          <w:rFonts w:hint="eastAsia" w:ascii="宋体" w:hAnsi="宋体" w:eastAsia="宋体"/>
          <w:b/>
          <w:bCs/>
          <w:color w:val="FF0000"/>
          <w:lang w:val="en-US" w:eastAsia="zh-CN"/>
        </w:rPr>
        <w:t>注：采购人、采购代理机构、评标委员会（评审小组）在依法进行资格审查、评审过程中，发现《中小企业声明函》存在明显笔误或者含义不明确的，按照政府采购相关规定要求供应商进行澄清、说明或补正。澄清、说明或补正后符合中小企业条件的供应商，可以享受中小企业扶持政策。（参照《广东省政府采购促进中小企业发展实施细则》第十八条精神）</w:t>
      </w:r>
    </w:p>
    <w:p w14:paraId="6B0E9AF8">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107F46E6">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中小企业声明函（</w:t>
      </w:r>
      <w:r>
        <w:rPr>
          <w:rFonts w:hint="eastAsia"/>
          <w:b/>
          <w:color w:val="000000" w:themeColor="text1"/>
          <w14:textFill>
            <w14:solidFill>
              <w14:schemeClr w14:val="tx1"/>
            </w14:solidFill>
          </w14:textFill>
        </w:rPr>
        <w:t>服务</w:t>
      </w:r>
      <w:r>
        <w:rPr>
          <w:b/>
          <w:color w:val="000000" w:themeColor="text1"/>
          <w14:textFill>
            <w14:solidFill>
              <w14:schemeClr w14:val="tx1"/>
            </w14:solidFill>
          </w14:textFill>
        </w:rPr>
        <w:t xml:space="preserve">） </w:t>
      </w:r>
    </w:p>
    <w:p w14:paraId="4CDC3BEC">
      <w:pPr>
        <w:spacing w:after="60" w:afterLines="25" w:line="300" w:lineRule="auto"/>
        <w:ind w:firstLine="480" w:firstLineChars="200"/>
        <w:rPr>
          <w:rFonts w:ascii="宋体" w:hAnsi="宋体" w:eastAsia="宋体"/>
          <w:szCs w:val="21"/>
        </w:rPr>
      </w:pPr>
      <w:r>
        <w:rPr>
          <w:rFonts w:hint="eastAsia" w:ascii="宋体" w:hAnsi="宋体" w:eastAsia="宋体"/>
          <w:szCs w:val="21"/>
        </w:rPr>
        <w:t>本投标人郑重声明，根据《政府采购促进中小企业发展管理办法》（财库﹝2020﹞46 号）的规定，本投标人参加</w:t>
      </w:r>
      <w:r>
        <w:rPr>
          <w:rFonts w:hint="eastAsia" w:ascii="宋体" w:hAnsi="宋体" w:eastAsia="宋体"/>
          <w:b/>
          <w:bCs/>
          <w:szCs w:val="21"/>
          <w:u w:val="single"/>
        </w:rPr>
        <w:t>（</w:t>
      </w:r>
      <w:r>
        <w:rPr>
          <w:rFonts w:hint="eastAsia" w:ascii="宋体" w:hAnsi="宋体" w:eastAsia="宋体"/>
          <w:b/>
          <w:bCs/>
          <w:szCs w:val="21"/>
          <w:u w:val="single"/>
          <w:lang w:val="en-US" w:eastAsia="zh-CN"/>
        </w:rPr>
        <w:t>深圳市公安局福田分局</w:t>
      </w:r>
      <w:r>
        <w:rPr>
          <w:rFonts w:hint="eastAsia" w:ascii="宋体" w:hAnsi="宋体" w:eastAsia="宋体"/>
          <w:b/>
          <w:bCs/>
          <w:szCs w:val="21"/>
          <w:u w:val="single"/>
        </w:rPr>
        <w:t>）</w:t>
      </w:r>
      <w:r>
        <w:rPr>
          <w:rFonts w:hint="eastAsia" w:ascii="宋体" w:hAnsi="宋体" w:eastAsia="宋体"/>
          <w:szCs w:val="21"/>
        </w:rPr>
        <w:t>的</w:t>
      </w:r>
      <w:r>
        <w:rPr>
          <w:rFonts w:hint="eastAsia" w:ascii="宋体" w:hAnsi="宋体" w:eastAsia="宋体"/>
          <w:b/>
          <w:bCs/>
          <w:szCs w:val="21"/>
          <w:u w:val="single"/>
        </w:rPr>
        <w:t>（</w:t>
      </w:r>
      <w:r>
        <w:rPr>
          <w:rFonts w:hint="eastAsia" w:ascii="宋体" w:hAnsi="宋体" w:eastAsia="宋体"/>
          <w:b/>
          <w:bCs/>
          <w:szCs w:val="21"/>
          <w:u w:val="single"/>
          <w:lang w:val="en-US" w:eastAsia="zh-CN"/>
        </w:rPr>
        <w:t>福田区二类监控及视频联网系统维护项目</w:t>
      </w:r>
      <w:r>
        <w:rPr>
          <w:rFonts w:hint="eastAsia" w:ascii="宋体" w:hAnsi="宋体" w:eastAsia="宋体"/>
          <w:b/>
          <w:bCs/>
          <w:szCs w:val="21"/>
          <w:u w:val="single"/>
        </w:rPr>
        <w:t>）</w:t>
      </w:r>
      <w:r>
        <w:rPr>
          <w:rFonts w:hint="eastAsia" w:ascii="宋体" w:hAnsi="宋体" w:eastAsia="宋体"/>
          <w:szCs w:val="21"/>
        </w:rPr>
        <w:t>采购活动，服务全部由符合政策要求的中小企业承接。相关企业的具体情况如下：</w:t>
      </w:r>
    </w:p>
    <w:p w14:paraId="2C791137">
      <w:pPr>
        <w:spacing w:after="60" w:afterLines="25" w:line="300" w:lineRule="auto"/>
        <w:ind w:firstLine="480" w:firstLineChars="200"/>
        <w:rPr>
          <w:rFonts w:ascii="宋体" w:hAnsi="宋体" w:eastAsia="宋体"/>
          <w:szCs w:val="21"/>
        </w:rPr>
      </w:pPr>
      <w:r>
        <w:rPr>
          <w:rFonts w:hint="eastAsia" w:ascii="宋体" w:hAnsi="宋体" w:eastAsia="宋体"/>
          <w:szCs w:val="21"/>
        </w:rPr>
        <w:t>1.</w:t>
      </w:r>
      <w:r>
        <w:rPr>
          <w:rFonts w:hint="eastAsia" w:ascii="宋体" w:hAnsi="宋体" w:eastAsia="宋体"/>
          <w:b/>
          <w:bCs/>
          <w:szCs w:val="21"/>
          <w:u w:val="single"/>
        </w:rPr>
        <w:t xml:space="preserve"> （</w:t>
      </w:r>
      <w:r>
        <w:rPr>
          <w:rFonts w:hint="eastAsia" w:ascii="宋体" w:hAnsi="宋体" w:eastAsia="宋体"/>
          <w:b/>
          <w:bCs/>
          <w:szCs w:val="21"/>
          <w:u w:val="single"/>
          <w:lang w:val="en-US" w:eastAsia="zh-CN"/>
        </w:rPr>
        <w:t>福田区二类监控及视频联网系统维护项目</w:t>
      </w:r>
      <w:r>
        <w:rPr>
          <w:rFonts w:hint="eastAsia" w:ascii="宋体" w:hAnsi="宋体" w:eastAsia="宋体"/>
          <w:b/>
          <w:bCs/>
          <w:szCs w:val="21"/>
          <w:u w:val="single"/>
        </w:rPr>
        <w:t>）</w:t>
      </w:r>
      <w:r>
        <w:rPr>
          <w:rFonts w:hint="eastAsia" w:ascii="宋体" w:hAnsi="宋体" w:eastAsia="宋体"/>
          <w:szCs w:val="21"/>
        </w:rPr>
        <w:t xml:space="preserve"> ，属于</w:t>
      </w:r>
      <w:r>
        <w:rPr>
          <w:rFonts w:hint="eastAsia" w:ascii="宋体" w:hAnsi="宋体" w:eastAsia="宋体"/>
          <w:b/>
          <w:bCs/>
          <w:szCs w:val="21"/>
          <w:u w:val="single"/>
        </w:rPr>
        <w:t xml:space="preserve">（软件和信息技术服务业） </w:t>
      </w:r>
      <w:r>
        <w:rPr>
          <w:rFonts w:hint="eastAsia" w:ascii="宋体" w:hAnsi="宋体" w:eastAsia="宋体"/>
          <w:szCs w:val="21"/>
        </w:rPr>
        <w:t>行业；承接企业为</w:t>
      </w:r>
      <w:r>
        <w:rPr>
          <w:rFonts w:hint="eastAsia" w:ascii="宋体" w:hAnsi="宋体" w:eastAsia="宋体"/>
          <w:b/>
          <w:bCs/>
          <w:szCs w:val="21"/>
          <w:u w:val="single"/>
        </w:rPr>
        <w:t>（企业名称）</w:t>
      </w:r>
      <w:r>
        <w:rPr>
          <w:rFonts w:hint="eastAsia" w:ascii="宋体" w:hAnsi="宋体" w:eastAsia="宋体"/>
          <w:szCs w:val="21"/>
        </w:rPr>
        <w:t>，从业人员</w:t>
      </w:r>
      <w:r>
        <w:rPr>
          <w:rFonts w:hint="eastAsia" w:ascii="宋体" w:hAnsi="宋体" w:eastAsia="宋体"/>
          <w:szCs w:val="21"/>
          <w:u w:val="single"/>
          <w:lang w:val="en-US" w:eastAsia="zh-CN"/>
        </w:rPr>
        <w:t xml:space="preserve">   </w:t>
      </w:r>
      <w:r>
        <w:rPr>
          <w:rFonts w:hint="eastAsia" w:ascii="宋体" w:hAnsi="宋体" w:eastAsia="宋体"/>
          <w:szCs w:val="21"/>
        </w:rPr>
        <w:t>人，营业收入为</w:t>
      </w:r>
      <w:r>
        <w:rPr>
          <w:rFonts w:hint="eastAsia" w:ascii="宋体" w:hAnsi="宋体" w:eastAsia="宋体"/>
          <w:szCs w:val="21"/>
          <w:u w:val="single"/>
          <w:lang w:val="en-US" w:eastAsia="zh-CN"/>
        </w:rPr>
        <w:t xml:space="preserve">   </w:t>
      </w:r>
      <w:r>
        <w:rPr>
          <w:rFonts w:hint="eastAsia" w:ascii="宋体" w:hAnsi="宋体" w:eastAsia="宋体"/>
          <w:szCs w:val="21"/>
        </w:rPr>
        <w:t>万元，资产总额为</w:t>
      </w:r>
      <w:r>
        <w:rPr>
          <w:rFonts w:hint="eastAsia" w:ascii="宋体" w:hAnsi="宋体" w:eastAsia="宋体"/>
          <w:szCs w:val="21"/>
          <w:u w:val="single"/>
          <w:lang w:val="en-US" w:eastAsia="zh-CN"/>
        </w:rPr>
        <w:t xml:space="preserve">   </w:t>
      </w:r>
      <w:r>
        <w:rPr>
          <w:rFonts w:hint="eastAsia" w:ascii="宋体" w:hAnsi="宋体" w:eastAsia="宋体"/>
          <w:szCs w:val="21"/>
        </w:rPr>
        <w:t>万元 ，属于</w:t>
      </w:r>
      <w:r>
        <w:rPr>
          <w:rFonts w:hint="eastAsia" w:ascii="宋体" w:hAnsi="宋体" w:eastAsia="宋体"/>
          <w:b/>
          <w:bCs/>
          <w:szCs w:val="21"/>
          <w:u w:val="single"/>
        </w:rPr>
        <w:t>（中型企业、小型企业、微型企业）</w:t>
      </w:r>
      <w:r>
        <w:rPr>
          <w:rFonts w:hint="eastAsia" w:ascii="宋体" w:hAnsi="宋体" w:eastAsia="宋体"/>
          <w:szCs w:val="21"/>
        </w:rPr>
        <w:t xml:space="preserve">； </w:t>
      </w:r>
    </w:p>
    <w:p w14:paraId="7EB57D11">
      <w:pPr>
        <w:spacing w:after="60" w:afterLines="25" w:line="300" w:lineRule="auto"/>
        <w:ind w:firstLine="480" w:firstLineChars="200"/>
        <w:rPr>
          <w:rFonts w:ascii="宋体" w:hAnsi="宋体" w:eastAsia="宋体"/>
          <w:szCs w:val="21"/>
        </w:rPr>
      </w:pPr>
      <w:r>
        <w:rPr>
          <w:rFonts w:hint="eastAsia" w:ascii="宋体" w:hAnsi="宋体" w:eastAsia="宋体"/>
          <w:szCs w:val="21"/>
        </w:rPr>
        <w:t>以上企业，不属于大企业的分支机构，不存在控股股东为大企业的情形，也不存在与大企业的负责人为同一人的情形。</w:t>
      </w:r>
    </w:p>
    <w:p w14:paraId="66054CE5">
      <w:pPr>
        <w:spacing w:after="60" w:afterLines="25" w:line="300" w:lineRule="auto"/>
        <w:ind w:firstLine="480" w:firstLineChars="200"/>
        <w:rPr>
          <w:rFonts w:ascii="宋体" w:hAnsi="宋体" w:eastAsia="宋体"/>
          <w:szCs w:val="21"/>
        </w:rPr>
      </w:pPr>
      <w:bookmarkStart w:id="41" w:name="_Hlk73562275"/>
      <w:r>
        <w:rPr>
          <w:rFonts w:hint="eastAsia" w:ascii="宋体" w:hAnsi="宋体" w:eastAsia="宋体"/>
          <w:szCs w:val="21"/>
        </w:rPr>
        <w:t>本投标人已知悉《政府采购促进中小企业发展管理办法》（财库〔2020〕46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1"/>
    </w:p>
    <w:p w14:paraId="2F360C45">
      <w:pPr>
        <w:wordWrap w:val="0"/>
        <w:spacing w:after="60" w:afterLines="25" w:line="300" w:lineRule="auto"/>
        <w:ind w:firstLine="480" w:firstLineChars="200"/>
        <w:jc w:val="right"/>
        <w:rPr>
          <w:rFonts w:ascii="宋体" w:hAnsi="宋体" w:eastAsia="宋体"/>
          <w:szCs w:val="21"/>
        </w:rPr>
      </w:pPr>
      <w:r>
        <w:rPr>
          <w:rFonts w:hint="eastAsia" w:ascii="宋体" w:hAnsi="宋体" w:eastAsia="宋体"/>
          <w:szCs w:val="21"/>
        </w:rPr>
        <w:t xml:space="preserve">     投标人（投标单位）：       </w:t>
      </w:r>
    </w:p>
    <w:p w14:paraId="5C302744">
      <w:pPr>
        <w:ind w:firstLine="6720" w:firstLineChars="2800"/>
        <w:rPr>
          <w:rFonts w:ascii="宋体" w:hAnsi="宋体"/>
          <w:color w:val="000000" w:themeColor="text1"/>
          <w:szCs w:val="21"/>
          <w14:textFill>
            <w14:solidFill>
              <w14:schemeClr w14:val="tx1"/>
            </w14:solidFill>
          </w14:textFill>
        </w:rPr>
      </w:pPr>
      <w:r>
        <w:rPr>
          <w:rFonts w:hint="eastAsia" w:ascii="宋体" w:hAnsi="宋体" w:eastAsia="宋体"/>
          <w:szCs w:val="21"/>
        </w:rPr>
        <w:t>日期：</w:t>
      </w:r>
    </w:p>
    <w:p w14:paraId="1A95C8C6">
      <w:pPr>
        <w:spacing w:after="60" w:afterLines="25" w:line="300" w:lineRule="auto"/>
        <w:ind w:firstLine="482" w:firstLineChars="200"/>
        <w:rPr>
          <w:rFonts w:ascii="Arial" w:hAnsi="Arial" w:eastAsia="宋体"/>
          <w:b/>
          <w:color w:val="FF0000"/>
          <w:highlight w:val="yellow"/>
        </w:rPr>
      </w:pPr>
    </w:p>
    <w:p w14:paraId="7B6CA72E">
      <w:pPr>
        <w:pStyle w:val="7"/>
      </w:pPr>
    </w:p>
    <w:p w14:paraId="570325F9"/>
    <w:p w14:paraId="720CAA6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6119A4FE">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2、残疾人福利性单位声明函（服务类）</w:t>
      </w:r>
    </w:p>
    <w:p w14:paraId="3C24DE1F">
      <w:pPr>
        <w:rPr>
          <w:b/>
          <w:bCs/>
          <w:color w:val="000000" w:themeColor="text1"/>
          <w14:textFill>
            <w14:solidFill>
              <w14:schemeClr w14:val="tx1"/>
            </w14:solidFill>
          </w14:textFill>
        </w:rPr>
      </w:pPr>
    </w:p>
    <w:p w14:paraId="1571173B">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本投标人郑重声明，根据《财政部民政部中国残疾人联合会关于促进残疾人就业政府采购政策的通知》（财库〔2017〕141 号）的规定，本投标人参加</w:t>
      </w:r>
      <w:r>
        <w:rPr>
          <w:rFonts w:hint="eastAsia" w:asciiTheme="minorEastAsia" w:hAnsiTheme="minorEastAsia"/>
          <w:b/>
          <w:bCs/>
          <w:szCs w:val="21"/>
          <w:u w:val="single"/>
        </w:rPr>
        <w:t>（采购人名称）</w:t>
      </w:r>
      <w:r>
        <w:rPr>
          <w:rFonts w:hint="eastAsia" w:asciiTheme="minorEastAsia" w:hAnsiTheme="minorEastAsia"/>
          <w:szCs w:val="21"/>
        </w:rPr>
        <w:t>的</w:t>
      </w:r>
      <w:r>
        <w:rPr>
          <w:rFonts w:hint="eastAsia" w:asciiTheme="minorEastAsia" w:hAnsiTheme="minorEastAsia"/>
          <w:b/>
          <w:bCs/>
          <w:szCs w:val="21"/>
          <w:u w:val="single"/>
        </w:rPr>
        <w:t>（项目名称）</w:t>
      </w:r>
      <w:r>
        <w:rPr>
          <w:rFonts w:hint="eastAsia" w:asciiTheme="minorEastAsia" w:hAnsiTheme="minorEastAsia"/>
          <w:szCs w:val="21"/>
        </w:rPr>
        <w:t>采购活动，服务全部由符合政策要求的残疾人福利性单位承接。相关残疾人福利性单位的具体情况如下：</w:t>
      </w:r>
    </w:p>
    <w:p w14:paraId="0110256C">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1.</w:t>
      </w:r>
      <w:r>
        <w:rPr>
          <w:rFonts w:hint="eastAsia" w:asciiTheme="minorEastAsia" w:hAnsiTheme="minorEastAsia"/>
          <w:b/>
          <w:bCs/>
          <w:szCs w:val="21"/>
          <w:u w:val="single"/>
        </w:rPr>
        <w:t xml:space="preserve"> （标的名称）</w:t>
      </w:r>
      <w:r>
        <w:rPr>
          <w:rFonts w:hint="eastAsia" w:asciiTheme="minorEastAsia" w:hAnsiTheme="minorEastAsia"/>
          <w:szCs w:val="21"/>
        </w:rPr>
        <w:t>，承接企业为</w:t>
      </w:r>
      <w:r>
        <w:rPr>
          <w:rFonts w:hint="eastAsia" w:asciiTheme="minorEastAsia" w:hAnsiTheme="minorEastAsia"/>
          <w:b/>
          <w:bCs/>
          <w:szCs w:val="21"/>
          <w:u w:val="single"/>
        </w:rPr>
        <w:t>（单位名称）</w:t>
      </w:r>
      <w:r>
        <w:rPr>
          <w:rFonts w:hint="eastAsia" w:asciiTheme="minorEastAsia" w:hAnsiTheme="minorEastAsia"/>
          <w:szCs w:val="21"/>
        </w:rPr>
        <w:t>，属于</w:t>
      </w:r>
      <w:r>
        <w:rPr>
          <w:rFonts w:hint="eastAsia" w:asciiTheme="minorEastAsia" w:hAnsiTheme="minorEastAsia"/>
          <w:b/>
          <w:bCs/>
          <w:szCs w:val="21"/>
          <w:u w:val="single"/>
        </w:rPr>
        <w:t>残疾人福利性单位</w:t>
      </w:r>
      <w:r>
        <w:rPr>
          <w:rFonts w:hint="eastAsia" w:asciiTheme="minorEastAsia" w:hAnsiTheme="minorEastAsia"/>
          <w:szCs w:val="21"/>
        </w:rPr>
        <w:t>；</w:t>
      </w:r>
    </w:p>
    <w:p w14:paraId="7290753D">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2.</w:t>
      </w:r>
      <w:r>
        <w:rPr>
          <w:rFonts w:hint="eastAsia" w:asciiTheme="minorEastAsia" w:hAnsiTheme="minorEastAsia"/>
          <w:b/>
          <w:bCs/>
          <w:szCs w:val="21"/>
          <w:u w:val="single"/>
        </w:rPr>
        <w:t xml:space="preserve"> （标的名称）</w:t>
      </w:r>
      <w:r>
        <w:rPr>
          <w:rFonts w:hint="eastAsia" w:asciiTheme="minorEastAsia" w:hAnsiTheme="minorEastAsia"/>
          <w:szCs w:val="21"/>
        </w:rPr>
        <w:t>，承接企业为</w:t>
      </w:r>
      <w:r>
        <w:rPr>
          <w:rFonts w:hint="eastAsia" w:asciiTheme="minorEastAsia" w:hAnsiTheme="minorEastAsia"/>
          <w:b/>
          <w:bCs/>
          <w:szCs w:val="21"/>
          <w:u w:val="single"/>
        </w:rPr>
        <w:t>（单位名称）</w:t>
      </w:r>
      <w:r>
        <w:rPr>
          <w:rFonts w:hint="eastAsia" w:asciiTheme="minorEastAsia" w:hAnsiTheme="minorEastAsia"/>
          <w:szCs w:val="21"/>
        </w:rPr>
        <w:t>，属于</w:t>
      </w:r>
      <w:r>
        <w:rPr>
          <w:rFonts w:hint="eastAsia" w:asciiTheme="minorEastAsia" w:hAnsiTheme="minorEastAsia"/>
          <w:b/>
          <w:bCs/>
          <w:szCs w:val="21"/>
          <w:u w:val="single"/>
        </w:rPr>
        <w:t>残疾人福利性单位</w:t>
      </w:r>
      <w:r>
        <w:rPr>
          <w:rFonts w:hint="eastAsia" w:asciiTheme="minorEastAsia" w:hAnsiTheme="minorEastAsia"/>
          <w:szCs w:val="21"/>
        </w:rPr>
        <w:t>。</w:t>
      </w:r>
    </w:p>
    <w:p w14:paraId="35AF7F87">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 xml:space="preserve">…… </w:t>
      </w:r>
    </w:p>
    <w:p w14:paraId="31504722">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本投标人已知悉《财政部民政部中国残疾人联合会关于促进残疾人就业政府采购政策的通知》（财库〔2017〕141 号）的规定，承诺提供的声明函内容是真实的，如提供声明函内容不实，则依法追究相关法律责任。</w:t>
      </w:r>
    </w:p>
    <w:p w14:paraId="37630DED">
      <w:pPr>
        <w:spacing w:after="60" w:afterLines="25" w:line="560" w:lineRule="exact"/>
        <w:ind w:firstLine="480" w:firstLineChars="200"/>
        <w:jc w:val="center"/>
        <w:rPr>
          <w:rFonts w:asciiTheme="minorEastAsia" w:hAnsiTheme="minorEastAsia"/>
        </w:rPr>
      </w:pPr>
    </w:p>
    <w:p w14:paraId="51B9EDC6">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16C849C7">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3D9B6ABF">
      <w:pPr>
        <w:ind w:firstLine="480" w:firstLineChars="200"/>
        <w:rPr>
          <w:rFonts w:ascii="宋体" w:hAnsi="宋体"/>
          <w:color w:val="000000" w:themeColor="text1"/>
          <w:szCs w:val="21"/>
          <w14:textFill>
            <w14:solidFill>
              <w14:schemeClr w14:val="tx1"/>
            </w14:solidFill>
          </w14:textFill>
        </w:rPr>
      </w:pPr>
    </w:p>
    <w:p w14:paraId="0E1A8329">
      <w:pPr>
        <w:ind w:firstLine="480" w:firstLineChars="200"/>
        <w:rPr>
          <w:rFonts w:ascii="宋体" w:hAnsi="宋体"/>
          <w:color w:val="000000" w:themeColor="text1"/>
          <w:szCs w:val="21"/>
          <w14:textFill>
            <w14:solidFill>
              <w14:schemeClr w14:val="tx1"/>
            </w14:solidFill>
          </w14:textFill>
        </w:rPr>
      </w:pPr>
    </w:p>
    <w:p w14:paraId="0D45F70C">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3、监狱企业声明函【服务类，监狱企业如需享受优惠政策，还须另行提供省级以上监狱管理局、戒毒管理局（含新疆生产建设兵团）出具的监狱企业证明文件】</w:t>
      </w:r>
    </w:p>
    <w:p w14:paraId="64828E55">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本投标人郑重声明，根据《财政部司法部关于政府采购支持监狱企业发展有关问题的通知》（财库〔</w:t>
      </w:r>
      <w:r>
        <w:rPr>
          <w:rFonts w:ascii="宋体" w:hAnsi="宋体"/>
          <w:color w:val="000000" w:themeColor="text1"/>
          <w:szCs w:val="21"/>
          <w14:textFill>
            <w14:solidFill>
              <w14:schemeClr w14:val="tx1"/>
            </w14:solidFill>
          </w14:textFill>
        </w:rPr>
        <w:t>2014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68</w:t>
      </w:r>
      <w:r>
        <w:rPr>
          <w:rFonts w:hint="eastAsia" w:ascii="宋体" w:hAnsi="宋体"/>
          <w:color w:val="000000" w:themeColor="text1"/>
          <w:szCs w:val="21"/>
          <w14:textFill>
            <w14:solidFill>
              <w14:schemeClr w14:val="tx1"/>
            </w14:solidFill>
          </w14:textFill>
        </w:rPr>
        <w:t>号）的规定，本投标人</w:t>
      </w:r>
      <w:r>
        <w:rPr>
          <w:rFonts w:ascii="宋体" w:hAnsi="宋体" w:cstheme="minorBidi"/>
          <w:color w:val="000000" w:themeColor="text1"/>
          <w:szCs w:val="21"/>
          <w14:textFill>
            <w14:solidFill>
              <w14:schemeClr w14:val="tx1"/>
            </w14:solidFill>
          </w14:textFill>
        </w:rPr>
        <w:t>参加</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采购人</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的</w:t>
      </w:r>
      <w:r>
        <w:rPr>
          <w:rFonts w:ascii="宋体" w:hAnsi="宋体"/>
          <w:b/>
          <w:bCs/>
          <w:color w:val="000000" w:themeColor="text1"/>
          <w:szCs w:val="21"/>
          <w:u w:val="single"/>
          <w14:textFill>
            <w14:solidFill>
              <w14:schemeClr w14:val="tx1"/>
            </w14:solidFill>
          </w14:textFill>
        </w:rPr>
        <w:t>（项目名称）</w:t>
      </w:r>
      <w:r>
        <w:rPr>
          <w:rFonts w:ascii="宋体" w:hAnsi="宋体"/>
          <w:color w:val="000000" w:themeColor="text1"/>
          <w:szCs w:val="21"/>
          <w14:textFill>
            <w14:solidFill>
              <w14:schemeClr w14:val="tx1"/>
            </w14:solidFill>
          </w14:textFill>
        </w:rPr>
        <w:t>采购活动，</w:t>
      </w:r>
      <w:r>
        <w:rPr>
          <w:rFonts w:hint="eastAsia" w:ascii="宋体" w:hAnsi="宋体"/>
          <w:color w:val="000000" w:themeColor="text1"/>
          <w:szCs w:val="21"/>
          <w14:textFill>
            <w14:solidFill>
              <w14:schemeClr w14:val="tx1"/>
            </w14:solidFill>
          </w14:textFill>
        </w:rPr>
        <w:t>服务</w:t>
      </w:r>
      <w:r>
        <w:rPr>
          <w:rFonts w:ascii="宋体" w:hAnsi="宋体"/>
          <w:color w:val="000000" w:themeColor="text1"/>
          <w:szCs w:val="21"/>
          <w14:textFill>
            <w14:solidFill>
              <w14:schemeClr w14:val="tx1"/>
            </w14:solidFill>
          </w14:textFill>
        </w:rPr>
        <w:t>全部由符合政策要求的</w:t>
      </w:r>
      <w:r>
        <w:rPr>
          <w:rFonts w:hint="eastAsia" w:ascii="宋体" w:hAnsi="宋体"/>
          <w:color w:val="000000" w:themeColor="text1"/>
          <w:szCs w:val="21"/>
          <w14:textFill>
            <w14:solidFill>
              <w14:schemeClr w14:val="tx1"/>
            </w14:solidFill>
          </w14:textFill>
        </w:rPr>
        <w:t>监狱企业承接</w:t>
      </w:r>
      <w:r>
        <w:rPr>
          <w:rFonts w:ascii="宋体" w:hAnsi="宋体"/>
          <w:color w:val="000000" w:themeColor="text1"/>
          <w:szCs w:val="21"/>
          <w14:textFill>
            <w14:solidFill>
              <w14:schemeClr w14:val="tx1"/>
            </w14:solidFill>
          </w14:textFill>
        </w:rPr>
        <w:t>。相关</w:t>
      </w:r>
      <w:r>
        <w:rPr>
          <w:rFonts w:hint="eastAsia" w:ascii="宋体" w:hAnsi="宋体"/>
          <w:color w:val="000000" w:themeColor="text1"/>
          <w:szCs w:val="21"/>
          <w14:textFill>
            <w14:solidFill>
              <w14:schemeClr w14:val="tx1"/>
            </w14:solidFill>
          </w14:textFill>
        </w:rPr>
        <w:t>监狱企业</w:t>
      </w:r>
      <w:r>
        <w:rPr>
          <w:rFonts w:ascii="宋体" w:hAnsi="宋体"/>
          <w:color w:val="000000" w:themeColor="text1"/>
          <w:szCs w:val="21"/>
          <w14:textFill>
            <w14:solidFill>
              <w14:schemeClr w14:val="tx1"/>
            </w14:solidFill>
          </w14:textFill>
        </w:rPr>
        <w:t>的具体情况如下：</w:t>
      </w:r>
    </w:p>
    <w:p w14:paraId="0798E9C6">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ascii="宋体" w:hAnsi="宋体"/>
          <w:b/>
          <w:bCs/>
          <w:color w:val="000000" w:themeColor="text1"/>
          <w:szCs w:val="21"/>
          <w:u w:val="single"/>
          <w14:textFill>
            <w14:solidFill>
              <w14:schemeClr w14:val="tx1"/>
            </w14:solidFill>
          </w14:textFill>
        </w:rPr>
        <w:t xml:space="preserve"> （标的名称）</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，承接单位</w:t>
      </w:r>
      <w:r>
        <w:rPr>
          <w:rFonts w:ascii="宋体" w:hAnsi="宋体"/>
          <w:color w:val="000000" w:themeColor="text1"/>
          <w:szCs w:val="21"/>
          <w14:textFill>
            <w14:solidFill>
              <w14:schemeClr w14:val="tx1"/>
            </w14:solidFill>
          </w14:textFill>
        </w:rPr>
        <w:t>为</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企业</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，属于</w:t>
      </w:r>
      <w:r>
        <w:rPr>
          <w:rFonts w:hint="eastAsia" w:ascii="宋体" w:hAnsi="宋体"/>
          <w:b/>
          <w:bCs/>
          <w:color w:val="000000" w:themeColor="text1"/>
          <w:szCs w:val="21"/>
          <w:u w:val="single"/>
          <w14:textFill>
            <w14:solidFill>
              <w14:schemeClr w14:val="tx1"/>
            </w14:solidFill>
          </w14:textFill>
        </w:rPr>
        <w:t>监狱企业</w:t>
      </w:r>
      <w:r>
        <w:rPr>
          <w:rFonts w:ascii="宋体" w:hAnsi="宋体"/>
          <w:color w:val="000000" w:themeColor="text1"/>
          <w:szCs w:val="21"/>
          <w14:textFill>
            <w14:solidFill>
              <w14:schemeClr w14:val="tx1"/>
            </w14:solidFill>
          </w14:textFill>
        </w:rPr>
        <w:t>；</w:t>
      </w:r>
    </w:p>
    <w:p w14:paraId="14FE8171">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ascii="宋体" w:hAnsi="宋体"/>
          <w:b/>
          <w:bCs/>
          <w:color w:val="000000" w:themeColor="text1"/>
          <w:szCs w:val="21"/>
          <w:u w:val="single"/>
          <w14:textFill>
            <w14:solidFill>
              <w14:schemeClr w14:val="tx1"/>
            </w14:solidFill>
          </w14:textFill>
        </w:rPr>
        <w:t xml:space="preserve"> （标的名称）</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，承接单位</w:t>
      </w:r>
      <w:r>
        <w:rPr>
          <w:rFonts w:ascii="宋体" w:hAnsi="宋体"/>
          <w:color w:val="000000" w:themeColor="text1"/>
          <w:szCs w:val="21"/>
          <w14:textFill>
            <w14:solidFill>
              <w14:schemeClr w14:val="tx1"/>
            </w14:solidFill>
          </w14:textFill>
        </w:rPr>
        <w:t>为</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企业</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，属于</w:t>
      </w:r>
      <w:r>
        <w:rPr>
          <w:rFonts w:hint="eastAsia" w:ascii="宋体" w:hAnsi="宋体"/>
          <w:b/>
          <w:bCs/>
          <w:color w:val="000000" w:themeColor="text1"/>
          <w:szCs w:val="21"/>
          <w:u w:val="single"/>
          <w14:textFill>
            <w14:solidFill>
              <w14:schemeClr w14:val="tx1"/>
            </w14:solidFill>
          </w14:textFill>
        </w:rPr>
        <w:t>监狱企业</w:t>
      </w:r>
      <w:r>
        <w:rPr>
          <w:rFonts w:hint="eastAsia" w:ascii="宋体" w:hAnsi="宋体"/>
          <w:color w:val="000000" w:themeColor="text1"/>
          <w:szCs w:val="21"/>
          <w14:textFill>
            <w14:solidFill>
              <w14:schemeClr w14:val="tx1"/>
            </w14:solidFill>
          </w14:textFill>
        </w:rPr>
        <w:t>。</w:t>
      </w:r>
    </w:p>
    <w:p w14:paraId="5BACCC50">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p>
    <w:p w14:paraId="60F1D6EF">
      <w:pPr>
        <w:ind w:firstLine="480" w:firstLineChars="200"/>
        <w:rPr>
          <w:rFonts w:ascii="宋体" w:hAnsi="宋体"/>
          <w:color w:val="000000" w:themeColor="text1"/>
          <w:szCs w:val="21"/>
          <w14:textFill>
            <w14:solidFill>
              <w14:schemeClr w14:val="tx1"/>
            </w14:solidFill>
          </w14:textFill>
        </w:rPr>
      </w:pPr>
      <w:r>
        <w:rPr>
          <w:rFonts w:ascii="宋体" w:hAnsi="宋体" w:cstheme="minorBidi"/>
          <w:color w:val="000000" w:themeColor="text1"/>
          <w:szCs w:val="21"/>
          <w14:textFill>
            <w14:solidFill>
              <w14:schemeClr w14:val="tx1"/>
            </w14:solidFill>
          </w14:textFill>
        </w:rPr>
        <w:t>本</w:t>
      </w:r>
      <w:r>
        <w:rPr>
          <w:rFonts w:hint="eastAsia" w:ascii="宋体" w:hAnsi="宋体" w:cstheme="minorBidi"/>
          <w:color w:val="000000" w:themeColor="text1"/>
          <w:szCs w:val="21"/>
          <w14:textFill>
            <w14:solidFill>
              <w14:schemeClr w14:val="tx1"/>
            </w14:solidFill>
          </w14:textFill>
        </w:rPr>
        <w:t>投标人</w:t>
      </w:r>
      <w:r>
        <w:rPr>
          <w:rFonts w:ascii="宋体" w:hAnsi="宋体"/>
          <w:color w:val="000000" w:themeColor="text1"/>
          <w:szCs w:val="21"/>
          <w14:textFill>
            <w14:solidFill>
              <w14:schemeClr w14:val="tx1"/>
            </w14:solidFill>
          </w14:textFill>
        </w:rPr>
        <w:t>对上述声明内容的真实性负责。如有虚假，将依法承担相应责任。</w:t>
      </w:r>
    </w:p>
    <w:p w14:paraId="7FAF863F">
      <w:pPr>
        <w:ind w:firstLine="480" w:firstLineChars="200"/>
        <w:rPr>
          <w:rFonts w:ascii="宋体" w:hAnsi="宋体"/>
          <w:color w:val="FF0000"/>
          <w:szCs w:val="21"/>
        </w:rPr>
      </w:pPr>
      <w:r>
        <w:rPr>
          <w:rFonts w:hint="eastAsia" w:ascii="宋体" w:hAnsi="宋体"/>
          <w:color w:val="FF0000"/>
          <w:szCs w:val="21"/>
        </w:rPr>
        <w:t>附：省级以上监狱管理局、戒毒管理局（含新疆生产建设兵团）出具的监狱企业证明文件。</w:t>
      </w:r>
    </w:p>
    <w:p w14:paraId="78C2763D">
      <w:pPr>
        <w:ind w:left="723" w:hanging="720" w:hangingChars="300"/>
        <w:rPr>
          <w:b/>
          <w:color w:val="000000" w:themeColor="text1"/>
          <w14:textFill>
            <w14:solidFill>
              <w14:schemeClr w14:val="tx1"/>
            </w14:solidFill>
          </w14:textFill>
        </w:rPr>
      </w:pPr>
    </w:p>
    <w:p w14:paraId="253F8DF6">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6A27AC3F">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6C6A2EB1">
      <w:pPr>
        <w:ind w:left="723" w:hanging="720" w:hangingChars="300"/>
        <w:rPr>
          <w:b/>
          <w:color w:val="000000" w:themeColor="text1"/>
          <w14:textFill>
            <w14:solidFill>
              <w14:schemeClr w14:val="tx1"/>
            </w14:solidFill>
          </w14:textFill>
        </w:rPr>
      </w:pPr>
    </w:p>
    <w:p w14:paraId="2744042A">
      <w:pPr>
        <w:rPr>
          <w:rFonts w:eastAsia="黑体"/>
        </w:rPr>
      </w:pPr>
    </w:p>
    <w:p w14:paraId="623DA696">
      <w:pPr>
        <w:rPr>
          <w:rFonts w:hint="eastAsia" w:ascii="黑体" w:eastAsia="黑体"/>
          <w:b w:val="0"/>
          <w:sz w:val="24"/>
          <w:szCs w:val="24"/>
        </w:rPr>
      </w:pPr>
      <w:r>
        <w:rPr>
          <w:rFonts w:hint="eastAsia" w:ascii="黑体" w:eastAsia="黑体"/>
          <w:b w:val="0"/>
          <w:sz w:val="24"/>
          <w:szCs w:val="24"/>
        </w:rPr>
        <w:br w:type="page"/>
      </w:r>
    </w:p>
    <w:p w14:paraId="70D7ED3D">
      <w:pPr>
        <w:pStyle w:val="4"/>
        <w:jc w:val="center"/>
        <w:rPr>
          <w:rFonts w:ascii="黑体" w:eastAsia="黑体"/>
          <w:b w:val="0"/>
          <w:sz w:val="24"/>
          <w:szCs w:val="24"/>
        </w:rPr>
      </w:pPr>
      <w:r>
        <w:rPr>
          <w:rFonts w:hint="eastAsia" w:ascii="黑体" w:eastAsia="黑体"/>
          <w:b w:val="0"/>
          <w:sz w:val="24"/>
          <w:szCs w:val="24"/>
        </w:rPr>
        <w:t>四、项目详细报价</w:t>
      </w:r>
    </w:p>
    <w:p w14:paraId="0A6664C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w:t>
      </w:r>
      <w:r>
        <w:rPr>
          <w:rFonts w:hint="eastAsia" w:ascii="宋体" w:hAnsi="宋体" w:eastAsia="宋体" w:cs="宋体"/>
          <w:color w:val="000000"/>
          <w:sz w:val="21"/>
          <w:szCs w:val="21"/>
          <w:lang w:val="en-US" w:eastAsia="zh-CN"/>
        </w:rPr>
        <w:t>福田区二类监控及视频联网系统维护项目</w:t>
      </w:r>
    </w:p>
    <w:p w14:paraId="78B19F6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项目编号：</w:t>
      </w:r>
      <w:r>
        <w:rPr>
          <w:rFonts w:hint="eastAsia" w:ascii="宋体" w:hAnsi="宋体" w:eastAsia="宋体" w:cs="宋体"/>
          <w:color w:val="000000"/>
          <w:sz w:val="21"/>
          <w:szCs w:val="21"/>
          <w:lang w:val="en-US" w:eastAsia="zh-CN"/>
        </w:rPr>
        <w:t>FTDL2025000096</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568"/>
        <w:gridCol w:w="1936"/>
        <w:gridCol w:w="1968"/>
      </w:tblGrid>
      <w:tr w14:paraId="5FA5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5B1AF385">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094" w:type="pct"/>
            <w:noWrap w:val="0"/>
            <w:vAlign w:val="center"/>
          </w:tcPr>
          <w:p w14:paraId="5286A8D3">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项目内容</w:t>
            </w:r>
          </w:p>
        </w:tc>
        <w:tc>
          <w:tcPr>
            <w:tcW w:w="1135" w:type="pct"/>
            <w:noWrap w:val="0"/>
            <w:vAlign w:val="center"/>
          </w:tcPr>
          <w:p w14:paraId="68EC58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金额（元）</w:t>
            </w:r>
          </w:p>
        </w:tc>
        <w:tc>
          <w:tcPr>
            <w:tcW w:w="1155" w:type="pct"/>
            <w:noWrap w:val="0"/>
            <w:vAlign w:val="center"/>
          </w:tcPr>
          <w:p w14:paraId="0B3F8299">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14:paraId="5977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583EF49C">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2094" w:type="pct"/>
            <w:noWrap w:val="0"/>
            <w:vAlign w:val="top"/>
          </w:tcPr>
          <w:p w14:paraId="08C5C5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119AC33B">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39E4C90A">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7369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14" w:type="pct"/>
            <w:noWrap w:val="0"/>
            <w:vAlign w:val="center"/>
          </w:tcPr>
          <w:p w14:paraId="67CB4E45">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2094" w:type="pct"/>
            <w:noWrap w:val="0"/>
            <w:vAlign w:val="top"/>
          </w:tcPr>
          <w:p w14:paraId="5D588C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0EB6BA83">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04602CD7">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1501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4B876501">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094" w:type="pct"/>
            <w:noWrap w:val="0"/>
            <w:vAlign w:val="top"/>
          </w:tcPr>
          <w:p w14:paraId="7B91B9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323FB6B0">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77230402">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3F7E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05DA1E21">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2094" w:type="pct"/>
            <w:noWrap w:val="0"/>
            <w:vAlign w:val="top"/>
          </w:tcPr>
          <w:p w14:paraId="002A46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11B2031C">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051ADFE0">
            <w:pPr>
              <w:pStyle w:val="3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4917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44" w:type="pct"/>
            <w:gridSpan w:val="3"/>
            <w:noWrap w:val="0"/>
            <w:vAlign w:val="center"/>
          </w:tcPr>
          <w:p w14:paraId="33839B27">
            <w:pPr>
              <w:pStyle w:val="33"/>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1"/>
                <w:szCs w:val="21"/>
              </w:rPr>
            </w:pPr>
            <w:r>
              <w:rPr>
                <w:rFonts w:hint="eastAsia" w:ascii="宋体" w:hAnsi="宋体" w:eastAsia="宋体" w:cs="宋体"/>
                <w:bCs/>
                <w:color w:val="000000"/>
                <w:sz w:val="21"/>
                <w:szCs w:val="21"/>
              </w:rPr>
              <w:t>投标总价（元）</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ab/>
            </w:r>
          </w:p>
        </w:tc>
        <w:tc>
          <w:tcPr>
            <w:tcW w:w="1155" w:type="pct"/>
            <w:noWrap w:val="0"/>
            <w:vAlign w:val="center"/>
          </w:tcPr>
          <w:p w14:paraId="465DD9A4">
            <w:pPr>
              <w:pStyle w:val="33"/>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1"/>
                <w:szCs w:val="21"/>
              </w:rPr>
            </w:pPr>
          </w:p>
        </w:tc>
      </w:tr>
    </w:tbl>
    <w:p w14:paraId="2CE731F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注：</w:t>
      </w:r>
    </w:p>
    <w:p w14:paraId="02F27BE8">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1.本表格仅为指导性范本，供应商应根据项目具体情况对各分项内容进行调整提供详细分项报价。</w:t>
      </w:r>
    </w:p>
    <w:p w14:paraId="63140C6B">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000000"/>
          <w:sz w:val="21"/>
          <w:szCs w:val="21"/>
        </w:rPr>
        <w:t>2.分项报价的汇总价等于“开标一览表”中的</w:t>
      </w:r>
      <w:r>
        <w:rPr>
          <w:rFonts w:hint="eastAsia" w:ascii="宋体" w:hAnsi="宋体" w:eastAsia="宋体" w:cs="宋体"/>
          <w:b/>
          <w:color w:val="auto"/>
          <w:sz w:val="21"/>
          <w:szCs w:val="21"/>
        </w:rPr>
        <w:t>报价总价。</w:t>
      </w:r>
    </w:p>
    <w:p w14:paraId="39F8D3B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color w:val="auto"/>
          <w:sz w:val="21"/>
          <w:szCs w:val="21"/>
        </w:rPr>
      </w:pPr>
      <w:r>
        <w:rPr>
          <w:rFonts w:hint="eastAsia" w:ascii="宋体" w:hAnsi="宋体" w:eastAsia="宋体" w:cs="宋体"/>
          <w:b/>
          <w:bCs/>
          <w:color w:val="auto"/>
          <w:sz w:val="21"/>
          <w:szCs w:val="21"/>
        </w:rPr>
        <w:t>3.</w:t>
      </w:r>
      <w:r>
        <w:rPr>
          <w:rFonts w:hint="eastAsia" w:ascii="宋体" w:hAnsi="宋体" w:eastAsia="宋体" w:cs="宋体"/>
          <w:b/>
          <w:color w:val="auto"/>
          <w:sz w:val="21"/>
          <w:szCs w:val="21"/>
        </w:rPr>
        <w:t>如果以上内容无法满足投标人对报价描述，可自行添加包含在价格因素内的一切内容，但不提供详细分项报价将视为没有实质性响应招标文件</w:t>
      </w:r>
      <w:r>
        <w:rPr>
          <w:rFonts w:hint="eastAsia" w:ascii="宋体" w:hAnsi="宋体" w:eastAsia="宋体" w:cs="宋体"/>
          <w:b w:val="0"/>
          <w:color w:val="auto"/>
          <w:sz w:val="21"/>
          <w:szCs w:val="21"/>
        </w:rPr>
        <w:t>。</w:t>
      </w:r>
    </w:p>
    <w:p w14:paraId="240ED395"/>
    <w:p w14:paraId="13314D06">
      <w:pPr>
        <w:pStyle w:val="4"/>
        <w:jc w:val="center"/>
        <w:rPr>
          <w:bCs w:val="0"/>
          <w:color w:val="000000" w:themeColor="text1"/>
          <w:sz w:val="24"/>
          <w:szCs w:val="24"/>
          <w14:textFill>
            <w14:solidFill>
              <w14:schemeClr w14:val="tx1"/>
            </w14:solidFill>
          </w14:textFill>
        </w:rPr>
      </w:pPr>
      <w:r>
        <w:rPr>
          <w:rFonts w:hint="eastAsia"/>
          <w:bCs w:val="0"/>
          <w:color w:val="000000" w:themeColor="text1"/>
          <w:sz w:val="24"/>
          <w:szCs w:val="24"/>
          <w14:textFill>
            <w14:solidFill>
              <w14:schemeClr w14:val="tx1"/>
            </w14:solidFill>
          </w14:textFill>
        </w:rPr>
        <w:t>五、</w:t>
      </w:r>
      <w:r>
        <w:rPr>
          <w:rFonts w:hint="eastAsia"/>
          <w:bCs w:val="0"/>
          <w:color w:val="000000" w:themeColor="text1"/>
          <w:sz w:val="24"/>
          <w:szCs w:val="24"/>
          <w:lang w:val="en-US" w:eastAsia="zh-CN"/>
          <w14:textFill>
            <w14:solidFill>
              <w14:schemeClr w14:val="tx1"/>
            </w14:solidFill>
          </w14:textFill>
        </w:rPr>
        <w:t>供应商认证情况</w:t>
      </w:r>
    </w:p>
    <w:p w14:paraId="5A033BC2">
      <w:pPr>
        <w:pStyle w:val="4"/>
        <w:jc w:val="center"/>
        <w:rPr>
          <w:bCs w:val="0"/>
          <w:color w:val="000000" w:themeColor="text1"/>
          <w:sz w:val="24"/>
          <w:szCs w:val="24"/>
          <w14:textFill>
            <w14:solidFill>
              <w14:schemeClr w14:val="tx1"/>
            </w14:solidFill>
          </w14:textFill>
        </w:rPr>
      </w:pPr>
      <w:r>
        <w:rPr>
          <w:rFonts w:hint="eastAsia"/>
          <w:bCs w:val="0"/>
          <w:sz w:val="24"/>
          <w:szCs w:val="24"/>
        </w:rPr>
        <w:t>六、</w:t>
      </w:r>
      <w:r>
        <w:rPr>
          <w:rFonts w:hint="eastAsia"/>
          <w:bCs w:val="0"/>
          <w:sz w:val="24"/>
          <w:szCs w:val="24"/>
          <w:lang w:val="en-US" w:eastAsia="zh-CN"/>
        </w:rPr>
        <w:t>供应商同类项目业绩情况</w:t>
      </w:r>
    </w:p>
    <w:p w14:paraId="3EB2DBC6">
      <w:pPr>
        <w:pStyle w:val="4"/>
        <w:jc w:val="center"/>
        <w:rPr>
          <w:rFonts w:hint="eastAsia"/>
          <w:bCs w:val="0"/>
          <w:sz w:val="24"/>
          <w:szCs w:val="24"/>
        </w:rPr>
      </w:pPr>
      <w:r>
        <w:rPr>
          <w:rFonts w:hint="eastAsia"/>
          <w:bCs w:val="0"/>
          <w:sz w:val="24"/>
          <w:szCs w:val="24"/>
          <w:lang w:val="en-US" w:eastAsia="zh-CN"/>
        </w:rPr>
        <w:t>七、供应商自主知识产权产品（创新、设计）情况</w:t>
      </w:r>
    </w:p>
    <w:p w14:paraId="7C9B0698">
      <w:pPr>
        <w:pStyle w:val="4"/>
        <w:jc w:val="center"/>
        <w:rPr>
          <w:bCs w:val="0"/>
          <w:color w:val="000000" w:themeColor="text1"/>
          <w:sz w:val="24"/>
          <w:szCs w:val="24"/>
          <w14:textFill>
            <w14:solidFill>
              <w14:schemeClr w14:val="tx1"/>
            </w14:solidFill>
          </w14:textFill>
        </w:rPr>
      </w:pPr>
      <w:r>
        <w:rPr>
          <w:rFonts w:hint="eastAsia"/>
          <w:bCs w:val="0"/>
          <w:sz w:val="24"/>
          <w:szCs w:val="24"/>
          <w:lang w:val="en-US" w:eastAsia="zh-CN"/>
        </w:rPr>
        <w:t>八</w:t>
      </w:r>
      <w:r>
        <w:rPr>
          <w:rFonts w:hint="eastAsia"/>
          <w:bCs w:val="0"/>
          <w:sz w:val="24"/>
          <w:szCs w:val="24"/>
        </w:rPr>
        <w:t>、</w:t>
      </w:r>
      <w:r>
        <w:rPr>
          <w:rFonts w:hint="eastAsia"/>
          <w:bCs w:val="0"/>
          <w:color w:val="000000" w:themeColor="text1"/>
          <w:sz w:val="24"/>
          <w:szCs w:val="24"/>
          <w14:textFill>
            <w14:solidFill>
              <w14:schemeClr w14:val="tx1"/>
            </w14:solidFill>
          </w14:textFill>
        </w:rPr>
        <w:t>投标人认为需要加以说明的其他内容（格式自定）</w:t>
      </w:r>
    </w:p>
    <w:p w14:paraId="3258F6C1">
      <w:pPr>
        <w:rPr>
          <w:rFonts w:eastAsia="黑体"/>
          <w:bCs/>
        </w:rPr>
      </w:pPr>
    </w:p>
    <w:p w14:paraId="054524F9">
      <w:pPr>
        <w:rPr>
          <w:color w:val="000000" w:themeColor="text1"/>
          <w14:textFill>
            <w14:solidFill>
              <w14:schemeClr w14:val="tx1"/>
            </w14:solidFill>
          </w14:textFill>
        </w:rPr>
      </w:pPr>
    </w:p>
    <w:p w14:paraId="6D23A951">
      <w:pPr>
        <w:rPr>
          <w:color w:val="000000" w:themeColor="text1"/>
          <w14:textFill>
            <w14:solidFill>
              <w14:schemeClr w14:val="tx1"/>
            </w14:solidFill>
          </w14:textFill>
        </w:rPr>
      </w:pPr>
    </w:p>
    <w:p w14:paraId="56BF3B8D">
      <w:pPr>
        <w:ind w:firstLine="1441" w:firstLineChars="600"/>
        <w:rPr>
          <w:b/>
          <w:color w:val="FF0000"/>
        </w:rPr>
      </w:pPr>
      <w:r>
        <w:rPr>
          <w:rFonts w:hint="eastAsia"/>
          <w:b/>
          <w:color w:val="FF0000"/>
        </w:rPr>
        <w:t>（信息公开部分的内容到此为止！以下为信息不公开部分。）</w:t>
      </w:r>
    </w:p>
    <w:p w14:paraId="6028A5B3">
      <w:pPr>
        <w:ind w:firstLine="1441" w:firstLineChars="600"/>
        <w:rPr>
          <w:b/>
          <w:color w:val="FF0000"/>
        </w:rPr>
      </w:pPr>
    </w:p>
    <w:p w14:paraId="2E6E18E6">
      <w:pPr>
        <w:ind w:firstLine="1441" w:firstLineChars="600"/>
        <w:rPr>
          <w:b/>
          <w:color w:val="FF0000"/>
        </w:rPr>
      </w:pPr>
    </w:p>
    <w:p w14:paraId="1EFDD694">
      <w:pPr>
        <w:rPr>
          <w:b/>
          <w:color w:val="FF0000"/>
        </w:rPr>
      </w:pPr>
      <w:r>
        <w:rPr>
          <w:b/>
          <w:color w:val="FF0000"/>
        </w:rPr>
        <w:br w:type="page"/>
      </w:r>
    </w:p>
    <w:p w14:paraId="75141566">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7B3F4BF4">
      <w:pPr>
        <w:pStyle w:val="4"/>
        <w:jc w:val="center"/>
        <w:rPr>
          <w:rFonts w:ascii="黑体" w:eastAsia="黑体"/>
          <w:b w:val="0"/>
          <w:sz w:val="24"/>
          <w:highlight w:val="none"/>
        </w:rPr>
      </w:pPr>
      <w:r>
        <w:rPr>
          <w:rFonts w:hint="eastAsia" w:ascii="黑体" w:eastAsia="黑体"/>
          <w:bCs w:val="0"/>
          <w:color w:val="000000" w:themeColor="text1"/>
          <w:sz w:val="24"/>
          <w14:textFill>
            <w14:solidFill>
              <w14:schemeClr w14:val="tx1"/>
            </w14:solidFill>
          </w14:textFill>
        </w:rPr>
        <w:t>一、</w:t>
      </w:r>
      <w:bookmarkStart w:id="42" w:name="_Hlk72092499"/>
      <w:r>
        <w:rPr>
          <w:rFonts w:hint="eastAsia" w:ascii="黑体" w:eastAsia="黑体"/>
          <w:b w:val="0"/>
          <w:sz w:val="24"/>
          <w:highlight w:val="none"/>
        </w:rPr>
        <w:t>法定代表人（负责人或</w:t>
      </w:r>
      <w:r>
        <w:rPr>
          <w:rFonts w:hint="eastAsia" w:ascii="黑体" w:eastAsia="黑体"/>
          <w:b w:val="0"/>
          <w:color w:val="4F81BD" w:themeColor="accent1"/>
          <w:sz w:val="24"/>
          <w:highlight w:val="none"/>
          <w14:textFill>
            <w14:solidFill>
              <w14:schemeClr w14:val="accent1"/>
            </w14:solidFill>
          </w14:textFill>
        </w:rPr>
        <w:t>执行事务合伙人</w:t>
      </w:r>
      <w:r>
        <w:rPr>
          <w:rFonts w:hint="eastAsia" w:ascii="黑体" w:eastAsia="黑体"/>
          <w:b w:val="0"/>
          <w:sz w:val="24"/>
          <w:highlight w:val="none"/>
        </w:rPr>
        <w:t>）资格证明书</w:t>
      </w:r>
      <w:bookmarkEnd w:id="42"/>
    </w:p>
    <w:p w14:paraId="358BA9F9">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4B2C690A">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sz w:val="24"/>
        </w:rPr>
      </w:pPr>
    </w:p>
    <w:p w14:paraId="56277D8E">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单位名称：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p>
    <w:p w14:paraId="30EF135D">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地    址：</w:t>
      </w:r>
      <w:r>
        <w:rPr>
          <w:rFonts w:hint="eastAsia" w:asciiTheme="minorEastAsia" w:hAnsiTheme="minorEastAsia" w:eastAsiaTheme="minorEastAsia" w:cstheme="minorEastAsia"/>
          <w:color w:val="000000"/>
          <w:sz w:val="24"/>
          <w:u w:val="single"/>
          <w:lang w:val="en-US" w:eastAsia="zh-CN"/>
        </w:rPr>
        <w:t xml:space="preserve">                   </w:t>
      </w:r>
    </w:p>
    <w:p w14:paraId="18EBD68D">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姓    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性别：</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年龄：</w:t>
      </w:r>
      <w:r>
        <w:rPr>
          <w:rFonts w:hint="eastAsia" w:asciiTheme="minorEastAsia" w:hAnsiTheme="minorEastAsia" w:eastAsiaTheme="minorEastAsia" w:cstheme="minorEastAsia"/>
          <w:color w:val="000000"/>
          <w:sz w:val="24"/>
          <w:u w:val="single"/>
          <w:lang w:val="en-US" w:eastAsia="zh-CN"/>
        </w:rPr>
        <w:t xml:space="preserve">          </w:t>
      </w:r>
    </w:p>
    <w:p w14:paraId="09C26444">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身份证号码：</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职务：</w:t>
      </w:r>
      <w:r>
        <w:rPr>
          <w:rFonts w:hint="eastAsia" w:asciiTheme="minorEastAsia" w:hAnsiTheme="minorEastAsia" w:eastAsiaTheme="minorEastAsia" w:cstheme="minorEastAsia"/>
          <w:color w:val="000000"/>
          <w:sz w:val="24"/>
          <w:u w:val="single"/>
          <w:lang w:val="en-US" w:eastAsia="zh-CN"/>
        </w:rPr>
        <w:t xml:space="preserve">                   </w:t>
      </w:r>
    </w:p>
    <w:p w14:paraId="62628133">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联系电话或手机号码</w:t>
      </w:r>
      <w:r>
        <w:rPr>
          <w:rFonts w:hint="eastAsia" w:asciiTheme="minorEastAsia" w:hAnsiTheme="minorEastAsia" w:eastAsiaTheme="minorEastAsia" w:cstheme="minorEastAsia"/>
          <w:color w:val="000000"/>
          <w:sz w:val="24"/>
          <w:highlight w:val="yellow"/>
          <w:u w:val="single"/>
          <w:lang w:val="en-US" w:eastAsia="zh-CN"/>
        </w:rPr>
        <w:t>：（如法定代表人为投标人代表，则必须需填写此项）</w:t>
      </w:r>
      <w:r>
        <w:rPr>
          <w:rFonts w:hint="eastAsia" w:asciiTheme="minorEastAsia" w:hAnsiTheme="minorEastAsia" w:eastAsiaTheme="minorEastAsia" w:cstheme="minorEastAsia"/>
          <w:color w:val="000000"/>
          <w:sz w:val="24"/>
          <w:highlight w:val="yellow"/>
          <w:lang w:val="en-US" w:eastAsia="zh-CN"/>
        </w:rPr>
        <w:t>。</w:t>
      </w:r>
    </w:p>
    <w:p w14:paraId="1A89DBB8">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）。本证明书用于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投标人</w:t>
      </w:r>
      <w:r>
        <w:rPr>
          <w:rFonts w:hint="eastAsia" w:asciiTheme="minorEastAsia" w:hAnsiTheme="minorEastAsia" w:eastAsiaTheme="minorEastAsia" w:cstheme="minorEastAsia"/>
          <w:color w:val="000000"/>
          <w:sz w:val="24"/>
          <w:u w:val="single"/>
        </w:rPr>
        <w:t>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签署</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项目名称</w:t>
      </w:r>
      <w:r>
        <w:rPr>
          <w:rFonts w:hint="eastAsia" w:asciiTheme="minorEastAsia" w:hAnsiTheme="minorEastAsia" w:eastAsiaTheme="minorEastAsia" w:cstheme="minorEastAsia"/>
          <w:color w:val="000000"/>
          <w:sz w:val="24"/>
          <w:u w:val="single"/>
        </w:rPr>
        <w:t>（项目编号）</w:t>
      </w:r>
      <w:r>
        <w:rPr>
          <w:rFonts w:hint="eastAsia" w:asciiTheme="minorEastAsia" w:hAnsiTheme="minorEastAsia" w:eastAsiaTheme="minorEastAsia" w:cstheme="minorEastAsia"/>
          <w:color w:val="000000"/>
          <w:sz w:val="24"/>
        </w:rPr>
        <w:t>项目的投标文件、进行合同投标、签署合同和处理与之有关的一切事务。</w:t>
      </w:r>
    </w:p>
    <w:p w14:paraId="2B1CE173">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特此证明。</w:t>
      </w:r>
    </w:p>
    <w:p w14:paraId="21E00608">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  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p>
    <w:p w14:paraId="479F8254">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60288" behindDoc="0" locked="0" layoutInCell="1" allowOverlap="1">
                <wp:simplePos x="0" y="0"/>
                <wp:positionH relativeFrom="column">
                  <wp:posOffset>2999740</wp:posOffset>
                </wp:positionH>
                <wp:positionV relativeFrom="paragraph">
                  <wp:posOffset>113030</wp:posOffset>
                </wp:positionV>
                <wp:extent cx="2782570" cy="1920875"/>
                <wp:effectExtent l="5080" t="4445" r="12700" b="17780"/>
                <wp:wrapNone/>
                <wp:docPr id="2" name="文本框 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5C50FC">
                            <w:pPr>
                              <w:widowControl/>
                              <w:jc w:val="left"/>
                              <w:rPr>
                                <w:rFonts w:ascii="宋体" w:hAnsi="宋体" w:cs="宋体"/>
                                <w:kern w:val="0"/>
                                <w:sz w:val="24"/>
                              </w:rPr>
                            </w:pPr>
                          </w:p>
                          <w:p w14:paraId="2C75F6AF">
                            <w:pPr>
                              <w:widowControl/>
                              <w:jc w:val="left"/>
                            </w:pPr>
                          </w:p>
                          <w:p w14:paraId="067EE8B1">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6B06D736">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8.9pt;height:151.25pt;width:219.1pt;z-index:251660288;mso-width-relative:page;mso-height-relative:page;" fillcolor="#FFFFFF" filled="t" stroked="t" coordsize="21600,21600" o:gfxdata="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HQ1S2QAAAAoBAAAPAAAAAAAAAAEAIAAAACIAAABkcnMvZG93bnJldi54bWxQ&#10;SwECFAAUAAAACACHTuJA0Ql06i8CAAB4BAAADgAAAAAAAAABACAAAAAoAQAAZHJzL2Uyb0RvYy54&#10;bWxQSwUGAAAAAAYABgBZAQAAyQUAAAAA&#10;">
                <v:fill on="t" focussize="0,0"/>
                <v:stroke color="#000000" joinstyle="miter"/>
                <v:imagedata o:title=""/>
                <o:lock v:ext="edit" aspectratio="f"/>
                <v:textbox>
                  <w:txbxContent>
                    <w:p w14:paraId="3A5C50FC">
                      <w:pPr>
                        <w:widowControl/>
                        <w:jc w:val="left"/>
                        <w:rPr>
                          <w:rFonts w:ascii="宋体" w:hAnsi="宋体" w:cs="宋体"/>
                          <w:kern w:val="0"/>
                          <w:sz w:val="24"/>
                        </w:rPr>
                      </w:pPr>
                    </w:p>
                    <w:p w14:paraId="2C75F6AF">
                      <w:pPr>
                        <w:widowControl/>
                        <w:jc w:val="left"/>
                      </w:pPr>
                    </w:p>
                    <w:p w14:paraId="067EE8B1">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6B06D736">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5" name="文本框 5"/>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197183">
                            <w:pPr>
                              <w:widowControl/>
                              <w:jc w:val="left"/>
                              <w:rPr>
                                <w:rFonts w:ascii="宋体" w:hAnsi="宋体" w:cs="宋体"/>
                                <w:kern w:val="0"/>
                                <w:sz w:val="24"/>
                              </w:rPr>
                            </w:pPr>
                          </w:p>
                          <w:p w14:paraId="4461FC49">
                            <w:pPr>
                              <w:widowControl/>
                              <w:jc w:val="left"/>
                            </w:pPr>
                          </w:p>
                          <w:p w14:paraId="3A49A8B9">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165B4599">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59264;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Mnmr1QAAAAcBAAAPAAAAAAAAAAEAIAAAACIAAABkcnMvZG93bnJldi54bWxQSwEC&#10;FAAUAAAACACHTuJAFt58ZDACAAB4BAAADgAAAAAAAAABACAAAAAkAQAAZHJzL2Uyb0RvYy54bWxQ&#10;SwUGAAAAAAYABgBZAQAAxgUAAAAA&#10;">
                <v:fill on="t" focussize="0,0"/>
                <v:stroke color="#000000" joinstyle="miter"/>
                <v:imagedata o:title=""/>
                <o:lock v:ext="edit" aspectratio="f"/>
                <v:textbox>
                  <w:txbxContent>
                    <w:p w14:paraId="56197183">
                      <w:pPr>
                        <w:widowControl/>
                        <w:jc w:val="left"/>
                        <w:rPr>
                          <w:rFonts w:ascii="宋体" w:hAnsi="宋体" w:cs="宋体"/>
                          <w:kern w:val="0"/>
                          <w:sz w:val="24"/>
                        </w:rPr>
                      </w:pPr>
                    </w:p>
                    <w:p w14:paraId="4461FC49">
                      <w:pPr>
                        <w:widowControl/>
                        <w:jc w:val="left"/>
                      </w:pPr>
                    </w:p>
                    <w:p w14:paraId="3A49A8B9">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165B4599">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3468D654">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68AFD7BF">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6903375D">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7C76DAEF">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275B6DC7">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52F031D4">
      <w:pPr>
        <w:keepNext w:val="0"/>
        <w:keepLines w:val="0"/>
        <w:pageBreakBefore w:val="0"/>
        <w:kinsoku/>
        <w:wordWrap/>
        <w:overflowPunct/>
        <w:topLinePunct w:val="0"/>
        <w:autoSpaceDE/>
        <w:autoSpaceDN/>
        <w:bidi w:val="0"/>
        <w:adjustRightInd/>
        <w:spacing w:after="60" w:line="340" w:lineRule="exact"/>
        <w:textAlignment w:val="auto"/>
        <w:rPr>
          <w:rFonts w:hint="eastAsia" w:asciiTheme="minorEastAsia" w:hAnsiTheme="minorEastAsia" w:eastAsiaTheme="minorEastAsia" w:cstheme="minorEastAsia"/>
          <w:color w:val="000000"/>
          <w:sz w:val="24"/>
        </w:rPr>
      </w:pPr>
    </w:p>
    <w:p w14:paraId="69D1C5BC">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61EEFB16">
      <w:pPr>
        <w:keepNext w:val="0"/>
        <w:keepLines w:val="0"/>
        <w:pageBreakBefore w:val="0"/>
        <w:kinsoku/>
        <w:wordWrap/>
        <w:overflowPunct/>
        <w:topLinePunct w:val="0"/>
        <w:autoSpaceDE/>
        <w:autoSpaceDN/>
        <w:bidi w:val="0"/>
        <w:adjustRightInd/>
        <w:spacing w:line="340" w:lineRule="exact"/>
        <w:jc w:val="center"/>
        <w:textAlignment w:val="auto"/>
        <w:rPr>
          <w:rFonts w:hint="eastAsia" w:asciiTheme="minorEastAsia" w:hAnsiTheme="minorEastAsia" w:eastAsiaTheme="minorEastAsia" w:cstheme="minorEastAsia"/>
          <w:b/>
          <w:bCs/>
          <w:color w:val="000000"/>
          <w:sz w:val="24"/>
        </w:rPr>
      </w:pPr>
    </w:p>
    <w:p w14:paraId="08A103BF">
      <w:pPr>
        <w:keepNext w:val="0"/>
        <w:keepLines w:val="0"/>
        <w:pageBreakBefore w:val="0"/>
        <w:kinsoku/>
        <w:wordWrap/>
        <w:overflowPunct/>
        <w:topLinePunct w:val="0"/>
        <w:autoSpaceDE/>
        <w:autoSpaceDN/>
        <w:bidi w:val="0"/>
        <w:adjustRightInd/>
        <w:snapToGrid w:val="0"/>
        <w:spacing w:line="340" w:lineRule="exact"/>
        <w:ind w:left="840" w:hanging="840" w:hangingChars="350"/>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说明：</w:t>
      </w:r>
    </w:p>
    <w:p w14:paraId="765FD859">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eastAsia="zh-CN"/>
        </w:rPr>
      </w:pPr>
      <w:r>
        <w:rPr>
          <w:rFonts w:hint="eastAsia" w:asciiTheme="minorEastAsia" w:hAnsiTheme="minorEastAsia" w:eastAsiaTheme="minorEastAsia" w:cstheme="minorEastAsia"/>
          <w:bCs/>
          <w:color w:val="000000"/>
          <w:sz w:val="24"/>
        </w:rPr>
        <w:t>1.</w:t>
      </w:r>
      <w:r>
        <w:rPr>
          <w:rFonts w:hint="eastAsia"/>
          <w:szCs w:val="21"/>
          <w:highlight w:val="none"/>
        </w:rPr>
        <w:t>法定代表人（负责人或</w:t>
      </w:r>
      <w:r>
        <w:rPr>
          <w:rFonts w:hint="eastAsia"/>
          <w:color w:val="4F81BD" w:themeColor="accent1"/>
          <w:szCs w:val="21"/>
          <w:highlight w:val="none"/>
          <w14:textFill>
            <w14:solidFill>
              <w14:schemeClr w14:val="accent1"/>
            </w14:solidFill>
          </w14:textFill>
        </w:rPr>
        <w:t>执行事务合伙人</w:t>
      </w:r>
      <w:r>
        <w:rPr>
          <w:rFonts w:hint="eastAsia"/>
          <w:szCs w:val="21"/>
          <w:highlight w:val="none"/>
        </w:rPr>
        <w:t>）为投标人（企业事业单位、国家机关、社会团体）的主要行政负责人。</w:t>
      </w:r>
      <w:r>
        <w:rPr>
          <w:rFonts w:hint="eastAsia" w:asciiTheme="minorEastAsia" w:hAnsiTheme="minorEastAsia" w:eastAsiaTheme="minorEastAsia" w:cstheme="minorEastAsia"/>
          <w:bCs/>
          <w:color w:val="000000"/>
          <w:sz w:val="24"/>
        </w:rPr>
        <w:t>须提供法定代表人（</w:t>
      </w:r>
      <w:r>
        <w:rPr>
          <w:rFonts w:hint="eastAsia" w:asciiTheme="minorEastAsia" w:hAnsiTheme="minorEastAsia" w:eastAsiaTheme="minorEastAsia" w:cstheme="minorEastAsia"/>
          <w:bCs/>
          <w:color w:val="000000"/>
          <w:sz w:val="24"/>
          <w:lang w:eastAsia="zh-CN"/>
        </w:rPr>
        <w:t>负责人或执行事务合伙人</w:t>
      </w:r>
      <w:r>
        <w:rPr>
          <w:rFonts w:hint="eastAsia" w:asciiTheme="minorEastAsia" w:hAnsiTheme="minorEastAsia" w:eastAsiaTheme="minorEastAsia" w:cstheme="minorEastAsia"/>
          <w:bCs/>
          <w:color w:val="000000"/>
          <w:sz w:val="24"/>
        </w:rPr>
        <w:t>）的身份证</w:t>
      </w:r>
      <w:r>
        <w:rPr>
          <w:rFonts w:hint="eastAsia" w:asciiTheme="minorEastAsia" w:hAnsiTheme="minorEastAsia" w:eastAsiaTheme="minorEastAsia" w:cstheme="minorEastAsia"/>
          <w:bCs/>
          <w:color w:val="000000"/>
          <w:sz w:val="24"/>
          <w:lang w:eastAsia="zh-CN"/>
        </w:rPr>
        <w:t>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；港澳台居民可提供来往通行证扫描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；非中国国籍管辖范围人员，可提供公安部门认可的身份证明材料扫描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w:t>
      </w:r>
    </w:p>
    <w:p w14:paraId="4BF3C612">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2.招投标文件中涉及需法定代表人之处，非法人组织可由负责人或执行事务合伙人执行。</w:t>
      </w:r>
    </w:p>
    <w:p w14:paraId="31248D0E">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3.如是法定代表人（负责人或执行事务合伙人）直接参与投标，必须填写《法定代表人（负责人或执行事务合伙人）资格证明书》，可不用填写《法定代表人（负责人或执行事务合伙人）授权书》。</w:t>
      </w:r>
    </w:p>
    <w:p w14:paraId="7F04BA08">
      <w:pPr>
        <w:pStyle w:val="7"/>
        <w:keepNext w:val="0"/>
        <w:keepLines w:val="0"/>
        <w:pageBreakBefore w:val="0"/>
        <w:kinsoku/>
        <w:wordWrap/>
        <w:overflowPunct/>
        <w:topLinePunct w:val="0"/>
        <w:autoSpaceDE/>
        <w:autoSpaceDN/>
        <w:bidi w:val="0"/>
        <w:adjustRightInd/>
        <w:spacing w:line="340" w:lineRule="exact"/>
        <w:textAlignment w:val="auto"/>
        <w:rPr>
          <w:rFonts w:hint="eastAsia"/>
          <w:lang w:val="en-US" w:eastAsia="zh-CN"/>
        </w:rPr>
      </w:pPr>
      <w:r>
        <w:rPr>
          <w:rFonts w:hint="eastAsia" w:eastAsia="宋体"/>
          <w:szCs w:val="21"/>
          <w:highlight w:val="none"/>
          <w:lang w:val="en-US" w:eastAsia="zh-CN"/>
        </w:rPr>
        <w:t>4.</w:t>
      </w:r>
      <w:r>
        <w:rPr>
          <w:rFonts w:hint="eastAsia"/>
          <w:szCs w:val="21"/>
          <w:highlight w:val="none"/>
        </w:rPr>
        <w:t>内容必须填写真实、清</w:t>
      </w:r>
      <w:r>
        <w:rPr>
          <w:rFonts w:hint="eastAsia"/>
          <w:szCs w:val="21"/>
          <w:highlight w:val="none"/>
          <w:lang w:val="en-US" w:eastAsia="zh-CN"/>
        </w:rPr>
        <w:t>楚，涂改无效，不得转让、买卖。</w:t>
      </w:r>
    </w:p>
    <w:p w14:paraId="21A922AF">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color w:val="FF0000"/>
          <w:szCs w:val="21"/>
          <w:highlight w:val="none"/>
          <w:lang w:val="en-US" w:eastAsia="zh-CN"/>
        </w:rPr>
      </w:pPr>
      <w:r>
        <w:rPr>
          <w:rFonts w:hint="eastAsia"/>
          <w:b/>
          <w:bCs/>
          <w:color w:val="FF0000"/>
          <w:szCs w:val="21"/>
          <w:highlight w:val="none"/>
          <w:lang w:val="en-US" w:eastAsia="zh-CN"/>
        </w:rPr>
        <w:t>温馨提示:</w:t>
      </w:r>
      <w:r>
        <w:rPr>
          <w:rFonts w:hint="eastAsia"/>
          <w:color w:val="FF0000"/>
          <w:szCs w:val="21"/>
          <w:highlight w:val="none"/>
          <w:lang w:val="en-US" w:eastAsia="zh-CN"/>
        </w:rPr>
        <w:t>为避免出现《深圳经济特区政府采购条例实施细则》第七十五条第二项所列情形，请投标供应商核实你单位法定代表人、本项目投标授权代表人、项目负责人、主要技术人员等是否在你公司缴纳社会保险。</w:t>
      </w:r>
    </w:p>
    <w:p w14:paraId="51E980E6">
      <w:pPr>
        <w:pStyle w:val="7"/>
      </w:pPr>
    </w:p>
    <w:p w14:paraId="20298F1E"/>
    <w:p w14:paraId="69B84061">
      <w:pPr>
        <w:pStyle w:val="4"/>
        <w:spacing w:before="120" w:after="120"/>
        <w:jc w:val="center"/>
        <w:rPr>
          <w:rFonts w:ascii="黑体" w:eastAsia="黑体"/>
          <w:b w:val="0"/>
          <w:sz w:val="24"/>
          <w:highlight w:val="none"/>
        </w:rPr>
      </w:pPr>
      <w:r>
        <w:rPr>
          <w:rFonts w:hint="eastAsia" w:ascii="黑体" w:eastAsia="黑体"/>
          <w:b w:val="0"/>
          <w:sz w:val="24"/>
          <w:highlight w:val="none"/>
        </w:rPr>
        <w:t>二、投标文件签署授权委托书</w:t>
      </w:r>
    </w:p>
    <w:p w14:paraId="4EA8C2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4C8ED9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本授权委托书声明：我</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），现授权委托</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为我公司签署本项目已递交的投标文件的法定代表人的授权委托代理人，代理人全权代表我所签署的本项目已递交的投标文件内容我均承认。</w:t>
      </w:r>
    </w:p>
    <w:p w14:paraId="3BF78E2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代理人无转委托权，特此委托。</w:t>
      </w:r>
    </w:p>
    <w:p w14:paraId="1A425E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7B69115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性别：</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年龄：</w:t>
      </w:r>
      <w:r>
        <w:rPr>
          <w:rFonts w:hint="eastAsia"/>
          <w:szCs w:val="21"/>
          <w:highlight w:val="none"/>
          <w:u w:val="single"/>
        </w:rPr>
        <w:t xml:space="preserve">                  </w:t>
      </w:r>
    </w:p>
    <w:p w14:paraId="276E24C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联系电话：</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手机：</w:t>
      </w:r>
      <w:r>
        <w:rPr>
          <w:rFonts w:hint="eastAsia"/>
          <w:szCs w:val="21"/>
          <w:highlight w:val="none"/>
          <w:u w:val="single"/>
        </w:rPr>
        <w:t xml:space="preserve">                  </w:t>
      </w:r>
    </w:p>
    <w:p w14:paraId="6E46187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身份证号码：</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职务：</w:t>
      </w:r>
      <w:r>
        <w:rPr>
          <w:rFonts w:hint="eastAsia"/>
          <w:szCs w:val="21"/>
          <w:highlight w:val="none"/>
          <w:u w:val="single"/>
        </w:rPr>
        <w:t xml:space="preserve">                  </w:t>
      </w:r>
    </w:p>
    <w:p w14:paraId="46EE291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39C446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kern w:val="0"/>
          <w:sz w:val="24"/>
          <w:lang w:eastAsia="zh-CN"/>
        </w:rPr>
      </w:pPr>
      <w:r>
        <w:rPr>
          <w:rFonts w:hint="eastAsia" w:asciiTheme="minorEastAsia" w:hAnsiTheme="minorEastAsia" w:eastAsiaTheme="minorEastAsia" w:cstheme="minorEastAsia"/>
          <w:color w:val="000000"/>
          <w:sz w:val="24"/>
        </w:rPr>
        <w:t>授权委托日期：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，有效期至</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w:t>
      </w:r>
    </w:p>
    <w:p w14:paraId="04825F8E">
      <w:pPr>
        <w:spacing w:line="360" w:lineRule="auto"/>
        <w:rPr>
          <w:rFonts w:ascii="仿宋" w:hAnsi="仿宋" w:eastAsia="仿宋" w:cs="仿宋"/>
          <w:bCs/>
          <w:color w:val="000000"/>
          <w:sz w:val="24"/>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20955</wp:posOffset>
                </wp:positionV>
                <wp:extent cx="2782570" cy="1920875"/>
                <wp:effectExtent l="5080" t="4445" r="12700" b="17780"/>
                <wp:wrapNone/>
                <wp:docPr id="12" name="文本框 1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B566D0">
                            <w:pPr>
                              <w:widowControl/>
                              <w:jc w:val="left"/>
                              <w:rPr>
                                <w:rFonts w:ascii="宋体" w:hAnsi="宋体" w:cs="宋体"/>
                                <w:kern w:val="0"/>
                                <w:sz w:val="24"/>
                              </w:rPr>
                            </w:pPr>
                          </w:p>
                          <w:p w14:paraId="7B882441">
                            <w:pPr>
                              <w:widowControl/>
                              <w:jc w:val="left"/>
                            </w:pPr>
                          </w:p>
                          <w:p w14:paraId="4AB456E9">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65pt;height:151.25pt;width:219.1pt;z-index:251662336;mso-width-relative:page;mso-height-relative:page;" fillcolor="#FFFFFF" filled="t" stroked="t" coordsize="21600,21600" o:gfxdata="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Z41nYAAAACQEAAA8AAAAAAAAAAQAgAAAAIgAAAGRycy9kb3ducmV2LnhtbFBL&#10;AQIUABQAAAAIAIdO4kBZsc1XLwIAAHoEAAAOAAAAAAAAAAEAIAAAACcBAABkcnMvZTJvRG9jLnht&#10;bFBLBQYAAAAABgAGAFkBAADIBQAAAAA=&#10;">
                <v:fill on="t" focussize="0,0"/>
                <v:stroke color="#000000" joinstyle="miter"/>
                <v:imagedata o:title=""/>
                <o:lock v:ext="edit" aspectratio="f"/>
                <v:textbox>
                  <w:txbxContent>
                    <w:p w14:paraId="27B566D0">
                      <w:pPr>
                        <w:widowControl/>
                        <w:jc w:val="left"/>
                        <w:rPr>
                          <w:rFonts w:ascii="宋体" w:hAnsi="宋体" w:cs="宋体"/>
                          <w:kern w:val="0"/>
                          <w:sz w:val="24"/>
                        </w:rPr>
                      </w:pPr>
                    </w:p>
                    <w:p w14:paraId="7B882441">
                      <w:pPr>
                        <w:widowControl/>
                        <w:jc w:val="left"/>
                      </w:pPr>
                    </w:p>
                    <w:p w14:paraId="4AB456E9">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20955</wp:posOffset>
                </wp:positionV>
                <wp:extent cx="2830830" cy="1920875"/>
                <wp:effectExtent l="5080" t="4445" r="21590" b="17780"/>
                <wp:wrapNone/>
                <wp:docPr id="11" name="文本框 11"/>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C8549A">
                            <w:pPr>
                              <w:widowControl/>
                              <w:jc w:val="left"/>
                              <w:rPr>
                                <w:rFonts w:ascii="宋体" w:hAnsi="宋体" w:cs="宋体"/>
                                <w:kern w:val="0"/>
                                <w:sz w:val="24"/>
                              </w:rPr>
                            </w:pPr>
                          </w:p>
                          <w:p w14:paraId="216FF4DC">
                            <w:pPr>
                              <w:widowControl/>
                              <w:jc w:val="left"/>
                            </w:pPr>
                          </w:p>
                          <w:p w14:paraId="1235CC70">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1.65pt;height:151.25pt;width:222.9pt;z-index:251661312;mso-width-relative:page;mso-height-relative:page;" fillcolor="#FFFFFF" filled="t" stroked="t" coordsize="21600,21600" o:gfxdata="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dNwDVAAAABgEAAA8AAAAAAAAAAQAgAAAAIgAAAGRycy9kb3ducmV2LnhtbFBLAQIU&#10;ABQAAAAIAIdO4kDplZsDLwIAAHoEAAAOAAAAAAAAAAEAIAAAACQBAABkcnMvZTJvRG9jLnhtbFBL&#10;BQYAAAAABgAGAFkBAADFBQAAAAA=&#10;">
                <v:fill on="t" focussize="0,0"/>
                <v:stroke color="#000000" joinstyle="miter"/>
                <v:imagedata o:title=""/>
                <o:lock v:ext="edit" aspectratio="f"/>
                <v:textbox>
                  <w:txbxContent>
                    <w:p w14:paraId="21C8549A">
                      <w:pPr>
                        <w:widowControl/>
                        <w:jc w:val="left"/>
                        <w:rPr>
                          <w:rFonts w:ascii="宋体" w:hAnsi="宋体" w:cs="宋体"/>
                          <w:kern w:val="0"/>
                          <w:sz w:val="24"/>
                        </w:rPr>
                      </w:pPr>
                    </w:p>
                    <w:p w14:paraId="216FF4DC">
                      <w:pPr>
                        <w:widowControl/>
                        <w:jc w:val="left"/>
                      </w:pPr>
                    </w:p>
                    <w:p w14:paraId="1235CC70">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v:textbox>
              </v:shape>
            </w:pict>
          </mc:Fallback>
        </mc:AlternateContent>
      </w:r>
    </w:p>
    <w:p w14:paraId="391A1774">
      <w:pPr>
        <w:spacing w:line="360" w:lineRule="auto"/>
        <w:rPr>
          <w:rFonts w:ascii="仿宋" w:hAnsi="仿宋" w:eastAsia="仿宋" w:cs="仿宋"/>
          <w:bCs/>
          <w:color w:val="000000"/>
          <w:sz w:val="24"/>
        </w:rPr>
      </w:pPr>
    </w:p>
    <w:p w14:paraId="1F1C7261">
      <w:pPr>
        <w:spacing w:line="360" w:lineRule="auto"/>
        <w:rPr>
          <w:rFonts w:ascii="仿宋" w:hAnsi="仿宋" w:eastAsia="仿宋" w:cs="仿宋"/>
          <w:bCs/>
          <w:color w:val="000000"/>
          <w:sz w:val="24"/>
        </w:rPr>
      </w:pPr>
    </w:p>
    <w:p w14:paraId="2E66EED7">
      <w:pPr>
        <w:spacing w:line="360" w:lineRule="auto"/>
        <w:rPr>
          <w:rFonts w:ascii="仿宋" w:hAnsi="仿宋" w:eastAsia="仿宋" w:cs="仿宋"/>
          <w:bCs/>
          <w:color w:val="000000"/>
          <w:sz w:val="24"/>
        </w:rPr>
      </w:pPr>
    </w:p>
    <w:p w14:paraId="4A9182FB">
      <w:pPr>
        <w:rPr>
          <w:rFonts w:ascii="仿宋" w:hAnsi="仿宋" w:eastAsia="仿宋" w:cs="仿宋"/>
          <w:color w:val="000000"/>
          <w:sz w:val="24"/>
        </w:rPr>
      </w:pPr>
    </w:p>
    <w:p w14:paraId="7CEFB9E5">
      <w:pPr>
        <w:rPr>
          <w:rFonts w:ascii="仿宋" w:hAnsi="仿宋" w:eastAsia="仿宋" w:cs="仿宋"/>
          <w:color w:val="000000"/>
          <w:sz w:val="24"/>
        </w:rPr>
      </w:pPr>
    </w:p>
    <w:p w14:paraId="09B669F3">
      <w:pPr>
        <w:spacing w:after="60"/>
        <w:rPr>
          <w:rFonts w:ascii="仿宋" w:hAnsi="仿宋" w:eastAsia="仿宋" w:cs="仿宋"/>
          <w:color w:val="000000"/>
          <w:sz w:val="24"/>
        </w:rPr>
      </w:pPr>
    </w:p>
    <w:p w14:paraId="1D6FB4E2">
      <w:pPr>
        <w:rPr>
          <w:rFonts w:ascii="仿宋" w:hAnsi="仿宋" w:eastAsia="仿宋" w:cs="仿宋"/>
          <w:color w:val="000000"/>
          <w:sz w:val="24"/>
        </w:rPr>
      </w:pPr>
    </w:p>
    <w:p w14:paraId="2D063606">
      <w:pPr>
        <w:spacing w:line="360" w:lineRule="auto"/>
        <w:jc w:val="both"/>
        <w:rPr>
          <w:rFonts w:hint="eastAsia"/>
          <w:szCs w:val="21"/>
          <w:highlight w:val="none"/>
          <w:lang w:val="en-US" w:eastAsia="zh-CN"/>
        </w:rPr>
      </w:pPr>
      <w:r>
        <w:rPr>
          <w:rFonts w:hint="eastAsia"/>
          <w:szCs w:val="21"/>
          <w:highlight w:val="none"/>
          <w:lang w:val="en-US" w:eastAsia="zh-CN"/>
        </w:rPr>
        <w:t>说明：</w:t>
      </w:r>
    </w:p>
    <w:p w14:paraId="32E55652">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default"/>
          <w:szCs w:val="21"/>
          <w:highlight w:val="none"/>
          <w:lang w:val="en-US" w:eastAsia="zh-CN" w:bidi="ar-SA"/>
        </w:rPr>
      </w:pPr>
      <w:r>
        <w:rPr>
          <w:rFonts w:hint="eastAsia"/>
          <w:szCs w:val="21"/>
          <w:highlight w:val="none"/>
          <w:lang w:val="en-US" w:eastAsia="zh-CN" w:bidi="ar-SA"/>
        </w:rPr>
        <w:t>1.如是代理人（受托人）参与投标，则必须提供《法定代表人（负责人或执行事务合伙人）证明书》和《投标文件签署授权委托书》，且《投标函》的委托代理人与《投标文件签署授权委托书》的代理人（受托人）必须一致。</w:t>
      </w:r>
    </w:p>
    <w:p w14:paraId="0E1BAB99">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szCs w:val="21"/>
          <w:highlight w:val="none"/>
          <w:lang w:val="en-US" w:eastAsia="zh-CN" w:bidi="ar-SA"/>
        </w:rPr>
      </w:pPr>
      <w:r>
        <w:rPr>
          <w:rFonts w:hint="eastAsia"/>
          <w:szCs w:val="21"/>
          <w:highlight w:val="none"/>
          <w:lang w:val="en-US" w:eastAsia="zh-CN" w:bidi="ar-SA"/>
        </w:rPr>
        <w:t>2.请提供代理人身份证扫描件（正反两面）；港澳台居民可提供来往通行证扫描件；非中国国籍管辖范围人员，可提供公安部门认可的身份证明材料扫描件。</w:t>
      </w:r>
    </w:p>
    <w:p w14:paraId="09A1A75B">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color w:val="FF0000"/>
          <w:szCs w:val="21"/>
          <w:highlight w:val="none"/>
          <w:lang w:val="en-US" w:eastAsia="zh-CN"/>
        </w:rPr>
      </w:pPr>
      <w:r>
        <w:rPr>
          <w:rFonts w:hint="eastAsia"/>
          <w:b/>
          <w:bCs/>
          <w:color w:val="FF0000"/>
          <w:szCs w:val="21"/>
          <w:highlight w:val="none"/>
          <w:lang w:val="en-US" w:eastAsia="zh-CN"/>
        </w:rPr>
        <w:t>温馨提示:</w:t>
      </w:r>
      <w:r>
        <w:rPr>
          <w:rFonts w:hint="eastAsia"/>
          <w:color w:val="FF0000"/>
          <w:szCs w:val="21"/>
          <w:highlight w:val="none"/>
          <w:lang w:val="en-US" w:eastAsia="zh-CN"/>
        </w:rPr>
        <w:t>为避免出现《深圳经济特区政府采购条例实施细则》第七十五条第二项所列情形，请投标供应商核实你单位法定代表人、本项目投标授权代表人、项目负责人、主要技术人员等是否在你公司缴纳社会保险。”</w:t>
      </w:r>
    </w:p>
    <w:p w14:paraId="2622607C">
      <w:pPr>
        <w:pStyle w:val="7"/>
      </w:pPr>
    </w:p>
    <w:p w14:paraId="4A0B4845">
      <w:pPr>
        <w:rPr>
          <w:rFonts w:ascii="黑体" w:hAnsi="宋体" w:eastAsia="黑体"/>
          <w:color w:val="000000" w:themeColor="text1"/>
          <w:szCs w:val="20"/>
          <w14:textFill>
            <w14:solidFill>
              <w14:schemeClr w14:val="tx1"/>
            </w14:solidFill>
          </w14:textFill>
        </w:rPr>
      </w:pPr>
    </w:p>
    <w:p w14:paraId="37676B75">
      <w:pPr>
        <w:rPr>
          <w:rFonts w:ascii="黑体" w:hAnsi="宋体" w:eastAsia="黑体"/>
          <w:color w:val="000000" w:themeColor="text1"/>
          <w:szCs w:val="20"/>
          <w14:textFill>
            <w14:solidFill>
              <w14:schemeClr w14:val="tx1"/>
            </w14:solidFill>
          </w14:textFill>
        </w:rPr>
      </w:pPr>
    </w:p>
    <w:p w14:paraId="7646204C">
      <w:pPr>
        <w:rPr>
          <w:rFonts w:ascii="黑体" w:hAnsi="宋体" w:eastAsia="黑体"/>
          <w:color w:val="000000" w:themeColor="text1"/>
          <w:szCs w:val="20"/>
          <w14:textFill>
            <w14:solidFill>
              <w14:schemeClr w14:val="tx1"/>
            </w14:solidFill>
          </w14:textFill>
        </w:rPr>
      </w:pPr>
    </w:p>
    <w:p w14:paraId="703C53DB">
      <w:pPr>
        <w:rPr>
          <w:rFonts w:ascii="黑体" w:hAnsi="宋体" w:eastAsia="黑体"/>
          <w:color w:val="000000" w:themeColor="text1"/>
          <w:szCs w:val="20"/>
          <w14:textFill>
            <w14:solidFill>
              <w14:schemeClr w14:val="tx1"/>
            </w14:solidFill>
          </w14:textFill>
        </w:rPr>
      </w:pPr>
    </w:p>
    <w:p w14:paraId="5DF4340E">
      <w:pPr>
        <w:rPr>
          <w:rFonts w:ascii="黑体" w:hAnsi="宋体" w:eastAsia="黑体"/>
          <w:color w:val="000000" w:themeColor="text1"/>
          <w:szCs w:val="20"/>
          <w14:textFill>
            <w14:solidFill>
              <w14:schemeClr w14:val="tx1"/>
            </w14:solidFill>
          </w14:textFill>
        </w:rPr>
      </w:pPr>
    </w:p>
    <w:p w14:paraId="61279C0A">
      <w:pPr>
        <w:pStyle w:val="4"/>
        <w:numPr>
          <w:ilvl w:val="0"/>
          <w:numId w:val="2"/>
        </w:numPr>
        <w:spacing w:before="120" w:after="120"/>
        <w:jc w:val="center"/>
        <w:rPr>
          <w:rFonts w:hint="eastAsia" w:ascii="黑体" w:hAnsi="宋体" w:eastAsia="黑体" w:cs="Times New Roman"/>
          <w:b w:val="0"/>
          <w:sz w:val="24"/>
          <w:highlight w:val="none"/>
          <w:lang w:eastAsia="zh-CN"/>
        </w:rPr>
      </w:pPr>
      <w:r>
        <w:rPr>
          <w:rFonts w:hint="eastAsia" w:ascii="黑体" w:hAnsi="宋体" w:eastAsia="黑体" w:cs="Times New Roman"/>
          <w:b w:val="0"/>
          <w:sz w:val="24"/>
          <w:highlight w:val="none"/>
          <w:lang w:eastAsia="zh-CN"/>
        </w:rPr>
        <w:t>供应商</w:t>
      </w:r>
      <w:r>
        <w:rPr>
          <w:rFonts w:hint="eastAsia" w:ascii="黑体" w:eastAsia="黑体" w:cs="Times New Roman"/>
          <w:b w:val="0"/>
          <w:sz w:val="24"/>
          <w:highlight w:val="none"/>
          <w:lang w:val="en-US" w:eastAsia="zh-CN"/>
        </w:rPr>
        <w:t>基本</w:t>
      </w:r>
      <w:r>
        <w:rPr>
          <w:rFonts w:hint="eastAsia" w:ascii="黑体" w:hAnsi="宋体" w:eastAsia="黑体" w:cs="Times New Roman"/>
          <w:b w:val="0"/>
          <w:sz w:val="24"/>
          <w:highlight w:val="none"/>
          <w:lang w:eastAsia="zh-CN"/>
        </w:rPr>
        <w:t>情况表</w:t>
      </w:r>
    </w:p>
    <w:p w14:paraId="621DE2A0">
      <w:pPr>
        <w:numPr>
          <w:ilvl w:val="0"/>
          <w:numId w:val="0"/>
        </w:numPr>
        <w:jc w:val="center"/>
        <w:rPr>
          <w:rFonts w:hint="default"/>
          <w:lang w:val="en-US" w:eastAsia="zh-CN"/>
        </w:rPr>
      </w:pPr>
      <w:r>
        <w:rPr>
          <w:rFonts w:hint="eastAsia" w:ascii="黑体" w:hAnsi="宋体" w:eastAsia="黑体"/>
          <w:color w:val="0000FF"/>
          <w:szCs w:val="20"/>
          <w:highlight w:val="none"/>
          <w:lang w:eastAsia="zh-CN"/>
        </w:rPr>
        <w:t>（</w:t>
      </w:r>
      <w:r>
        <w:rPr>
          <w:rFonts w:hint="eastAsia" w:ascii="黑体" w:hAnsi="宋体" w:eastAsia="黑体"/>
          <w:color w:val="0000FF"/>
          <w:szCs w:val="20"/>
          <w:highlight w:val="none"/>
          <w:lang w:val="en-US" w:eastAsia="zh-CN"/>
        </w:rPr>
        <w:t>此为系统节点，请在系统填报</w:t>
      </w:r>
      <w:r>
        <w:rPr>
          <w:rFonts w:hint="eastAsia" w:ascii="黑体" w:hAnsi="宋体" w:eastAsia="黑体"/>
          <w:color w:val="0000FF"/>
          <w:szCs w:val="20"/>
          <w:highlight w:val="none"/>
          <w:lang w:eastAsia="zh-CN"/>
        </w:rPr>
        <w:t>）</w:t>
      </w:r>
    </w:p>
    <w:p w14:paraId="1803F7AF">
      <w:pPr>
        <w:rPr>
          <w:rFonts w:hint="eastAsia" w:ascii="黑体" w:eastAsia="黑体" w:cs="Times New Roman"/>
          <w:b w:val="0"/>
          <w:sz w:val="24"/>
          <w:highlight w:val="none"/>
          <w:lang w:val="en-US" w:eastAsia="zh-CN"/>
        </w:rPr>
      </w:pPr>
      <w:r>
        <w:rPr>
          <w:rFonts w:hint="eastAsia" w:ascii="黑体" w:eastAsia="黑体" w:cs="Times New Roman"/>
          <w:b w:val="0"/>
          <w:sz w:val="24"/>
          <w:highlight w:val="none"/>
          <w:lang w:val="en-US" w:eastAsia="zh-CN"/>
        </w:rPr>
        <w:br w:type="page"/>
      </w:r>
    </w:p>
    <w:p w14:paraId="2BC66CF5">
      <w:pPr>
        <w:pStyle w:val="4"/>
        <w:spacing w:before="120" w:after="120"/>
        <w:jc w:val="center"/>
        <w:rPr>
          <w:rFonts w:hint="default" w:ascii="黑体" w:hAnsi="宋体" w:eastAsia="黑体" w:cs="Times New Roman"/>
          <w:b w:val="0"/>
          <w:sz w:val="24"/>
          <w:highlight w:val="none"/>
          <w:lang w:val="en-US" w:eastAsia="zh-CN"/>
        </w:rPr>
      </w:pPr>
      <w:r>
        <w:rPr>
          <w:rFonts w:hint="eastAsia" w:ascii="黑体" w:eastAsia="黑体" w:cs="Times New Roman"/>
          <w:b w:val="0"/>
          <w:sz w:val="24"/>
          <w:highlight w:val="none"/>
          <w:lang w:val="en-US" w:eastAsia="zh-CN"/>
        </w:rPr>
        <w:t>四</w:t>
      </w:r>
      <w:r>
        <w:rPr>
          <w:rFonts w:hint="eastAsia" w:ascii="黑体" w:hAnsi="宋体" w:eastAsia="黑体" w:cs="Times New Roman"/>
          <w:b w:val="0"/>
          <w:sz w:val="24"/>
          <w:highlight w:val="none"/>
          <w:lang w:eastAsia="zh-CN"/>
        </w:rPr>
        <w:t>、供应商</w:t>
      </w:r>
      <w:r>
        <w:rPr>
          <w:rFonts w:hint="eastAsia" w:ascii="黑体" w:eastAsia="黑体" w:cs="Times New Roman"/>
          <w:b w:val="0"/>
          <w:sz w:val="24"/>
          <w:highlight w:val="none"/>
          <w:lang w:val="en-US" w:eastAsia="zh-CN"/>
        </w:rPr>
        <w:t>基本</w:t>
      </w:r>
      <w:r>
        <w:rPr>
          <w:rFonts w:hint="eastAsia" w:ascii="黑体" w:hAnsi="宋体" w:eastAsia="黑体" w:cs="Times New Roman"/>
          <w:b w:val="0"/>
          <w:sz w:val="24"/>
          <w:highlight w:val="none"/>
          <w:lang w:eastAsia="zh-CN"/>
        </w:rPr>
        <w:t>情况表</w:t>
      </w:r>
      <w:r>
        <w:rPr>
          <w:rFonts w:hint="eastAsia" w:ascii="黑体" w:eastAsia="黑体" w:cs="Times New Roman"/>
          <w:b w:val="0"/>
          <w:sz w:val="24"/>
          <w:highlight w:val="none"/>
          <w:lang w:val="en-US" w:eastAsia="zh-CN"/>
        </w:rPr>
        <w:t>及附件</w:t>
      </w:r>
    </w:p>
    <w:p w14:paraId="79409D7E">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根据《深圳经济特区政府采购条例实施细则》第七十五条第一款（二）规定，存在“不同投标供应商的法定代表人、主要经营负责人、项目投标授权代表人、项目负责人、主要技术人员为同一人、属同一单位或者在同一单位缴纳社会保险”情形的，属于串通投标行为。</w:t>
      </w:r>
    </w:p>
    <w:p w14:paraId="3EF298B1">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highlight w:val="yellow"/>
          <w:lang w:eastAsia="zh-CN"/>
        </w:rPr>
      </w:pPr>
      <w:r>
        <w:rPr>
          <w:rFonts w:hint="eastAsia" w:ascii="宋体" w:hAnsi="宋体" w:eastAsia="宋体" w:cs="宋体"/>
          <w:b/>
          <w:bCs w:val="0"/>
          <w:color w:val="auto"/>
          <w:sz w:val="24"/>
          <w:szCs w:val="24"/>
          <w:lang w:eastAsia="zh-CN"/>
        </w:rPr>
        <w:t>请供应商按以下格式提供上述法规涉及人员情况。（注：以下内容将作为评审委员会和主管部门判定本项目不同投标供应商是否涉嫌、属于串通投标的重要依据，请供应商认真填报，并保证所填信息的真实、准确和完整。）</w:t>
      </w:r>
    </w:p>
    <w:p w14:paraId="3B2BC42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53B0E3C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1.情况一览表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644"/>
        <w:gridCol w:w="1728"/>
        <w:gridCol w:w="1005"/>
        <w:gridCol w:w="693"/>
        <w:gridCol w:w="1165"/>
        <w:gridCol w:w="1263"/>
        <w:gridCol w:w="1328"/>
      </w:tblGrid>
      <w:tr w14:paraId="34AC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gridSpan w:val="2"/>
            <w:noWrap w:val="0"/>
            <w:vAlign w:val="center"/>
          </w:tcPr>
          <w:p w14:paraId="78157F72">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投标（响应）供应商</w:t>
            </w:r>
          </w:p>
        </w:tc>
        <w:tc>
          <w:tcPr>
            <w:tcW w:w="1604" w:type="pct"/>
            <w:gridSpan w:val="2"/>
            <w:noWrap w:val="0"/>
            <w:vAlign w:val="center"/>
          </w:tcPr>
          <w:p w14:paraId="6110DD6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4F0FFFF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供应商统一社会信用代码</w:t>
            </w:r>
          </w:p>
        </w:tc>
        <w:tc>
          <w:tcPr>
            <w:tcW w:w="1519" w:type="pct"/>
            <w:gridSpan w:val="2"/>
            <w:noWrap w:val="0"/>
            <w:vAlign w:val="center"/>
          </w:tcPr>
          <w:p w14:paraId="6F3DE63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3882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5945FFCC">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投标（响应）供应商相关人员情况</w:t>
            </w:r>
          </w:p>
        </w:tc>
      </w:tr>
      <w:tr w14:paraId="54CA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bottom w:val="single" w:color="auto" w:sz="4" w:space="0"/>
            </w:tcBorders>
            <w:noWrap w:val="0"/>
            <w:vAlign w:val="center"/>
          </w:tcPr>
          <w:p w14:paraId="02A0632B">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392" w:type="pct"/>
            <w:gridSpan w:val="2"/>
            <w:tcBorders>
              <w:bottom w:val="single" w:color="auto" w:sz="4" w:space="0"/>
            </w:tcBorders>
            <w:noWrap w:val="0"/>
            <w:vAlign w:val="center"/>
          </w:tcPr>
          <w:p w14:paraId="7E2AE1E2">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职务</w:t>
            </w:r>
          </w:p>
        </w:tc>
        <w:tc>
          <w:tcPr>
            <w:tcW w:w="589" w:type="pct"/>
            <w:tcBorders>
              <w:bottom w:val="single" w:color="auto" w:sz="4" w:space="0"/>
            </w:tcBorders>
            <w:noWrap w:val="0"/>
            <w:vAlign w:val="center"/>
          </w:tcPr>
          <w:p w14:paraId="5D5966B4">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姓名</w:t>
            </w:r>
          </w:p>
        </w:tc>
        <w:tc>
          <w:tcPr>
            <w:tcW w:w="1091" w:type="pct"/>
            <w:gridSpan w:val="2"/>
            <w:tcBorders>
              <w:bottom w:val="single" w:color="auto" w:sz="4" w:space="0"/>
            </w:tcBorders>
            <w:noWrap w:val="0"/>
            <w:vAlign w:val="center"/>
          </w:tcPr>
          <w:p w14:paraId="3414B32B">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身份证号码</w:t>
            </w:r>
          </w:p>
        </w:tc>
        <w:tc>
          <w:tcPr>
            <w:tcW w:w="741" w:type="pct"/>
            <w:tcBorders>
              <w:bottom w:val="single" w:color="auto" w:sz="4" w:space="0"/>
            </w:tcBorders>
            <w:noWrap w:val="0"/>
            <w:vAlign w:val="center"/>
          </w:tcPr>
          <w:p w14:paraId="74B6B180">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劳动合同</w:t>
            </w:r>
          </w:p>
          <w:p w14:paraId="5D03D185">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关系单位</w:t>
            </w:r>
          </w:p>
        </w:tc>
        <w:tc>
          <w:tcPr>
            <w:tcW w:w="778" w:type="pct"/>
            <w:tcBorders>
              <w:bottom w:val="single" w:color="auto" w:sz="4" w:space="0"/>
            </w:tcBorders>
            <w:noWrap w:val="0"/>
            <w:vAlign w:val="center"/>
          </w:tcPr>
          <w:p w14:paraId="18A7F20A">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缴纳社会</w:t>
            </w:r>
          </w:p>
          <w:p w14:paraId="66D558FE">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保险单位</w:t>
            </w:r>
          </w:p>
        </w:tc>
      </w:tr>
      <w:tr w14:paraId="5573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243CE392">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34D09BB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法定代表人（或单位负责人或执行事务合伙人）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5D580775">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5364AB9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3FF94DD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3F58B65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7B8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21467469">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15A88E5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bCs/>
                <w:color w:val="FF0000"/>
                <w:spacing w:val="-4"/>
                <w:sz w:val="24"/>
                <w:szCs w:val="24"/>
                <w:lang w:val="en-US" w:eastAsia="zh-CN"/>
              </w:rPr>
            </w:pPr>
            <w:r>
              <w:rPr>
                <w:rFonts w:hint="eastAsia" w:ascii="宋体" w:hAnsi="宋体" w:eastAsia="宋体" w:cs="宋体"/>
                <w:b w:val="0"/>
                <w:bCs w:val="0"/>
                <w:color w:val="auto"/>
                <w:spacing w:val="-4"/>
                <w:sz w:val="24"/>
                <w:szCs w:val="24"/>
                <w:lang w:val="en-US" w:eastAsia="zh-CN"/>
              </w:rPr>
              <w:t>主要经营负责人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7D6F494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1F2BAE1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084D20B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508E283D">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24C1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66AD10B1">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7D44BCB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项目投标授权代表人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1096D744">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4A6D480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20B886FA">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2DC0876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59C6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tcBorders>
            <w:noWrap w:val="0"/>
            <w:vAlign w:val="center"/>
          </w:tcPr>
          <w:p w14:paraId="49476EA8">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w:t>
            </w:r>
          </w:p>
        </w:tc>
        <w:tc>
          <w:tcPr>
            <w:tcW w:w="1392" w:type="pct"/>
            <w:gridSpan w:val="2"/>
            <w:tcBorders>
              <w:top w:val="single" w:color="auto" w:sz="4" w:space="0"/>
            </w:tcBorders>
            <w:noWrap w:val="0"/>
            <w:vAlign w:val="center"/>
          </w:tcPr>
          <w:p w14:paraId="176B254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项目负责人</w:t>
            </w:r>
          </w:p>
        </w:tc>
        <w:tc>
          <w:tcPr>
            <w:tcW w:w="589" w:type="pct"/>
            <w:tcBorders>
              <w:top w:val="single" w:color="auto" w:sz="4" w:space="0"/>
            </w:tcBorders>
            <w:noWrap w:val="0"/>
            <w:vAlign w:val="center"/>
          </w:tcPr>
          <w:p w14:paraId="3C60A02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tcBorders>
            <w:noWrap w:val="0"/>
            <w:vAlign w:val="center"/>
          </w:tcPr>
          <w:p w14:paraId="34FD858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tcBorders>
            <w:noWrap w:val="0"/>
            <w:vAlign w:val="center"/>
          </w:tcPr>
          <w:p w14:paraId="028A84F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tcBorders>
            <w:noWrap w:val="0"/>
            <w:vAlign w:val="center"/>
          </w:tcPr>
          <w:p w14:paraId="51F6DBD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2B76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294C693B">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w:t>
            </w:r>
          </w:p>
        </w:tc>
        <w:tc>
          <w:tcPr>
            <w:tcW w:w="1392" w:type="pct"/>
            <w:gridSpan w:val="2"/>
            <w:noWrap w:val="0"/>
            <w:vAlign w:val="center"/>
          </w:tcPr>
          <w:p w14:paraId="4DBADFB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主要技术人员</w:t>
            </w:r>
          </w:p>
        </w:tc>
        <w:tc>
          <w:tcPr>
            <w:tcW w:w="589" w:type="pct"/>
            <w:noWrap w:val="0"/>
            <w:vAlign w:val="center"/>
          </w:tcPr>
          <w:p w14:paraId="1B2C4094">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26C160D3">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noWrap w:val="0"/>
            <w:vAlign w:val="center"/>
          </w:tcPr>
          <w:p w14:paraId="2C4A23CC">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noWrap w:val="0"/>
            <w:vAlign w:val="center"/>
          </w:tcPr>
          <w:p w14:paraId="3AD3AF6A">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0657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1FADDD3C">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p>
        </w:tc>
        <w:tc>
          <w:tcPr>
            <w:tcW w:w="1392" w:type="pct"/>
            <w:gridSpan w:val="2"/>
            <w:noWrap w:val="0"/>
            <w:vAlign w:val="center"/>
          </w:tcPr>
          <w:p w14:paraId="5BFE3FF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投标文件编制人员</w:t>
            </w:r>
          </w:p>
        </w:tc>
        <w:tc>
          <w:tcPr>
            <w:tcW w:w="589" w:type="pct"/>
            <w:noWrap w:val="0"/>
            <w:vAlign w:val="center"/>
          </w:tcPr>
          <w:p w14:paraId="1506DF8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70CA213A">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noWrap w:val="0"/>
            <w:vAlign w:val="center"/>
          </w:tcPr>
          <w:p w14:paraId="24711A54">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noWrap w:val="0"/>
            <w:vAlign w:val="center"/>
          </w:tcPr>
          <w:p w14:paraId="5C37258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4606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3BF8F05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说明：</w:t>
            </w:r>
          </w:p>
          <w:p w14:paraId="2B428EF9">
            <w:pPr>
              <w:pStyle w:val="2"/>
              <w:widowControl w:val="0"/>
              <w:numPr>
                <w:ilvl w:val="0"/>
                <w:numId w:val="0"/>
              </w:numPr>
              <w:jc w:val="both"/>
              <w:rPr>
                <w:rFonts w:hint="eastAsia" w:eastAsia="宋体"/>
                <w:lang w:val="en-US" w:eastAsia="zh-CN"/>
              </w:rPr>
            </w:pPr>
            <w:r>
              <w:rPr>
                <w:rFonts w:hint="eastAsia" w:eastAsia="宋体"/>
                <w:lang w:val="en-US" w:eastAsia="zh-CN"/>
              </w:rPr>
              <w:t>1.同一职务有多人担任（如</w:t>
            </w:r>
            <w:r>
              <w:rPr>
                <w:rFonts w:hint="eastAsia" w:ascii="宋体" w:hAnsi="宋体" w:eastAsia="宋体" w:cs="宋体"/>
                <w:b w:val="0"/>
                <w:bCs w:val="0"/>
                <w:color w:val="auto"/>
                <w:spacing w:val="-4"/>
                <w:sz w:val="24"/>
                <w:szCs w:val="24"/>
                <w:lang w:val="en-US" w:eastAsia="zh-CN"/>
              </w:rPr>
              <w:t>主要经营负责人、</w:t>
            </w:r>
            <w:r>
              <w:rPr>
                <w:rFonts w:hint="eastAsia" w:eastAsia="宋体"/>
                <w:lang w:val="en-US" w:eastAsia="zh-CN"/>
              </w:rPr>
              <w:t>主要技术人员）或</w:t>
            </w:r>
            <w:r>
              <w:rPr>
                <w:rFonts w:hint="eastAsia" w:ascii="宋体" w:hAnsi="宋体" w:eastAsia="宋体" w:cs="宋体"/>
                <w:b w:val="0"/>
                <w:bCs w:val="0"/>
                <w:color w:val="FF0000"/>
                <w:spacing w:val="-4"/>
                <w:sz w:val="24"/>
                <w:szCs w:val="24"/>
                <w:lang w:val="en-US" w:eastAsia="zh-CN" w:bidi="ar-SA"/>
              </w:rPr>
              <w:t>同一人担任多个职务的</w:t>
            </w:r>
            <w:r>
              <w:rPr>
                <w:rFonts w:hint="eastAsia" w:eastAsia="宋体"/>
                <w:lang w:val="en-US" w:eastAsia="zh-CN"/>
              </w:rPr>
              <w:t>，应分行填写</w:t>
            </w:r>
            <w:r>
              <w:rPr>
                <w:rFonts w:hint="eastAsia" w:ascii="宋体" w:hAnsi="宋体" w:eastAsia="宋体" w:cs="宋体"/>
                <w:b w:val="0"/>
                <w:bCs w:val="0"/>
                <w:color w:val="FF0000"/>
                <w:spacing w:val="-4"/>
                <w:sz w:val="24"/>
                <w:szCs w:val="24"/>
                <w:lang w:val="en-US" w:eastAsia="zh-CN" w:bidi="ar-SA"/>
              </w:rPr>
              <w:t>。</w:t>
            </w:r>
          </w:p>
          <w:p w14:paraId="244E7A9C">
            <w:pPr>
              <w:pStyle w:val="2"/>
              <w:widowControl w:val="0"/>
              <w:numPr>
                <w:ilvl w:val="0"/>
                <w:numId w:val="0"/>
              </w:numPr>
              <w:jc w:val="both"/>
              <w:rPr>
                <w:rFonts w:hint="eastAsia" w:eastAsia="宋体"/>
                <w:lang w:val="en-US" w:eastAsia="zh-CN"/>
              </w:rPr>
            </w:pPr>
            <w:r>
              <w:rPr>
                <w:rFonts w:hint="eastAsia" w:eastAsia="宋体"/>
                <w:lang w:val="en-US" w:eastAsia="zh-CN"/>
              </w:rPr>
              <w:t>2.上述项目负责人、主要技术人员必须为供应商本单位人员。</w:t>
            </w:r>
          </w:p>
          <w:p w14:paraId="4149D79F">
            <w:pPr>
              <w:pStyle w:val="2"/>
              <w:widowControl w:val="0"/>
              <w:numPr>
                <w:ilvl w:val="0"/>
                <w:numId w:val="0"/>
              </w:numPr>
              <w:jc w:val="both"/>
              <w:rPr>
                <w:rFonts w:hint="default" w:eastAsia="宋体"/>
                <w:lang w:val="en-US" w:eastAsia="zh-CN"/>
              </w:rPr>
            </w:pPr>
            <w:r>
              <w:rPr>
                <w:rFonts w:hint="eastAsia" w:eastAsia="宋体"/>
                <w:lang w:val="en-US" w:eastAsia="zh-CN"/>
              </w:rPr>
              <w:t>3.</w:t>
            </w:r>
            <w:r>
              <w:rPr>
                <w:rFonts w:hint="default" w:eastAsia="宋体"/>
                <w:lang w:val="en-US" w:eastAsia="zh-CN"/>
              </w:rPr>
              <w:t>依据《民法典》第504条规定，上述单位负责人，是指非法人组织（如个体工商户、分支机构）的负责人，即对外代表该组织的自然人。</w:t>
            </w:r>
          </w:p>
        </w:tc>
      </w:tr>
      <w:tr w14:paraId="1662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000" w:type="pct"/>
            <w:gridSpan w:val="8"/>
            <w:noWrap w:val="0"/>
            <w:vAlign w:val="center"/>
          </w:tcPr>
          <w:p w14:paraId="5C1C927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投标（响应）供应商关联关系情况</w:t>
            </w:r>
          </w:p>
        </w:tc>
      </w:tr>
      <w:tr w14:paraId="0FA5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bottom w:val="single" w:color="auto" w:sz="4" w:space="0"/>
            </w:tcBorders>
            <w:noWrap w:val="0"/>
            <w:vAlign w:val="center"/>
          </w:tcPr>
          <w:p w14:paraId="3F8A423A">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392" w:type="pct"/>
            <w:gridSpan w:val="2"/>
            <w:tcBorders>
              <w:bottom w:val="single" w:color="auto" w:sz="4" w:space="0"/>
            </w:tcBorders>
            <w:noWrap w:val="0"/>
            <w:vAlign w:val="center"/>
          </w:tcPr>
          <w:p w14:paraId="6EA5821B">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关联关系类型</w:t>
            </w:r>
          </w:p>
        </w:tc>
        <w:tc>
          <w:tcPr>
            <w:tcW w:w="997" w:type="pct"/>
            <w:gridSpan w:val="2"/>
            <w:tcBorders>
              <w:bottom w:val="single" w:color="auto" w:sz="4" w:space="0"/>
            </w:tcBorders>
            <w:noWrap w:val="0"/>
            <w:vAlign w:val="center"/>
          </w:tcPr>
          <w:p w14:paraId="75C59224">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关联主体名称</w:t>
            </w:r>
          </w:p>
        </w:tc>
        <w:tc>
          <w:tcPr>
            <w:tcW w:w="2203" w:type="pct"/>
            <w:gridSpan w:val="3"/>
            <w:tcBorders>
              <w:bottom w:val="single" w:color="auto" w:sz="4" w:space="0"/>
            </w:tcBorders>
            <w:noWrap w:val="0"/>
            <w:vAlign w:val="center"/>
          </w:tcPr>
          <w:p w14:paraId="225F9ABD">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备注</w:t>
            </w:r>
          </w:p>
        </w:tc>
      </w:tr>
      <w:tr w14:paraId="6C09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3305F6C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0ADFF68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控股股东</w:t>
            </w:r>
          </w:p>
        </w:tc>
        <w:tc>
          <w:tcPr>
            <w:tcW w:w="997" w:type="pct"/>
            <w:gridSpan w:val="2"/>
            <w:tcBorders>
              <w:top w:val="single" w:color="auto" w:sz="4" w:space="0"/>
              <w:left w:val="single" w:color="auto" w:sz="4" w:space="0"/>
              <w:bottom w:val="single" w:color="auto" w:sz="4" w:space="0"/>
              <w:right w:val="single" w:color="auto" w:sz="4" w:space="0"/>
            </w:tcBorders>
            <w:noWrap w:val="0"/>
            <w:vAlign w:val="center"/>
          </w:tcPr>
          <w:p w14:paraId="32CDFBE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2203" w:type="pct"/>
            <w:gridSpan w:val="3"/>
            <w:tcBorders>
              <w:top w:val="single" w:color="auto" w:sz="4" w:space="0"/>
              <w:left w:val="single" w:color="auto" w:sz="4" w:space="0"/>
              <w:bottom w:val="single" w:color="auto" w:sz="4" w:space="0"/>
              <w:right w:val="single" w:color="auto" w:sz="4" w:space="0"/>
            </w:tcBorders>
            <w:noWrap w:val="0"/>
            <w:vAlign w:val="center"/>
          </w:tcPr>
          <w:p w14:paraId="7E824E8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B41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360A5362">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5D49EFE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管理关系</w:t>
            </w:r>
          </w:p>
        </w:tc>
        <w:tc>
          <w:tcPr>
            <w:tcW w:w="997" w:type="pct"/>
            <w:gridSpan w:val="2"/>
            <w:tcBorders>
              <w:top w:val="single" w:color="auto" w:sz="4" w:space="0"/>
              <w:left w:val="single" w:color="auto" w:sz="4" w:space="0"/>
              <w:bottom w:val="single" w:color="auto" w:sz="4" w:space="0"/>
              <w:right w:val="single" w:color="auto" w:sz="4" w:space="0"/>
            </w:tcBorders>
            <w:noWrap w:val="0"/>
            <w:vAlign w:val="center"/>
          </w:tcPr>
          <w:p w14:paraId="37D644D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2203" w:type="pct"/>
            <w:gridSpan w:val="3"/>
            <w:tcBorders>
              <w:top w:val="single" w:color="auto" w:sz="4" w:space="0"/>
              <w:left w:val="single" w:color="auto" w:sz="4" w:space="0"/>
              <w:bottom w:val="single" w:color="auto" w:sz="4" w:space="0"/>
              <w:right w:val="single" w:color="auto" w:sz="4" w:space="0"/>
            </w:tcBorders>
            <w:noWrap w:val="0"/>
            <w:vAlign w:val="center"/>
          </w:tcPr>
          <w:p w14:paraId="78F2CCD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指对投标（响应）供应商不具有出资持股关系，但对其存在管理关系的主体。</w:t>
            </w:r>
          </w:p>
        </w:tc>
      </w:tr>
      <w:tr w14:paraId="7B22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4B18452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说明：</w:t>
            </w:r>
          </w:p>
          <w:p w14:paraId="0C290E0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1.同一关联关系类型有多个主体的，应分行填写。</w:t>
            </w:r>
          </w:p>
          <w:p w14:paraId="0F281AF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lang w:val="en-US" w:eastAsia="zh-CN"/>
              </w:rPr>
            </w:pPr>
            <w:r>
              <w:rPr>
                <w:rFonts w:hint="eastAsia" w:ascii="宋体" w:hAnsi="宋体" w:eastAsia="宋体" w:cs="宋体"/>
                <w:b/>
                <w:color w:val="auto"/>
                <w:sz w:val="24"/>
                <w:szCs w:val="24"/>
                <w:lang w:val="en-US" w:eastAsia="zh-CN"/>
              </w:rPr>
              <w:t>2.上述规定的控股、管理关系仅限于直接控股、直接管理关系，不包括间接的控股或管理关系。</w:t>
            </w:r>
          </w:p>
        </w:tc>
      </w:tr>
    </w:tbl>
    <w:p w14:paraId="7C58941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104ED9D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2.社保证明材料：</w:t>
      </w:r>
    </w:p>
    <w:p w14:paraId="255399C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（1）法定代表人（单位负责人或执行事务合伙人）</w:t>
      </w:r>
    </w:p>
    <w:p w14:paraId="6CFC900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44E91CC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6F52DB7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52EEEFD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（2）主要经营负责人</w:t>
      </w:r>
    </w:p>
    <w:p w14:paraId="147009D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17CD013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0DDFD6D4">
      <w:pPr>
        <w:pStyle w:val="2"/>
        <w:rPr>
          <w:rFonts w:hint="eastAsia"/>
          <w:lang w:val="en-US" w:eastAsia="zh-CN"/>
        </w:rPr>
      </w:pPr>
    </w:p>
    <w:p w14:paraId="514E906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（3）投标授权代表人</w:t>
      </w:r>
    </w:p>
    <w:p w14:paraId="476D379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52112F0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1713EA71">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0146D7B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（4）项目负责人</w:t>
      </w:r>
    </w:p>
    <w:p w14:paraId="17E8AF0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3E47F4F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2BAB9EF2">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128FA0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（5）主要技术人员</w:t>
      </w:r>
    </w:p>
    <w:p w14:paraId="2C3BC41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7F1FEC5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79E30BD3">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4530C4C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（6）投标文件编制人员</w:t>
      </w:r>
    </w:p>
    <w:p w14:paraId="3631FBF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64FA303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0ED729D1">
      <w:pPr>
        <w:pStyle w:val="7"/>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lang w:val="en-US" w:eastAsia="zh-CN"/>
        </w:rPr>
      </w:pPr>
    </w:p>
    <w:p w14:paraId="7C902C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w:t>
      </w:r>
    </w:p>
    <w:p w14:paraId="19BFC62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1）如开标前近一个月的社保材料因社保部门原因暂时无法取得，则可以往前顺延一个月。其中项目负责人及主要技术人员社保证明须由供应商缴纳。</w:t>
      </w:r>
    </w:p>
    <w:p w14:paraId="39050FA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2）供应商的项目投标授权代表人与法定代表人为同一人的，则须提供法定代表人的社保证明；本项目未安排项目负责人的，则无须提供项目负责人的社保证明。</w:t>
      </w:r>
    </w:p>
    <w:p w14:paraId="5A523E9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3）如无法按上述要求提供人员社会保险证明材料的，提交以下材料亦视为符合：</w:t>
      </w:r>
    </w:p>
    <w:p w14:paraId="1BB68DA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若供应商为新成立企业且成立时间不足一个月，提供加盖投标人公章的情况说明或者证明材料。</w:t>
      </w:r>
      <w:r>
        <w:rPr>
          <w:rFonts w:hint="eastAsia" w:ascii="宋体" w:hAnsi="宋体" w:eastAsia="宋体" w:cs="宋体"/>
          <w:b w:val="0"/>
          <w:bCs/>
          <w:color w:val="FF0000"/>
          <w:sz w:val="24"/>
          <w:szCs w:val="24"/>
          <w:lang w:val="en-US" w:eastAsia="zh-CN"/>
        </w:rPr>
        <w:t>若为退休人员，需提供社保部门出具的退休证明。</w:t>
      </w:r>
      <w:r>
        <w:rPr>
          <w:rFonts w:hint="eastAsia" w:ascii="宋体" w:hAnsi="宋体" w:eastAsia="宋体" w:cs="宋体"/>
          <w:b w:val="0"/>
          <w:bCs/>
          <w:color w:val="auto"/>
          <w:sz w:val="24"/>
          <w:szCs w:val="24"/>
          <w:lang w:val="en-US" w:eastAsia="zh-CN"/>
        </w:rPr>
        <w:t>如依法不需要缴纳社会保险的，应提供相应文件证明并对其真实性负责。若因为社保部门原因无法提供的，需提供劳动合同及社保部门官方通知证明(或官网公告截图)。</w:t>
      </w:r>
    </w:p>
    <w:p w14:paraId="2391119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7909DB4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3.股权关系证明材料：</w:t>
      </w:r>
    </w:p>
    <w:p w14:paraId="54360C6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（1）股权（或管理）关系证明材料：</w:t>
      </w:r>
    </w:p>
    <w:p w14:paraId="27C485C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通过国家企业信用信息公示系统(https://www.gsxt.gov.cn/index.html）、或机关赋码和事业单位登记管理网（http://gjsy.gov.cn/sydwfrxxcx/)、或全国社会组织信用信息公示平台（https://xxgs.chinanpo.mca.gov.cn/gsxt/newList)等网站查询的最新股权（或管理）关系截图）</w:t>
      </w:r>
    </w:p>
    <w:p w14:paraId="4896CD44">
      <w:pPr>
        <w:jc w:val="left"/>
        <w:rPr>
          <w:rFonts w:hint="eastAsia" w:ascii="宋体" w:hAnsi="宋体" w:eastAsia="宋体" w:cs="宋体"/>
          <w:color w:val="auto"/>
          <w:sz w:val="24"/>
          <w:szCs w:val="24"/>
          <w:highlight w:val="none"/>
          <w:lang w:eastAsia="zh-CN"/>
        </w:rPr>
      </w:pPr>
    </w:p>
    <w:p w14:paraId="716EAEF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（2）《股权关系情况承诺函》</w:t>
      </w:r>
    </w:p>
    <w:p w14:paraId="17187CF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致：深圳市公安局福田分局、友和保险经纪有限公司</w:t>
      </w:r>
    </w:p>
    <w:p w14:paraId="5A0EDC42">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我公司申请参加福田区二类监控及视频联网系统维护项目，项目编号为FTDL2025000096的项目投标，并作出如下承诺：</w:t>
      </w:r>
    </w:p>
    <w:p w14:paraId="0AEC7CF5">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我公司承诺所填的股权关系情况真实、准确、完整。</w:t>
      </w:r>
    </w:p>
    <w:p w14:paraId="06D6097B">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158F97F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特此承诺！</w:t>
      </w:r>
    </w:p>
    <w:p w14:paraId="12A3BA8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54D8D9E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                                供应商名称： </w:t>
      </w:r>
    </w:p>
    <w:p w14:paraId="219D0304">
      <w:pPr>
        <w:keepNext w:val="0"/>
        <w:keepLines w:val="0"/>
        <w:pageBreakBefore w:val="0"/>
        <w:widowControl/>
        <w:numPr>
          <w:ilvl w:val="0"/>
          <w:numId w:val="0"/>
        </w:numPr>
        <w:kinsoku/>
        <w:wordWrap/>
        <w:overflowPunct/>
        <w:topLinePunct w:val="0"/>
        <w:autoSpaceDE/>
        <w:autoSpaceDN/>
        <w:bidi w:val="0"/>
        <w:adjustRightInd/>
        <w:snapToGrid w:val="0"/>
        <w:ind w:firstLine="3840" w:firstLineChars="16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日  期：       年    月   日</w:t>
      </w:r>
    </w:p>
    <w:p w14:paraId="1BF1F4C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29E9CF4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注：代理机构将于截标当日同步通过上述网站进行查询，查询结果与供应商填报信息不一致的，以代理机构于截标当日的查询结果为准。</w:t>
      </w:r>
    </w:p>
    <w:p w14:paraId="324BFA01">
      <w:pPr>
        <w:rPr>
          <w:rFonts w:hint="default"/>
          <w:lang w:val="en-US" w:eastAsia="zh-CN"/>
        </w:rPr>
      </w:pPr>
    </w:p>
    <w:p w14:paraId="3B94EB0F">
      <w:pPr>
        <w:rPr>
          <w:rFonts w:hint="eastAsia"/>
          <w:b w:val="0"/>
          <w:sz w:val="24"/>
          <w:szCs w:val="24"/>
          <w:lang w:eastAsia="zh-CN"/>
        </w:rPr>
      </w:pPr>
      <w:r>
        <w:rPr>
          <w:rFonts w:hint="eastAsia"/>
          <w:b w:val="0"/>
          <w:sz w:val="24"/>
          <w:szCs w:val="24"/>
          <w:lang w:eastAsia="zh-CN"/>
        </w:rPr>
        <w:br w:type="page"/>
      </w:r>
    </w:p>
    <w:p w14:paraId="0F08C4A1">
      <w:pPr>
        <w:pStyle w:val="4"/>
        <w:jc w:val="center"/>
        <w:rPr>
          <w:b w:val="0"/>
          <w:sz w:val="24"/>
          <w:szCs w:val="24"/>
        </w:rPr>
      </w:pPr>
      <w:r>
        <w:rPr>
          <w:rFonts w:hint="eastAsia"/>
          <w:b w:val="0"/>
          <w:sz w:val="24"/>
          <w:szCs w:val="24"/>
          <w:lang w:val="en-US" w:eastAsia="zh-CN"/>
        </w:rPr>
        <w:t>五</w:t>
      </w:r>
      <w:r>
        <w:rPr>
          <w:rFonts w:hint="eastAsia"/>
          <w:b w:val="0"/>
          <w:sz w:val="24"/>
          <w:szCs w:val="24"/>
        </w:rPr>
        <w:t>、</w:t>
      </w:r>
      <w:bookmarkStart w:id="43" w:name="_Hlk72092634"/>
      <w:r>
        <w:rPr>
          <w:rFonts w:hint="eastAsia"/>
          <w:b w:val="0"/>
          <w:sz w:val="24"/>
          <w:szCs w:val="24"/>
        </w:rPr>
        <w:t>实质性条款响应情况表</w:t>
      </w:r>
      <w:bookmarkEnd w:id="43"/>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401"/>
        <w:gridCol w:w="2084"/>
        <w:gridCol w:w="762"/>
        <w:gridCol w:w="580"/>
      </w:tblGrid>
      <w:tr w14:paraId="5061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trPr>
        <w:tc>
          <w:tcPr>
            <w:tcW w:w="408" w:type="pct"/>
            <w:vAlign w:val="center"/>
          </w:tcPr>
          <w:p w14:paraId="7FE5F50D">
            <w:pPr>
              <w:adjustRightInd w:val="0"/>
              <w:snapToGrid w:val="0"/>
              <w:spacing w:line="360" w:lineRule="auto"/>
              <w:jc w:val="center"/>
              <w:rPr>
                <w:rFonts w:ascii="宋体" w:hAnsi="宋体" w:eastAsia="宋体"/>
                <w:szCs w:val="21"/>
              </w:rPr>
            </w:pPr>
            <w:bookmarkStart w:id="44" w:name="_Hlk72092651"/>
            <w:r>
              <w:rPr>
                <w:rFonts w:hint="eastAsia" w:ascii="宋体" w:hAnsi="宋体" w:eastAsia="宋体"/>
                <w:szCs w:val="21"/>
              </w:rPr>
              <w:t>序号</w:t>
            </w:r>
          </w:p>
        </w:tc>
        <w:tc>
          <w:tcPr>
            <w:tcW w:w="2581" w:type="pct"/>
            <w:vAlign w:val="center"/>
          </w:tcPr>
          <w:p w14:paraId="5E5B1067">
            <w:pPr>
              <w:adjustRightInd w:val="0"/>
              <w:snapToGrid w:val="0"/>
              <w:spacing w:line="360" w:lineRule="auto"/>
              <w:jc w:val="center"/>
              <w:rPr>
                <w:rFonts w:ascii="宋体" w:hAnsi="宋体" w:eastAsia="宋体"/>
                <w:szCs w:val="21"/>
              </w:rPr>
            </w:pPr>
            <w:r>
              <w:rPr>
                <w:rFonts w:hint="eastAsia" w:ascii="宋体" w:hAnsi="宋体" w:eastAsia="宋体"/>
                <w:szCs w:val="21"/>
              </w:rPr>
              <w:t>实质性条款具体内容</w:t>
            </w:r>
          </w:p>
        </w:tc>
        <w:tc>
          <w:tcPr>
            <w:tcW w:w="1222" w:type="pct"/>
            <w:vAlign w:val="center"/>
          </w:tcPr>
          <w:p w14:paraId="563D4BBE">
            <w:pPr>
              <w:adjustRightInd w:val="0"/>
              <w:snapToGrid w:val="0"/>
              <w:spacing w:line="360" w:lineRule="auto"/>
              <w:jc w:val="center"/>
              <w:rPr>
                <w:rFonts w:ascii="宋体" w:hAnsi="宋体" w:eastAsia="宋体"/>
                <w:szCs w:val="21"/>
              </w:rPr>
            </w:pPr>
            <w:r>
              <w:rPr>
                <w:rFonts w:hint="eastAsia" w:ascii="宋体" w:hAnsi="宋体" w:eastAsia="宋体"/>
              </w:rPr>
              <w:t>投标响应</w:t>
            </w:r>
          </w:p>
        </w:tc>
        <w:tc>
          <w:tcPr>
            <w:tcW w:w="447" w:type="pct"/>
            <w:vAlign w:val="center"/>
          </w:tcPr>
          <w:p w14:paraId="7764FF15">
            <w:pPr>
              <w:adjustRightInd w:val="0"/>
              <w:snapToGrid w:val="0"/>
              <w:spacing w:line="360" w:lineRule="auto"/>
              <w:jc w:val="center"/>
              <w:rPr>
                <w:rFonts w:ascii="宋体" w:hAnsi="宋体" w:eastAsia="宋体"/>
                <w:szCs w:val="21"/>
              </w:rPr>
            </w:pPr>
            <w:r>
              <w:rPr>
                <w:rFonts w:hint="eastAsia" w:ascii="宋体" w:hAnsi="宋体" w:eastAsia="宋体"/>
              </w:rPr>
              <w:t>偏离情况</w:t>
            </w:r>
          </w:p>
        </w:tc>
        <w:tc>
          <w:tcPr>
            <w:tcW w:w="340" w:type="pct"/>
            <w:vAlign w:val="center"/>
          </w:tcPr>
          <w:p w14:paraId="111F95C4">
            <w:pPr>
              <w:adjustRightInd w:val="0"/>
              <w:snapToGrid w:val="0"/>
              <w:spacing w:line="360" w:lineRule="auto"/>
              <w:jc w:val="center"/>
              <w:rPr>
                <w:rFonts w:ascii="宋体" w:hAnsi="宋体" w:eastAsia="宋体"/>
                <w:szCs w:val="21"/>
              </w:rPr>
            </w:pPr>
            <w:r>
              <w:rPr>
                <w:rFonts w:hint="eastAsia" w:ascii="宋体" w:hAnsi="宋体" w:eastAsia="宋体"/>
              </w:rPr>
              <w:t>说明</w:t>
            </w:r>
          </w:p>
        </w:tc>
      </w:tr>
      <w:bookmarkEnd w:id="44"/>
      <w:tr w14:paraId="7B5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top"/>
          </w:tcPr>
          <w:p w14:paraId="55617100">
            <w:pPr>
              <w:adjustRightInd w:val="0"/>
              <w:snapToGrid w:val="0"/>
              <w:spacing w:line="360" w:lineRule="auto"/>
              <w:jc w:val="center"/>
              <w:rPr>
                <w:rFonts w:hint="eastAsia" w:ascii="宋体" w:hAnsi="宋体" w:eastAsia="宋体"/>
                <w:szCs w:val="21"/>
                <w:lang w:val="en-US" w:eastAsia="zh-CN"/>
              </w:rPr>
            </w:pPr>
            <w:r>
              <w:rPr>
                <w:rFonts w:hint="eastAsia" w:ascii="宋体" w:hAnsi="宋体" w:eastAsia="宋体"/>
                <w:szCs w:val="21"/>
              </w:rPr>
              <w:t>1</w:t>
            </w:r>
          </w:p>
        </w:tc>
        <w:tc>
          <w:tcPr>
            <w:tcW w:w="2581" w:type="pct"/>
            <w:vAlign w:val="top"/>
          </w:tcPr>
          <w:p w14:paraId="33FF748E">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olor w:val="4F81BD" w:themeColor="accent1"/>
                <w:szCs w:val="21"/>
                <w:lang w:eastAsia="zh-CN"/>
                <w14:textFill>
                  <w14:solidFill>
                    <w14:schemeClr w14:val="accent1"/>
                  </w14:solidFill>
                </w14:textFill>
              </w:rPr>
            </w:pPr>
            <w:r>
              <w:rPr>
                <w:rFonts w:hint="eastAsia" w:cs="Times New Roman" w:asciiTheme="minorEastAsia" w:hAnsiTheme="minorEastAsia"/>
                <w:sz w:val="21"/>
                <w:szCs w:val="21"/>
                <w:lang w:val="en-US" w:eastAsia="zh-CN"/>
              </w:rPr>
              <w:t>合同签订之日起至服务结束的时间期限。具体是指合同签订后12个月。</w:t>
            </w:r>
          </w:p>
        </w:tc>
        <w:tc>
          <w:tcPr>
            <w:tcW w:w="1222" w:type="pct"/>
          </w:tcPr>
          <w:p w14:paraId="5F556F89">
            <w:pPr>
              <w:adjustRightInd w:val="0"/>
              <w:snapToGrid w:val="0"/>
              <w:spacing w:line="360" w:lineRule="auto"/>
              <w:rPr>
                <w:rFonts w:ascii="宋体" w:hAnsi="宋体" w:eastAsia="宋体"/>
                <w:szCs w:val="21"/>
              </w:rPr>
            </w:pPr>
          </w:p>
        </w:tc>
        <w:tc>
          <w:tcPr>
            <w:tcW w:w="447" w:type="pct"/>
          </w:tcPr>
          <w:p w14:paraId="2D941721">
            <w:pPr>
              <w:adjustRightInd w:val="0"/>
              <w:snapToGrid w:val="0"/>
              <w:spacing w:line="360" w:lineRule="auto"/>
              <w:rPr>
                <w:rFonts w:ascii="宋体" w:hAnsi="宋体" w:eastAsia="宋体"/>
                <w:szCs w:val="21"/>
              </w:rPr>
            </w:pPr>
          </w:p>
        </w:tc>
        <w:tc>
          <w:tcPr>
            <w:tcW w:w="340" w:type="pct"/>
          </w:tcPr>
          <w:p w14:paraId="177E3A47">
            <w:pPr>
              <w:adjustRightInd w:val="0"/>
              <w:snapToGrid w:val="0"/>
              <w:spacing w:line="360" w:lineRule="auto"/>
              <w:rPr>
                <w:rFonts w:ascii="宋体" w:hAnsi="宋体" w:eastAsia="宋体"/>
                <w:szCs w:val="21"/>
              </w:rPr>
            </w:pPr>
          </w:p>
        </w:tc>
      </w:tr>
      <w:tr w14:paraId="24D2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top"/>
          </w:tcPr>
          <w:p w14:paraId="58C59635">
            <w:pPr>
              <w:adjustRightInd w:val="0"/>
              <w:snapToGrid w:val="0"/>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2581" w:type="pct"/>
            <w:vAlign w:val="top"/>
          </w:tcPr>
          <w:p w14:paraId="13BCD472">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本次合同款分四期付款，</w:t>
            </w:r>
          </w:p>
          <w:p w14:paraId="40D2A5A0">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第一期付款：合同签定生效后，支付合同金额30%；</w:t>
            </w:r>
          </w:p>
          <w:p w14:paraId="3070A1CB">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第二期付款：合同服务期第三月月底后，支付合同金额25%；</w:t>
            </w:r>
          </w:p>
          <w:p w14:paraId="30B0B5CF">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第三期付款：合同服务期第六月月底后，支付合同金额25%；</w:t>
            </w:r>
          </w:p>
          <w:p w14:paraId="14C0C638">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eastAsia="宋体"/>
                <w:color w:val="4F81BD" w:themeColor="accent1"/>
                <w:szCs w:val="21"/>
                <w14:textFill>
                  <w14:solidFill>
                    <w14:schemeClr w14:val="accent1"/>
                  </w14:solidFill>
                </w14:textFill>
              </w:rPr>
            </w:pPr>
            <w:r>
              <w:rPr>
                <w:rFonts w:hint="eastAsia" w:cs="Times New Roman" w:asciiTheme="minorEastAsia" w:hAnsiTheme="minorEastAsia"/>
                <w:sz w:val="21"/>
                <w:szCs w:val="21"/>
                <w:lang w:val="en-US" w:eastAsia="zh-CN"/>
              </w:rPr>
              <w:t>第四期付款：合同期结束后，支付合同金额20%；</w:t>
            </w:r>
          </w:p>
        </w:tc>
        <w:tc>
          <w:tcPr>
            <w:tcW w:w="1222" w:type="pct"/>
          </w:tcPr>
          <w:p w14:paraId="128982C4">
            <w:pPr>
              <w:adjustRightInd w:val="0"/>
              <w:snapToGrid w:val="0"/>
              <w:spacing w:line="360" w:lineRule="auto"/>
              <w:rPr>
                <w:rFonts w:ascii="宋体" w:hAnsi="宋体" w:eastAsia="宋体"/>
                <w:szCs w:val="21"/>
              </w:rPr>
            </w:pPr>
          </w:p>
        </w:tc>
        <w:tc>
          <w:tcPr>
            <w:tcW w:w="447" w:type="pct"/>
          </w:tcPr>
          <w:p w14:paraId="43E5F568">
            <w:pPr>
              <w:adjustRightInd w:val="0"/>
              <w:snapToGrid w:val="0"/>
              <w:spacing w:line="360" w:lineRule="auto"/>
              <w:rPr>
                <w:rFonts w:ascii="宋体" w:hAnsi="宋体" w:eastAsia="宋体"/>
                <w:szCs w:val="21"/>
              </w:rPr>
            </w:pPr>
          </w:p>
        </w:tc>
        <w:tc>
          <w:tcPr>
            <w:tcW w:w="340" w:type="pct"/>
          </w:tcPr>
          <w:p w14:paraId="0B222299">
            <w:pPr>
              <w:adjustRightInd w:val="0"/>
              <w:snapToGrid w:val="0"/>
              <w:spacing w:line="360" w:lineRule="auto"/>
              <w:rPr>
                <w:rFonts w:ascii="宋体" w:hAnsi="宋体" w:eastAsia="宋体"/>
                <w:szCs w:val="21"/>
              </w:rPr>
            </w:pPr>
          </w:p>
        </w:tc>
      </w:tr>
    </w:tbl>
    <w:p w14:paraId="2F2748D4">
      <w:pPr>
        <w:ind w:firstLine="482" w:firstLineChars="200"/>
        <w:rPr>
          <w:rFonts w:ascii="宋体" w:hAnsi="宋体" w:eastAsia="宋体"/>
          <w:b/>
          <w:szCs w:val="22"/>
        </w:rPr>
      </w:pPr>
    </w:p>
    <w:p w14:paraId="62E4105D">
      <w:pPr>
        <w:ind w:firstLine="482" w:firstLineChars="200"/>
        <w:rPr>
          <w:rFonts w:ascii="宋体" w:hAnsi="宋体" w:eastAsia="宋体"/>
          <w:b/>
          <w:szCs w:val="22"/>
        </w:rPr>
      </w:pPr>
      <w:r>
        <w:rPr>
          <w:rFonts w:hint="eastAsia" w:ascii="宋体" w:hAnsi="宋体" w:eastAsia="宋体"/>
          <w:b/>
          <w:szCs w:val="22"/>
        </w:rPr>
        <w:t>注：1. 上表所列各项均为不可负偏离条款。</w:t>
      </w:r>
    </w:p>
    <w:p w14:paraId="21FCC2DA">
      <w:pPr>
        <w:ind w:firstLine="482" w:firstLineChars="200"/>
        <w:rPr>
          <w:rFonts w:ascii="宋体" w:hAnsi="宋体" w:eastAsia="宋体"/>
          <w:b/>
          <w:szCs w:val="22"/>
        </w:rPr>
      </w:pPr>
      <w:r>
        <w:rPr>
          <w:rFonts w:hint="eastAsia" w:ascii="宋体" w:hAnsi="宋体" w:eastAsia="宋体"/>
          <w:b/>
          <w:szCs w:val="22"/>
        </w:rPr>
        <w:t>2.“投标响应”一栏应当详细填写投标人自身响应情况，而不能不合理照搬照抄招实质性条款具体内容。</w:t>
      </w:r>
    </w:p>
    <w:p w14:paraId="479E92C7">
      <w:pPr>
        <w:ind w:firstLine="482" w:firstLineChars="200"/>
        <w:rPr>
          <w:rFonts w:ascii="宋体" w:hAnsi="宋体" w:eastAsia="宋体"/>
          <w:b/>
          <w:szCs w:val="22"/>
        </w:rPr>
      </w:pPr>
      <w:r>
        <w:rPr>
          <w:rFonts w:hint="eastAsia" w:ascii="宋体" w:hAnsi="宋体" w:eastAsia="宋体"/>
          <w:b/>
          <w:szCs w:val="22"/>
        </w:rPr>
        <w:t>3</w:t>
      </w:r>
      <w:r>
        <w:rPr>
          <w:rFonts w:ascii="宋体" w:hAnsi="宋体" w:eastAsia="宋体"/>
          <w:b/>
          <w:szCs w:val="22"/>
        </w:rPr>
        <w:t>.</w:t>
      </w:r>
      <w:r>
        <w:rPr>
          <w:rFonts w:hint="eastAsia" w:ascii="宋体" w:hAnsi="宋体" w:eastAsia="宋体"/>
          <w:b/>
          <w:szCs w:val="22"/>
        </w:rPr>
        <w:t>“偏离情况”一栏应填写“正偏离”、“负偏离”或“无偏离”，</w:t>
      </w:r>
      <w:r>
        <w:rPr>
          <w:rFonts w:hint="eastAsia" w:ascii="宋体" w:hAnsi="宋体" w:eastAsia="宋体"/>
          <w:b/>
        </w:rPr>
        <w:t>“正偏离”表示“投标响应优于实质性条款具体内容要求”，“负偏离”表示“投标响应不满足实质性条款具体内容要求”，“无偏离”表示“投标响应与实质性条款具体内容要求一致”。</w:t>
      </w:r>
    </w:p>
    <w:p w14:paraId="6B28FF0A">
      <w:pPr>
        <w:ind w:firstLine="482" w:firstLineChars="200"/>
        <w:rPr>
          <w:rFonts w:ascii="宋体" w:hAnsi="宋体" w:eastAsia="宋体"/>
          <w:b/>
        </w:rPr>
      </w:pPr>
      <w:r>
        <w:rPr>
          <w:rFonts w:ascii="宋体" w:hAnsi="宋体" w:eastAsia="宋体"/>
          <w:b/>
        </w:rPr>
        <w:t>4.</w:t>
      </w:r>
      <w:r>
        <w:rPr>
          <w:rFonts w:hint="eastAsia" w:ascii="宋体" w:hAnsi="宋体" w:eastAsia="宋体"/>
          <w:b/>
        </w:rPr>
        <w:t>评审委员会有权对投标响应情况作出判断（作出评审结论）。</w:t>
      </w:r>
    </w:p>
    <w:p w14:paraId="02D74A0D">
      <w:pPr>
        <w:ind w:firstLine="482" w:firstLineChars="200"/>
        <w:rPr>
          <w:color w:val="000000" w:themeColor="text1"/>
          <w14:textFill>
            <w14:solidFill>
              <w14:schemeClr w14:val="tx1"/>
            </w14:solidFill>
          </w14:textFill>
        </w:rPr>
      </w:pPr>
      <w:r>
        <w:rPr>
          <w:rFonts w:ascii="宋体" w:hAnsi="宋体" w:eastAsia="宋体"/>
          <w:b/>
          <w:szCs w:val="22"/>
        </w:rPr>
        <w:t>5</w:t>
      </w:r>
      <w:r>
        <w:rPr>
          <w:rFonts w:hint="eastAsia" w:ascii="宋体" w:hAnsi="宋体" w:eastAsia="宋体"/>
          <w:b/>
          <w:szCs w:val="22"/>
        </w:rPr>
        <w:t>.实质性响应条款“投标响应情况”与投标文件其它内容冲突的，以实质性响应条款“投标响应情况”为准。</w:t>
      </w:r>
    </w:p>
    <w:p w14:paraId="0FB5BAEE">
      <w:pPr>
        <w:rPr>
          <w:rFonts w:eastAsia="黑体"/>
        </w:rPr>
      </w:pPr>
    </w:p>
    <w:p w14:paraId="342E479B">
      <w:pPr>
        <w:pStyle w:val="4"/>
        <w:jc w:val="center"/>
        <w:rPr>
          <w:rFonts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六</w:t>
      </w:r>
      <w:r>
        <w:rPr>
          <w:rFonts w:hint="eastAsia" w:ascii="黑体" w:eastAsia="黑体"/>
          <w:bCs w:val="0"/>
          <w:color w:val="000000" w:themeColor="text1"/>
          <w:sz w:val="24"/>
          <w14:textFill>
            <w14:solidFill>
              <w14:schemeClr w14:val="tx1"/>
            </w14:solidFill>
          </w14:textFill>
        </w:rPr>
        <w:t>、商务、</w:t>
      </w:r>
      <w:r>
        <w:rPr>
          <w:rFonts w:hint="eastAsia" w:ascii="黑体" w:eastAsia="黑体"/>
          <w:bCs w:val="0"/>
          <w:color w:val="000000" w:themeColor="text1"/>
          <w:sz w:val="24"/>
          <w:lang w:eastAsia="zh-CN"/>
          <w14:textFill>
            <w14:solidFill>
              <w14:schemeClr w14:val="tx1"/>
            </w14:solidFill>
          </w14:textFill>
        </w:rPr>
        <w:t>服务</w:t>
      </w:r>
      <w:r>
        <w:rPr>
          <w:rFonts w:hint="eastAsia" w:ascii="黑体" w:eastAsia="黑体"/>
          <w:bCs w:val="0"/>
          <w:color w:val="000000" w:themeColor="text1"/>
          <w:sz w:val="24"/>
          <w14:textFill>
            <w14:solidFill>
              <w14:schemeClr w14:val="tx1"/>
            </w14:solidFill>
          </w14:textFill>
        </w:rPr>
        <w:t>条款偏离表</w:t>
      </w:r>
    </w:p>
    <w:p w14:paraId="57F5F9A1">
      <w:pPr>
        <w:snapToGrid w:val="0"/>
        <w:spacing w:line="360" w:lineRule="auto"/>
        <w:rPr>
          <w:rFonts w:ascii="Arial" w:hAnsi="Arial" w:eastAsia="宋体" w:cs="Arial"/>
          <w:color w:val="000000"/>
          <w:u w:val="single"/>
        </w:rPr>
      </w:pPr>
      <w:r>
        <w:rPr>
          <w:rFonts w:hint="eastAsia" w:ascii="Arial" w:hAnsi="Arial" w:eastAsia="宋体" w:cs="Arial"/>
          <w:color w:val="000000"/>
        </w:rPr>
        <w:t>投标单位（投标人）名称：</w:t>
      </w:r>
    </w:p>
    <w:tbl>
      <w:tblPr>
        <w:tblStyle w:val="16"/>
        <w:tblW w:w="4999"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497"/>
        <w:gridCol w:w="3683"/>
        <w:gridCol w:w="2376"/>
        <w:gridCol w:w="982"/>
        <w:gridCol w:w="982"/>
      </w:tblGrid>
      <w:tr w14:paraId="7F79B39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61" w:hRule="atLeast"/>
          <w:jc w:val="center"/>
        </w:trPr>
        <w:tc>
          <w:tcPr>
            <w:tcW w:w="292" w:type="pct"/>
            <w:vAlign w:val="center"/>
          </w:tcPr>
          <w:p w14:paraId="5BB46A2A">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序号</w:t>
            </w:r>
          </w:p>
        </w:tc>
        <w:tc>
          <w:tcPr>
            <w:tcW w:w="2161" w:type="pct"/>
            <w:vAlign w:val="center"/>
          </w:tcPr>
          <w:p w14:paraId="1C13C636">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招标文件要求</w:t>
            </w:r>
          </w:p>
        </w:tc>
        <w:tc>
          <w:tcPr>
            <w:tcW w:w="1394" w:type="pct"/>
            <w:vAlign w:val="center"/>
          </w:tcPr>
          <w:p w14:paraId="47D3E3E7">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投标文件响应</w:t>
            </w:r>
          </w:p>
        </w:tc>
        <w:tc>
          <w:tcPr>
            <w:tcW w:w="576" w:type="pct"/>
            <w:vAlign w:val="center"/>
          </w:tcPr>
          <w:p w14:paraId="057801C6">
            <w:pPr>
              <w:spacing w:line="360" w:lineRule="auto"/>
              <w:jc w:val="center"/>
              <w:rPr>
                <w:rFonts w:hint="eastAsia" w:eastAsia="宋体" w:cs="Arial" w:asciiTheme="minorEastAsia" w:hAnsiTheme="minorEastAsia"/>
                <w:b/>
                <w:sz w:val="21"/>
                <w:szCs w:val="21"/>
                <w:lang w:eastAsia="zh-CN"/>
              </w:rPr>
            </w:pPr>
            <w:r>
              <w:rPr>
                <w:rFonts w:hint="eastAsia" w:eastAsia="宋体" w:cs="Arial" w:asciiTheme="minorEastAsia" w:hAnsiTheme="minorEastAsia"/>
                <w:b/>
                <w:sz w:val="21"/>
                <w:szCs w:val="21"/>
                <w:lang w:eastAsia="zh-CN"/>
              </w:rPr>
              <w:t>偏离情况</w:t>
            </w:r>
          </w:p>
        </w:tc>
        <w:tc>
          <w:tcPr>
            <w:tcW w:w="576" w:type="pct"/>
            <w:vAlign w:val="center"/>
          </w:tcPr>
          <w:p w14:paraId="651AA070">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说明</w:t>
            </w:r>
          </w:p>
        </w:tc>
      </w:tr>
      <w:tr w14:paraId="71289F6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41" w:hRule="atLeast"/>
          <w:jc w:val="center"/>
        </w:trPr>
        <w:tc>
          <w:tcPr>
            <w:tcW w:w="292" w:type="pct"/>
            <w:vAlign w:val="center"/>
          </w:tcPr>
          <w:p w14:paraId="05097454">
            <w:pPr>
              <w:spacing w:line="360" w:lineRule="auto"/>
              <w:jc w:val="center"/>
              <w:rPr>
                <w:rFonts w:asciiTheme="minorEastAsia" w:hAnsiTheme="minorEastAsia"/>
                <w:sz w:val="21"/>
                <w:szCs w:val="21"/>
              </w:rPr>
            </w:pPr>
            <w:r>
              <w:rPr>
                <w:rFonts w:hint="eastAsia" w:asciiTheme="minorEastAsia" w:hAnsiTheme="minorEastAsia"/>
                <w:sz w:val="21"/>
                <w:szCs w:val="21"/>
              </w:rPr>
              <w:t>1</w:t>
            </w:r>
          </w:p>
        </w:tc>
        <w:tc>
          <w:tcPr>
            <w:tcW w:w="2161" w:type="pct"/>
            <w:vAlign w:val="center"/>
          </w:tcPr>
          <w:p w14:paraId="4A6D67E8">
            <w:pPr>
              <w:spacing w:line="360" w:lineRule="auto"/>
              <w:rPr>
                <w:rFonts w:asciiTheme="minorEastAsia" w:hAnsiTheme="minorEastAsia"/>
                <w:b/>
                <w:color w:val="FF0000"/>
                <w:sz w:val="21"/>
                <w:szCs w:val="21"/>
              </w:rPr>
            </w:pPr>
            <w:r>
              <w:rPr>
                <w:rFonts w:hint="eastAsia" w:asciiTheme="minorEastAsia" w:hAnsiTheme="minorEastAsia"/>
                <w:b/>
                <w:color w:val="FF0000"/>
                <w:sz w:val="21"/>
                <w:szCs w:val="21"/>
              </w:rPr>
              <w:t>《第三章 用户需求书：四、项目服务要求》中所有条款要求。</w:t>
            </w:r>
          </w:p>
        </w:tc>
        <w:tc>
          <w:tcPr>
            <w:tcW w:w="1394" w:type="pct"/>
            <w:vAlign w:val="center"/>
          </w:tcPr>
          <w:p w14:paraId="640F2177">
            <w:pPr>
              <w:spacing w:line="360" w:lineRule="auto"/>
              <w:rPr>
                <w:rFonts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576" w:type="pct"/>
            <w:shd w:val="clear" w:color="auto" w:fill="auto"/>
            <w:vAlign w:val="center"/>
          </w:tcPr>
          <w:p w14:paraId="460343A4">
            <w:pPr>
              <w:spacing w:line="360" w:lineRule="auto"/>
              <w:jc w:val="center"/>
              <w:rPr>
                <w:rFonts w:hint="eastAsia" w:eastAsia="Times New Roman" w:cs="Arial" w:asciiTheme="minorEastAsia" w:hAnsiTheme="minorEastAsia"/>
                <w:sz w:val="21"/>
                <w:szCs w:val="21"/>
              </w:rPr>
            </w:pPr>
          </w:p>
        </w:tc>
        <w:tc>
          <w:tcPr>
            <w:tcW w:w="576" w:type="pct"/>
            <w:vAlign w:val="center"/>
          </w:tcPr>
          <w:p w14:paraId="4BB5D488">
            <w:pPr>
              <w:spacing w:line="360" w:lineRule="auto"/>
              <w:jc w:val="center"/>
              <w:rPr>
                <w:rFonts w:cs="Arial" w:asciiTheme="minorEastAsia" w:hAnsiTheme="minorEastAsia"/>
                <w:sz w:val="21"/>
                <w:szCs w:val="21"/>
              </w:rPr>
            </w:pPr>
          </w:p>
        </w:tc>
      </w:tr>
      <w:tr w14:paraId="438C1FD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904" w:hRule="atLeast"/>
          <w:jc w:val="center"/>
        </w:trPr>
        <w:tc>
          <w:tcPr>
            <w:tcW w:w="292" w:type="pct"/>
            <w:vAlign w:val="center"/>
          </w:tcPr>
          <w:p w14:paraId="2FCF851B">
            <w:pPr>
              <w:spacing w:line="360" w:lineRule="auto"/>
              <w:jc w:val="center"/>
              <w:rPr>
                <w:rFonts w:asciiTheme="minorEastAsia" w:hAnsiTheme="minorEastAsia"/>
                <w:sz w:val="21"/>
                <w:szCs w:val="21"/>
              </w:rPr>
            </w:pPr>
            <w:r>
              <w:rPr>
                <w:rFonts w:hint="eastAsia" w:asciiTheme="minorEastAsia" w:hAnsiTheme="minorEastAsia"/>
                <w:sz w:val="21"/>
                <w:szCs w:val="21"/>
              </w:rPr>
              <w:t>2</w:t>
            </w:r>
          </w:p>
        </w:tc>
        <w:tc>
          <w:tcPr>
            <w:tcW w:w="2161" w:type="pct"/>
          </w:tcPr>
          <w:p w14:paraId="4D4197DD">
            <w:pPr>
              <w:spacing w:line="360" w:lineRule="auto"/>
              <w:rPr>
                <w:rFonts w:asciiTheme="minorEastAsia" w:hAnsiTheme="minorEastAsia"/>
                <w:b/>
                <w:color w:val="FF0000"/>
                <w:sz w:val="21"/>
                <w:szCs w:val="21"/>
                <w:highlight w:val="green"/>
              </w:rPr>
            </w:pPr>
            <w:r>
              <w:rPr>
                <w:rFonts w:hint="eastAsia" w:asciiTheme="minorEastAsia" w:hAnsiTheme="minorEastAsia"/>
                <w:b/>
                <w:color w:val="FF0000"/>
                <w:sz w:val="21"/>
                <w:szCs w:val="21"/>
              </w:rPr>
              <w:t>《第三章 用户需求书：五、项目商务要求》中所有条款要求。</w:t>
            </w:r>
          </w:p>
        </w:tc>
        <w:tc>
          <w:tcPr>
            <w:tcW w:w="1394" w:type="pct"/>
            <w:vAlign w:val="center"/>
          </w:tcPr>
          <w:p w14:paraId="39658682">
            <w:pPr>
              <w:spacing w:line="360" w:lineRule="auto"/>
              <w:rPr>
                <w:rFonts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576" w:type="pct"/>
            <w:shd w:val="clear" w:color="auto" w:fill="auto"/>
            <w:vAlign w:val="center"/>
          </w:tcPr>
          <w:p w14:paraId="0D8EB933">
            <w:pPr>
              <w:spacing w:line="360" w:lineRule="auto"/>
              <w:jc w:val="center"/>
              <w:rPr>
                <w:rFonts w:hint="eastAsia" w:eastAsia="Times New Roman" w:cs="Arial" w:asciiTheme="minorEastAsia" w:hAnsiTheme="minorEastAsia"/>
                <w:sz w:val="21"/>
                <w:szCs w:val="21"/>
              </w:rPr>
            </w:pPr>
          </w:p>
        </w:tc>
        <w:tc>
          <w:tcPr>
            <w:tcW w:w="576" w:type="pct"/>
            <w:vAlign w:val="center"/>
          </w:tcPr>
          <w:p w14:paraId="3788DA95">
            <w:pPr>
              <w:spacing w:line="360" w:lineRule="auto"/>
              <w:jc w:val="center"/>
              <w:rPr>
                <w:rFonts w:cs="Arial" w:asciiTheme="minorEastAsia" w:hAnsiTheme="minorEastAsia"/>
                <w:sz w:val="21"/>
                <w:szCs w:val="21"/>
              </w:rPr>
            </w:pPr>
          </w:p>
        </w:tc>
      </w:tr>
    </w:tbl>
    <w:p w14:paraId="1FF31900">
      <w:pPr>
        <w:snapToGrid w:val="0"/>
        <w:spacing w:line="360" w:lineRule="auto"/>
        <w:rPr>
          <w:rFonts w:asciiTheme="minorEastAsia" w:hAnsiTheme="minorEastAsia"/>
          <w:b/>
        </w:rPr>
      </w:pPr>
    </w:p>
    <w:p w14:paraId="2688F29D">
      <w:pPr>
        <w:numPr>
          <w:ilvl w:val="0"/>
          <w:numId w:val="0"/>
        </w:numPr>
        <w:snapToGrid w:val="0"/>
        <w:spacing w:after="60" w:afterLines="25" w:line="360" w:lineRule="auto"/>
        <w:ind w:leftChars="0"/>
        <w:rPr>
          <w:rFonts w:hint="eastAsia" w:ascii="宋体" w:hAnsi="宋体" w:eastAsia="宋体"/>
          <w:b/>
          <w:szCs w:val="22"/>
        </w:rPr>
      </w:pPr>
      <w:r>
        <w:rPr>
          <w:rFonts w:hint="eastAsia" w:ascii="宋体" w:hAnsi="宋体" w:eastAsia="宋体"/>
          <w:b/>
          <w:szCs w:val="22"/>
        </w:rPr>
        <w:t>注：</w:t>
      </w:r>
    </w:p>
    <w:p w14:paraId="4C7BD011">
      <w:pPr>
        <w:numPr>
          <w:ilvl w:val="0"/>
          <w:numId w:val="0"/>
        </w:numPr>
        <w:snapToGrid w:val="0"/>
        <w:spacing w:after="60" w:afterLines="25" w:line="360" w:lineRule="auto"/>
        <w:rPr>
          <w:rFonts w:hint="eastAsia" w:asciiTheme="majorEastAsia" w:hAnsiTheme="majorEastAsia" w:eastAsiaTheme="majorEastAsia"/>
          <w:lang w:eastAsia="zh-CN"/>
        </w:rPr>
      </w:pPr>
      <w:r>
        <w:rPr>
          <w:rFonts w:hint="eastAsia" w:asciiTheme="majorEastAsia" w:hAnsiTheme="majorEastAsia" w:eastAsiaTheme="majorEastAsia"/>
          <w:lang w:eastAsia="zh-CN"/>
        </w:rPr>
        <w:t>1.</w:t>
      </w:r>
      <w:r>
        <w:rPr>
          <w:rFonts w:hint="eastAsia" w:asciiTheme="majorEastAsia" w:hAnsiTheme="majorEastAsia" w:eastAsiaTheme="majorEastAsia"/>
          <w:b/>
          <w:bCs/>
          <w:color w:val="FF0000"/>
          <w:lang w:eastAsia="zh-CN"/>
        </w:rPr>
        <w:t>“偏离情况”一栏应填写“正偏离”“负偏离”或“无偏离”。</w:t>
      </w:r>
      <w:r>
        <w:rPr>
          <w:rFonts w:hint="eastAsia" w:asciiTheme="majorEastAsia" w:hAnsiTheme="majorEastAsia" w:eastAsiaTheme="majorEastAsia"/>
          <w:lang w:eastAsia="zh-CN"/>
        </w:rPr>
        <w:t>其中，“正偏离”表示投标响应优于招标文件要求，“负偏离”表示投标响应不满足招标文件要求，“无偏离”表示投标响应与招标文件要求一致。</w:t>
      </w:r>
    </w:p>
    <w:p w14:paraId="74862F1A">
      <w:pPr>
        <w:numPr>
          <w:ilvl w:val="0"/>
          <w:numId w:val="0"/>
        </w:numPr>
        <w:snapToGrid w:val="0"/>
        <w:spacing w:after="60" w:afterLines="25" w:line="360" w:lineRule="auto"/>
        <w:ind w:leftChars="0"/>
        <w:rPr>
          <w:rFonts w:hint="eastAsia" w:ascii="宋体" w:hAnsi="宋体" w:eastAsia="宋体"/>
          <w:b/>
          <w:szCs w:val="22"/>
          <w:lang w:val="en-US" w:eastAsia="zh-CN"/>
        </w:rPr>
      </w:pPr>
      <w:r>
        <w:rPr>
          <w:rFonts w:hint="eastAsia" w:ascii="宋体" w:hAnsi="宋体" w:eastAsia="宋体"/>
          <w:b/>
          <w:szCs w:val="22"/>
          <w:lang w:val="en-US" w:eastAsia="zh-CN"/>
        </w:rPr>
        <w:t>2.如投标人能完全响应并满足本表【招标文件要求】栏中的内容，可在对应的【投标文件响应】栏中填写“我公司完全响应并满足招标文件中此项要求”。除招标文件另有注明外，不强制要求逐条列出投标文件响应情况。</w:t>
      </w:r>
    </w:p>
    <w:p w14:paraId="35CDB88E">
      <w:pPr>
        <w:numPr>
          <w:ilvl w:val="0"/>
          <w:numId w:val="0"/>
        </w:numPr>
        <w:snapToGrid w:val="0"/>
        <w:spacing w:after="60" w:afterLines="25" w:line="360" w:lineRule="auto"/>
        <w:ind w:leftChars="0"/>
        <w:rPr>
          <w:rFonts w:hint="eastAsia" w:asciiTheme="majorEastAsia" w:hAnsiTheme="majorEastAsia" w:eastAsiaTheme="majorEastAsia"/>
        </w:rPr>
      </w:pPr>
      <w:r>
        <w:rPr>
          <w:rFonts w:hint="eastAsia" w:asciiTheme="majorEastAsia" w:hAnsiTheme="majorEastAsia" w:eastAsiaTheme="majorEastAsia"/>
          <w:lang w:val="en-US" w:eastAsia="zh-CN"/>
        </w:rPr>
        <w:t>3.</w:t>
      </w:r>
      <w:r>
        <w:rPr>
          <w:rFonts w:hint="eastAsia" w:asciiTheme="majorEastAsia" w:hAnsiTheme="majorEastAsia" w:eastAsiaTheme="majorEastAsia"/>
        </w:rPr>
        <w:t>如投标人响应情况出现“正偏离”或“负偏离”，请在【投标文件响应】栏中对存在“正偏离”或“负偏离”的条款逐条做出说明。</w:t>
      </w:r>
    </w:p>
    <w:p w14:paraId="20AC4BAF">
      <w:pPr>
        <w:numPr>
          <w:ilvl w:val="0"/>
          <w:numId w:val="0"/>
        </w:numPr>
        <w:snapToGrid w:val="0"/>
        <w:spacing w:after="60" w:afterLines="25" w:line="360" w:lineRule="auto"/>
        <w:ind w:leftChars="0"/>
        <w:rPr>
          <w:rFonts w:hint="eastAsia" w:asciiTheme="majorEastAsia" w:hAnsiTheme="majorEastAsia" w:eastAsiaTheme="majorEastAsia"/>
        </w:rPr>
      </w:pPr>
      <w:r>
        <w:rPr>
          <w:rFonts w:hint="eastAsia" w:asciiTheme="majorEastAsia" w:hAnsiTheme="majorEastAsia" w:eastAsiaTheme="majorEastAsia"/>
          <w:lang w:val="en-US" w:eastAsia="zh-CN"/>
        </w:rPr>
        <w:t>4.</w:t>
      </w:r>
      <w:r>
        <w:rPr>
          <w:rFonts w:hint="eastAsia" w:asciiTheme="majorEastAsia" w:hAnsiTheme="majorEastAsia" w:eastAsiaTheme="majorEastAsia"/>
        </w:rPr>
        <w:t>如果偏离情况与投标文件响应情况不一致，或要求提供相关证明材料但投标人未提供的，或提供的相关证明材料与偏离情况、投标文件响应情况不一致的，均视为负偏离。</w:t>
      </w:r>
    </w:p>
    <w:p w14:paraId="17CA1352">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七、</w:t>
      </w:r>
      <w:r>
        <w:rPr>
          <w:rFonts w:hint="eastAsia" w:ascii="黑体" w:eastAsia="黑体"/>
          <w:bCs w:val="0"/>
          <w:color w:val="000000" w:themeColor="text1"/>
          <w:sz w:val="24"/>
          <w14:textFill>
            <w14:solidFill>
              <w14:schemeClr w14:val="tx1"/>
            </w14:solidFill>
          </w14:textFill>
        </w:rPr>
        <w:t>拟安排的项目负责人情况（仅限一人）</w:t>
      </w:r>
    </w:p>
    <w:p w14:paraId="2972AFD1">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八、</w:t>
      </w:r>
      <w:r>
        <w:rPr>
          <w:rFonts w:hint="eastAsia" w:ascii="黑体" w:eastAsia="黑体"/>
          <w:bCs w:val="0"/>
          <w:color w:val="000000" w:themeColor="text1"/>
          <w:sz w:val="24"/>
          <w14:textFill>
            <w14:solidFill>
              <w14:schemeClr w14:val="tx1"/>
            </w14:solidFill>
          </w14:textFill>
        </w:rPr>
        <w:t>拟安排的项目主要团队成员（主要技术人员）情况（项目负责人除外）</w:t>
      </w:r>
    </w:p>
    <w:p w14:paraId="110BCBFB">
      <w:pPr>
        <w:pStyle w:val="4"/>
        <w:jc w:val="cente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九、实施方案（格式自定）</w:t>
      </w:r>
    </w:p>
    <w:p w14:paraId="7EF621B0">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十、质量（完成时间、安全、环保）保障措施及方案（格式自定）</w:t>
      </w:r>
    </w:p>
    <w:p w14:paraId="5CB0B772">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十一、项目完成（服务期满）后的服务承诺（格式自定）</w:t>
      </w:r>
    </w:p>
    <w:p w14:paraId="7BEFAE72">
      <w:pPr>
        <w:pStyle w:val="4"/>
        <w:jc w:val="center"/>
        <w:rPr>
          <w:rFonts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十二、违约承诺（格式自定）</w:t>
      </w:r>
    </w:p>
    <w:p w14:paraId="7DD7BFCC">
      <w:pPr>
        <w:pStyle w:val="4"/>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十三</w:t>
      </w:r>
      <w:r>
        <w:rPr>
          <w:rFonts w:ascii="黑体" w:eastAsia="黑体"/>
          <w:bCs w:val="0"/>
          <w:color w:val="000000" w:themeColor="text1"/>
          <w:sz w:val="24"/>
          <w14:textFill>
            <w14:solidFill>
              <w14:schemeClr w14:val="tx1"/>
            </w14:solidFill>
          </w14:textFill>
        </w:rPr>
        <w:t>、</w:t>
      </w:r>
      <w:r>
        <w:rPr>
          <w:rFonts w:hint="eastAsia" w:ascii="黑体" w:eastAsia="黑体"/>
          <w:bCs w:val="0"/>
          <w:color w:val="000000" w:themeColor="text1"/>
          <w:sz w:val="24"/>
          <w14:textFill>
            <w14:solidFill>
              <w14:schemeClr w14:val="tx1"/>
            </w14:solidFill>
          </w14:textFill>
        </w:rPr>
        <w:t>投标人认为需要加以说明的其他内容（格式自定）</w:t>
      </w:r>
    </w:p>
    <w:p w14:paraId="508828D6">
      <w:pPr>
        <w:rPr>
          <w:rFonts w:hint="eastAsia" w:asciiTheme="majorEastAsia" w:hAnsiTheme="majorEastAsia" w:eastAsiaTheme="majorEastAsia" w:cstheme="majorEastAsia"/>
          <w:b/>
          <w:bCs/>
          <w:sz w:val="24"/>
          <w:szCs w:val="20"/>
          <w:lang w:eastAsia="zh-CN"/>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1</w:t>
      </w:r>
      <w:r>
        <w:rPr>
          <w:rFonts w:hint="eastAsia" w:asciiTheme="majorEastAsia" w:hAnsiTheme="majorEastAsia" w:eastAsiaTheme="majorEastAsia" w:cstheme="majorEastAsia"/>
          <w:b/>
          <w:bCs/>
          <w:sz w:val="24"/>
          <w:szCs w:val="20"/>
          <w:lang w:eastAsia="zh-CN"/>
        </w:rPr>
        <w:t>）政府采购违法行为风险知悉确认书</w:t>
      </w:r>
    </w:p>
    <w:p w14:paraId="379BF64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EDC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1A7BDD0B">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序号</w:t>
            </w:r>
          </w:p>
        </w:tc>
        <w:tc>
          <w:tcPr>
            <w:tcW w:w="7811" w:type="dxa"/>
          </w:tcPr>
          <w:p w14:paraId="4A375AE0">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b/>
                <w:bCs/>
                <w:sz w:val="21"/>
                <w:szCs w:val="18"/>
                <w:highlight w:val="yellow"/>
              </w:rPr>
              <w:t>供应商参与投标禁止情形</w:t>
            </w:r>
          </w:p>
        </w:tc>
      </w:tr>
      <w:tr w14:paraId="4225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923F72C">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1</w:t>
            </w:r>
          </w:p>
        </w:tc>
        <w:tc>
          <w:tcPr>
            <w:tcW w:w="7811" w:type="dxa"/>
            <w:vAlign w:val="center"/>
          </w:tcPr>
          <w:p w14:paraId="7D9D531D">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与其他投标供应商的法定代表人、主要经营负责人、投标授权代表人、项目负责人、主要技术人员为</w:t>
            </w:r>
            <w:r>
              <w:rPr>
                <w:rFonts w:hint="eastAsia" w:ascii="宋体" w:hAnsi="宋体" w:eastAsia="宋体" w:cs="宋体"/>
                <w:b/>
                <w:bCs/>
                <w:sz w:val="21"/>
                <w:szCs w:val="18"/>
                <w:highlight w:val="yellow"/>
              </w:rPr>
              <w:t>同一人、属同一单位或者在同一单位缴纳社会保险</w:t>
            </w:r>
            <w:r>
              <w:rPr>
                <w:rFonts w:hint="eastAsia" w:ascii="宋体" w:hAnsi="宋体" w:eastAsia="宋体" w:cs="宋体"/>
                <w:sz w:val="21"/>
                <w:szCs w:val="18"/>
                <w:highlight w:val="yellow"/>
              </w:rPr>
              <w:t>。</w:t>
            </w:r>
          </w:p>
        </w:tc>
      </w:tr>
      <w:tr w14:paraId="65AF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6BDFCC70">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2</w:t>
            </w:r>
          </w:p>
        </w:tc>
        <w:tc>
          <w:tcPr>
            <w:tcW w:w="7811" w:type="dxa"/>
            <w:vAlign w:val="center"/>
          </w:tcPr>
          <w:p w14:paraId="16F05C7C">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参与本项目政府采购活动时，与其他投标供应商存在单位负责人为</w:t>
            </w:r>
            <w:r>
              <w:rPr>
                <w:rFonts w:hint="eastAsia" w:ascii="宋体" w:hAnsi="宋体" w:eastAsia="宋体" w:cs="宋体"/>
                <w:b/>
                <w:bCs/>
                <w:sz w:val="21"/>
                <w:szCs w:val="18"/>
                <w:highlight w:val="yellow"/>
              </w:rPr>
              <w:t>同一人或直接控股、管理关系</w:t>
            </w:r>
            <w:r>
              <w:rPr>
                <w:rFonts w:hint="eastAsia" w:ascii="宋体" w:hAnsi="宋体" w:eastAsia="宋体" w:cs="宋体"/>
                <w:sz w:val="21"/>
                <w:szCs w:val="18"/>
                <w:highlight w:val="yellow"/>
              </w:rPr>
              <w:t>。</w:t>
            </w:r>
          </w:p>
        </w:tc>
      </w:tr>
      <w:tr w14:paraId="65AA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28B40D33">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3</w:t>
            </w:r>
          </w:p>
        </w:tc>
        <w:tc>
          <w:tcPr>
            <w:tcW w:w="7811" w:type="dxa"/>
            <w:vAlign w:val="center"/>
          </w:tcPr>
          <w:p w14:paraId="02BD3CA0">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与其他投标供应商的投标文件或部分投标文件</w:t>
            </w:r>
            <w:r>
              <w:rPr>
                <w:rFonts w:hint="eastAsia" w:ascii="宋体" w:hAnsi="宋体" w:eastAsia="宋体" w:cs="宋体"/>
                <w:b/>
                <w:bCs/>
                <w:sz w:val="21"/>
                <w:szCs w:val="18"/>
                <w:highlight w:val="yellow"/>
              </w:rPr>
              <w:t>相互混装或存在非正常一致</w:t>
            </w:r>
            <w:r>
              <w:rPr>
                <w:rFonts w:hint="eastAsia" w:ascii="宋体" w:hAnsi="宋体" w:eastAsia="宋体" w:cs="宋体"/>
                <w:sz w:val="21"/>
                <w:szCs w:val="18"/>
                <w:highlight w:val="yellow"/>
              </w:rPr>
              <w:t>。</w:t>
            </w:r>
          </w:p>
        </w:tc>
      </w:tr>
      <w:tr w14:paraId="2C29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24E25D2">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4</w:t>
            </w:r>
          </w:p>
        </w:tc>
        <w:tc>
          <w:tcPr>
            <w:tcW w:w="7811" w:type="dxa"/>
            <w:vAlign w:val="center"/>
          </w:tcPr>
          <w:p w14:paraId="1BE967C6">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与其他投标供应商的投标文件由</w:t>
            </w:r>
            <w:r>
              <w:rPr>
                <w:rFonts w:hint="eastAsia" w:ascii="宋体" w:hAnsi="宋体" w:eastAsia="宋体" w:cs="宋体"/>
                <w:b/>
                <w:bCs/>
                <w:sz w:val="21"/>
                <w:szCs w:val="18"/>
                <w:highlight w:val="yellow"/>
              </w:rPr>
              <w:t>同一单位或者同一人编制</w:t>
            </w:r>
            <w:r>
              <w:rPr>
                <w:rFonts w:hint="eastAsia" w:ascii="宋体" w:hAnsi="宋体" w:eastAsia="宋体" w:cs="宋体"/>
                <w:sz w:val="21"/>
                <w:szCs w:val="18"/>
                <w:highlight w:val="yellow"/>
              </w:rPr>
              <w:t>，或者使用</w:t>
            </w:r>
            <w:r>
              <w:rPr>
                <w:rFonts w:hint="eastAsia" w:ascii="宋体" w:hAnsi="宋体" w:eastAsia="宋体" w:cs="宋体"/>
                <w:b/>
                <w:bCs/>
                <w:sz w:val="21"/>
                <w:szCs w:val="18"/>
                <w:highlight w:val="yellow"/>
              </w:rPr>
              <w:t>同一设备编制</w:t>
            </w:r>
            <w:r>
              <w:rPr>
                <w:rFonts w:hint="eastAsia" w:ascii="宋体" w:hAnsi="宋体" w:eastAsia="宋体" w:cs="宋体"/>
                <w:sz w:val="21"/>
                <w:szCs w:val="18"/>
                <w:highlight w:val="yellow"/>
              </w:rPr>
              <w:t>（“文件制作机器码”“文件创建标识码”一致）。</w:t>
            </w:r>
          </w:p>
        </w:tc>
      </w:tr>
      <w:tr w14:paraId="603A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563B3922">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5</w:t>
            </w:r>
          </w:p>
        </w:tc>
        <w:tc>
          <w:tcPr>
            <w:tcW w:w="7811" w:type="dxa"/>
            <w:vAlign w:val="center"/>
          </w:tcPr>
          <w:p w14:paraId="0EC796DD">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提供</w:t>
            </w:r>
            <w:r>
              <w:rPr>
                <w:rFonts w:hint="eastAsia" w:ascii="宋体" w:hAnsi="宋体" w:eastAsia="宋体" w:cs="宋体"/>
                <w:b/>
                <w:bCs/>
                <w:sz w:val="21"/>
                <w:szCs w:val="18"/>
                <w:highlight w:val="yellow"/>
              </w:rPr>
              <w:t>未经出具机构核实</w:t>
            </w:r>
            <w:r>
              <w:rPr>
                <w:rFonts w:hint="eastAsia" w:ascii="宋体" w:hAnsi="宋体" w:eastAsia="宋体" w:cs="宋体"/>
                <w:sz w:val="21"/>
                <w:szCs w:val="18"/>
                <w:highlight w:val="yellow"/>
              </w:rPr>
              <w:t>的虚假的检验检测报告、业绩材料、社保缴纳证明、学历学位证书、职称认证证书等材料。</w:t>
            </w:r>
          </w:p>
        </w:tc>
      </w:tr>
      <w:tr w14:paraId="3884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D5135B5">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6</w:t>
            </w:r>
          </w:p>
        </w:tc>
        <w:tc>
          <w:tcPr>
            <w:tcW w:w="7811" w:type="dxa"/>
            <w:vAlign w:val="center"/>
          </w:tcPr>
          <w:p w14:paraId="4A593E74">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擅自将投标密钥或电子营业执照出借他人使用或未妥善保管。</w:t>
            </w:r>
          </w:p>
        </w:tc>
      </w:tr>
    </w:tbl>
    <w:p w14:paraId="71A7D21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本公司在投标前已充分知悉以下情形为参与政府采购活动时的重大风险事项，并承诺已对下述风险提示事项重点排查，做到严谨、诚信、依法依规参与政府采购活动。</w:t>
      </w:r>
    </w:p>
    <w:p w14:paraId="2363A560">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一、本公司已充分知悉“隐瞒真实情况，提供虚假资料”的法定情形，相关情形包括但不限于：</w:t>
      </w:r>
    </w:p>
    <w:p w14:paraId="2A87E864">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（一）通过转让或者租借等方式从其他单位获取资格或者资质证书投标的。</w:t>
      </w:r>
    </w:p>
    <w:p w14:paraId="0A4DBBA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（二）由其他单位或者其他单位负责人在投标供应商编制的投标文件上加盖印章或者签字的。</w:t>
      </w:r>
    </w:p>
    <w:p w14:paraId="378EFD8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（三）项目负责人或者主要技术人员不是本单位人员的。</w:t>
      </w:r>
    </w:p>
    <w:p w14:paraId="5A9039D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（四）投标保证金不是从投标供应商基本账户转出的。</w:t>
      </w:r>
    </w:p>
    <w:p w14:paraId="14A1735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（五）其他隐瞒真实情况、提供虚假资料的行为。</w:t>
      </w:r>
    </w:p>
    <w:p w14:paraId="6163AB62">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二、本公司已充分知悉“与其他采购参加人串通投标”的法定情形，相关情形包括但不限于：</w:t>
      </w:r>
    </w:p>
    <w:p w14:paraId="77E007F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（一）投标供应商之间相互约定给予未中标的供应商利益补偿。</w:t>
      </w:r>
    </w:p>
    <w:p w14:paraId="5BB2E9C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（二）不同投标供应商的法定代表人、主要经营负责人、项目投标授权代表人、项目负责人、主要技术人员为同一人、属同一单位或者在同一单位缴纳社会保险。</w:t>
      </w:r>
    </w:p>
    <w:p w14:paraId="641D629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（三）不同投标供应商的投标文件由同一单位或者同一人编制，或者由同一人分阶段参与编制的。</w:t>
      </w:r>
    </w:p>
    <w:p w14:paraId="2FC199C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（四）不同投标供应商的投标文件或部分投标文件相互混装。</w:t>
      </w:r>
    </w:p>
    <w:p w14:paraId="384267A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（五）不同投标供应商的投标文件内容存在非正常一致。</w:t>
      </w:r>
    </w:p>
    <w:p w14:paraId="02A68DB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（六）由同一单位工作人员为两家以上（含两家）供应商进行同一项投标活动的。</w:t>
      </w:r>
    </w:p>
    <w:p w14:paraId="0C58809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（七）不同投标人的投标报价呈规律性差异。</w:t>
      </w:r>
    </w:p>
    <w:p w14:paraId="61713C3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（八）不同投标人的投标保证金从同一单位或者个人的账户转出。</w:t>
      </w:r>
    </w:p>
    <w:p w14:paraId="711D079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（九）主管部门依照法律、法规认定的其他情形。</w:t>
      </w:r>
    </w:p>
    <w:p w14:paraId="678D09BC">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三、本公司已充分知悉下列情形所对应的法律风险，并在投标前已对相关风险事项进行排查。</w:t>
      </w:r>
    </w:p>
    <w:p w14:paraId="77F08BA1">
      <w:pPr>
        <w:keepNext w:val="0"/>
        <w:keepLines w:val="0"/>
        <w:pageBreakBefore w:val="0"/>
        <w:kinsoku/>
        <w:wordWrap/>
        <w:overflowPunct/>
        <w:topLinePunct w:val="0"/>
        <w:autoSpaceDE w:val="0"/>
        <w:autoSpaceDN w:val="0"/>
        <w:bidi w:val="0"/>
        <w:adjustRightInd/>
        <w:snapToGrid/>
        <w:spacing w:beforeAutospacing="0" w:afterAutospacing="0" w:line="240" w:lineRule="auto"/>
        <w:ind w:right="0" w:rightChars="0" w:firstLine="404" w:firstLineChars="200"/>
        <w:textAlignment w:val="auto"/>
        <w:rPr>
          <w:rFonts w:hint="eastAsia" w:ascii="宋体" w:hAnsi="宋体" w:eastAsia="宋体" w:cs="宋体"/>
          <w:b/>
          <w:bCs/>
          <w:spacing w:val="-4"/>
          <w:kern w:val="0"/>
          <w:sz w:val="21"/>
          <w:szCs w:val="21"/>
          <w:highlight w:val="yellow"/>
        </w:rPr>
      </w:pPr>
      <w:r>
        <w:rPr>
          <w:rFonts w:hint="eastAsia" w:ascii="宋体" w:hAnsi="宋体" w:eastAsia="宋体" w:cs="宋体"/>
          <w:spacing w:val="-4"/>
          <w:kern w:val="0"/>
          <w:sz w:val="21"/>
          <w:szCs w:val="21"/>
          <w:highlight w:val="yellow"/>
        </w:rPr>
        <w:t>（一）对于从其他主体获取的投标资料，供应商应审慎核查，确保投标资料的真实性。</w:t>
      </w:r>
      <w:r>
        <w:rPr>
          <w:rFonts w:hint="eastAsia" w:ascii="宋体" w:hAnsi="宋体" w:eastAsia="宋体" w:cs="宋体"/>
          <w:b/>
          <w:bCs/>
          <w:spacing w:val="-4"/>
          <w:kern w:val="0"/>
          <w:sz w:val="21"/>
          <w:szCs w:val="21"/>
          <w:highlight w:val="yellow"/>
        </w:rPr>
        <w:t>如主管部门查实投标文件中存在虚假资料的，无论相关资料是否由第三方或本公司员工提供，均不影响主管部门对供应商存在“隐瞒真实情况，提供虚假资料”违法行为的认定。</w:t>
      </w:r>
    </w:p>
    <w:p w14:paraId="19CF1CA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（二）对于涉及国家机关出具的公文、证件、证明材料等文件，一旦涉嫌虚假，经查实，主管部门将依法从严处理，并移送有关部门追究法律责任；涉嫌犯罪的，主管部门将一并移送司法机关追究法律责任。</w:t>
      </w:r>
    </w:p>
    <w:p w14:paraId="485F2D4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（三）对于涉及安全生产、特种作业、抢险救灾、防疫等政府采购项目，供应商实施提供虚假资料、串通投标等违法行为的，主管部门将依法从严处理。</w:t>
      </w:r>
    </w:p>
    <w:p w14:paraId="4BDF7D3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E34689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2E4556B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D0A314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22" w:firstLineChars="200"/>
        <w:jc w:val="left"/>
        <w:textAlignment w:val="auto"/>
        <w:rPr>
          <w:rFonts w:hint="eastAsia" w:ascii="宋体" w:hAnsi="宋体" w:eastAsia="宋体" w:cs="宋体"/>
          <w:b/>
          <w:bCs/>
          <w:kern w:val="0"/>
          <w:sz w:val="21"/>
          <w:szCs w:val="21"/>
          <w:highlight w:val="yellow"/>
          <w:lang w:val="en-US" w:eastAsia="zh-CN" w:bidi="ar-SA"/>
        </w:rPr>
      </w:pPr>
      <w:r>
        <w:rPr>
          <w:rFonts w:hint="eastAsia" w:ascii="宋体" w:hAnsi="宋体" w:eastAsia="宋体" w:cs="宋体"/>
          <w:b/>
          <w:bCs/>
          <w:kern w:val="0"/>
          <w:sz w:val="21"/>
          <w:szCs w:val="21"/>
          <w:highlight w:val="yellow"/>
          <w:lang w:val="en-US" w:eastAsia="zh-CN" w:bidi="ar-SA"/>
        </w:rPr>
        <w:t>四、本公司已充分知悉政府采购违法、违规行为的法律后果。</w:t>
      </w:r>
    </w:p>
    <w:p w14:paraId="44DE03F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b/>
          <w:bCs/>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宋体" w:hAnsi="宋体" w:eastAsia="宋体" w:cs="宋体"/>
          <w:b/>
          <w:bCs/>
          <w:spacing w:val="-4"/>
          <w:kern w:val="0"/>
          <w:sz w:val="21"/>
          <w:szCs w:val="21"/>
          <w:highlight w:val="yellow"/>
          <w:lang w:val="en-US" w:eastAsia="zh-CN" w:bidi="ar-SA"/>
        </w:rPr>
        <w:t>以下文字请投标供应商抄写并确认：“本公司已仔细阅读《政府采购违法行为风险知悉确认书》，充分知悉违法行为的法律后果，并承诺将严谨、诚信、依法依规参与政府采购活动”。</w:t>
      </w:r>
    </w:p>
    <w:tbl>
      <w:tblPr>
        <w:tblStyle w:val="1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29A521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14:paraId="7E679D9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3EB89B3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tcPr>
          <w:p w14:paraId="48A92E4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3A6265F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tcPr>
          <w:p w14:paraId="1F49711C">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1994E52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6B12E1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bl>
    <w:p w14:paraId="2589461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b/>
          <w:bCs/>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注：1.政府采购违法行为风险知悉确认书不作为资格性审查及符合性审查条件。</w:t>
      </w:r>
    </w:p>
    <w:p w14:paraId="57F49AA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2.投标供应商负责人或投标授权代表签字并加盖单位公章后，扫描上传至投标文件一并提交。</w:t>
      </w:r>
    </w:p>
    <w:p w14:paraId="24F8A93A">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负责人/投标授权代表签名：     </w:t>
      </w:r>
    </w:p>
    <w:p w14:paraId="57B7094C">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知悉人（公章）：     </w:t>
      </w:r>
    </w:p>
    <w:p w14:paraId="3FD331BD">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日期：     </w:t>
      </w:r>
    </w:p>
    <w:p w14:paraId="78D988B2">
      <w:pPr>
        <w:widowControl w:val="0"/>
        <w:spacing w:line="360" w:lineRule="auto"/>
        <w:jc w:val="both"/>
        <w:rPr>
          <w:rFonts w:hint="eastAsia" w:ascii="Times New Roman" w:hAnsi="Times New Roman" w:eastAsia="宋体" w:cs="Times New Roman"/>
          <w:b/>
          <w:bCs/>
          <w:kern w:val="2"/>
          <w:sz w:val="24"/>
          <w:szCs w:val="24"/>
          <w:lang w:val="en-US" w:eastAsia="zh-CN" w:bidi="ar-SA"/>
        </w:rPr>
      </w:pPr>
    </w:p>
    <w:p w14:paraId="3147D7BF">
      <w:pPr>
        <w:rPr>
          <w:rFonts w:hint="eastAsia" w:ascii="黑体" w:hAnsi="宋体" w:eastAsia="黑体" w:cs="Times New Roman"/>
          <w:sz w:val="24"/>
          <w:szCs w:val="20"/>
          <w:lang w:eastAsia="zh-CN"/>
        </w:rPr>
      </w:pPr>
    </w:p>
    <w:p w14:paraId="15664E23">
      <w:pP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2</w:t>
      </w: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rPr>
        <w:t>投标人认为需要加以说明的其他内容</w:t>
      </w:r>
    </w:p>
    <w:p w14:paraId="54577326">
      <w:pPr>
        <w:pStyle w:val="7"/>
      </w:pPr>
    </w:p>
    <w:p w14:paraId="78A8D27E"/>
    <w:p w14:paraId="734D4F46">
      <w:pPr>
        <w:pStyle w:val="7"/>
      </w:pPr>
    </w:p>
    <w:p w14:paraId="094FC6E0"/>
    <w:p w14:paraId="14BB3E37">
      <w:pPr>
        <w:pStyle w:val="7"/>
      </w:pPr>
    </w:p>
    <w:p w14:paraId="7578C746">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第五章  合同条款及格式</w:t>
      </w:r>
    </w:p>
    <w:p w14:paraId="73854CFA">
      <w:pPr>
        <w:spacing w:line="360" w:lineRule="auto"/>
        <w:jc w:val="center"/>
        <w:rPr>
          <w:rFonts w:ascii="宋体" w:hAnsi="宋体" w:eastAsia="黑体"/>
          <w:bCs/>
          <w:kern w:val="44"/>
          <w:sz w:val="28"/>
          <w:szCs w:val="44"/>
        </w:rPr>
      </w:pPr>
      <w:bookmarkStart w:id="45" w:name="_Hlk72574405"/>
      <w:r>
        <w:rPr>
          <w:rFonts w:hint="eastAsia" w:ascii="宋体" w:hAnsi="宋体" w:eastAsia="宋体" w:cs="宋体"/>
          <w:b/>
        </w:rPr>
        <w:t>（仅供参考，具体以项目需求及采购结果为准）</w:t>
      </w:r>
      <w:bookmarkEnd w:id="45"/>
    </w:p>
    <w:p w14:paraId="0E6BA65C">
      <w:pPr>
        <w:snapToGrid w:val="0"/>
        <w:spacing w:line="300" w:lineRule="auto"/>
        <w:rPr>
          <w:rFonts w:ascii="宋体" w:hAnsi="宋体" w:eastAsia="宋体"/>
          <w:u w:val="single"/>
        </w:rPr>
      </w:pPr>
      <w:r>
        <w:rPr>
          <w:rFonts w:hint="eastAsia" w:ascii="宋体" w:hAnsi="宋体" w:eastAsia="宋体"/>
        </w:rPr>
        <w:t>甲方：</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乙方: </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p>
    <w:p w14:paraId="3CF9443C">
      <w:pPr>
        <w:snapToGrid w:val="0"/>
        <w:spacing w:line="300" w:lineRule="auto"/>
        <w:rPr>
          <w:rFonts w:ascii="宋体" w:hAnsi="宋体" w:eastAsia="宋体"/>
        </w:rPr>
      </w:pPr>
      <w:r>
        <w:rPr>
          <w:rFonts w:hint="eastAsia" w:ascii="宋体" w:hAnsi="宋体" w:eastAsia="宋体"/>
        </w:rPr>
        <w:t>住所地：</w:t>
      </w:r>
      <w:r>
        <w:rPr>
          <w:rFonts w:hint="eastAsia" w:ascii="宋体" w:hAnsi="宋体" w:eastAsia="宋体"/>
          <w:u w:val="single"/>
        </w:rPr>
        <w:t xml:space="preserve">                    </w:t>
      </w:r>
      <w:r>
        <w:rPr>
          <w:rFonts w:hint="eastAsia" w:ascii="宋体" w:hAnsi="宋体" w:eastAsia="宋体"/>
        </w:rPr>
        <w:t xml:space="preserve">   住所地：</w:t>
      </w:r>
      <w:r>
        <w:rPr>
          <w:rFonts w:hint="eastAsia" w:ascii="宋体" w:hAnsi="宋体" w:eastAsia="宋体"/>
          <w:u w:val="single"/>
        </w:rPr>
        <w:t xml:space="preserve">                    </w:t>
      </w:r>
    </w:p>
    <w:p w14:paraId="5A2AB335">
      <w:pPr>
        <w:snapToGrid w:val="0"/>
        <w:spacing w:line="300" w:lineRule="auto"/>
        <w:rPr>
          <w:rFonts w:ascii="宋体" w:hAnsi="宋体" w:eastAsia="宋体"/>
        </w:rPr>
      </w:pPr>
      <w:r>
        <w:rPr>
          <w:rFonts w:hint="eastAsia" w:ascii="宋体" w:hAnsi="宋体" w:eastAsia="宋体"/>
        </w:rPr>
        <w:t>法定代表人：</w:t>
      </w:r>
      <w:r>
        <w:rPr>
          <w:rFonts w:hint="eastAsia" w:ascii="宋体" w:hAnsi="宋体" w:eastAsia="宋体"/>
          <w:u w:val="single"/>
        </w:rPr>
        <w:t xml:space="preserve">                </w:t>
      </w:r>
      <w:r>
        <w:rPr>
          <w:rFonts w:hint="eastAsia" w:ascii="宋体" w:hAnsi="宋体" w:eastAsia="宋体"/>
        </w:rPr>
        <w:t xml:space="preserve">   法定代表人：</w:t>
      </w:r>
      <w:r>
        <w:rPr>
          <w:rFonts w:hint="eastAsia" w:ascii="宋体" w:hAnsi="宋体" w:eastAsia="宋体"/>
          <w:u w:val="single"/>
        </w:rPr>
        <w:t xml:space="preserve">                </w:t>
      </w:r>
    </w:p>
    <w:p w14:paraId="2292FFEA">
      <w:pPr>
        <w:snapToGrid w:val="0"/>
        <w:spacing w:line="300" w:lineRule="auto"/>
        <w:rPr>
          <w:rFonts w:ascii="宋体" w:hAnsi="宋体" w:eastAsia="宋体"/>
        </w:rPr>
      </w:pPr>
      <w:r>
        <w:rPr>
          <w:rFonts w:hint="eastAsia" w:ascii="宋体" w:hAnsi="宋体" w:eastAsia="宋体"/>
        </w:rPr>
        <w:t>联系人：</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联系人：</w:t>
      </w:r>
      <w:r>
        <w:rPr>
          <w:rFonts w:hint="eastAsia" w:ascii="宋体" w:hAnsi="宋体" w:eastAsia="宋体"/>
          <w:u w:val="single"/>
        </w:rPr>
        <w:t xml:space="preserve">                    </w:t>
      </w:r>
    </w:p>
    <w:p w14:paraId="26250A0E">
      <w:pPr>
        <w:snapToGrid w:val="0"/>
        <w:spacing w:line="300" w:lineRule="auto"/>
        <w:rPr>
          <w:rFonts w:ascii="宋体" w:hAnsi="宋体" w:eastAsia="宋体"/>
        </w:rPr>
      </w:pPr>
      <w:r>
        <w:rPr>
          <w:rFonts w:hint="eastAsia" w:ascii="宋体" w:hAnsi="宋体" w:eastAsia="宋体"/>
        </w:rPr>
        <w:t>电话：</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电话：</w:t>
      </w:r>
      <w:r>
        <w:rPr>
          <w:rFonts w:hint="eastAsia" w:ascii="宋体" w:hAnsi="宋体" w:eastAsia="宋体"/>
          <w:u w:val="single"/>
        </w:rPr>
        <w:t xml:space="preserve">                      </w:t>
      </w:r>
    </w:p>
    <w:p w14:paraId="3EAA3029">
      <w:pPr>
        <w:snapToGrid w:val="0"/>
        <w:spacing w:line="300" w:lineRule="auto"/>
        <w:rPr>
          <w:rFonts w:ascii="宋体" w:hAnsi="宋体" w:eastAsia="宋体"/>
        </w:rPr>
      </w:pPr>
      <w:r>
        <w:rPr>
          <w:rFonts w:hint="eastAsia" w:ascii="宋体" w:hAnsi="宋体" w:eastAsia="宋体"/>
        </w:rPr>
        <w:t>传真：</w:t>
      </w:r>
      <w:r>
        <w:rPr>
          <w:rFonts w:hint="eastAsia" w:ascii="宋体" w:hAnsi="宋体" w:eastAsia="宋体"/>
          <w:u w:val="single"/>
        </w:rPr>
        <w:t xml:space="preserve">                      </w:t>
      </w:r>
      <w:r>
        <w:rPr>
          <w:rFonts w:hint="eastAsia" w:ascii="宋体" w:hAnsi="宋体" w:eastAsia="宋体"/>
        </w:rPr>
        <w:t xml:space="preserve">   传真：</w:t>
      </w:r>
      <w:r>
        <w:rPr>
          <w:rFonts w:hint="eastAsia" w:ascii="宋体" w:hAnsi="宋体" w:eastAsia="宋体"/>
          <w:u w:val="single"/>
        </w:rPr>
        <w:t xml:space="preserve">                      </w:t>
      </w:r>
    </w:p>
    <w:p w14:paraId="2BAE04E5">
      <w:pPr>
        <w:snapToGrid w:val="0"/>
        <w:spacing w:line="360" w:lineRule="auto"/>
        <w:rPr>
          <w:rFonts w:ascii="宋体" w:hAnsi="宋体" w:eastAsia="宋体"/>
        </w:rPr>
      </w:pPr>
    </w:p>
    <w:p w14:paraId="3B0DED30">
      <w:pPr>
        <w:tabs>
          <w:tab w:val="left" w:pos="0"/>
        </w:tabs>
        <w:snapToGrid w:val="0"/>
        <w:spacing w:line="360" w:lineRule="auto"/>
        <w:rPr>
          <w:rFonts w:ascii="宋体" w:hAnsi="宋体" w:eastAsia="宋体"/>
          <w:b/>
        </w:rPr>
      </w:pPr>
      <w:r>
        <w:rPr>
          <w:rFonts w:hint="eastAsia" w:ascii="宋体" w:hAnsi="宋体" w:eastAsia="宋体"/>
          <w:b/>
        </w:rPr>
        <w:t>第一条 项目基本情况</w:t>
      </w:r>
    </w:p>
    <w:p w14:paraId="2735C429">
      <w:pPr>
        <w:tabs>
          <w:tab w:val="left" w:pos="0"/>
        </w:tabs>
        <w:snapToGrid w:val="0"/>
        <w:spacing w:line="300" w:lineRule="auto"/>
        <w:ind w:firstLine="555"/>
        <w:rPr>
          <w:rFonts w:ascii="宋体" w:hAnsi="宋体" w:eastAsia="宋体"/>
        </w:rPr>
      </w:pPr>
      <w:r>
        <w:rPr>
          <w:rFonts w:hint="eastAsia" w:ascii="宋体" w:hAnsi="宋体" w:eastAsia="宋体"/>
        </w:rPr>
        <w:t>根据友和保险经纪有限公司</w:t>
      </w:r>
      <w:r>
        <w:rPr>
          <w:rFonts w:hint="eastAsia" w:ascii="宋体" w:hAnsi="宋体" w:eastAsia="宋体"/>
          <w:u w:val="single"/>
        </w:rPr>
        <w:t xml:space="preserve">      </w:t>
      </w:r>
      <w:r>
        <w:rPr>
          <w:rFonts w:ascii="宋体" w:hAnsi="宋体" w:eastAsia="宋体"/>
          <w:u w:val="single"/>
        </w:rPr>
        <w:t xml:space="preserve">    </w:t>
      </w:r>
      <w:r>
        <w:rPr>
          <w:rFonts w:hint="eastAsia" w:ascii="宋体" w:hAnsi="宋体" w:eastAsia="宋体"/>
          <w:u w:val="single"/>
        </w:rPr>
        <w:t xml:space="preserve">  </w:t>
      </w:r>
      <w:r>
        <w:rPr>
          <w:rFonts w:hint="eastAsia" w:ascii="宋体" w:hAnsi="宋体" w:eastAsia="宋体"/>
        </w:rPr>
        <w:t>项目（招标编号：</w:t>
      </w:r>
      <w:r>
        <w:rPr>
          <w:rFonts w:ascii="宋体" w:hAnsi="宋体" w:eastAsia="宋体"/>
          <w:u w:val="single"/>
        </w:rPr>
        <w:t xml:space="preserve">   </w:t>
      </w:r>
      <w:r>
        <w:rPr>
          <w:rFonts w:hint="eastAsia" w:ascii="宋体" w:hAnsi="宋体" w:eastAsia="宋体"/>
          <w:u w:val="single"/>
        </w:rPr>
        <w:t xml:space="preserve">  </w:t>
      </w:r>
      <w:r>
        <w:rPr>
          <w:rFonts w:ascii="宋体" w:hAnsi="宋体" w:eastAsia="宋体"/>
          <w:u w:val="single"/>
        </w:rPr>
        <w:t xml:space="preserve"> </w:t>
      </w:r>
      <w:r>
        <w:rPr>
          <w:rFonts w:hint="eastAsia" w:ascii="宋体" w:hAnsi="宋体" w:eastAsia="宋体"/>
          <w:u w:val="single"/>
        </w:rPr>
        <w:t xml:space="preserve"> </w:t>
      </w:r>
      <w:r>
        <w:rPr>
          <w:rFonts w:hint="eastAsia" w:ascii="宋体" w:hAnsi="宋体" w:eastAsia="宋体"/>
        </w:rPr>
        <w:t>）结果，</w:t>
      </w:r>
      <w:r>
        <w:rPr>
          <w:rFonts w:hint="eastAsia" w:ascii="宋体" w:hAnsi="宋体" w:eastAsia="宋体"/>
          <w:u w:val="single"/>
        </w:rPr>
        <w:t xml:space="preserve">        </w:t>
      </w:r>
      <w:r>
        <w:rPr>
          <w:rFonts w:hint="eastAsia" w:ascii="宋体" w:hAnsi="宋体" w:eastAsia="宋体"/>
        </w:rPr>
        <w:t>为中标人。按照《中华人民共和国民法典》（第三编 合同）》和《深圳经济特区政府采购条例》，经</w:t>
      </w:r>
      <w:r>
        <w:rPr>
          <w:rFonts w:hint="eastAsia" w:ascii="宋体" w:hAnsi="宋体" w:eastAsia="宋体"/>
          <w:u w:val="single"/>
        </w:rPr>
        <w:t xml:space="preserve">        </w:t>
      </w:r>
      <w:r>
        <w:rPr>
          <w:rFonts w:hint="eastAsia" w:ascii="宋体" w:hAnsi="宋体" w:eastAsia="宋体"/>
        </w:rPr>
        <w:t>（以下简称甲方）和</w:t>
      </w:r>
      <w:r>
        <w:rPr>
          <w:rFonts w:hint="eastAsia" w:ascii="宋体" w:hAnsi="宋体" w:eastAsia="宋体"/>
          <w:u w:val="single"/>
        </w:rPr>
        <w:t xml:space="preserve">        </w:t>
      </w:r>
      <w:r>
        <w:rPr>
          <w:rFonts w:hint="eastAsia" w:ascii="宋体" w:hAnsi="宋体" w:eastAsia="宋体"/>
        </w:rPr>
        <w:t>（以下简称乙方）协商，达成本合同条款。</w:t>
      </w:r>
    </w:p>
    <w:p w14:paraId="1D9E90D6">
      <w:pPr>
        <w:tabs>
          <w:tab w:val="left" w:pos="0"/>
        </w:tabs>
        <w:snapToGrid w:val="0"/>
        <w:spacing w:line="360" w:lineRule="auto"/>
        <w:rPr>
          <w:rFonts w:ascii="宋体" w:hAnsi="宋体" w:eastAsia="宋体"/>
        </w:rPr>
      </w:pPr>
      <w:r>
        <w:rPr>
          <w:rFonts w:hint="eastAsia" w:ascii="宋体" w:hAnsi="宋体" w:eastAsia="宋体"/>
          <w:b/>
        </w:rPr>
        <w:t>第二条 合同标的内容（标的数量或质量等）</w:t>
      </w:r>
    </w:p>
    <w:p w14:paraId="5B596BF0">
      <w:pPr>
        <w:tabs>
          <w:tab w:val="left" w:pos="0"/>
        </w:tabs>
        <w:snapToGrid w:val="0"/>
        <w:spacing w:line="360" w:lineRule="auto"/>
        <w:rPr>
          <w:rFonts w:ascii="宋体" w:hAnsi="宋体" w:eastAsia="宋体"/>
          <w:b/>
        </w:rPr>
      </w:pPr>
      <w:r>
        <w:rPr>
          <w:rFonts w:hint="eastAsia" w:ascii="宋体" w:hAnsi="宋体" w:eastAsia="宋体"/>
          <w:b/>
        </w:rPr>
        <w:t>第三条 合同价款（金额）</w:t>
      </w:r>
    </w:p>
    <w:p w14:paraId="45425CB8">
      <w:pPr>
        <w:tabs>
          <w:tab w:val="left" w:pos="0"/>
        </w:tabs>
        <w:snapToGrid w:val="0"/>
        <w:spacing w:line="360" w:lineRule="auto"/>
        <w:rPr>
          <w:rFonts w:ascii="宋体" w:hAnsi="宋体" w:eastAsia="宋体"/>
          <w:b/>
        </w:rPr>
      </w:pPr>
      <w:r>
        <w:rPr>
          <w:rFonts w:hint="eastAsia" w:ascii="宋体" w:hAnsi="宋体" w:eastAsia="宋体"/>
          <w:b/>
        </w:rPr>
        <w:t>第四条 项目履约（交付、交货）地点</w:t>
      </w:r>
    </w:p>
    <w:p w14:paraId="5F14C853">
      <w:pPr>
        <w:tabs>
          <w:tab w:val="left" w:pos="0"/>
        </w:tabs>
        <w:snapToGrid w:val="0"/>
        <w:spacing w:line="360" w:lineRule="auto"/>
        <w:ind w:left="-1" w:firstLine="480" w:firstLineChars="200"/>
        <w:rPr>
          <w:rFonts w:ascii="宋体" w:hAnsi="宋体" w:eastAsia="宋体"/>
        </w:rPr>
      </w:pPr>
      <w:r>
        <w:rPr>
          <w:rFonts w:hint="eastAsia" w:ascii="宋体" w:hAnsi="宋体" w:eastAsia="宋体"/>
        </w:rPr>
        <w:t>深圳市</w:t>
      </w:r>
      <w:r>
        <w:rPr>
          <w:rFonts w:hint="eastAsia" w:ascii="宋体" w:hAnsi="宋体" w:eastAsia="宋体"/>
          <w:u w:val="single"/>
        </w:rPr>
        <w:t xml:space="preserve">      </w:t>
      </w:r>
      <w:r>
        <w:rPr>
          <w:rFonts w:hint="eastAsia" w:ascii="宋体" w:hAnsi="宋体" w:eastAsia="宋体"/>
        </w:rPr>
        <w:t>区。</w:t>
      </w:r>
    </w:p>
    <w:p w14:paraId="15F5CE44">
      <w:pPr>
        <w:tabs>
          <w:tab w:val="left" w:pos="0"/>
        </w:tabs>
        <w:snapToGrid w:val="0"/>
        <w:spacing w:line="360" w:lineRule="auto"/>
        <w:rPr>
          <w:rFonts w:ascii="宋体" w:hAnsi="宋体" w:eastAsia="宋体"/>
          <w:b/>
        </w:rPr>
      </w:pPr>
      <w:r>
        <w:rPr>
          <w:rFonts w:hint="eastAsia" w:ascii="宋体" w:hAnsi="宋体" w:eastAsia="宋体"/>
          <w:b/>
        </w:rPr>
        <w:t>第五条 项目服务期（完工期、履约时间、交货时间）</w:t>
      </w:r>
    </w:p>
    <w:p w14:paraId="104EB6B3">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12BF02BC">
      <w:pPr>
        <w:tabs>
          <w:tab w:val="left" w:pos="0"/>
        </w:tabs>
        <w:snapToGrid w:val="0"/>
        <w:spacing w:line="360" w:lineRule="auto"/>
        <w:rPr>
          <w:rFonts w:ascii="宋体" w:hAnsi="宋体" w:eastAsia="宋体"/>
          <w:b/>
        </w:rPr>
      </w:pPr>
      <w:r>
        <w:rPr>
          <w:rFonts w:hint="eastAsia" w:ascii="宋体" w:hAnsi="宋体" w:eastAsia="宋体"/>
          <w:b/>
        </w:rPr>
        <w:t>第六条 付款期限及方式</w:t>
      </w:r>
    </w:p>
    <w:p w14:paraId="3A011B09">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5629CE64">
      <w:pPr>
        <w:tabs>
          <w:tab w:val="left" w:pos="0"/>
        </w:tabs>
        <w:snapToGrid w:val="0"/>
        <w:spacing w:line="360" w:lineRule="auto"/>
        <w:rPr>
          <w:rFonts w:ascii="宋体" w:hAnsi="宋体" w:eastAsia="宋体"/>
          <w:b/>
        </w:rPr>
      </w:pPr>
      <w:r>
        <w:rPr>
          <w:rFonts w:hint="eastAsia" w:ascii="宋体" w:hAnsi="宋体" w:eastAsia="宋体"/>
          <w:b/>
        </w:rPr>
        <w:t>第七条 项目验收标准及方式</w:t>
      </w:r>
    </w:p>
    <w:p w14:paraId="6E40DF00">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5CC39496">
      <w:pPr>
        <w:tabs>
          <w:tab w:val="left" w:pos="0"/>
        </w:tabs>
        <w:snapToGrid w:val="0"/>
        <w:spacing w:line="360" w:lineRule="auto"/>
        <w:rPr>
          <w:rFonts w:ascii="宋体" w:hAnsi="宋体" w:eastAsia="宋体"/>
          <w:b/>
        </w:rPr>
      </w:pPr>
      <w:r>
        <w:rPr>
          <w:rFonts w:hint="eastAsia" w:ascii="宋体" w:hAnsi="宋体" w:eastAsia="宋体"/>
          <w:b/>
        </w:rPr>
        <w:t>第八条 甲方的权利和义务</w:t>
      </w:r>
    </w:p>
    <w:p w14:paraId="2CD13242">
      <w:pPr>
        <w:tabs>
          <w:tab w:val="left" w:pos="0"/>
        </w:tabs>
        <w:snapToGrid w:val="0"/>
        <w:spacing w:line="360" w:lineRule="auto"/>
        <w:rPr>
          <w:rFonts w:ascii="宋体" w:hAnsi="宋体" w:eastAsia="宋体"/>
          <w:b/>
        </w:rPr>
      </w:pPr>
      <w:r>
        <w:rPr>
          <w:rFonts w:hint="eastAsia" w:ascii="宋体" w:hAnsi="宋体" w:eastAsia="宋体"/>
          <w:b/>
        </w:rPr>
        <w:t>第九条 乙方的权利和义务</w:t>
      </w:r>
    </w:p>
    <w:p w14:paraId="34328BC2">
      <w:pPr>
        <w:tabs>
          <w:tab w:val="left" w:pos="0"/>
        </w:tabs>
        <w:snapToGrid w:val="0"/>
        <w:spacing w:line="360" w:lineRule="auto"/>
        <w:rPr>
          <w:rFonts w:ascii="宋体" w:hAnsi="宋体" w:eastAsia="宋体"/>
          <w:b/>
        </w:rPr>
      </w:pPr>
      <w:r>
        <w:rPr>
          <w:rFonts w:hint="eastAsia" w:ascii="宋体" w:hAnsi="宋体" w:eastAsia="宋体"/>
          <w:b/>
        </w:rPr>
        <w:t>第十条 违约责任与争议解决办法</w:t>
      </w:r>
    </w:p>
    <w:p w14:paraId="0809DBE1">
      <w:pPr>
        <w:tabs>
          <w:tab w:val="left" w:pos="0"/>
        </w:tabs>
        <w:snapToGrid w:val="0"/>
        <w:spacing w:line="360" w:lineRule="auto"/>
        <w:ind w:firstLine="480" w:firstLineChars="200"/>
        <w:rPr>
          <w:rFonts w:ascii="宋体" w:hAnsi="宋体" w:eastAsia="宋体"/>
        </w:rPr>
      </w:pPr>
      <w:r>
        <w:rPr>
          <w:rFonts w:hint="eastAsia" w:ascii="宋体" w:hAnsi="宋体" w:eastAsia="宋体"/>
        </w:rPr>
        <w:t>1、合同双方之任何一方不能全面履行合同条款，均属违约。违约所造成的经济损失概由违约方承担赔偿。违约造成工期延误责任分担：甲方违约，工期相应顺延；乙方违约，工期不得顺延。</w:t>
      </w:r>
    </w:p>
    <w:p w14:paraId="65C96A7A">
      <w:pPr>
        <w:tabs>
          <w:tab w:val="left" w:pos="0"/>
        </w:tabs>
        <w:snapToGrid w:val="0"/>
        <w:spacing w:line="360" w:lineRule="auto"/>
        <w:ind w:firstLine="480" w:firstLineChars="200"/>
        <w:rPr>
          <w:rFonts w:ascii="宋体" w:hAnsi="宋体" w:eastAsia="宋体"/>
        </w:rPr>
      </w:pPr>
      <w:r>
        <w:rPr>
          <w:rFonts w:hint="eastAsia" w:ascii="宋体" w:hAnsi="宋体" w:eastAsia="宋体"/>
        </w:rPr>
        <w:t>2、协商或仲裁：如果发生与本合同的解释或执行中的有关争议，双方首先应通过友好协商解决，否则任何一方可将该争议提交仲裁。仲裁事项应提交深圳仲裁委员会进行裁决。</w:t>
      </w:r>
    </w:p>
    <w:p w14:paraId="3378DD01">
      <w:pPr>
        <w:tabs>
          <w:tab w:val="left" w:pos="0"/>
        </w:tabs>
        <w:snapToGrid w:val="0"/>
        <w:spacing w:line="360" w:lineRule="auto"/>
        <w:rPr>
          <w:rFonts w:ascii="宋体" w:hAnsi="宋体" w:eastAsia="宋体"/>
        </w:rPr>
      </w:pPr>
      <w:r>
        <w:rPr>
          <w:rFonts w:hint="eastAsia" w:ascii="宋体" w:hAnsi="宋体" w:eastAsia="宋体"/>
        </w:rPr>
        <w:t>……。</w:t>
      </w:r>
    </w:p>
    <w:p w14:paraId="5FF5DE4F">
      <w:pPr>
        <w:tabs>
          <w:tab w:val="left" w:pos="0"/>
        </w:tabs>
        <w:snapToGrid w:val="0"/>
        <w:spacing w:line="360" w:lineRule="auto"/>
        <w:rPr>
          <w:rFonts w:ascii="宋体" w:hAnsi="宋体" w:eastAsia="宋体"/>
          <w:b/>
        </w:rPr>
      </w:pPr>
      <w:r>
        <w:rPr>
          <w:rFonts w:hint="eastAsia" w:ascii="宋体" w:hAnsi="宋体" w:eastAsia="宋体"/>
          <w:b/>
        </w:rPr>
        <w:t>第十一条 知识产权、保密或其他事项要求</w:t>
      </w:r>
    </w:p>
    <w:p w14:paraId="38E836F3">
      <w:pPr>
        <w:tabs>
          <w:tab w:val="left" w:pos="0"/>
        </w:tabs>
        <w:snapToGrid w:val="0"/>
        <w:spacing w:line="360" w:lineRule="auto"/>
        <w:ind w:firstLine="480" w:firstLineChars="200"/>
        <w:rPr>
          <w:rFonts w:ascii="宋体" w:hAnsi="宋体" w:eastAsia="宋体"/>
        </w:rPr>
      </w:pPr>
      <w:r>
        <w:rPr>
          <w:rFonts w:hint="eastAsia" w:ascii="宋体" w:hAnsi="宋体" w:eastAsia="宋体"/>
        </w:rPr>
        <w:t>1、除政府采购合同继续履行将损害国家利益和社会公共利益外，双方不得擅自变更、中止或者终止合同。</w:t>
      </w:r>
    </w:p>
    <w:p w14:paraId="6599939A">
      <w:pPr>
        <w:tabs>
          <w:tab w:val="left" w:pos="0"/>
        </w:tabs>
        <w:snapToGrid w:val="0"/>
        <w:spacing w:line="360" w:lineRule="auto"/>
        <w:ind w:firstLine="480" w:firstLineChars="200"/>
        <w:rPr>
          <w:rFonts w:ascii="宋体" w:hAnsi="宋体" w:eastAsia="宋体"/>
        </w:rPr>
      </w:pPr>
      <w:r>
        <w:rPr>
          <w:rFonts w:hint="eastAsia" w:ascii="宋体" w:hAnsi="宋体" w:eastAsia="宋体"/>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14:paraId="236269BF">
      <w:pPr>
        <w:tabs>
          <w:tab w:val="left" w:pos="0"/>
        </w:tabs>
        <w:snapToGrid w:val="0"/>
        <w:spacing w:line="360" w:lineRule="auto"/>
        <w:rPr>
          <w:rFonts w:ascii="宋体" w:hAnsi="宋体" w:eastAsia="宋体"/>
        </w:rPr>
      </w:pPr>
      <w:r>
        <w:rPr>
          <w:rFonts w:hint="eastAsia" w:ascii="宋体" w:hAnsi="宋体" w:eastAsia="宋体"/>
        </w:rPr>
        <w:t>……。</w:t>
      </w:r>
    </w:p>
    <w:p w14:paraId="6ADC5E3C">
      <w:pPr>
        <w:tabs>
          <w:tab w:val="left" w:pos="0"/>
        </w:tabs>
        <w:snapToGrid w:val="0"/>
        <w:spacing w:line="360" w:lineRule="auto"/>
        <w:rPr>
          <w:rFonts w:ascii="宋体" w:hAnsi="宋体" w:eastAsia="宋体"/>
          <w:b/>
        </w:rPr>
      </w:pPr>
      <w:r>
        <w:rPr>
          <w:rFonts w:hint="eastAsia" w:ascii="宋体" w:hAnsi="宋体" w:eastAsia="宋体"/>
          <w:b/>
        </w:rPr>
        <w:t>第十二条 附件（附录）</w:t>
      </w:r>
      <w:r>
        <w:rPr>
          <w:rFonts w:hint="eastAsia" w:ascii="宋体" w:hAnsi="宋体" w:eastAsia="宋体"/>
        </w:rPr>
        <w:t>（如有，可填写，并附相关内容）</w:t>
      </w:r>
    </w:p>
    <w:p w14:paraId="71A9B5A5">
      <w:pPr>
        <w:tabs>
          <w:tab w:val="left" w:pos="0"/>
        </w:tabs>
        <w:snapToGrid w:val="0"/>
        <w:spacing w:line="360" w:lineRule="auto"/>
        <w:rPr>
          <w:rFonts w:ascii="宋体" w:hAnsi="宋体" w:eastAsia="宋体"/>
        </w:rPr>
      </w:pPr>
      <w:r>
        <w:rPr>
          <w:rFonts w:hint="eastAsia" w:ascii="宋体" w:hAnsi="宋体" w:eastAsia="宋体"/>
        </w:rPr>
        <w:t>……。</w:t>
      </w:r>
    </w:p>
    <w:p w14:paraId="1A487F27">
      <w:pPr>
        <w:snapToGrid w:val="0"/>
        <w:spacing w:line="360" w:lineRule="auto"/>
        <w:ind w:firstLine="200"/>
        <w:rPr>
          <w:rFonts w:ascii="宋体" w:hAnsi="宋体" w:eastAsia="宋体"/>
        </w:rPr>
      </w:pPr>
    </w:p>
    <w:p w14:paraId="70931D0C">
      <w:pPr>
        <w:snapToGrid w:val="0"/>
        <w:spacing w:line="360" w:lineRule="auto"/>
        <w:rPr>
          <w:rFonts w:ascii="宋体" w:hAnsi="宋体" w:eastAsia="宋体"/>
        </w:rPr>
      </w:pPr>
      <w:r>
        <w:rPr>
          <w:rFonts w:ascii="宋体" w:hAnsi="宋体" w:eastAsia="宋体"/>
        </w:rPr>
        <w:t>甲方（公章）</w:t>
      </w:r>
      <w:r>
        <w:rPr>
          <w:rFonts w:hint="eastAsia" w:ascii="宋体" w:hAnsi="宋体" w:eastAsia="宋体"/>
        </w:rPr>
        <w:t xml:space="preserve">： </w:t>
      </w:r>
      <w:r>
        <w:rPr>
          <w:rFonts w:ascii="宋体" w:hAnsi="宋体" w:eastAsia="宋体"/>
        </w:rPr>
        <w:t xml:space="preserve">                           乙方（公章）</w:t>
      </w:r>
      <w:r>
        <w:rPr>
          <w:rFonts w:hint="eastAsia" w:ascii="宋体" w:hAnsi="宋体" w:eastAsia="宋体"/>
        </w:rPr>
        <w:t>：</w:t>
      </w:r>
    </w:p>
    <w:p w14:paraId="6C4613D8">
      <w:pPr>
        <w:snapToGrid w:val="0"/>
        <w:spacing w:line="360" w:lineRule="auto"/>
        <w:rPr>
          <w:rFonts w:ascii="宋体" w:hAnsi="宋体" w:eastAsia="宋体"/>
        </w:rPr>
      </w:pPr>
      <w:r>
        <w:rPr>
          <w:rFonts w:ascii="宋体" w:hAnsi="宋体" w:eastAsia="宋体"/>
        </w:rPr>
        <w:t>法定代表人（签章）</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法定代表人（签章）</w:t>
      </w:r>
    </w:p>
    <w:p w14:paraId="2BD883ED">
      <w:pPr>
        <w:snapToGrid w:val="0"/>
        <w:spacing w:line="360" w:lineRule="auto"/>
        <w:rPr>
          <w:rFonts w:ascii="宋体" w:hAnsi="宋体" w:eastAsia="宋体"/>
        </w:rPr>
      </w:pPr>
      <w:r>
        <w:rPr>
          <w:rFonts w:ascii="宋体" w:hAnsi="宋体" w:eastAsia="宋体"/>
        </w:rPr>
        <w:t>或授权代表：</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或授权代表：</w:t>
      </w:r>
    </w:p>
    <w:p w14:paraId="111BE365">
      <w:pPr>
        <w:snapToGrid w:val="0"/>
        <w:spacing w:line="360" w:lineRule="auto"/>
        <w:rPr>
          <w:rFonts w:ascii="宋体" w:hAnsi="宋体" w:eastAsia="宋体"/>
        </w:rPr>
      </w:pPr>
      <w:r>
        <w:rPr>
          <w:rFonts w:hint="eastAsia" w:ascii="宋体" w:hAnsi="宋体" w:eastAsia="宋体"/>
        </w:rPr>
        <w:t xml:space="preserve">日期： </w:t>
      </w:r>
      <w:r>
        <w:rPr>
          <w:rFonts w:ascii="宋体" w:hAnsi="宋体" w:eastAsia="宋体"/>
        </w:rPr>
        <w:t xml:space="preserve">   年   月   日     </w:t>
      </w:r>
      <w:r>
        <w:rPr>
          <w:rFonts w:ascii="宋体" w:hAnsi="宋体" w:eastAsia="宋体"/>
        </w:rPr>
        <w:tab/>
      </w:r>
      <w:r>
        <w:rPr>
          <w:rFonts w:ascii="宋体" w:hAnsi="宋体" w:eastAsia="宋体"/>
        </w:rPr>
        <w:tab/>
      </w:r>
      <w:r>
        <w:rPr>
          <w:rFonts w:ascii="宋体" w:hAnsi="宋体" w:eastAsia="宋体"/>
        </w:rPr>
        <w:tab/>
      </w:r>
      <w:r>
        <w:rPr>
          <w:rFonts w:hint="eastAsia" w:ascii="宋体" w:hAnsi="宋体" w:eastAsia="宋体"/>
        </w:rPr>
        <w:t xml:space="preserve">日期： </w:t>
      </w:r>
      <w:r>
        <w:rPr>
          <w:rFonts w:ascii="宋体" w:hAnsi="宋体" w:eastAsia="宋体"/>
        </w:rPr>
        <w:t xml:space="preserve">   年   月   日</w:t>
      </w:r>
    </w:p>
    <w:p w14:paraId="352BDE52">
      <w:pPr>
        <w:rPr>
          <w:rFonts w:ascii="宋体" w:hAnsi="宋体"/>
          <w:color w:val="000000" w:themeColor="text1"/>
          <w:szCs w:val="21"/>
          <w14:textFill>
            <w14:solidFill>
              <w14:schemeClr w14:val="tx1"/>
            </w14:solidFill>
          </w14:textFill>
        </w:rPr>
      </w:pPr>
    </w:p>
    <w:p w14:paraId="58F46C29">
      <w:pPr>
        <w:pStyle w:val="7"/>
      </w:pPr>
    </w:p>
    <w:p w14:paraId="4A7B817E"/>
    <w:p w14:paraId="2BD0BB59">
      <w:pPr>
        <w:pStyle w:val="7"/>
      </w:pPr>
    </w:p>
    <w:p w14:paraId="70C66931"/>
    <w:p w14:paraId="7A38EE17">
      <w:pPr>
        <w:pStyle w:val="7"/>
      </w:pPr>
    </w:p>
    <w:p w14:paraId="26FAA3B0"/>
    <w:p w14:paraId="51FAB86E">
      <w:pPr>
        <w:pStyle w:val="7"/>
      </w:pPr>
    </w:p>
    <w:p w14:paraId="757F6A4E"/>
    <w:p w14:paraId="3EBC08A6">
      <w:pPr>
        <w:pStyle w:val="7"/>
      </w:pPr>
    </w:p>
    <w:p w14:paraId="618C65D9"/>
    <w:p w14:paraId="0C86A743">
      <w:pPr>
        <w:pStyle w:val="7"/>
      </w:pPr>
    </w:p>
    <w:p w14:paraId="38D2F388"/>
    <w:p w14:paraId="23F03C03">
      <w:pPr>
        <w:pStyle w:val="7"/>
      </w:pPr>
    </w:p>
    <w:p w14:paraId="7171BBA6"/>
    <w:p w14:paraId="0734973C"/>
    <w:p w14:paraId="3828A319">
      <w:pPr>
        <w:pStyle w:val="7"/>
      </w:pPr>
    </w:p>
    <w:p w14:paraId="1436A974">
      <w:pPr>
        <w:pStyle w:val="6"/>
        <w:spacing w:before="120" w:beforeLines="50" w:after="120" w:afterLines="50"/>
        <w:ind w:left="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第二册  通用条款（公开招标）</w:t>
      </w:r>
    </w:p>
    <w:p w14:paraId="7CEFFEC9">
      <w:pPr>
        <w:pStyle w:val="6"/>
        <w:numPr>
          <w:ilvl w:val="0"/>
          <w:numId w:val="3"/>
        </w:numPr>
        <w:spacing w:before="120" w:beforeLines="50" w:after="120" w:afterLines="50"/>
        <w:ind w:left="562" w:hanging="562"/>
        <w:rPr>
          <w:color w:val="000000" w:themeColor="text1"/>
          <w:sz w:val="28"/>
          <w:szCs w:val="28"/>
          <w14:textFill>
            <w14:solidFill>
              <w14:schemeClr w14:val="tx1"/>
            </w14:solidFill>
          </w14:textFill>
        </w:rPr>
      </w:pPr>
      <w:bookmarkStart w:id="46" w:name="_Hlk72399513"/>
      <w:r>
        <w:rPr>
          <w:rFonts w:hint="eastAsia"/>
          <w:color w:val="000000" w:themeColor="text1"/>
          <w:sz w:val="28"/>
          <w:szCs w:val="28"/>
          <w14:textFill>
            <w14:solidFill>
              <w14:schemeClr w14:val="tx1"/>
            </w14:solidFill>
          </w14:textFill>
        </w:rPr>
        <w:t>总则</w:t>
      </w:r>
    </w:p>
    <w:bookmarkEnd w:id="46"/>
    <w:p w14:paraId="591090D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 通用条款说明</w:t>
      </w:r>
    </w:p>
    <w:p w14:paraId="524A87D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w:t>
      </w:r>
      <w:bookmarkStart w:id="47" w:name="_Hlk72399729"/>
      <w:r>
        <w:rPr>
          <w:rFonts w:hint="eastAsia" w:ascii="宋体" w:hAnsi="宋体"/>
          <w:color w:val="000000" w:themeColor="text1"/>
          <w:szCs w:val="21"/>
          <w14:textFill>
            <w14:solidFill>
              <w14:schemeClr w14:val="tx1"/>
            </w14:solidFill>
          </w14:textFill>
        </w:rPr>
        <w:t>采购机构可以对通用条款的内容进行补充。</w:t>
      </w:r>
      <w:bookmarkEnd w:id="47"/>
    </w:p>
    <w:p w14:paraId="3947819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1.2招标文件分为第一册“专用条款”和第二册“通用条款”。</w:t>
      </w:r>
    </w:p>
    <w:p w14:paraId="40190E7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1.3“专用条款”是对本次采购项目的具体要求，包含招标公告、对通用条款的补充内容及其他关键信息、用户需求书、投标文件格式及附件、合同条款及格式等内容。</w:t>
      </w:r>
    </w:p>
    <w:p w14:paraId="28A4FED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1.4“通用条款”是适用于政府采购公开招标项目的基础性条款，具有普遍性和通用性。</w:t>
      </w:r>
    </w:p>
    <w:p w14:paraId="25FD0B2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 “专用条款”和“通用条款”表述不一致或有冲突时，以“专用条款”为准。</w:t>
      </w:r>
    </w:p>
    <w:p w14:paraId="7C7655E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招标说明</w:t>
      </w:r>
    </w:p>
    <w:p w14:paraId="366428A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本项目按照《深圳经济特区政府采购条例》、《深圳经济特区政府采购条例实施细则》及政府采购其他法律法规，通过公开招标方式确定中标供应商。</w:t>
      </w:r>
    </w:p>
    <w:p w14:paraId="2EF5CF9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3．定义</w:t>
      </w:r>
    </w:p>
    <w:p w14:paraId="7BB01F20">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招标文件中下列术语应解释为：</w:t>
      </w:r>
    </w:p>
    <w:p w14:paraId="5DBDDCF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“采购人”：指利用财政性资金依法进行政府采购的国家机关、事业单位、团体组织；</w:t>
      </w:r>
    </w:p>
    <w:p w14:paraId="5BB554C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”系指根据采购人的委托，代理政府采购事宜的机构，在此特指拥有采购代理资格的</w:t>
      </w:r>
      <w:r>
        <w:rPr>
          <w:rFonts w:hint="eastAsia" w:ascii="宋体" w:hAnsi="宋体"/>
          <w:b/>
          <w:bCs/>
          <w:color w:val="000000" w:themeColor="text1"/>
          <w:szCs w:val="21"/>
          <w14:textFill>
            <w14:solidFill>
              <w14:schemeClr w14:val="tx1"/>
            </w14:solidFill>
          </w14:textFill>
        </w:rPr>
        <w:t>友和保险经纪有限公司</w:t>
      </w:r>
      <w:r>
        <w:rPr>
          <w:rFonts w:hint="eastAsia" w:ascii="宋体" w:hAnsi="宋体"/>
          <w:color w:val="000000" w:themeColor="text1"/>
          <w:szCs w:val="21"/>
          <w14:textFill>
            <w14:solidFill>
              <w14:schemeClr w14:val="tx1"/>
            </w14:solidFill>
          </w14:textFill>
        </w:rPr>
        <w:t>；</w:t>
      </w:r>
    </w:p>
    <w:p w14:paraId="47CD7B4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3.3“投标人”，即供应商，指参加投标竞争并愿意按照招标文件要求向采购人提供货物、工程或者服务的依法成立的法人、其他组织或者自然人；</w:t>
      </w:r>
    </w:p>
    <w:p w14:paraId="7E6C2BD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3.4“评审委员会”是依据《深圳经济特区政府采购条例》、《深圳经济特区政府采购条例实施细则》等有关规定组建的专门负责本次招标其评审工作的临时性机构；</w:t>
      </w:r>
    </w:p>
    <w:p w14:paraId="14CC404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3.5“日期”</w:t>
      </w:r>
      <w:r>
        <w:rPr>
          <w:rFonts w:ascii="宋体" w:hAnsi="宋体"/>
          <w:color w:val="000000" w:themeColor="text1"/>
          <w:szCs w:val="21"/>
          <w14:textFill>
            <w14:solidFill>
              <w14:schemeClr w14:val="tx1"/>
            </w14:solidFill>
          </w14:textFill>
        </w:rPr>
        <w:t>指</w:t>
      </w:r>
      <w:r>
        <w:rPr>
          <w:rFonts w:hint="eastAsia" w:ascii="宋体" w:hAnsi="宋体"/>
          <w:color w:val="000000" w:themeColor="text1"/>
          <w:szCs w:val="21"/>
          <w14:textFill>
            <w14:solidFill>
              <w14:schemeClr w14:val="tx1"/>
            </w14:solidFill>
          </w14:textFill>
        </w:rPr>
        <w:t>公历日；</w:t>
      </w:r>
    </w:p>
    <w:p w14:paraId="550298D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3.6“合同”指由本次招标所产生的合同或合约文件；</w:t>
      </w:r>
    </w:p>
    <w:p w14:paraId="3354E7E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3.7“电子投标文件”指利用</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网站提供的</w:t>
      </w:r>
      <w:r>
        <w:rPr>
          <w:rFonts w:hint="eastAsia" w:ascii="宋体" w:hAnsi="宋体"/>
          <w:color w:val="000000" w:themeColor="text1"/>
          <w14:textFill>
            <w14:solidFill>
              <w14:schemeClr w14:val="tx1"/>
            </w14:solidFill>
          </w14:textFill>
        </w:rPr>
        <w:t>深圳智慧采购平台投标文件制作专用软件（以下简称：投标文件制作软件）制作并</w:t>
      </w:r>
      <w:r>
        <w:rPr>
          <w:rFonts w:hint="eastAsia" w:ascii="宋体" w:hAnsi="宋体"/>
          <w:color w:val="000000" w:themeColor="text1"/>
          <w:szCs w:val="21"/>
          <w14:textFill>
            <w14:solidFill>
              <w14:schemeClr w14:val="tx1"/>
            </w14:solidFill>
          </w14:textFill>
        </w:rPr>
        <w:t>加密的投标文件,适用于网上投标；（投标文件制作软件可从</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下载）；</w:t>
      </w:r>
    </w:p>
    <w:p w14:paraId="67C4507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3.8“网上投标”指通过</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网站上传电子投标文件；</w:t>
      </w:r>
    </w:p>
    <w:p w14:paraId="72CFA2B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3.9招标文件中的标题或题名仅起引导作用，而不应视为对招标文件内容的理解和解释。</w:t>
      </w:r>
    </w:p>
    <w:p w14:paraId="6F5378A0">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 xml:space="preserve">4. </w:t>
      </w:r>
      <w:bookmarkStart w:id="48" w:name="_Hlk72398643"/>
      <w:r>
        <w:rPr>
          <w:rFonts w:hint="eastAsia" w:ascii="黑体" w:hAnsi="宋体" w:eastAsia="黑体"/>
          <w:color w:val="000000" w:themeColor="text1"/>
          <w14:textFill>
            <w14:solidFill>
              <w14:schemeClr w14:val="tx1"/>
            </w14:solidFill>
          </w14:textFill>
        </w:rPr>
        <w:t>政府采购供应商责任</w:t>
      </w:r>
    </w:p>
    <w:p w14:paraId="46383A9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4.1欢迎诚信、有实力和有社会责任心的供应商参与政府采购事业。</w:t>
      </w:r>
    </w:p>
    <w:p w14:paraId="72EB4C1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4.2投标人应当遵循公平竞争的原则，不得恶意串通，不得妨碍其他投标人的竞争行为，不得损害采购人或者其他投标人的合法权益。如违反上述要求，经核实后，供应商的投标无效。</w:t>
      </w:r>
    </w:p>
    <w:p w14:paraId="23C76B9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5．投标人参加政府采购的条件</w:t>
      </w:r>
    </w:p>
    <w:p w14:paraId="4E5AEF9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5.1投标人应在投标前到</w:t>
      </w:r>
      <w:r>
        <w:rPr>
          <w:rFonts w:hint="eastAsia" w:ascii="宋体" w:hAnsi="宋体"/>
          <w:b/>
          <w:bCs/>
          <w:color w:val="000000" w:themeColor="text1"/>
          <w:szCs w:val="21"/>
          <w14:textFill>
            <w14:solidFill>
              <w14:schemeClr w14:val="tx1"/>
            </w14:solidFill>
          </w14:textFill>
        </w:rPr>
        <w:t>深圳公共资源交易中心（具体在深圳交易集团有限公司政府采购业务分公司进行办理）</w:t>
      </w:r>
      <w:r>
        <w:rPr>
          <w:rFonts w:hint="eastAsia" w:ascii="宋体" w:hAnsi="宋体"/>
          <w:color w:val="000000" w:themeColor="text1"/>
          <w:szCs w:val="21"/>
          <w14:textFill>
            <w14:solidFill>
              <w14:schemeClr w14:val="tx1"/>
            </w14:solidFill>
          </w14:textFill>
        </w:rPr>
        <w:t>进行注册并办理电子密钥。《</w:t>
      </w:r>
      <w:r>
        <w:fldChar w:fldCharType="begin"/>
      </w:r>
      <w:r>
        <w:instrText xml:space="preserve"> HYPERLINK "http://www.szzfcg.cn/viewer.do?id=2455258" \t "documentViewer2455258" </w:instrText>
      </w:r>
      <w:r>
        <w:fldChar w:fldCharType="separate"/>
      </w:r>
      <w:r>
        <w:rPr>
          <w:rFonts w:ascii="宋体" w:hAnsi="宋体"/>
          <w:color w:val="000000" w:themeColor="text1"/>
          <w:szCs w:val="21"/>
          <w14:textFill>
            <w14:solidFill>
              <w14:schemeClr w14:val="tx1"/>
            </w14:solidFill>
          </w14:textFill>
        </w:rPr>
        <w:t>供应商注册及电子密钥新申请指引</w:t>
      </w:r>
      <w:r>
        <w:rPr>
          <w:rFonts w:ascii="宋体" w:hAnsi="宋体"/>
          <w:color w:val="000000" w:themeColor="text1"/>
          <w:szCs w:val="21"/>
          <w14:textFill>
            <w14:solidFill>
              <w14:schemeClr w14:val="tx1"/>
            </w14:solidFill>
          </w14:textFill>
        </w:rPr>
        <w:fldChar w:fldCharType="end"/>
      </w:r>
      <w:r>
        <w:rPr>
          <w:rFonts w:hint="eastAsia" w:ascii="宋体" w:hAnsi="宋体"/>
          <w:color w:val="000000" w:themeColor="text1"/>
          <w:szCs w:val="21"/>
          <w14:textFill>
            <w14:solidFill>
              <w14:schemeClr w14:val="tx1"/>
            </w14:solidFill>
          </w14:textFill>
        </w:rPr>
        <w:t>》详见http://zfcg.szggzy.com:8081/。</w:t>
      </w:r>
    </w:p>
    <w:p w14:paraId="50FB2AD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5.2投标人资格要求</w:t>
      </w:r>
    </w:p>
    <w:p w14:paraId="0F18BD6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参加本项目的投标人应具备的资格条件详见本项目招标公告中 “投标人资格要求”（即申请人的资格要求）的内容。</w:t>
      </w:r>
    </w:p>
    <w:p w14:paraId="1ADD60E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5.3联合体投标</w:t>
      </w:r>
    </w:p>
    <w:p w14:paraId="5A6E242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5.3.1以下有关联合体投标的条款仅适用于允许投标人组成联合体投标的项目。</w:t>
      </w:r>
    </w:p>
    <w:p w14:paraId="62FC137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5.3.2由两个或两个以上的自然人、法人或者其他组织可以组成一个联合体，以一个供应商的身份共同投标时，应符合以下原则：</w:t>
      </w:r>
    </w:p>
    <w:p w14:paraId="6A0549A2">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（1）投标联合体各方参加政府采购活动应当具备下列条件：</w:t>
      </w:r>
    </w:p>
    <w:p w14:paraId="0EFFDC82">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1、具有独立承担民事责任的能力；</w:t>
      </w:r>
    </w:p>
    <w:p w14:paraId="4DD471FF">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2、有良好的商业信誉和健全的财务会计制度；</w:t>
      </w:r>
    </w:p>
    <w:p w14:paraId="54E87EE0">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3、具有履行合同所必需的设备和专业技术能力；</w:t>
      </w:r>
    </w:p>
    <w:p w14:paraId="207F7276">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4、有依法缴纳税收和社会保障资金的良好记录；</w:t>
      </w:r>
    </w:p>
    <w:p w14:paraId="481543C2">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5、参加政府采购活动前三年内，在经营活动中没有重大违法记录；</w:t>
      </w:r>
    </w:p>
    <w:p w14:paraId="5E27210C">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6、法律、行政法规规定的其他条件。</w:t>
      </w:r>
    </w:p>
    <w:p w14:paraId="3FDF89C2">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（2）在投标截止前，投标联合体各方均应注册成</w:t>
      </w:r>
      <w:r>
        <w:rPr>
          <w:rFonts w:hint="eastAsia" w:ascii="宋体" w:hAnsi="宋体" w:eastAsia="宋体"/>
          <w:color w:val="000000" w:themeColor="text1"/>
          <w:lang w:eastAsia="zh-CN"/>
          <w14:textFill>
            <w14:solidFill>
              <w14:schemeClr w14:val="tx1"/>
            </w14:solidFill>
          </w14:textFill>
        </w:rPr>
        <w:t>政府采购</w:t>
      </w:r>
      <w:r>
        <w:rPr>
          <w:rFonts w:hint="eastAsia" w:ascii="宋体" w:hAnsi="宋体"/>
          <w:color w:val="000000" w:themeColor="text1"/>
          <w14:textFill>
            <w14:solidFill>
              <w14:schemeClr w14:val="tx1"/>
            </w14:solidFill>
          </w14:textFill>
        </w:rPr>
        <w:t>供应商；</w:t>
      </w:r>
    </w:p>
    <w:p w14:paraId="7FF8E0B9">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（3）联合体中有同类资质的供应商按照联合体分工承担相同工作的，应当按照资质等级较低的供应商确定资质等级；</w:t>
      </w:r>
    </w:p>
    <w:p w14:paraId="57E3B902">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（4）是否允许联合体参加投标，应当由采购人和采购代理机构根据项目的实际情况和潜在供应商的数量自主决定，如果决定接受联合体投标则应当在招标公告中明示；</w:t>
      </w:r>
    </w:p>
    <w:p w14:paraId="300CB03B">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（5）投标人的投标文件及中标后签署的合同协议对联合体各方均具法律约束力；</w:t>
      </w:r>
    </w:p>
    <w:p w14:paraId="370E9C1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（6）联合体各方应当签订联合体投标协议，明确约定各方拟承担的工作和责任，并将该协议随投标文件一并递交给</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w:t>
      </w:r>
    </w:p>
    <w:p w14:paraId="25D8E47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（7）联合体中标后，联合体各方应当共同与采购人签订合同，就中标项目向采购人承担连带责任；</w:t>
      </w:r>
    </w:p>
    <w:p w14:paraId="2CACF52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5722359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（9）本通用条款中“投标人”一词亦指联合体各方，专用条款另有规定或说明的除外。</w:t>
      </w:r>
    </w:p>
    <w:p w14:paraId="577E484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6．政策导向</w:t>
      </w:r>
    </w:p>
    <w:p w14:paraId="22E741C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6.1政府采购扶持贫困地区、中小企业、监狱企业和残疾人福利性单位发展，支持节能减排、环境保护。</w:t>
      </w:r>
    </w:p>
    <w:p w14:paraId="16A01ABD">
      <w:pPr>
        <w:ind w:firstLine="405"/>
        <w:rPr>
          <w:color w:val="000000" w:themeColor="text1"/>
          <w:shd w:val="clear" w:color="auto" w:fill="FFFFFF"/>
          <w14:textFill>
            <w14:solidFill>
              <w14:schemeClr w14:val="tx1"/>
            </w14:solidFill>
          </w14:textFill>
        </w:rPr>
      </w:pPr>
      <w:r>
        <w:rPr>
          <w:rFonts w:hint="eastAsia" w:ascii="宋体" w:hAnsi="宋体"/>
          <w:color w:val="000000" w:themeColor="text1"/>
          <w14:textFill>
            <w14:solidFill>
              <w14:schemeClr w14:val="tx1"/>
            </w14:solidFill>
          </w14:textFill>
        </w:rPr>
        <w:t>6.2本项目落实深圳市政府采购供应商诚信管理政策要求。</w:t>
      </w:r>
    </w:p>
    <w:p w14:paraId="289CDF3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 本项目若涉及采购货物，则合格的货物及相应服务应满足以下要求：</w:t>
      </w:r>
    </w:p>
    <w:p w14:paraId="0EEDFA8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必须是全新、未使用过的原装合格正品（包括零部件），如安装或配置了软件的，须为正版软件。</w:t>
      </w:r>
    </w:p>
    <w:p w14:paraId="69A865C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7.2国产的货物及其有关服务必须符合中华人民共和国的设计、制造生产标准及行业标准。招标公告有其他要求的，亦应符合其要求。</w:t>
      </w:r>
    </w:p>
    <w:p w14:paraId="010BA62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0B371AEC">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4投标人</w:t>
      </w:r>
      <w:bookmarkStart w:id="49" w:name="_Hlk72152753"/>
      <w:r>
        <w:rPr>
          <w:rFonts w:hint="eastAsia" w:ascii="宋体" w:hAnsi="宋体"/>
          <w:color w:val="000000" w:themeColor="text1"/>
          <w14:textFill>
            <w14:solidFill>
              <w14:schemeClr w14:val="tx1"/>
            </w14:solidFill>
          </w14:textFill>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9"/>
    </w:p>
    <w:p w14:paraId="6D6938C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7.5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96AC42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7.6工期要求：投标人在投标时对其所投项目应提交交货进度、交货计划等，在合同规定的时间内完成项目实施工作。</w:t>
      </w:r>
    </w:p>
    <w:p w14:paraId="0AA8A702">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7.7投标人必须承担的设备运输、安装调试、验收检测和提供设备操作说明书、图纸等其他相关及类似的义务。</w:t>
      </w:r>
    </w:p>
    <w:p w14:paraId="3F62062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8．投标费用</w:t>
      </w:r>
    </w:p>
    <w:p w14:paraId="6CE2C17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不论投标结果如何，投标人应承担其编制投标文件与递交投标文件所涉及的一切费用。</w:t>
      </w:r>
    </w:p>
    <w:p w14:paraId="7C2CC99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9．踏勘现场</w:t>
      </w:r>
    </w:p>
    <w:p w14:paraId="397459A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9.1如有需要（详见专用条款），采购人或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将组织投标人对项目现场及周围环境进行踏勘，以便投标人获取有关编制投标文件和签署合同所需的资料。踏勘现场所发生的费用由投标人自行承担。投标人应按招标文件所约定的时间、地点踏勘现场。</w:t>
      </w:r>
    </w:p>
    <w:p w14:paraId="084FD26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9.2投标人及其人员经过采购人的允许，可以进入采购人的项目现场踏勘。若招标文件要求投标人于统一时间地点踏勘现场的，投标人应当按时前往。</w:t>
      </w:r>
    </w:p>
    <w:p w14:paraId="5D8E2F7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9.3采购人应当通过</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向投标人提供有关现场的书面资料和数据。</w:t>
      </w:r>
    </w:p>
    <w:p w14:paraId="384A36F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9.4任何人或任何组织在踏勘现场时向投标人提供的任何书面资料或口头承诺，未经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0B43095B">
      <w:pPr>
        <w:ind w:firstLine="470" w:firstLineChars="196"/>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未参与踏勘现场不作为否定投标人资格的理由。</w:t>
      </w:r>
    </w:p>
    <w:p w14:paraId="7697C45F">
      <w:pPr>
        <w:rPr>
          <w:rFonts w:ascii="宋体" w:hAnsi="宋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0</w:t>
      </w:r>
      <w:r>
        <w:rPr>
          <w:rFonts w:hint="eastAsia" w:ascii="黑体" w:hAnsi="宋体" w:eastAsia="黑体"/>
          <w:color w:val="000000" w:themeColor="text1"/>
          <w14:textFill>
            <w14:solidFill>
              <w14:schemeClr w14:val="tx1"/>
            </w14:solidFill>
          </w14:textFill>
        </w:rPr>
        <w:t>．标前会议</w:t>
      </w:r>
    </w:p>
    <w:p w14:paraId="65694B3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如采购人或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认为有必要组织标前会议，投标人应按照招标文件规定的时间或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另行书面通知（包括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网站发布方式，如更正公告等）的时间和地点，参与标前会议。</w:t>
      </w:r>
    </w:p>
    <w:p w14:paraId="3A53946D">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14:textFill>
            <w14:solidFill>
              <w14:schemeClr w14:val="tx1"/>
            </w14:solidFill>
          </w14:textFill>
        </w:rPr>
        <w:t>10</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任何人或任何组织在标前会议时向投标人提供的任何书面资料或口头承诺，未经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24F48F8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未参与标前会议不作为否定投标人资格的理由。</w:t>
      </w:r>
    </w:p>
    <w:p w14:paraId="3B892ADC">
      <w:pPr>
        <w:pStyle w:val="7"/>
      </w:pPr>
    </w:p>
    <w:p w14:paraId="762D468B"/>
    <w:bookmarkEnd w:id="48"/>
    <w:p w14:paraId="54EB8AF5">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招标文件</w:t>
      </w:r>
    </w:p>
    <w:p w14:paraId="3F56F70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w:t>
      </w:r>
      <w:bookmarkStart w:id="50" w:name="_Hlk72399819"/>
      <w:r>
        <w:rPr>
          <w:rFonts w:hint="eastAsia" w:ascii="黑体" w:hAnsi="宋体" w:eastAsia="黑体"/>
          <w:color w:val="000000" w:themeColor="text1"/>
          <w14:textFill>
            <w14:solidFill>
              <w14:schemeClr w14:val="tx1"/>
            </w14:solidFill>
          </w14:textFill>
        </w:rPr>
        <w:t>招标文件的编制与组成</w:t>
      </w:r>
    </w:p>
    <w:p w14:paraId="5058D459">
      <w:pPr>
        <w:snapToGrid w:val="0"/>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.1招标文件除以下内容外，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在招标期间发出的澄清或修改等相关公告或通知内容，均是招标文件的组成部分，对投标人起约束作用；</w:t>
      </w:r>
    </w:p>
    <w:p w14:paraId="231C9F7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招标文件包括下列内容：</w:t>
      </w:r>
    </w:p>
    <w:p w14:paraId="3F9CDFA4">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第一册  专用条款</w:t>
      </w:r>
    </w:p>
    <w:p w14:paraId="769575F0">
      <w:pPr>
        <w:ind w:left="1234" w:leftChars="514"/>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关键信息</w:t>
      </w:r>
    </w:p>
    <w:p w14:paraId="7676AF8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招标公告</w:t>
      </w:r>
    </w:p>
    <w:p w14:paraId="3146EF3A">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对通用条款的补充内容及其他关键信息</w:t>
      </w:r>
    </w:p>
    <w:p w14:paraId="681C183A">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用户需求书</w:t>
      </w:r>
    </w:p>
    <w:p w14:paraId="6AA00E27">
      <w:pPr>
        <w:ind w:left="720" w:leftChars="300" w:firstLine="470" w:firstLineChars="196"/>
        <w:rPr>
          <w:rFonts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第四章 投标文件格式及附件</w:t>
      </w:r>
    </w:p>
    <w:p w14:paraId="5B743E16">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合同条款及格式</w:t>
      </w:r>
    </w:p>
    <w:p w14:paraId="5C4F91F7">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第二册  通用条款</w:t>
      </w:r>
    </w:p>
    <w:p w14:paraId="16AA0535">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总则</w:t>
      </w:r>
    </w:p>
    <w:p w14:paraId="352B40BB">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招标文件</w:t>
      </w:r>
    </w:p>
    <w:p w14:paraId="33315926">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投标文件的编制</w:t>
      </w:r>
    </w:p>
    <w:p w14:paraId="2EAB88B0">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第四章  投标文件的递交</w:t>
      </w:r>
    </w:p>
    <w:p w14:paraId="1E82DCB0">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开标</w:t>
      </w:r>
    </w:p>
    <w:p w14:paraId="55F4D33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第六章  评审要求</w:t>
      </w:r>
    </w:p>
    <w:p w14:paraId="2B567AC9">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第七章  评审程序及评审方法</w:t>
      </w:r>
    </w:p>
    <w:p w14:paraId="6A364D46">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第八章  定标及公示</w:t>
      </w:r>
    </w:p>
    <w:p w14:paraId="21E885F1">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第九章  公开招标失败的后续处理</w:t>
      </w:r>
    </w:p>
    <w:p w14:paraId="41B0985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第十章  合同的授予与备案</w:t>
      </w:r>
    </w:p>
    <w:p w14:paraId="2B2C11D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第十一章  质疑处理</w:t>
      </w:r>
    </w:p>
    <w:p w14:paraId="5FE473F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.2投标人下载招标文件后，应仔细检查招标文件的所有内容，如有疑问应在答疑截止时间之前向</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3040E4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14:textFill>
            <w14:solidFill>
              <w14:schemeClr w14:val="tx1"/>
            </w14:solidFill>
          </w14:textFill>
        </w:rPr>
        <w:t>任何人或任何组织向投标人提交的任何书面或口头资料，未经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在网上发布或书面通知，均作无效处理，不得作为招标文件的组成部分。</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对投标人由此而做出的推论、理解和结论概不负责。</w:t>
      </w:r>
    </w:p>
    <w:p w14:paraId="334B8274">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．招标文件的澄清</w:t>
      </w:r>
    </w:p>
    <w:p w14:paraId="14619A5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.1招标文件澄清的目的是澄清、解答投标人在查阅招标文件后或现场踏勘中可能提出的与投标有关的疑问或询问。</w:t>
      </w:r>
    </w:p>
    <w:p w14:paraId="5971D93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.2投标人如对招标文件内容有疑问，应当在招标公告规定的澄清（提问）截止时间前以网上提问的形式通过网上政府采购系统提交</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w:t>
      </w:r>
    </w:p>
    <w:p w14:paraId="5EA1A2B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3不论是招标机构根据需要主动对招标文件进行必要的澄清或是根据投标人的要求对招标文件做出澄清，招标机构都将在投标截止日期前以书面形式（包括招标机构网站发布方式）答复或发送给所有投标人。答复内容是招标文件的组成部分，对投标人起约束作用，其有效性按照本通用条款第1</w:t>
      </w:r>
      <w:r>
        <w:rPr>
          <w:rFonts w:ascii="宋体" w:hAnsi="宋体"/>
          <w:color w:val="000000" w:themeColor="text1"/>
          <w:szCs w:val="21"/>
          <w14:textFill>
            <w14:solidFill>
              <w14:schemeClr w14:val="tx1"/>
            </w14:solidFill>
          </w14:textFill>
        </w:rPr>
        <w:t>3.3</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3.4</w:t>
      </w:r>
      <w:r>
        <w:rPr>
          <w:rFonts w:hint="eastAsia" w:ascii="宋体" w:hAnsi="宋体"/>
          <w:color w:val="000000" w:themeColor="text1"/>
          <w:szCs w:val="21"/>
          <w14:textFill>
            <w14:solidFill>
              <w14:schemeClr w14:val="tx1"/>
            </w14:solidFill>
          </w14:textFill>
        </w:rPr>
        <w:t>款规定执行。</w:t>
      </w:r>
    </w:p>
    <w:p w14:paraId="519518D6">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3．招标文件的修改</w:t>
      </w:r>
    </w:p>
    <w:p w14:paraId="56D04FFB">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3.1招标文件发出后，在投标截止日期前任何时候，确需要变更招标文件内容的，招标机构可主动或在解答投标人提出的澄清问题时对招标文件进行修改。</w:t>
      </w:r>
    </w:p>
    <w:p w14:paraId="7794F3D7">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3.2招标文件的修改以书面形式（包括招标机构网站发布方式，如更正公告等）发送给所有投标人，招标文件的修改内容作为招标文件的组成部分，并具有约束力。</w:t>
      </w:r>
    </w:p>
    <w:p w14:paraId="767775E2">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3.3招标文件、招标文件澄清答复内容、招标文件修改补充内容均以书面形式（包括招标机构网站公开发布方式，如更正公告等）明确的内容为准。当招标文件、修改补充通知、招标文件澄清答复内容相互矛盾时，以最后发出的内容为准。</w:t>
      </w:r>
    </w:p>
    <w:p w14:paraId="442851BA">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3.4招标机构保证招标文件澄清答复内容和招标文件修改补充内容在投标截止时间前以书面形式（包括招标机构网站发布方式，如更正公告等）发送给所有投标人。为使投标人在编制投标文件时有充分时间对招标文件的修改部分进行研究，招标机构可以酌情延长递交投标文件的截止日期。</w:t>
      </w:r>
      <w:bookmarkEnd w:id="50"/>
    </w:p>
    <w:p w14:paraId="330CC436">
      <w:pPr>
        <w:pStyle w:val="7"/>
      </w:pPr>
    </w:p>
    <w:p w14:paraId="470CCB26">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投标文件的编制</w:t>
      </w:r>
    </w:p>
    <w:p w14:paraId="6AEAFC4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14．</w:t>
      </w:r>
      <w:bookmarkStart w:id="51" w:name="_Hlk72400236"/>
      <w:r>
        <w:rPr>
          <w:rFonts w:hint="eastAsia" w:ascii="黑体" w:hAnsi="宋体" w:eastAsia="黑体"/>
          <w:color w:val="000000" w:themeColor="text1"/>
          <w14:textFill>
            <w14:solidFill>
              <w14:schemeClr w14:val="tx1"/>
            </w14:solidFill>
          </w14:textFill>
        </w:rPr>
        <w:t>投标文件的语言及度量单位</w:t>
      </w:r>
    </w:p>
    <w:p w14:paraId="4D60C29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14.1投标人与招标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0B1F9EB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14.2除技术规范另有规定外，投标文件使用的度量单位，均采用中华人民共和国法定计量单位。</w:t>
      </w:r>
    </w:p>
    <w:bookmarkEnd w:id="51"/>
    <w:p w14:paraId="6FF349F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15．</w:t>
      </w:r>
      <w:bookmarkStart w:id="52" w:name="_Hlk72401567"/>
      <w:r>
        <w:rPr>
          <w:rFonts w:hint="eastAsia" w:ascii="黑体" w:hAnsi="宋体" w:eastAsia="黑体"/>
          <w:color w:val="000000" w:themeColor="text1"/>
          <w14:textFill>
            <w14:solidFill>
              <w14:schemeClr w14:val="tx1"/>
            </w14:solidFill>
          </w14:textFill>
        </w:rPr>
        <w:t>投标文件的组成</w:t>
      </w:r>
    </w:p>
    <w:p w14:paraId="786A006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具体内容在招标文件专用条款中进行规定。</w:t>
      </w:r>
    </w:p>
    <w:p w14:paraId="0700CFCD">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16．投标文件格式</w:t>
      </w:r>
    </w:p>
    <w:p w14:paraId="0E4F38C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投标文件包括本通用条款第</w:t>
      </w:r>
      <w:r>
        <w:rPr>
          <w:rFonts w:ascii="宋体" w:hAnsi="宋体"/>
          <w:color w:val="000000" w:themeColor="text1"/>
          <w:szCs w:val="21"/>
          <w14:textFill>
            <w14:solidFill>
              <w14:schemeClr w14:val="tx1"/>
            </w14:solidFill>
          </w14:textFill>
        </w:rPr>
        <w:t>15条中规定的内容。如招标文件提供了投标文件格式，则</w:t>
      </w:r>
      <w:r>
        <w:rPr>
          <w:rFonts w:hint="eastAsia" w:ascii="宋体" w:hAnsi="宋体"/>
          <w:b/>
          <w:bCs/>
          <w:color w:val="000000" w:themeColor="text1"/>
          <w:szCs w:val="21"/>
          <w14:textFill>
            <w14:solidFill>
              <w14:schemeClr w14:val="tx1"/>
            </w14:solidFill>
          </w14:textFill>
        </w:rPr>
        <w:t>投标人提交的投标文件应毫无例外地使用招标文件所提供的相应格式</w:t>
      </w:r>
      <w:r>
        <w:rPr>
          <w:rFonts w:hint="eastAsia" w:ascii="宋体" w:hAnsi="宋体"/>
          <w:color w:val="000000" w:themeColor="text1"/>
          <w:szCs w:val="21"/>
          <w14:textFill>
            <w14:solidFill>
              <w14:schemeClr w14:val="tx1"/>
            </w14:solidFill>
          </w14:textFill>
        </w:rPr>
        <w:t>（表格均可按同样格式扩展）。</w:t>
      </w:r>
    </w:p>
    <w:p w14:paraId="27383DA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17．投标货币</w:t>
      </w:r>
    </w:p>
    <w:p w14:paraId="1799DE6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本项目的投标报价应以人民币计。</w:t>
      </w:r>
    </w:p>
    <w:bookmarkEnd w:id="52"/>
    <w:p w14:paraId="143069C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18．</w:t>
      </w:r>
      <w:bookmarkStart w:id="53" w:name="_Hlk72401735"/>
      <w:r>
        <w:rPr>
          <w:rFonts w:hint="eastAsia" w:ascii="黑体" w:hAnsi="宋体" w:eastAsia="黑体"/>
          <w:color w:val="000000" w:themeColor="text1"/>
          <w14:textFill>
            <w14:solidFill>
              <w14:schemeClr w14:val="tx1"/>
            </w14:solidFill>
          </w14:textFill>
        </w:rPr>
        <w:t>证明投标文件投标技术方案的合格性和符合招标文件规定的文件要求</w:t>
      </w:r>
    </w:p>
    <w:p w14:paraId="70B3C67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投标人应提交证明文件，证明其投标技术方案项下的货物和服务的合格性符合招标文件规定。该投标技术方案及其证明文件均作为投标文件组成部分。</w:t>
      </w:r>
    </w:p>
    <w:p w14:paraId="45B99CD3">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1A7CAE0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18.2.1主要技术指标和性能的详细说明。</w:t>
      </w:r>
    </w:p>
    <w:p w14:paraId="3A3E675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投标产品从采购人开始使用至招标文件中规定的周期内正常、连续地使用所必须的备件和专用工具清单，包括备件和专用工具的货源及现行价格。</w:t>
      </w:r>
    </w:p>
    <w:p w14:paraId="33E998C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47949E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color w:val="000000" w:themeColor="text1"/>
          <w14:textFill>
            <w14:solidFill>
              <w14:schemeClr w14:val="tx1"/>
            </w14:solidFill>
          </w14:textFill>
        </w:rPr>
        <w:t>清晰度要求能够使用电脑阅读、识别和判断</w:t>
      </w:r>
      <w:r>
        <w:rPr>
          <w:rFonts w:hint="eastAsia" w:ascii="宋体" w:hAnsi="宋体"/>
          <w:color w:val="000000" w:themeColor="text1"/>
          <w:szCs w:val="21"/>
          <w14:textFill>
            <w14:solidFill>
              <w14:schemeClr w14:val="tx1"/>
            </w14:solidFill>
          </w14:textFill>
        </w:rPr>
        <w:t>；</w:t>
      </w:r>
    </w:p>
    <w:p w14:paraId="1D6A638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18.2.5我国政府机构出具的产品检验和核准证件应为证件正面、背面和附件标注的全部具体内容；产品检验和核准证件的尺寸和清晰度应该能够在电脑上被阅读、识别和判断，提供原件扫描件。</w:t>
      </w:r>
    </w:p>
    <w:p w14:paraId="64C55C9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18.3相关资料不符合18.2款要求的，评审委员会有权认定为投标技术方案不合格响应，其相关分数予以扣减或作投标无效处理。</w:t>
      </w:r>
    </w:p>
    <w:p w14:paraId="44EE0B0D">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color w:val="000000" w:themeColor="text1"/>
          <w14:textFill>
            <w14:solidFill>
              <w14:schemeClr w14:val="tx1"/>
            </w14:solidFill>
          </w14:textFill>
        </w:rPr>
        <w:t>满足要求</w:t>
      </w:r>
      <w:r>
        <w:rPr>
          <w:rFonts w:hint="eastAsia" w:ascii="宋体" w:hAnsi="宋体"/>
          <w:color w:val="000000" w:themeColor="text1"/>
          <w:szCs w:val="21"/>
          <w14:textFill>
            <w14:solidFill>
              <w14:schemeClr w14:val="tx1"/>
            </w14:solidFill>
          </w14:textFill>
        </w:rPr>
        <w:t>，由评审委员会来评判。</w:t>
      </w:r>
    </w:p>
    <w:p w14:paraId="6CEE388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18.5除非另有规定或说明，投标人对同一项目投标时，不得同时提供两套或两套以上的投标方案。</w:t>
      </w:r>
    </w:p>
    <w:bookmarkEnd w:id="53"/>
    <w:p w14:paraId="0C65B2B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19．</w:t>
      </w:r>
      <w:bookmarkStart w:id="54" w:name="_Hlk72402034"/>
      <w:r>
        <w:rPr>
          <w:rFonts w:hint="eastAsia" w:ascii="黑体" w:hAnsi="宋体" w:eastAsia="黑体"/>
          <w:color w:val="000000" w:themeColor="text1"/>
          <w14:textFill>
            <w14:solidFill>
              <w14:schemeClr w14:val="tx1"/>
            </w14:solidFill>
          </w14:textFill>
        </w:rPr>
        <w:t>投标文件其他证明文件的要求</w:t>
      </w:r>
    </w:p>
    <w:p w14:paraId="3F7C1B1C">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5" w:name="_Hlk71407299"/>
    </w:p>
    <w:bookmarkEnd w:id="55"/>
    <w:p w14:paraId="2387450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2510BD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20．投标有效期</w:t>
      </w:r>
    </w:p>
    <w:bookmarkEnd w:id="54"/>
    <w:p w14:paraId="77D23767">
      <w:pPr>
        <w:ind w:firstLine="470" w:firstLineChars="196"/>
        <w:rPr>
          <w:rFonts w:ascii="宋体" w:hAnsi="宋体"/>
          <w:color w:val="000000" w:themeColor="text1"/>
          <w:szCs w:val="21"/>
          <w14:textFill>
            <w14:solidFill>
              <w14:schemeClr w14:val="tx1"/>
            </w14:solidFill>
          </w14:textFill>
        </w:rPr>
      </w:pPr>
      <w:bookmarkStart w:id="56" w:name="_Hlk72402214"/>
      <w:r>
        <w:rPr>
          <w:rFonts w:hint="eastAsia" w:ascii="宋体" w:hAnsi="宋体"/>
          <w:color w:val="000000" w:themeColor="text1"/>
          <w:szCs w:val="21"/>
          <w14:textFill>
            <w14:solidFill>
              <w14:schemeClr w14:val="tx1"/>
            </w14:solidFill>
          </w14:textFill>
        </w:rPr>
        <w:t>20.1投标有效期为从投标截止之日算起的日历天数。在此期限内，所有投标文件均保持有效。</w:t>
      </w:r>
    </w:p>
    <w:p w14:paraId="55622E2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 在特殊情况下，</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在原定的投标有效期满之前，</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可以根据需要以书面形式（包括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网站公开发布方式）向投标人提出延长投标有效期的要求，对此要求投标人须以书面形式予以答复，投标人可以拒绝</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此项要求，其投标在原投标有效期满后不再有效。同意延长投标有效期的投标人不能要求也不允许修改其投标文件。</w:t>
      </w:r>
    </w:p>
    <w:p w14:paraId="4DDCABC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中标供应商的投标文件有效期，截止于完成本招标文件规定的全部项目内容，并通过竣工验收及保修期结束。</w:t>
      </w:r>
    </w:p>
    <w:bookmarkEnd w:id="56"/>
    <w:p w14:paraId="627A6C1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21．</w:t>
      </w:r>
      <w:bookmarkStart w:id="57" w:name="_Hlk72402325"/>
      <w:r>
        <w:rPr>
          <w:rFonts w:hint="eastAsia" w:ascii="黑体" w:hAnsi="宋体" w:eastAsia="黑体"/>
          <w:color w:val="000000" w:themeColor="text1"/>
          <w14:textFill>
            <w14:solidFill>
              <w14:schemeClr w14:val="tx1"/>
            </w14:solidFill>
          </w14:textFill>
        </w:rPr>
        <w:t xml:space="preserve">关于投标保证金 </w:t>
      </w:r>
    </w:p>
    <w:p w14:paraId="0C446AE4">
      <w:pPr>
        <w:rPr>
          <w:rFonts w:ascii="宋体" w:hAnsi="宋体" w:eastAsia="宋体"/>
          <w:szCs w:val="21"/>
        </w:rPr>
      </w:pPr>
      <w:r>
        <w:rPr>
          <w:rFonts w:hint="eastAsia" w:ascii="宋体" w:hAnsi="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 xml:space="preserve"> </w:t>
      </w:r>
      <w:r>
        <w:rPr>
          <w:rFonts w:hint="eastAsia" w:ascii="宋体" w:hAnsi="宋体" w:eastAsia="宋体"/>
          <w:szCs w:val="21"/>
        </w:rPr>
        <w:t xml:space="preserve">21.1 </w:t>
      </w:r>
      <w:r>
        <w:rPr>
          <w:rFonts w:hint="eastAsia" w:ascii="宋体" w:hAnsi="宋体" w:eastAsia="宋体"/>
        </w:rPr>
        <w:t>根据《深圳市财政局关于明确政府采购保证金管理工作的通知》（深财购</w:t>
      </w:r>
      <w:r>
        <w:rPr>
          <w:rFonts w:ascii="宋体" w:hAnsi="宋体" w:eastAsia="宋体"/>
        </w:rPr>
        <w:t>[2019]42</w:t>
      </w:r>
      <w:r>
        <w:rPr>
          <w:rFonts w:hint="eastAsia" w:ascii="宋体" w:hAnsi="宋体" w:eastAsia="宋体"/>
        </w:rPr>
        <w:t>号）文的规定，本项目不收取投标保证金。</w:t>
      </w:r>
    </w:p>
    <w:p w14:paraId="7608B75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22．投标人的替代方案</w:t>
      </w:r>
    </w:p>
    <w:p w14:paraId="7A27A7C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C69C18D">
      <w:pPr>
        <w:ind w:firstLine="48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7"/>
    <w:p w14:paraId="5830948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23．</w:t>
      </w:r>
      <w:bookmarkStart w:id="58" w:name="_Hlk72402860"/>
      <w:r>
        <w:rPr>
          <w:rFonts w:ascii="黑体" w:hAnsi="宋体" w:eastAsia="黑体"/>
          <w:color w:val="000000" w:themeColor="text1"/>
          <w14:textFill>
            <w14:solidFill>
              <w14:schemeClr w14:val="tx1"/>
            </w14:solidFill>
          </w14:textFill>
        </w:rPr>
        <w:t>投标文件的</w:t>
      </w:r>
      <w:r>
        <w:rPr>
          <w:rFonts w:hint="eastAsia" w:ascii="黑体" w:hAnsi="宋体" w:eastAsia="黑体"/>
          <w:color w:val="000000" w:themeColor="text1"/>
          <w14:textFill>
            <w14:solidFill>
              <w14:schemeClr w14:val="tx1"/>
            </w14:solidFill>
          </w14:textFill>
        </w:rPr>
        <w:t>制作</w:t>
      </w:r>
      <w:r>
        <w:rPr>
          <w:rFonts w:ascii="黑体" w:hAnsi="宋体" w:eastAsia="黑体"/>
          <w:color w:val="000000" w:themeColor="text1"/>
          <w14:textFill>
            <w14:solidFill>
              <w14:schemeClr w14:val="tx1"/>
            </w14:solidFill>
          </w14:textFill>
        </w:rPr>
        <w:t>要求</w:t>
      </w:r>
    </w:p>
    <w:p w14:paraId="7AF739E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23.1投标人应准备所投项目的电子投标文件一份。此电子投标文件须由投标人根据</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提供的后缀名为.szczf的电子招标文件，下载并使用相应的深圳智慧采购平台投标文件制作专用软件打开招标文件（.szczf格式）【下载地址：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ascii="宋体" w:hAnsi="宋体"/>
          <w:color w:val="000000" w:themeColor="text1"/>
          <w14:textFill>
            <w14:solidFill>
              <w14:schemeClr w14:val="tx1"/>
            </w14:solidFill>
          </w14:textFill>
        </w:rPr>
        <w:t>】。</w:t>
      </w:r>
    </w:p>
    <w:p w14:paraId="22FE884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23.2投标人在使用《投标文件制作软件》编制投标书时须注意：</w:t>
      </w:r>
    </w:p>
    <w:p w14:paraId="589405A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23.2.1导入《投标文件制作软件》的招标文件项目编号、包号应与以此制作的投标文件项目编号、包号一致。例如，不能将甲项目A包的招标书导入《投标文件制作软件》，制作乙项目B包的投标书。</w:t>
      </w:r>
    </w:p>
    <w:p w14:paraId="7746C51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23.2.2不能用非本公司的电子密钥加密本公司的投标文件，或者用其它公司的登录用户上传本公司的投标文件。</w:t>
      </w:r>
    </w:p>
    <w:p w14:paraId="6CBC2B3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23.2.3要求用《投标文件制作软件》编制投标书的包，不能用其它方式编制投标书。编制投标文件时，电脑须连通互联网。</w:t>
      </w:r>
    </w:p>
    <w:p w14:paraId="0314F7A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23.2.4投标文件不能带病毒。招标机构将用专业杀毒软件对投标文件进行病毒检测，如果这两种软件均报告发现病毒，则招标机构认为该投标文件带病毒。</w:t>
      </w:r>
    </w:p>
    <w:p w14:paraId="7ACF3A6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23.2.5完整填写“投标关键信息”，如下图所示：</w:t>
      </w:r>
    </w:p>
    <w:p w14:paraId="09174A1E">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448D66C7">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备注：上述“开标一览表”中的“投标总价”将作为价格分计算依据；其它信息仅是对投标文件相关内容的概括性表述，不作为评审依据。</w:t>
      </w:r>
    </w:p>
    <w:p w14:paraId="12A7AEF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23.2.6投标人在编辑投标文件时，</w:t>
      </w:r>
      <w:r>
        <w:rPr>
          <w:rFonts w:hint="eastAsia" w:ascii="宋体" w:hAnsi="宋体"/>
          <w:b/>
          <w:color w:val="000000" w:themeColor="text1"/>
          <w14:textFill>
            <w14:solidFill>
              <w14:schemeClr w14:val="tx1"/>
            </w14:solidFill>
          </w14:textFill>
        </w:rPr>
        <w:t>在投标文件目录中属于本节点内容的必须在本节点中填写，填写到其他节点或附件，</w:t>
      </w:r>
      <w:r>
        <w:rPr>
          <w:rFonts w:hint="eastAsia" w:ascii="宋体" w:hAnsi="宋体"/>
          <w:color w:val="000000" w:themeColor="text1"/>
          <w14:textFill>
            <w14:solidFill>
              <w14:schemeClr w14:val="tx1"/>
            </w14:solidFill>
          </w14:textFill>
        </w:rPr>
        <w:t>一切后果由供应商自行承担。</w:t>
      </w:r>
    </w:p>
    <w:p w14:paraId="2989E7C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23.2.7投标文件编写完成后，</w:t>
      </w:r>
      <w:r>
        <w:rPr>
          <w:rFonts w:hint="eastAsia" w:ascii="宋体" w:hAnsi="宋体"/>
          <w:b/>
          <w:color w:val="000000" w:themeColor="text1"/>
          <w14:textFill>
            <w14:solidFill>
              <w14:schemeClr w14:val="tx1"/>
            </w14:solidFill>
          </w14:textFill>
        </w:rPr>
        <w:t>必须用属于投标人的电子密钥进行加密，否则视同未盖公章，将导致投标文件无效。</w:t>
      </w:r>
    </w:p>
    <w:p w14:paraId="4D6332A2">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23.2.8招标机构不接受投标截止时间后递交的纸质、电子、传真等所有形式的投标文件。由于对网上政府采购系统操作不熟悉或自身电脑、网络等原因导致不能在投标截止时间之前上传投标文件，招标机构概不负责。建议于开标前一个工作日完成投标文件的制作与上传，如上传确有困难，请及时咨询。</w:t>
      </w:r>
    </w:p>
    <w:p w14:paraId="4B4D76C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23.2.9如果开标时出现网络故障、技术故障，影响了政府采购活动，招标机构有权采取措施如延期、接受无法从网上上传的投标书等，以保障政府采购活动的公开、公平和公正。</w:t>
      </w:r>
    </w:p>
    <w:p w14:paraId="4F73D89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23.3电报、电话、传真形式的投标概不接受。</w:t>
      </w:r>
    </w:p>
    <w:p w14:paraId="5EA5DD72">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23.4经投标人电子密钥加密的投标文件无须盖章或签字，</w:t>
      </w:r>
      <w:r>
        <w:rPr>
          <w:rFonts w:hint="eastAsia" w:ascii="宋体" w:hAnsi="宋体"/>
          <w:color w:val="000000" w:themeColor="text1"/>
          <w14:textFill>
            <w14:solidFill>
              <w14:schemeClr w14:val="tx1"/>
            </w14:solidFill>
          </w14:textFill>
        </w:rPr>
        <w:t>专用条款另有要求的除外。</w:t>
      </w:r>
    </w:p>
    <w:p w14:paraId="59BE24A2">
      <w:pPr>
        <w:ind w:firstLine="471" w:firstLineChars="196"/>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23.5</w:t>
      </w:r>
      <w:r>
        <w:rPr>
          <w:rFonts w:hint="eastAsia" w:ascii="宋体" w:hAnsi="宋体"/>
          <w:color w:val="000000" w:themeColor="text1"/>
          <w14:textFill>
            <w14:solidFill>
              <w14:schemeClr w14:val="tx1"/>
            </w14:solidFill>
          </w14:textFill>
        </w:rPr>
        <w:t xml:space="preserve"> 各类资格（资质）文件提供扫描件，专用条款另有要求的除外。</w:t>
      </w:r>
      <w:bookmarkEnd w:id="58"/>
    </w:p>
    <w:p w14:paraId="276C6B02">
      <w:pPr>
        <w:pStyle w:val="7"/>
      </w:pPr>
    </w:p>
    <w:p w14:paraId="058790F7"/>
    <w:p w14:paraId="78EC9554">
      <w:pPr>
        <w:pStyle w:val="7"/>
      </w:pPr>
    </w:p>
    <w:p w14:paraId="1EA1C257"/>
    <w:p w14:paraId="311AE13A">
      <w:pPr>
        <w:pStyle w:val="7"/>
      </w:pPr>
    </w:p>
    <w:p w14:paraId="01886007"/>
    <w:p w14:paraId="5416A185">
      <w:pPr>
        <w:pStyle w:val="7"/>
      </w:pPr>
    </w:p>
    <w:p w14:paraId="362397D5"/>
    <w:p w14:paraId="38199E79">
      <w:pPr>
        <w:pStyle w:val="7"/>
      </w:pPr>
    </w:p>
    <w:p w14:paraId="7BB03780"/>
    <w:p w14:paraId="1247908D">
      <w:pPr>
        <w:pStyle w:val="7"/>
      </w:pPr>
    </w:p>
    <w:p w14:paraId="7EF70B74"/>
    <w:p w14:paraId="47E33F2D">
      <w:pPr>
        <w:pStyle w:val="7"/>
      </w:pPr>
    </w:p>
    <w:p w14:paraId="4914D1EC">
      <w:pPr>
        <w:pStyle w:val="7"/>
      </w:pPr>
    </w:p>
    <w:p w14:paraId="74E196F4">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投标文件的递交</w:t>
      </w:r>
      <w:bookmarkStart w:id="59" w:name="_Hlk72405459"/>
    </w:p>
    <w:p w14:paraId="5EFCFD0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24．投标书的保密</w:t>
      </w:r>
    </w:p>
    <w:p w14:paraId="3D3E714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14:paraId="7DEA8A85">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1D0E570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在投标文件制作软件点击【生成标书】按钮进入【填写开标一览表界面】界面，在该界面填写完开标一览表信息后点击【确定】，进入投标文件生成环节。</w:t>
      </w:r>
      <w:r>
        <w:rPr>
          <w:rFonts w:ascii="宋体" w:hAnsi="宋体"/>
          <w:color w:val="000000" w:themeColor="text1"/>
          <w14:textFill>
            <w14:solidFill>
              <w14:schemeClr w14:val="tx1"/>
            </w14:solidFill>
          </w14:textFill>
        </w:rPr>
        <w:drawing>
          <wp:inline distT="0" distB="0" distL="0" distR="0">
            <wp:extent cx="5278755" cy="2732405"/>
            <wp:effectExtent l="0" t="0" r="0" b="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1F0A7CE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投标文件制作软件会在投标文件生成过程中，提示用户输入密码，输入密码后对标文件自动进行加密。</w:t>
      </w:r>
    </w:p>
    <w:p w14:paraId="2FB6553E">
      <w:pPr>
        <w:ind w:firstLine="480"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24.2若采购项目出现延期情况：</w:t>
      </w:r>
    </w:p>
    <w:p w14:paraId="2FA57C89">
      <w:pPr>
        <w:ind w:firstLine="480" w:firstLineChars="200"/>
        <w:rPr>
          <w:rFonts w:ascii="宋体" w:hAnsi="宋体" w:eastAsia="宋体" w:cs="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）有更新，投标人必须重新下载招标文件、重新制作投标文件、重新加密投标文件、重新上传投标文件；如果供下载的招标文件（后缀名为.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）没有更新，投标人必须重新加密投标文件、重新上传投标文件（是否重新制作投标文件根据项目实际情况定）。否则，投标人自行承担投标文件无法解密导致投标无效的后果。</w:t>
      </w:r>
    </w:p>
    <w:p w14:paraId="718C0CC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25．上传投标文件及投标截止日期</w:t>
      </w:r>
    </w:p>
    <w:p w14:paraId="187F7DB4">
      <w:pPr>
        <w:ind w:firstLine="480" w:firstLineChars="20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25.1实行网上投标，投标人必须在招标文件规定的投标截止时间前用电子密钥登录“深圳政府采购智慧平台用户网上办事子系统（</w:t>
      </w:r>
      <w:r>
        <w:rPr>
          <w:rFonts w:hint="eastAsia" w:ascii="宋体" w:hAnsi="宋体" w:eastAsia="宋体" w:cs="宋体"/>
          <w:bCs/>
          <w:color w:val="000000" w:themeColor="text1"/>
          <w:highlight w:val="yellow"/>
          <w14:textFill>
            <w14:solidFill>
              <w14:schemeClr w14:val="tx1"/>
            </w14:solidFill>
          </w14:textFill>
        </w:rPr>
        <w:t>http://zfcg.szggzy.com:8081/TPBidder/memberLogin</w:t>
      </w:r>
      <w:r>
        <w:rPr>
          <w:rFonts w:hint="eastAsia" w:ascii="宋体" w:hAnsi="宋体" w:eastAsia="宋体" w:cs="宋体"/>
          <w:bCs/>
          <w:color w:val="000000" w:themeColor="text1"/>
          <w14:textFill>
            <w14:solidFill>
              <w14:schemeClr w14:val="tx1"/>
            </w14:solidFill>
          </w14:textFill>
        </w:rPr>
        <w:t>）”，用“【我的项目】→【项目流程】→【递交投标(应答)文件】”功能点上传投标文件。如上传过程中遇到问题，可拨打技术支持电话，联系方式：</w:t>
      </w:r>
      <w:r>
        <w:rPr>
          <w:rFonts w:hint="eastAsia" w:ascii="宋体" w:hAnsi="宋体"/>
          <w:highlight w:val="yellow"/>
          <w:lang w:eastAsia="zh-CN"/>
        </w:rPr>
        <w:t>0755-88653300</w:t>
      </w:r>
      <w:r>
        <w:rPr>
          <w:rFonts w:hint="eastAsia" w:ascii="宋体" w:hAnsi="宋体"/>
          <w:highlight w:val="yellow"/>
          <w:lang w:val="en-US" w:eastAsia="zh-CN"/>
        </w:rPr>
        <w:t>-</w:t>
      </w:r>
      <w:r>
        <w:rPr>
          <w:rFonts w:hint="eastAsia" w:ascii="宋体" w:hAnsi="宋体"/>
          <w:highlight w:val="yellow"/>
          <w:lang w:eastAsia="zh-CN"/>
        </w:rPr>
        <w:t>6</w:t>
      </w:r>
      <w:r>
        <w:rPr>
          <w:rFonts w:hint="eastAsia" w:ascii="宋体" w:hAnsi="宋体" w:eastAsia="宋体" w:cs="宋体"/>
          <w:bCs/>
          <w:color w:val="000000" w:themeColor="text1"/>
          <w14:textFill>
            <w14:solidFill>
              <w14:schemeClr w14:val="tx1"/>
            </w14:solidFill>
          </w14:textFill>
        </w:rPr>
        <w:t>。</w:t>
      </w:r>
    </w:p>
    <w:p w14:paraId="525F8EBA">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25.2招标机构可以按本通用条款第13条规定，通过修改招标文件自行决定酌情延长投标截止期。在此情况下，招标机构、采购人和投标人受投标截止期制约的所有权利和义务均应延长至新的截止期。</w:t>
      </w:r>
    </w:p>
    <w:p w14:paraId="6D07F6BE">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w:t>
      </w:r>
      <w:r>
        <w:rPr>
          <w:rFonts w:ascii="宋体" w:hAnsi="宋体" w:eastAsia="宋体" w:cs="宋体"/>
          <w:bCs/>
          <w:color w:val="000000" w:themeColor="text1"/>
          <w14:textFill>
            <w14:solidFill>
              <w14:schemeClr w14:val="tx1"/>
            </w14:solidFill>
          </w14:textFill>
        </w:rPr>
        <w:t>.</w:t>
      </w:r>
      <w:r>
        <w:rPr>
          <w:rFonts w:hint="eastAsia" w:ascii="宋体" w:hAnsi="宋体" w:eastAsia="宋体" w:cs="宋体"/>
          <w:bCs/>
          <w:color w:val="000000" w:themeColor="text1"/>
          <w14:textFill>
            <w14:solidFill>
              <w14:schemeClr w14:val="tx1"/>
            </w14:solidFill>
          </w14:textFill>
        </w:rPr>
        <w:t>3投标截止时间以后不得上传投标文件。</w:t>
      </w:r>
    </w:p>
    <w:p w14:paraId="65BD0334">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25.4.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bookmarkEnd w:id="59"/>
    <w:p w14:paraId="020C116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26. 样品、现场演示、方案讲解</w:t>
      </w:r>
    </w:p>
    <w:p w14:paraId="6C29EED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26.1 样品、现场演示、方案讲解等事项在招标文件专用条款中进行规定。</w:t>
      </w:r>
    </w:p>
    <w:p w14:paraId="6B5EE654">
      <w:pPr>
        <w:rPr>
          <w:rFonts w:ascii="黑体" w:hAnsi="宋体" w:eastAsia="黑体"/>
          <w:color w:val="000000" w:themeColor="text1"/>
          <w14:textFill>
            <w14:solidFill>
              <w14:schemeClr w14:val="tx1"/>
            </w14:solidFill>
          </w14:textFill>
        </w:rPr>
      </w:pPr>
      <w:bookmarkStart w:id="60" w:name="_Hlk72428346"/>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7．</w:t>
      </w:r>
      <w:r>
        <w:rPr>
          <w:rFonts w:ascii="黑体" w:hAnsi="宋体" w:eastAsia="黑体"/>
          <w:color w:val="000000" w:themeColor="text1"/>
          <w14:textFill>
            <w14:solidFill>
              <w14:schemeClr w14:val="tx1"/>
            </w14:solidFill>
          </w14:textFill>
        </w:rPr>
        <w:t>投标文件的修改和撤销</w:t>
      </w:r>
    </w:p>
    <w:p w14:paraId="2ADD2B9E">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投标方在提交投标文件后可对其投标文件进行修改</w:t>
      </w:r>
      <w:r>
        <w:rPr>
          <w:rFonts w:hint="eastAsia" w:ascii="宋体" w:hAnsi="宋体"/>
          <w:color w:val="000000" w:themeColor="text1"/>
          <w14:textFill>
            <w14:solidFill>
              <w14:schemeClr w14:val="tx1"/>
            </w14:solidFill>
          </w14:textFill>
        </w:rPr>
        <w:t>并重新上传投标文件</w:t>
      </w:r>
      <w:r>
        <w:rPr>
          <w:rFonts w:ascii="宋体" w:hAnsi="宋体"/>
          <w:color w:val="000000" w:themeColor="text1"/>
          <w14:textFill>
            <w14:solidFill>
              <w14:schemeClr w14:val="tx1"/>
            </w14:solidFill>
          </w14:textFill>
        </w:rPr>
        <w:t>或</w:t>
      </w:r>
      <w:r>
        <w:rPr>
          <w:rFonts w:hint="eastAsia" w:ascii="宋体" w:hAnsi="宋体"/>
          <w:color w:val="000000" w:themeColor="text1"/>
          <w14:textFill>
            <w14:solidFill>
              <w14:schemeClr w14:val="tx1"/>
            </w14:solidFill>
          </w14:textFill>
        </w:rPr>
        <w:t>在网上进行</w:t>
      </w:r>
      <w:r>
        <w:rPr>
          <w:rFonts w:ascii="宋体" w:hAnsi="宋体"/>
          <w:color w:val="000000" w:themeColor="text1"/>
          <w14:textFill>
            <w14:solidFill>
              <w14:schemeClr w14:val="tx1"/>
            </w14:solidFill>
          </w14:textFill>
        </w:rPr>
        <w:t>撤销</w:t>
      </w:r>
      <w:r>
        <w:rPr>
          <w:rFonts w:hint="eastAsia" w:ascii="宋体" w:hAnsi="宋体"/>
          <w:color w:val="000000" w:themeColor="text1"/>
          <w14:textFill>
            <w14:solidFill>
              <w14:schemeClr w14:val="tx1"/>
            </w14:solidFill>
          </w14:textFill>
        </w:rPr>
        <w:t>投标的操作</w:t>
      </w:r>
      <w:r>
        <w:rPr>
          <w:rFonts w:ascii="宋体" w:hAnsi="宋体"/>
          <w:color w:val="000000" w:themeColor="text1"/>
          <w14:textFill>
            <w14:solidFill>
              <w14:schemeClr w14:val="tx1"/>
            </w14:solidFill>
          </w14:textFill>
        </w:rPr>
        <w:t>。</w:t>
      </w:r>
    </w:p>
    <w:p w14:paraId="123FC98C">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投标截止时间以后不得修改投标文件。</w:t>
      </w:r>
    </w:p>
    <w:p w14:paraId="7F8FCEF0">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3从投标截止期至投标人在投标文件中确定的投标有效期之间的这段时间内，投标人不得撤回其投标。</w:t>
      </w:r>
    </w:p>
    <w:p w14:paraId="4E3DCA6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27.4</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不退还投标文件，专用条款另有规定的除外。</w:t>
      </w:r>
    </w:p>
    <w:bookmarkEnd w:id="60"/>
    <w:p w14:paraId="5EC24857">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开标</w:t>
      </w:r>
    </w:p>
    <w:p w14:paraId="6254198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28．开标</w:t>
      </w:r>
    </w:p>
    <w:p w14:paraId="11821EBB">
      <w:pPr>
        <w:ind w:firstLine="480" w:firstLineChars="200"/>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14:textFill>
            <w14:solidFill>
              <w14:schemeClr w14:val="tx1"/>
            </w14:solidFill>
          </w14:textFill>
        </w:rPr>
        <w:t>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71558294">
      <w:pPr>
        <w:ind w:firstLine="410" w:firstLineChars="17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 xml:space="preserve">8.2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将在满足开标条件（</w:t>
      </w:r>
      <w:r>
        <w:rPr>
          <w:rFonts w:hint="eastAsia" w:ascii="宋体" w:hAnsi="宋体" w:cs="宋体"/>
          <w:color w:val="000000" w:themeColor="text1"/>
          <w:sz w:val="20"/>
          <w:szCs w:val="20"/>
          <w:shd w:val="clear" w:color="auto" w:fill="FFFFFF"/>
          <w14:textFill>
            <w14:solidFill>
              <w14:schemeClr w14:val="tx1"/>
            </w14:solidFill>
          </w14:textFill>
        </w:rPr>
        <w:t>①</w:t>
      </w:r>
      <w:r>
        <w:rPr>
          <w:rFonts w:hint="eastAsia" w:ascii="宋体" w:hAnsi="宋体"/>
          <w:color w:val="000000" w:themeColor="text1"/>
          <w:szCs w:val="21"/>
          <w14:textFill>
            <w14:solidFill>
              <w14:schemeClr w14:val="tx1"/>
            </w14:solidFill>
          </w14:textFill>
        </w:rPr>
        <w:t>解密时间结束，解密后的投标供应商数量满足开标要求或</w:t>
      </w:r>
      <w:r>
        <w:rPr>
          <w:rFonts w:hint="eastAsia" w:ascii="宋体" w:hAnsi="宋体" w:cs="宋体"/>
          <w:color w:val="000000" w:themeColor="text1"/>
          <w:sz w:val="20"/>
          <w:szCs w:val="20"/>
          <w:shd w:val="clear" w:color="auto" w:fill="FFFFFF"/>
          <w14:textFill>
            <w14:solidFill>
              <w14:schemeClr w14:val="tx1"/>
            </w14:solidFill>
          </w14:textFill>
        </w:rPr>
        <w:t>②</w:t>
      </w:r>
      <w:r>
        <w:rPr>
          <w:rFonts w:hint="eastAsia" w:ascii="宋体" w:hAnsi="宋体"/>
          <w:color w:val="000000" w:themeColor="text1"/>
          <w:szCs w:val="21"/>
          <w14:textFill>
            <w14:solidFill>
              <w14:schemeClr w14:val="tx1"/>
            </w14:solidFill>
          </w14:textFill>
        </w:rPr>
        <w:t>解密时间结束前所有投标供应商均完成投标文件解密）后，对投标文件进行开标，并在网上公布开标结果。</w:t>
      </w:r>
    </w:p>
    <w:p w14:paraId="3E425D74">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评审要求</w:t>
      </w:r>
    </w:p>
    <w:p w14:paraId="41DBD79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29．评审委员会组成</w:t>
      </w:r>
    </w:p>
    <w:p w14:paraId="722998DF">
      <w:pPr>
        <w:ind w:firstLine="470" w:firstLineChars="196"/>
        <w:rPr>
          <w:rFonts w:ascii="宋体" w:hAnsi="宋体" w:eastAsia="宋体"/>
        </w:rPr>
      </w:pPr>
      <w:r>
        <w:rPr>
          <w:rFonts w:hint="eastAsia" w:ascii="宋体" w:hAnsi="宋体" w:eastAsia="宋体"/>
        </w:rPr>
        <w:t>29.1网上开标结束后召开评审会议，</w:t>
      </w:r>
      <w:r>
        <w:rPr>
          <w:rFonts w:hint="eastAsia" w:ascii="宋体" w:hAnsi="宋体" w:eastAsia="宋体"/>
          <w:szCs w:val="21"/>
        </w:rPr>
        <w:t>评审委员会</w:t>
      </w:r>
      <w:r>
        <w:rPr>
          <w:rFonts w:hint="eastAsia" w:ascii="宋体" w:hAnsi="宋体" w:eastAsia="宋体"/>
        </w:rPr>
        <w:t>由</w:t>
      </w:r>
      <w:r>
        <w:rPr>
          <w:rFonts w:hint="eastAsia" w:ascii="宋体" w:hAnsi="宋体" w:eastAsia="宋体"/>
          <w:lang w:eastAsia="zh-CN"/>
        </w:rPr>
        <w:t>政府采购代理机构</w:t>
      </w:r>
      <w:r>
        <w:rPr>
          <w:rFonts w:hint="eastAsia" w:ascii="宋体" w:hAnsi="宋体" w:eastAsia="宋体"/>
        </w:rPr>
        <w:t>依法组建，负责评审活动。</w:t>
      </w:r>
    </w:p>
    <w:p w14:paraId="735CC3AD">
      <w:pPr>
        <w:ind w:firstLine="470" w:firstLineChars="196"/>
        <w:rPr>
          <w:rFonts w:ascii="宋体" w:hAnsi="宋体" w:eastAsia="宋体"/>
        </w:rPr>
      </w:pPr>
      <w:bookmarkStart w:id="61"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61"/>
      <w:r>
        <w:rPr>
          <w:rFonts w:hint="eastAsia" w:ascii="宋体" w:hAnsi="宋体" w:eastAsia="宋体"/>
        </w:rPr>
        <w:t>评定</w:t>
      </w:r>
      <w:r>
        <w:rPr>
          <w:rFonts w:hint="eastAsia" w:eastAsia="宋体"/>
        </w:rPr>
        <w:t>分离项目评审专家均由评审专家组成。</w:t>
      </w:r>
      <w:r>
        <w:rPr>
          <w:rFonts w:hint="eastAsia" w:ascii="宋体" w:hAnsi="宋体" w:eastAsia="宋体"/>
          <w:szCs w:val="21"/>
        </w:rPr>
        <w:t>评审专家一般是</w:t>
      </w:r>
      <w:r>
        <w:rPr>
          <w:rFonts w:hint="eastAsia" w:ascii="宋体" w:hAnsi="宋体" w:eastAsia="宋体"/>
        </w:rPr>
        <w:t>从深圳市政府采购评审专家库中随机抽取。采购人代表须持本单位签发的《评审授权书》参加评审。</w:t>
      </w:r>
    </w:p>
    <w:p w14:paraId="4A1AE775">
      <w:pPr>
        <w:ind w:firstLine="470" w:firstLineChars="196"/>
        <w:rPr>
          <w:rFonts w:ascii="宋体" w:hAnsi="宋体" w:eastAsia="宋体"/>
        </w:rPr>
      </w:pPr>
      <w:r>
        <w:rPr>
          <w:rFonts w:hint="eastAsia" w:ascii="宋体" w:hAnsi="宋体" w:eastAsia="宋体"/>
        </w:rPr>
        <w:t>29.2评审定标应当遵循公平、公正、科学、择优的原则。</w:t>
      </w:r>
    </w:p>
    <w:p w14:paraId="201F8A4C">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6CBF204A">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28B35E07">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4E12947F">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30．向评审委员会提供的资料</w:t>
      </w:r>
    </w:p>
    <w:p w14:paraId="3BE39B3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30.1公开发布的招标文件，包括图纸、服务清单、答疑文件等；</w:t>
      </w:r>
    </w:p>
    <w:p w14:paraId="2F71D8F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30.2其他评标必须的资料。</w:t>
      </w:r>
    </w:p>
    <w:p w14:paraId="294905C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30.3</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应当认真研究招标文件，至少应了解熟悉以下内容：</w:t>
      </w:r>
    </w:p>
    <w:p w14:paraId="2C20C94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（1）招标的目的；</w:t>
      </w:r>
    </w:p>
    <w:p w14:paraId="2E6222E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（2）招标项目需求的范围和性质；</w:t>
      </w:r>
    </w:p>
    <w:p w14:paraId="1A50926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（3）招标文件规定的投标人的资格、财政预算限额、商务条款；</w:t>
      </w:r>
    </w:p>
    <w:p w14:paraId="4CCBD5B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（4）招标文件规定的评标程序、评标方法和评标因素；</w:t>
      </w:r>
    </w:p>
    <w:p w14:paraId="5F93AF0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（5）招标文件所列示的资格性审查表及符合性审查表。</w:t>
      </w:r>
    </w:p>
    <w:p w14:paraId="78B2E87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31．独立评审</w:t>
      </w:r>
    </w:p>
    <w:p w14:paraId="66162DFC">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w:t>
      </w:r>
      <w:r>
        <w:rPr>
          <w:rFonts w:ascii="宋体" w:hAnsi="宋体"/>
          <w:bCs/>
          <w:color w:val="000000" w:themeColor="text1"/>
          <w14:textFill>
            <w14:solidFill>
              <w14:schemeClr w14:val="tx1"/>
            </w14:solidFill>
          </w14:textFill>
        </w:rPr>
        <w:t>1</w:t>
      </w:r>
      <w:r>
        <w:rPr>
          <w:rFonts w:hint="eastAsia" w:ascii="宋体" w:hAnsi="宋体"/>
          <w:bCs/>
          <w:color w:val="000000" w:themeColor="text1"/>
          <w14:textFill>
            <w14:solidFill>
              <w14:schemeClr w14:val="tx1"/>
            </w14:solidFill>
          </w14:textFill>
        </w:rPr>
        <w:t>.1</w:t>
      </w:r>
      <w:r>
        <w:rPr>
          <w:rFonts w:hint="eastAsia" w:ascii="宋体" w:hAnsi="宋体"/>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成员的评标活动应当独立进行，并应遵循投标文件初审、澄清有关问题、比较与评价、确定中标供应商、编写评审报告的工作程序。</w:t>
      </w:r>
    </w:p>
    <w:p w14:paraId="36D68ECB">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评审程序及评审方法</w:t>
      </w:r>
    </w:p>
    <w:p w14:paraId="056FBC6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32．投标文件初审</w:t>
      </w:r>
    </w:p>
    <w:p w14:paraId="016FF97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32.1投标文件初审包括资格性审查和符合性审查。</w:t>
      </w:r>
    </w:p>
    <w:p w14:paraId="0757262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资格性审查：依据法律法规和招标文件的规定，对投标文件中的资格证明等进行审查，以确定投标供应商是否具备投标资格。</w:t>
      </w:r>
    </w:p>
    <w:p w14:paraId="59C1CDF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符合性审查：依据招标文件的规定，对投标文件的有效性、完整性和对招标文件的响应程度进行审查，以确定是否满足符合性审查的要求。</w:t>
      </w:r>
    </w:p>
    <w:p w14:paraId="1F074FF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32.2 投标文件初审内容请详见《资格性审查表》和《符合性审查表》部分。投标人若有一条审查不通过则按投标无效处理。</w:t>
      </w:r>
    </w:p>
    <w:p w14:paraId="5613AF53">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 投标文件初审中关于供应商家数的计算:</w:t>
      </w:r>
    </w:p>
    <w:p w14:paraId="69D9426B">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F7C143F">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按照招标文件规定的方式确定一个投标人获得中标人推荐资格，招标文件未规定的采取随机抽取方式确定，其他同品牌投标人不作为中标候选人。</w:t>
      </w:r>
    </w:p>
    <w:p w14:paraId="163A6239">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32.3.3非单一产品采购项目，采购人应当根据采购项目技术构成、产品价格比重等合理确定核心产品，并在招标文件中载明。多家投标人提供的核心产品品牌相同的，按前两款规定处理。</w:t>
      </w:r>
    </w:p>
    <w:p w14:paraId="067B53B5">
      <w:pPr>
        <w:ind w:firstLine="470" w:firstLineChars="196"/>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2.4投标人投标文件作无效处理的情形，具体包括但不限于以下：</w:t>
      </w:r>
    </w:p>
    <w:p w14:paraId="239F81AB">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32.4.1不同投标人的投标文件由同一单位或者同一个人编制，或者由同一个人分阶段参与编制；</w:t>
      </w:r>
    </w:p>
    <w:p w14:paraId="2D549868">
      <w:pPr>
        <w:ind w:firstLine="470" w:firstLineChars="196"/>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32.4.</w:t>
      </w:r>
      <w:r>
        <w:rPr>
          <w:rFonts w:hint="eastAsia" w:ascii="宋体" w:hAnsi="宋体" w:eastAsia="宋体"/>
          <w:color w:val="000000" w:themeColor="text1"/>
          <w14:textFill>
            <w14:solidFill>
              <w14:schemeClr w14:val="tx1"/>
            </w14:solidFill>
          </w14:textFill>
        </w:rPr>
        <w:t>2不同投标人委托同一单位或者个人办理投标事宜；</w:t>
      </w:r>
    </w:p>
    <w:p w14:paraId="7A03D70A">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32.4.3不同投标人的投标文件载明的项目管理成员或者联系人员为同一人；</w:t>
      </w:r>
    </w:p>
    <w:p w14:paraId="7C2313CF">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32.4.4不同投标人的投标文件异常一致或者投标报价呈规律性差异；</w:t>
      </w:r>
    </w:p>
    <w:p w14:paraId="6FB524A1">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32.4.5</w:t>
      </w:r>
      <w:r>
        <w:rPr>
          <w:rFonts w:ascii="宋体" w:hAnsi="宋体" w:eastAsia="宋体"/>
          <w:color w:val="000000" w:themeColor="text1"/>
          <w14:textFill>
            <w14:solidFill>
              <w14:schemeClr w14:val="tx1"/>
            </w14:solidFill>
          </w14:textFill>
        </w:rPr>
        <w:t>不同投标供应商的投标文件或部分投标文件相互混装</w:t>
      </w:r>
      <w:r>
        <w:rPr>
          <w:rFonts w:hint="eastAsia" w:ascii="宋体" w:hAnsi="宋体" w:eastAsia="宋体"/>
          <w:color w:val="000000" w:themeColor="text1"/>
          <w14:textFill>
            <w14:solidFill>
              <w14:schemeClr w14:val="tx1"/>
            </w14:solidFill>
          </w14:textFill>
        </w:rPr>
        <w:t>；</w:t>
      </w:r>
    </w:p>
    <w:p w14:paraId="32363BA0">
      <w:pPr>
        <w:ind w:firstLine="470" w:firstLineChars="196"/>
        <w:rPr>
          <w:rFonts w:ascii="宋体" w:hAnsi="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32.4.6投标供应商之间相互约定给予未中标的供应商利</w:t>
      </w:r>
      <w:r>
        <w:rPr>
          <w:rFonts w:hint="eastAsia" w:ascii="宋体" w:hAnsi="宋体"/>
          <w:color w:val="000000" w:themeColor="text1"/>
          <w14:textFill>
            <w14:solidFill>
              <w14:schemeClr w14:val="tx1"/>
            </w14:solidFill>
          </w14:textFill>
        </w:rPr>
        <w:t>益补偿；</w:t>
      </w:r>
    </w:p>
    <w:p w14:paraId="4496BC2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32.4.7不同投标供应商的法定代表人、主要经营负责人、项目投标授权代表人、项目负责人、主要技术人员为同一人、属同一单位或者同一单位缴纳社会保险；</w:t>
      </w:r>
    </w:p>
    <w:p w14:paraId="5C37DEF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32.4.8不同投标供应商的投标文件内容存在非正常一致；</w:t>
      </w:r>
    </w:p>
    <w:p w14:paraId="0E59296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32.4.9在同一单位工作人员为两家以上（含两家）供应商进行同一项投标活动；</w:t>
      </w:r>
    </w:p>
    <w:p w14:paraId="0E090A0C">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32.4.10主管部门依照法律、法规认定的其他情形。</w:t>
      </w:r>
    </w:p>
    <w:p w14:paraId="7E956E2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32.5对不属于《资格性审查表》和《符合性审查表》所列的其他情形，除专用条款另有规定和32.4条款所列情形外，不得作为投标无效的理由。</w:t>
      </w:r>
    </w:p>
    <w:p w14:paraId="0F71517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33．澄清有关问题</w:t>
      </w:r>
    </w:p>
    <w:p w14:paraId="7D66886C">
      <w:pPr>
        <w:ind w:firstLine="470" w:firstLineChars="196"/>
        <w:rPr>
          <w:rFonts w:ascii="宋体" w:hAnsi="宋体"/>
          <w:color w:val="000000" w:themeColor="text1"/>
          <w14:textFill>
            <w14:solidFill>
              <w14:schemeClr w14:val="tx1"/>
            </w14:solidFill>
          </w14:textFill>
        </w:rPr>
      </w:pPr>
      <w:bookmarkStart w:id="62" w:name="_Hlk71407321"/>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3.1</w:t>
      </w:r>
      <w:r>
        <w:rPr>
          <w:rFonts w:hint="eastAsia" w:ascii="宋体" w:hAnsi="宋体"/>
          <w:color w:val="000000" w:themeColor="text1"/>
          <w14:textFill>
            <w14:solidFill>
              <w14:schemeClr w14:val="tx1"/>
            </w14:solidFill>
          </w14:textFill>
        </w:rPr>
        <w:t>对招标文件中描述有歧义或前后不一致的地方（不含</w:t>
      </w:r>
      <w:r>
        <w:rPr>
          <w:color w:val="000000" w:themeColor="text1"/>
          <w:szCs w:val="21"/>
          <w14:textFill>
            <w14:solidFill>
              <w14:schemeClr w14:val="tx1"/>
            </w14:solidFill>
          </w14:textFill>
        </w:rPr>
        <w:t>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w:t>
      </w:r>
      <w:r>
        <w:rPr>
          <w:rFonts w:hint="eastAsia"/>
          <w:color w:val="000000" w:themeColor="text1"/>
          <w:szCs w:val="21"/>
          <w14:textFill>
            <w14:solidFill>
              <w14:schemeClr w14:val="tx1"/>
            </w14:solidFill>
          </w14:textFill>
        </w:rPr>
        <w:t>的情况）</w:t>
      </w:r>
      <w:r>
        <w:rPr>
          <w:rFonts w:hint="eastAsia" w:ascii="宋体" w:hAnsi="宋体"/>
          <w:color w:val="000000" w:themeColor="text1"/>
          <w14:textFill>
            <w14:solidFill>
              <w14:schemeClr w14:val="tx1"/>
            </w14:solidFill>
          </w14:textFill>
        </w:rPr>
        <w:t>，评审委员会有权进行评判，但对同一条款的评判应适用于每个投标人。</w:t>
      </w:r>
      <w:bookmarkEnd w:id="62"/>
    </w:p>
    <w:p w14:paraId="4141614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3.2</w:t>
      </w:r>
      <w:r>
        <w:rPr>
          <w:color w:val="000000" w:themeColor="text1"/>
          <w:szCs w:val="21"/>
          <w14:textFill>
            <w14:solidFill>
              <w14:schemeClr w14:val="tx1"/>
            </w14:solidFill>
          </w14:textFill>
        </w:rPr>
        <w:t>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委员会发现招标文件存在歧义、重大缺陷导致评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工作无法进行，或者招标文件内容违反国家有关强制性规定的，应当停止评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工作，与</w:t>
      </w:r>
      <w:r>
        <w:rPr>
          <w:rFonts w:hint="eastAsia" w:eastAsia="宋体"/>
          <w:color w:val="000000" w:themeColor="text1"/>
          <w:szCs w:val="21"/>
          <w14:textFill>
            <w14:solidFill>
              <w14:schemeClr w14:val="tx1"/>
            </w14:solidFill>
          </w14:textFill>
        </w:rPr>
        <w:t>招标机构</w:t>
      </w:r>
      <w:r>
        <w:rPr>
          <w:color w:val="000000" w:themeColor="text1"/>
          <w:szCs w:val="21"/>
          <w14:textFill>
            <w14:solidFill>
              <w14:schemeClr w14:val="tx1"/>
            </w14:solidFill>
          </w14:textFill>
        </w:rPr>
        <w:t>沟通并作书面记录。</w:t>
      </w:r>
      <w:r>
        <w:rPr>
          <w:rFonts w:hint="eastAsia"/>
          <w:color w:val="000000" w:themeColor="text1"/>
          <w:szCs w:val="21"/>
          <w14:textFill>
            <w14:solidFill>
              <w14:schemeClr w14:val="tx1"/>
            </w14:solidFill>
          </w14:textFill>
        </w:rPr>
        <w:t>经</w:t>
      </w:r>
      <w:r>
        <w:rPr>
          <w:color w:val="000000" w:themeColor="text1"/>
          <w:szCs w:val="21"/>
          <w14:textFill>
            <w14:solidFill>
              <w14:schemeClr w14:val="tx1"/>
            </w14:solidFill>
          </w14:textFill>
        </w:rPr>
        <w:t>确认后，</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应当修改招标文件，重新组织采购活动。</w:t>
      </w:r>
    </w:p>
    <w:p w14:paraId="6AE350EE">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33.3</w:t>
      </w:r>
      <w:r>
        <w:rPr>
          <w:rFonts w:hint="eastAsia" w:ascii="宋体" w:hAnsi="宋体"/>
          <w:color w:val="000000" w:themeColor="text1"/>
          <w14:textFill>
            <w14:solidFill>
              <w14:schemeClr w14:val="tx1"/>
            </w14:solidFill>
          </w14:textFill>
        </w:rPr>
        <w:t>对于投标文件中含义不明确、同类问题表述不一致或者有明显文字和计算错误的内容，评审委员会应当以书面形式要求投标人作出必要的澄清、说明或者补正。</w:t>
      </w:r>
    </w:p>
    <w:p w14:paraId="785B9C6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672D6F5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根据本通用条款第34条，凡属于评审委员会在评审中发现的算术错误进行核实的修改不在此列。</w:t>
      </w:r>
    </w:p>
    <w:p w14:paraId="184F80F5">
      <w:pPr>
        <w:rPr>
          <w:rFonts w:ascii="黑体" w:hAnsi="宋体" w:eastAsia="黑体"/>
          <w:color w:val="000000" w:themeColor="text1"/>
          <w14:textFill>
            <w14:solidFill>
              <w14:schemeClr w14:val="tx1"/>
            </w14:solidFill>
          </w14:textFill>
        </w:rPr>
      </w:pPr>
      <w:bookmarkStart w:id="63" w:name="_Toc100052400"/>
      <w:bookmarkStart w:id="64" w:name="_Toc73521669"/>
      <w:bookmarkStart w:id="65" w:name="_Toc73517673"/>
      <w:bookmarkStart w:id="66" w:name="_Toc73518151"/>
      <w:bookmarkStart w:id="67" w:name="_Toc73521581"/>
      <w:r>
        <w:rPr>
          <w:rFonts w:hint="eastAsia" w:ascii="黑体" w:hAnsi="宋体" w:eastAsia="黑体"/>
          <w:color w:val="000000" w:themeColor="text1"/>
          <w14:textFill>
            <w14:solidFill>
              <w14:schemeClr w14:val="tx1"/>
            </w14:solidFill>
          </w14:textFill>
        </w:rPr>
        <w:t>34．错误的修正</w:t>
      </w:r>
      <w:bookmarkEnd w:id="63"/>
      <w:bookmarkEnd w:id="64"/>
      <w:bookmarkEnd w:id="65"/>
      <w:bookmarkEnd w:id="66"/>
      <w:bookmarkEnd w:id="67"/>
    </w:p>
    <w:p w14:paraId="6110AC3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投标文件报价出现前后不一致的，除专用条款另有规定外，按照下列规定修正：</w:t>
      </w:r>
    </w:p>
    <w:p w14:paraId="2B9012B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34.1投标文件中开标一览表投标报价内容与投标文件中投标报价相应内容不一致的，以开标一览表为准；</w:t>
      </w:r>
    </w:p>
    <w:p w14:paraId="2AFBB1C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34.2大写金额和小写金额不一致的，以大写金额为准；</w:t>
      </w:r>
    </w:p>
    <w:p w14:paraId="3EA99A7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34.3单价金额小数点或者百分比有明显错位，以开标一览表的总价为准，并修改单价；</w:t>
      </w:r>
    </w:p>
    <w:p w14:paraId="3C821ED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34.4总价金额与按单价汇总金额不一致的，以单价金额计算结果为准。</w:t>
      </w:r>
    </w:p>
    <w:p w14:paraId="72A1692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34.5同时出现两种以上不一致的，按照前款规定的顺序修正。修正后的报价按照本通用条款33条的规定，经投标人确认后产生约束力，投标人不确认的，其投标无效。</w:t>
      </w:r>
    </w:p>
    <w:p w14:paraId="2C1C25D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35．投标文件的比较与评价</w:t>
      </w:r>
    </w:p>
    <w:p w14:paraId="2461420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4709FB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评审委员会成员对需要共同认定的事项存在争议的，应当按照少数服从多数的原则作出结论。持不同意见的评审委员会成员应当书面作出说明，否则视为无异议。</w:t>
      </w:r>
    </w:p>
    <w:p w14:paraId="03C60DE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36. 实地考察或资料查验</w:t>
      </w:r>
    </w:p>
    <w:p w14:paraId="27C7CB7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36.1在评审过程中，评审委员会有权决定是否对本项目投标人进行实地考察或资料查验（原件）。投标人应随时做好接受实地考察或资料查验的准备。</w:t>
      </w:r>
    </w:p>
    <w:p w14:paraId="2E33358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37．评审方法</w:t>
      </w:r>
    </w:p>
    <w:p w14:paraId="1128EB86">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37.1.1最低价法</w:t>
      </w:r>
    </w:p>
    <w:p w14:paraId="17938413">
      <w:pPr>
        <w:ind w:firstLine="470" w:firstLineChars="196"/>
        <w:rPr>
          <w:rFonts w:hint="eastAsia" w:ascii="ˎ̥" w:hAnsi="ˎ̥"/>
          <w:color w:val="000000" w:themeColor="text1"/>
          <w14:textFill>
            <w14:solidFill>
              <w14:schemeClr w14:val="tx1"/>
            </w14:solidFill>
          </w14:textFill>
        </w:rPr>
      </w:pPr>
      <w:bookmarkStart w:id="68" w:name="_Hlk72438142"/>
      <w:r>
        <w:rPr>
          <w:rFonts w:ascii="ˎ̥" w:hAnsi="ˎ̥"/>
          <w:color w:val="000000" w:themeColor="text1"/>
          <w14:textFill>
            <w14:solidFill>
              <w14:schemeClr w14:val="tx1"/>
            </w14:solidFill>
          </w14:textFill>
        </w:rPr>
        <w:t>最低价法，是指</w:t>
      </w:r>
      <w:r>
        <w:rPr>
          <w:rFonts w:hint="eastAsia" w:ascii="ˎ̥" w:hAnsi="ˎ̥"/>
          <w:color w:val="000000" w:themeColor="text1"/>
          <w14:textFill>
            <w14:solidFill>
              <w14:schemeClr w14:val="tx1"/>
            </w14:solidFill>
          </w14:textFill>
        </w:rPr>
        <w:t>完全</w:t>
      </w:r>
      <w:r>
        <w:rPr>
          <w:rFonts w:ascii="ˎ̥" w:hAnsi="ˎ̥"/>
          <w:color w:val="000000" w:themeColor="text1"/>
          <w14:textFill>
            <w14:solidFill>
              <w14:schemeClr w14:val="tx1"/>
            </w14:solidFill>
          </w14:textFill>
        </w:rPr>
        <w:t>满足招标文件实质性要求，</w:t>
      </w:r>
      <w:r>
        <w:rPr>
          <w:rFonts w:hint="eastAsia" w:ascii="ˎ̥" w:hAnsi="ˎ̥"/>
          <w:color w:val="000000" w:themeColor="text1"/>
          <w14:textFill>
            <w14:solidFill>
              <w14:schemeClr w14:val="tx1"/>
            </w14:solidFill>
          </w14:textFill>
        </w:rPr>
        <w:t>按照报价由低到高的顺序，依据招标文件中规定的数量或者比例推荐候选中标供应商。</w:t>
      </w:r>
    </w:p>
    <w:p w14:paraId="356B741F">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37.1.2综合评分法</w:t>
      </w:r>
    </w:p>
    <w:p w14:paraId="2B637494">
      <w:pPr>
        <w:ind w:firstLine="470" w:firstLineChars="196"/>
        <w:rPr>
          <w:rFonts w:hint="eastAsia" w:ascii="ˎ̥" w:hAnsi="ˎ̥"/>
          <w:color w:val="000000" w:themeColor="text1"/>
          <w14:textFill>
            <w14:solidFill>
              <w14:schemeClr w14:val="tx1"/>
            </w14:solidFill>
          </w14:textFill>
        </w:rPr>
      </w:pPr>
      <w:r>
        <w:rPr>
          <w:rFonts w:ascii="ˎ̥" w:hAnsi="ˎ̥"/>
          <w:color w:val="000000" w:themeColor="text1"/>
          <w14:textFill>
            <w14:solidFill>
              <w14:schemeClr w14:val="tx1"/>
            </w14:solidFill>
          </w14:textFill>
        </w:rPr>
        <w:t>综合评分法，是指</w:t>
      </w:r>
      <w:r>
        <w:rPr>
          <w:rFonts w:hint="eastAsia" w:ascii="ˎ̥" w:hAnsi="ˎ̥"/>
          <w:color w:val="000000" w:themeColor="text1"/>
          <w14:textFill>
            <w14:solidFill>
              <w14:schemeClr w14:val="tx1"/>
            </w14:solidFill>
          </w14:textFill>
        </w:rPr>
        <w:t>在</w:t>
      </w:r>
      <w:r>
        <w:rPr>
          <w:rFonts w:ascii="ˎ̥" w:hAnsi="ˎ̥"/>
          <w:color w:val="000000" w:themeColor="text1"/>
          <w14:textFill>
            <w14:solidFill>
              <w14:schemeClr w14:val="tx1"/>
            </w14:solidFill>
          </w14:textFill>
        </w:rPr>
        <w:t>满足招标文件全部实质性要求</w:t>
      </w:r>
      <w:r>
        <w:rPr>
          <w:rFonts w:hint="eastAsia" w:ascii="ˎ̥" w:hAnsi="ˎ̥"/>
          <w:color w:val="000000" w:themeColor="text1"/>
          <w14:textFill>
            <w14:solidFill>
              <w14:schemeClr w14:val="tx1"/>
            </w14:solidFill>
          </w14:textFill>
        </w:rPr>
        <w:t>的前提下</w:t>
      </w:r>
      <w:r>
        <w:rPr>
          <w:rFonts w:ascii="ˎ̥" w:hAnsi="ˎ̥"/>
          <w:color w:val="000000" w:themeColor="text1"/>
          <w14:textFill>
            <w14:solidFill>
              <w14:schemeClr w14:val="tx1"/>
            </w14:solidFill>
          </w14:textFill>
        </w:rPr>
        <w:t>，</w:t>
      </w:r>
      <w:r>
        <w:rPr>
          <w:rFonts w:hint="eastAsia" w:ascii="ˎ̥" w:hAnsi="ˎ̥"/>
          <w:color w:val="000000" w:themeColor="text1"/>
          <w14:textFill>
            <w14:solidFill>
              <w14:schemeClr w14:val="tx1"/>
            </w14:solidFill>
          </w14:textFill>
        </w:rPr>
        <w:t>按照招标文件中规定的各项因素进行综合评审，评审总得分排名前列的投标人，作为推荐的候选中标供应商。</w:t>
      </w:r>
      <w:bookmarkEnd w:id="68"/>
    </w:p>
    <w:p w14:paraId="013054C2">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37.2 本项目采用的评审方法见本项目招标文件第一册“专用条款”的相关内容。</w:t>
      </w:r>
    </w:p>
    <w:p w14:paraId="0B1579B5">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37.3重新评审的情形</w:t>
      </w:r>
    </w:p>
    <w:p w14:paraId="14758526">
      <w:pPr>
        <w:ind w:firstLine="470" w:firstLineChars="196"/>
        <w:rPr>
          <w:rFonts w:ascii="宋体" w:hAnsi="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评审结果汇总完成后，除下列情形外，任何人不得修改评审结果：</w:t>
      </w:r>
    </w:p>
    <w:p w14:paraId="0C6AD8C4">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37.3.1分值汇总计算错误的；</w:t>
      </w:r>
    </w:p>
    <w:p w14:paraId="26E060F4">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37.3.2分项评分超出评分标准范围的；</w:t>
      </w:r>
    </w:p>
    <w:p w14:paraId="6358D8BB">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37.3.3评审委员会成员对客观评审因素评分不一致的；</w:t>
      </w:r>
    </w:p>
    <w:p w14:paraId="22CBA6C9">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37.3.4经评审委员会认定评分畸高、畸低的。</w:t>
      </w:r>
    </w:p>
    <w:p w14:paraId="5F3A4896">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33368D59">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投标人对本条第一款情形提出质疑的，采购人或者采购代理机构可以组织原评审委员会进行重新评审，重新评审改变评审结果的，应当书面报告本级财政部门。</w:t>
      </w:r>
    </w:p>
    <w:p w14:paraId="3F25B196">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 37.4重新组建评审委员会的情形</w:t>
      </w:r>
    </w:p>
    <w:p w14:paraId="5C609A6C">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评审委员会或者其成员存在下列情形导致评审结果无效的，重新组建评审委员会进行评标，并书面报告本级财政部门：</w:t>
      </w:r>
    </w:p>
    <w:p w14:paraId="5D5E8034">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37.4.1评审委员会组成不符合《政府采购货物和服务招标投标管理办法》规定的；</w:t>
      </w:r>
    </w:p>
    <w:p w14:paraId="64C976BF">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37.4.2有《政府采购货物和服务招标投标管理办法》第六十二条第一至五项情形的；</w:t>
      </w:r>
    </w:p>
    <w:p w14:paraId="608D1C95">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37.4.3评审委员会及其成员独立评标受到非法干预的；</w:t>
      </w:r>
    </w:p>
    <w:p w14:paraId="6B1445C7">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37.4.4有政府采购法实施条例第七十五条规定的违法行为的。</w:t>
      </w:r>
    </w:p>
    <w:p w14:paraId="397AC4DE">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有违法违规行为的原评审委员会成员不得参加重新组建的评审委员会。</w:t>
      </w:r>
    </w:p>
    <w:p w14:paraId="692B3AD1">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定标及公示</w:t>
      </w:r>
    </w:p>
    <w:p w14:paraId="0FBF099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38．定标方法</w:t>
      </w:r>
    </w:p>
    <w:p w14:paraId="31295E27">
      <w:pPr>
        <w:ind w:firstLine="470" w:firstLineChars="196"/>
        <w:rPr>
          <w:rFonts w:ascii="宋体" w:hAnsi="宋体" w:eastAsia="宋体"/>
          <w:szCs w:val="21"/>
        </w:rPr>
      </w:pPr>
      <w:bookmarkStart w:id="69" w:name="_Hlk73782795"/>
      <w:r>
        <w:rPr>
          <w:rFonts w:hint="eastAsia" w:ascii="宋体" w:hAnsi="宋体" w:eastAsia="宋体"/>
          <w:szCs w:val="21"/>
        </w:rPr>
        <w:t>38.1非评定分离项目定标方法</w:t>
      </w:r>
    </w:p>
    <w:p w14:paraId="76C7971D">
      <w:pPr>
        <w:ind w:firstLine="470" w:firstLineChars="196"/>
        <w:rPr>
          <w:rFonts w:ascii="宋体" w:hAnsi="宋体" w:eastAsia="宋体"/>
          <w:szCs w:val="21"/>
        </w:rPr>
      </w:pPr>
      <w:r>
        <w:rPr>
          <w:rFonts w:hint="eastAsia" w:ascii="宋体" w:hAnsi="宋体" w:eastAsia="宋体"/>
          <w:szCs w:val="21"/>
        </w:rPr>
        <w:t>38.1.1评审委员会依据本项目招标文件所约定的评审方法进行评审和比较，向</w:t>
      </w:r>
      <w:r>
        <w:rPr>
          <w:rFonts w:hint="eastAsia" w:ascii="宋体" w:hAnsi="宋体" w:eastAsia="宋体"/>
          <w:szCs w:val="21"/>
          <w:lang w:eastAsia="zh-CN"/>
        </w:rPr>
        <w:t>政府采购代理机构</w:t>
      </w:r>
      <w:r>
        <w:rPr>
          <w:rFonts w:hint="eastAsia" w:ascii="宋体" w:hAnsi="宋体" w:eastAsia="宋体"/>
          <w:szCs w:val="21"/>
        </w:rPr>
        <w:t>提交书面评审报告，并根据评审方法比较评价结果从优到劣进行排序，确定候选中标供应商。</w:t>
      </w:r>
    </w:p>
    <w:p w14:paraId="095DE688">
      <w:pPr>
        <w:ind w:firstLine="470" w:firstLineChars="196"/>
        <w:rPr>
          <w:rFonts w:hint="eastAsia" w:ascii="ˎ̥" w:hAnsi="ˎ̥" w:eastAsia="宋体"/>
        </w:rPr>
      </w:pPr>
      <w:r>
        <w:rPr>
          <w:rFonts w:hint="eastAsia" w:ascii="宋体" w:hAnsi="宋体" w:eastAsia="宋体"/>
          <w:szCs w:val="21"/>
        </w:rPr>
        <w:t>38.1.2</w:t>
      </w:r>
      <w:r>
        <w:rPr>
          <w:rFonts w:hint="eastAsia" w:ascii="ˎ̥" w:hAnsi="ˎ̥" w:eastAsia="宋体"/>
        </w:rPr>
        <w:t>采用最低价法的，评审结果按投标报价由低到高顺序排列。投标报价相同的并列。投标文件满足招标文件全部实质性要求且投标报价最低的投标人为</w:t>
      </w:r>
      <w:bookmarkStart w:id="70" w:name="_Hlk73821177"/>
      <w:r>
        <w:rPr>
          <w:rFonts w:hint="eastAsia" w:ascii="ˎ̥" w:hAnsi="ˎ̥" w:eastAsia="宋体"/>
        </w:rPr>
        <w:t>中标供应商（排名第二的投标人为第一替补中标候选人、排名第三的投标人为第二替补中标候选人</w:t>
      </w:r>
      <w:bookmarkEnd w:id="70"/>
      <w:r>
        <w:rPr>
          <w:rFonts w:hint="eastAsia" w:ascii="ˎ̥" w:hAnsi="ˎ̥" w:eastAsia="宋体"/>
        </w:rPr>
        <w:t>）。</w:t>
      </w:r>
    </w:p>
    <w:p w14:paraId="3095175F">
      <w:pPr>
        <w:ind w:firstLine="470" w:firstLineChars="196"/>
        <w:rPr>
          <w:rFonts w:hint="eastAsia" w:ascii="ˎ̥" w:hAnsi="ˎ̥" w:eastAsia="宋体"/>
        </w:rPr>
      </w:pPr>
      <w:r>
        <w:rPr>
          <w:rFonts w:hint="eastAsia" w:ascii="宋体" w:hAnsi="宋体" w:eastAsia="宋体"/>
          <w:szCs w:val="21"/>
        </w:rPr>
        <w:t>38.1.3采</w:t>
      </w:r>
      <w:r>
        <w:rPr>
          <w:rFonts w:hint="eastAsia"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供应商（排名第二的投标人为第一替补中标候选人、排名第三的投标人为第二替补中标候选人）。出现得分且投标报价相同的并列情况时，采取随机抽取的方式确定，具体操作办法及流程由评审委员会确定。</w:t>
      </w:r>
    </w:p>
    <w:p w14:paraId="589150BE">
      <w:pPr>
        <w:ind w:firstLine="470" w:firstLineChars="196"/>
        <w:rPr>
          <w:rFonts w:ascii="宋体" w:hAnsi="宋体" w:eastAsia="宋体"/>
          <w:szCs w:val="21"/>
        </w:rPr>
      </w:pPr>
      <w:r>
        <w:rPr>
          <w:rFonts w:hint="eastAsia" w:ascii="宋体" w:hAnsi="宋体" w:eastAsia="宋体"/>
          <w:szCs w:val="21"/>
        </w:rPr>
        <w:t>38.2评定分离项目定标方法</w:t>
      </w:r>
    </w:p>
    <w:p w14:paraId="31ABC7C5">
      <w:pPr>
        <w:ind w:firstLine="470" w:firstLineChars="196"/>
        <w:rPr>
          <w:rFonts w:ascii="宋体" w:hAnsi="宋体" w:eastAsia="宋体"/>
          <w:szCs w:val="21"/>
        </w:rPr>
      </w:pPr>
      <w:r>
        <w:rPr>
          <w:rFonts w:hint="eastAsia" w:ascii="宋体" w:hAnsi="宋体" w:eastAsia="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7B492FE0">
      <w:pPr>
        <w:ind w:firstLine="470" w:firstLineChars="196"/>
        <w:rPr>
          <w:rFonts w:ascii="宋体" w:hAnsi="宋体" w:eastAsia="宋体"/>
          <w:szCs w:val="21"/>
        </w:rPr>
      </w:pPr>
      <w:r>
        <w:rPr>
          <w:rFonts w:hint="eastAsia" w:ascii="宋体" w:hAnsi="宋体" w:eastAsia="宋体"/>
          <w:szCs w:val="21"/>
        </w:rPr>
        <w:t xml:space="preserve">38.2.2 </w:t>
      </w:r>
      <w:bookmarkStart w:id="71" w:name="_Hlk71469733"/>
      <w:r>
        <w:rPr>
          <w:rFonts w:hint="eastAsia" w:eastAsia="宋体"/>
        </w:rPr>
        <w:t>适用评定分离的政府采购项目，采用综合评分法评审。</w:t>
      </w:r>
      <w:r>
        <w:rPr>
          <w:rFonts w:hint="eastAsia" w:ascii="宋体" w:hAnsi="宋体" w:eastAsia="宋体"/>
          <w:szCs w:val="21"/>
        </w:rPr>
        <w:t>评审委员会按照评审结果，推荐</w:t>
      </w:r>
      <w:r>
        <w:rPr>
          <w:rFonts w:hint="eastAsia" w:eastAsia="宋体"/>
        </w:rPr>
        <w:t>三个合格的候选中标供应商。</w:t>
      </w:r>
    </w:p>
    <w:p w14:paraId="6EAA8313">
      <w:pPr>
        <w:ind w:firstLine="470" w:firstLineChars="196"/>
        <w:rPr>
          <w:rFonts w:ascii="宋体" w:hAnsi="宋体" w:eastAsia="宋体"/>
          <w:szCs w:val="21"/>
        </w:rPr>
      </w:pPr>
      <w:r>
        <w:rPr>
          <w:rFonts w:hint="eastAsia" w:ascii="宋体" w:hAnsi="宋体" w:eastAsia="宋体"/>
          <w:szCs w:val="21"/>
        </w:rPr>
        <w:t>38.2.3</w:t>
      </w:r>
      <w:bookmarkStart w:id="72" w:name="_Hlk71469688"/>
      <w:r>
        <w:rPr>
          <w:rFonts w:hint="eastAsia" w:eastAsia="宋体"/>
        </w:rPr>
        <w:t>适用评定分离的政府采购项目，</w:t>
      </w:r>
      <w:r>
        <w:rPr>
          <w:rFonts w:hint="eastAsia" w:ascii="宋体" w:hAnsi="宋体" w:eastAsia="宋体"/>
          <w:szCs w:val="21"/>
        </w:rPr>
        <w:t>按照自定法确定中标供应商：自定法是指采购人组织定标委员会，由定标委员会在三家候选中标供应商中确定中标供应商。</w:t>
      </w:r>
      <w:bookmarkEnd w:id="71"/>
      <w:bookmarkEnd w:id="72"/>
    </w:p>
    <w:p w14:paraId="5FAAB6E7">
      <w:pPr>
        <w:ind w:firstLine="470" w:firstLineChars="196"/>
        <w:rPr>
          <w:rFonts w:ascii="宋体" w:hAnsi="宋体" w:eastAsia="宋体"/>
          <w:szCs w:val="21"/>
        </w:rPr>
      </w:pPr>
      <w:r>
        <w:rPr>
          <w:rFonts w:hint="eastAsia" w:ascii="宋体" w:hAnsi="宋体" w:eastAsia="宋体"/>
          <w:szCs w:val="21"/>
        </w:rPr>
        <w:t>38.2.4</w:t>
      </w:r>
      <w:r>
        <w:rPr>
          <w:rFonts w:hint="eastAsia" w:ascii="宋体" w:hAnsi="宋体" w:eastAsia="宋体"/>
          <w:szCs w:val="21"/>
          <w:lang w:eastAsia="zh-CN"/>
        </w:rPr>
        <w:t>政府采购代理机构</w:t>
      </w:r>
      <w:r>
        <w:rPr>
          <w:rFonts w:hint="eastAsia" w:eastAsia="宋体"/>
        </w:rPr>
        <w:t>应当自评审结束之日起两个工作日内将候选中标供应商名单及其投标文件、评审报告送交采购人</w:t>
      </w:r>
      <w:r>
        <w:rPr>
          <w:rFonts w:hint="eastAsia" w:ascii="宋体" w:hAnsi="宋体" w:eastAsia="宋体"/>
          <w:szCs w:val="21"/>
        </w:rPr>
        <w:t>。</w:t>
      </w:r>
      <w:r>
        <w:rPr>
          <w:rFonts w:hint="eastAsia" w:eastAsia="宋体"/>
        </w:rPr>
        <w:t>采购人应当安排专人对定标过程进行书面记录，形成定标报告，作为采购文件的组成部分存档，并及时将定标结果反馈</w:t>
      </w:r>
      <w:r>
        <w:rPr>
          <w:rFonts w:hint="eastAsia" w:eastAsia="宋体"/>
          <w:lang w:eastAsia="zh-CN"/>
        </w:rPr>
        <w:t>政府采购代理机构</w:t>
      </w:r>
      <w:r>
        <w:rPr>
          <w:rFonts w:hint="eastAsia" w:eastAsia="宋体"/>
        </w:rPr>
        <w:t>。具体定标程序及相关要求以按照《深圳市财政局关于印发</w:t>
      </w:r>
      <w:r>
        <w:rPr>
          <w:rFonts w:hint="eastAsia" w:ascii="宋体" w:hAnsi="宋体" w:eastAsia="宋体"/>
        </w:rPr>
        <w:t>〈</w:t>
      </w:r>
      <w:r>
        <w:rPr>
          <w:rFonts w:hint="eastAsia" w:eastAsia="宋体"/>
        </w:rPr>
        <w:t>深圳市政府采购评标定标分离管理办法</w:t>
      </w:r>
      <w:r>
        <w:rPr>
          <w:rFonts w:hint="eastAsia" w:ascii="宋体" w:hAnsi="宋体" w:eastAsia="宋体"/>
        </w:rPr>
        <w:t>〉</w:t>
      </w:r>
      <w:r>
        <w:rPr>
          <w:rFonts w:hint="eastAsia" w:eastAsia="宋体"/>
        </w:rPr>
        <w:t>的通知》（深财规【</w:t>
      </w:r>
      <w:r>
        <w:rPr>
          <w:rFonts w:eastAsia="宋体"/>
        </w:rPr>
        <w:t>2020</w:t>
      </w:r>
      <w:r>
        <w:rPr>
          <w:rFonts w:hint="eastAsia" w:eastAsia="宋体"/>
        </w:rPr>
        <w:t>】</w:t>
      </w:r>
      <w:r>
        <w:rPr>
          <w:rFonts w:eastAsia="宋体"/>
        </w:rPr>
        <w:t>1</w:t>
      </w:r>
      <w:r>
        <w:rPr>
          <w:rFonts w:hint="eastAsia" w:eastAsia="宋体"/>
        </w:rPr>
        <w:t>号）执行。</w:t>
      </w:r>
    </w:p>
    <w:p w14:paraId="34F1C04A">
      <w:pPr>
        <w:ind w:firstLine="470" w:firstLineChars="196"/>
        <w:rPr>
          <w:rFonts w:ascii="宋体" w:hAnsi="宋体" w:eastAsia="宋体"/>
          <w:szCs w:val="21"/>
        </w:rPr>
      </w:pPr>
      <w:r>
        <w:rPr>
          <w:rFonts w:hint="eastAsia" w:ascii="宋体" w:hAnsi="宋体" w:eastAsia="宋体"/>
          <w:szCs w:val="21"/>
        </w:rPr>
        <w:t>说明：采购人及投标供应商应按照上述方法提前做好相关准备。</w:t>
      </w:r>
    </w:p>
    <w:p w14:paraId="0F1B7614">
      <w:pPr>
        <w:ind w:firstLine="470" w:firstLineChars="196"/>
        <w:rPr>
          <w:rFonts w:ascii="宋体" w:hAnsi="宋体" w:eastAsia="宋体"/>
          <w:szCs w:val="21"/>
        </w:rPr>
      </w:pPr>
      <w:r>
        <w:rPr>
          <w:rFonts w:hint="eastAsia" w:ascii="宋体" w:hAnsi="宋体" w:eastAsia="宋体"/>
          <w:szCs w:val="21"/>
        </w:rPr>
        <w:t>38.3专用条款另有规定的，按专用条款相关要求定标。</w:t>
      </w:r>
      <w:bookmarkEnd w:id="69"/>
    </w:p>
    <w:p w14:paraId="5616152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39．编写评审报告</w:t>
      </w:r>
    </w:p>
    <w:p w14:paraId="1CB10FB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BB61DC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40．中标公告</w:t>
      </w:r>
    </w:p>
    <w:p w14:paraId="3FAF992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40.1</w:t>
      </w:r>
      <w:bookmarkStart w:id="73" w:name="_Hlk72438709"/>
      <w:r>
        <w:rPr>
          <w:rFonts w:hint="eastAsia" w:ascii="宋体" w:hAnsi="宋体"/>
          <w:color w:val="000000" w:themeColor="text1"/>
          <w:szCs w:val="21"/>
          <w14:textFill>
            <w14:solidFill>
              <w14:schemeClr w14:val="tx1"/>
            </w14:solidFill>
          </w14:textFill>
        </w:rPr>
        <w:t>为体现“公开、公平、公正”的原则，评审结束后经采购人确认（确定）评审结果，招标机构将在“深圳政府采购智慧平台（http://zfcg.szggzy.com:8081/）”上发布中标结果公告。</w:t>
      </w:r>
      <w:bookmarkEnd w:id="73"/>
      <w:bookmarkStart w:id="74" w:name="_Hlk72438751"/>
      <w:r>
        <w:rPr>
          <w:rFonts w:hint="eastAsia" w:ascii="宋体" w:hAnsi="宋体"/>
          <w:color w:val="000000" w:themeColor="text1"/>
          <w:szCs w:val="21"/>
          <w14:textFill>
            <w14:solidFill>
              <w14:schemeClr w14:val="tx1"/>
            </w14:solidFill>
          </w14:textFill>
        </w:rPr>
        <w:t>供应商如对评审结果有异议，</w:t>
      </w:r>
      <w:r>
        <w:rPr>
          <w:rFonts w:ascii="宋体" w:hAnsi="宋体"/>
          <w:color w:val="000000" w:themeColor="text1"/>
          <w:szCs w:val="21"/>
          <w14:textFill>
            <w14:solidFill>
              <w14:schemeClr w14:val="tx1"/>
            </w14:solidFill>
          </w14:textFill>
        </w:rPr>
        <w:t>可在发布公示日期起</w:t>
      </w:r>
      <w:r>
        <w:rPr>
          <w:rFonts w:hint="eastAsia" w:ascii="宋体" w:hAnsi="宋体"/>
          <w:color w:val="000000" w:themeColor="text1"/>
          <w:szCs w:val="21"/>
          <w14:textFill>
            <w14:solidFill>
              <w14:schemeClr w14:val="tx1"/>
            </w14:solidFill>
          </w14:textFill>
        </w:rPr>
        <w:t>七</w:t>
      </w:r>
      <w:r>
        <w:rPr>
          <w:rFonts w:ascii="宋体" w:hAnsi="宋体"/>
          <w:color w:val="000000" w:themeColor="text1"/>
          <w:szCs w:val="21"/>
          <w14:textFill>
            <w14:solidFill>
              <w14:schemeClr w14:val="tx1"/>
            </w14:solidFill>
          </w14:textFill>
        </w:rPr>
        <w:t>个工作日内向</w:t>
      </w:r>
      <w:r>
        <w:rPr>
          <w:rFonts w:hint="eastAsia" w:ascii="宋体" w:hAnsi="宋体"/>
          <w:color w:val="000000" w:themeColor="text1"/>
          <w:szCs w:val="21"/>
          <w14:textFill>
            <w14:solidFill>
              <w14:schemeClr w14:val="tx1"/>
            </w14:solidFill>
          </w14:textFill>
        </w:rPr>
        <w:t>招标机构</w:t>
      </w:r>
      <w:r>
        <w:rPr>
          <w:rFonts w:ascii="宋体" w:hAnsi="宋体"/>
          <w:color w:val="000000" w:themeColor="text1"/>
          <w:szCs w:val="21"/>
          <w14:textFill>
            <w14:solidFill>
              <w14:schemeClr w14:val="tx1"/>
            </w14:solidFill>
          </w14:textFill>
        </w:rPr>
        <w:t>提出。电话：0755</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8388</w:t>
      </w:r>
      <w:r>
        <w:rPr>
          <w:rFonts w:ascii="宋体" w:hAnsi="宋体"/>
          <w:color w:val="000000" w:themeColor="text1"/>
          <w:szCs w:val="21"/>
          <w14:textFill>
            <w14:solidFill>
              <w14:schemeClr w14:val="tx1"/>
            </w14:solidFill>
          </w14:textFill>
        </w:rPr>
        <w:t>1111。</w:t>
      </w:r>
      <w:r>
        <w:rPr>
          <w:rFonts w:hint="eastAsia" w:ascii="宋体" w:hAnsi="宋体"/>
          <w:color w:val="000000" w:themeColor="text1"/>
          <w:szCs w:val="21"/>
          <w14:textFill>
            <w14:solidFill>
              <w14:schemeClr w14:val="tx1"/>
            </w14:solidFill>
          </w14:textFill>
        </w:rPr>
        <w:t>若在公示期内未提出质疑，则视为认同该评审结果。</w:t>
      </w:r>
    </w:p>
    <w:bookmarkEnd w:id="74"/>
    <w:p w14:paraId="28B0C69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40.2质疑、投诉供应商应保证质疑、投诉内容的真实性和可靠性，并承担相应的法律责任。</w:t>
      </w:r>
    </w:p>
    <w:p w14:paraId="0134313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41．中标通知书、招标代理服务费</w:t>
      </w:r>
    </w:p>
    <w:p w14:paraId="3AAF1110">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41.1</w:t>
      </w:r>
      <w:bookmarkStart w:id="75" w:name="_Hlk72438863"/>
      <w:r>
        <w:rPr>
          <w:rFonts w:ascii="宋体" w:hAnsi="宋体"/>
          <w:color w:val="000000" w:themeColor="text1"/>
          <w:szCs w:val="21"/>
          <w14:textFill>
            <w14:solidFill>
              <w14:schemeClr w14:val="tx1"/>
            </w14:solidFill>
          </w14:textFill>
        </w:rPr>
        <w:t>中标公告公布以后无异常的情况下,中标供应商和采购人可自行在“深圳政府采购智慧平台（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）”上打印</w:t>
      </w:r>
      <w:r>
        <w:rPr>
          <w:rFonts w:ascii="宋体" w:hAnsi="宋体"/>
          <w:b w:val="0"/>
          <w:bCs/>
          <w:color w:val="000000" w:themeColor="text1"/>
          <w:szCs w:val="21"/>
          <w14:textFill>
            <w14:solidFill>
              <w14:schemeClr w14:val="tx1"/>
            </w14:solidFill>
          </w14:textFill>
        </w:rPr>
        <w:t>《数字中标通知书》</w:t>
      </w:r>
      <w:r>
        <w:rPr>
          <w:rFonts w:ascii="宋体" w:hAnsi="宋体"/>
          <w:b/>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咨询电话：</w:t>
      </w:r>
      <w:r>
        <w:rPr>
          <w:rFonts w:ascii="宋体" w:hAnsi="宋体"/>
          <w:b/>
          <w:bCs/>
          <w:color w:val="000000" w:themeColor="text1"/>
          <w:szCs w:val="21"/>
          <w14:textFill>
            <w14:solidFill>
              <w14:schemeClr w14:val="tx1"/>
            </w14:solidFill>
          </w14:textFill>
        </w:rPr>
        <w:t>0755-83881111</w:t>
      </w:r>
      <w:r>
        <w:rPr>
          <w:rFonts w:hint="eastAsia" w:ascii="宋体" w:hAnsi="宋体" w:eastAsia="宋体" w:cs="宋体"/>
          <w:b/>
          <w:bCs/>
          <w:color w:val="000000" w:themeColor="text1"/>
          <w:szCs w:val="21"/>
          <w14:textFill>
            <w14:solidFill>
              <w14:schemeClr w14:val="tx1"/>
            </w14:solidFill>
          </w14:textFill>
        </w:rPr>
        <w:t>、8</w:t>
      </w:r>
      <w:r>
        <w:rPr>
          <w:rFonts w:ascii="宋体" w:hAnsi="宋体" w:eastAsia="宋体" w:cs="宋体"/>
          <w:b/>
          <w:bCs/>
          <w:color w:val="000000" w:themeColor="text1"/>
          <w:szCs w:val="21"/>
          <w14:textFill>
            <w14:solidFill>
              <w14:schemeClr w14:val="tx1"/>
            </w14:solidFill>
          </w14:textFill>
        </w:rPr>
        <w:t>3881995</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或</w:t>
      </w:r>
      <w:r>
        <w:rPr>
          <w:rFonts w:hint="eastAsia" w:ascii="宋体" w:hAnsi="宋体"/>
          <w:szCs w:val="21"/>
        </w:rPr>
        <w:t>中标人凭单位证明和本人身份证到友和保险经纪有限公司领取《中标通知书》</w:t>
      </w:r>
      <w:r>
        <w:rPr>
          <w:rFonts w:ascii="宋体" w:hAnsi="宋体"/>
          <w:color w:val="000000" w:themeColor="text1"/>
          <w:szCs w:val="21"/>
          <w14:textFill>
            <w14:solidFill>
              <w14:schemeClr w14:val="tx1"/>
            </w14:solidFill>
          </w14:textFill>
        </w:rPr>
        <w:t>。</w:t>
      </w:r>
      <w:bookmarkEnd w:id="75"/>
    </w:p>
    <w:p w14:paraId="1B554CB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中标通知书是合同的重要组成部分。</w:t>
      </w:r>
    </w:p>
    <w:p w14:paraId="151DA512">
      <w:pPr>
        <w:ind w:firstLine="470" w:firstLineChars="196"/>
        <w:rPr>
          <w:rFonts w:hint="eastAsia" w:ascii="宋体" w:hAnsi="宋体"/>
          <w:color w:val="000000" w:themeColor="text1"/>
          <w:szCs w:val="21"/>
          <w14:textFill>
            <w14:solidFill>
              <w14:schemeClr w14:val="tx1"/>
            </w14:solidFill>
          </w14:textFill>
        </w:rPr>
      </w:pPr>
      <w:bookmarkStart w:id="76" w:name="_Hlk71407340"/>
      <w:r>
        <w:rPr>
          <w:rFonts w:hint="eastAsia" w:ascii="宋体" w:hAnsi="宋体"/>
          <w:color w:val="000000" w:themeColor="text1"/>
          <w:szCs w:val="21"/>
          <w14:textFill>
            <w14:solidFill>
              <w14:schemeClr w14:val="tx1"/>
            </w14:solidFill>
          </w14:textFill>
        </w:rPr>
        <w:t>41.3因质疑投诉或其它原因导致项目结果变更或采购终止的，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有权吊销中标通知书。</w:t>
      </w:r>
    </w:p>
    <w:p w14:paraId="37A41574">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41.4.1</w:t>
      </w:r>
      <w:r>
        <w:rPr>
          <w:rFonts w:hint="eastAsia" w:ascii="宋体" w:hAnsi="宋体"/>
          <w:color w:val="000000" w:themeColor="text1"/>
          <w:szCs w:val="21"/>
          <w14:textFill>
            <w14:solidFill>
              <w14:schemeClr w14:val="tx1"/>
            </w14:solidFill>
          </w14:textFill>
        </w:rPr>
        <w:t>代理费由中标人支付，代理费收费标准按《深圳市财政委员会关于规范深圳市社会采购代理机构管理有关事项的补充通知》（深财购〔2018〕27号）执行，收费标准如下表所列。招标代理服务费以中标金额为基数，按差额定率累进法计算</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不足人民币陆仟元的按照固定额陆仟元收取。具体计取费率标准如下表所示：</w:t>
      </w:r>
    </w:p>
    <w:tbl>
      <w:tblPr>
        <w:tblStyle w:val="16"/>
        <w:tblW w:w="781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47"/>
        <w:gridCol w:w="1788"/>
        <w:gridCol w:w="1788"/>
        <w:gridCol w:w="1788"/>
      </w:tblGrid>
      <w:tr w14:paraId="2AFE81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2447" w:type="dxa"/>
            <w:tcBorders>
              <w:tl2br w:val="single" w:color="auto" w:sz="8" w:space="0"/>
            </w:tcBorders>
            <w:vAlign w:val="center"/>
          </w:tcPr>
          <w:p w14:paraId="150D96B8">
            <w:pPr>
              <w:snapToGrid w:val="0"/>
              <w:spacing w:line="360" w:lineRule="auto"/>
              <w:ind w:firstLine="1200" w:firstLineChars="500"/>
              <w:jc w:val="center"/>
              <w:rPr>
                <w:rFonts w:ascii="宋体" w:hAnsi="宋体"/>
                <w:szCs w:val="21"/>
              </w:rPr>
            </w:pPr>
            <w:r>
              <w:rPr>
                <w:rFonts w:hint="eastAsia" w:ascii="宋体" w:hAnsi="宋体"/>
                <w:szCs w:val="21"/>
              </w:rPr>
              <w:t>服务类型</w:t>
            </w:r>
          </w:p>
          <w:p w14:paraId="71229A29">
            <w:pPr>
              <w:pStyle w:val="7"/>
              <w:ind w:firstLine="0"/>
              <w:jc w:val="both"/>
              <w:rPr>
                <w:rFonts w:ascii="宋体" w:hAnsi="宋体"/>
                <w:szCs w:val="21"/>
              </w:rPr>
            </w:pPr>
            <w:r>
              <w:rPr>
                <w:rFonts w:hint="eastAsia" w:ascii="宋体" w:hAnsi="宋体"/>
                <w:szCs w:val="21"/>
              </w:rPr>
              <w:t>中标金额</w:t>
            </w:r>
            <w:r>
              <w:rPr>
                <w:rFonts w:ascii="宋体" w:hAnsi="宋体"/>
                <w:szCs w:val="21"/>
              </w:rPr>
              <w:t>(</w:t>
            </w:r>
            <w:r>
              <w:rPr>
                <w:rFonts w:hint="eastAsia" w:ascii="宋体" w:hAnsi="宋体"/>
                <w:szCs w:val="21"/>
              </w:rPr>
              <w:t>万元</w:t>
            </w:r>
            <w:r>
              <w:rPr>
                <w:rFonts w:ascii="宋体" w:hAnsi="宋体"/>
                <w:szCs w:val="21"/>
              </w:rPr>
              <w:t>)</w:t>
            </w:r>
          </w:p>
        </w:tc>
        <w:tc>
          <w:tcPr>
            <w:tcW w:w="1788" w:type="dxa"/>
            <w:vAlign w:val="center"/>
          </w:tcPr>
          <w:p w14:paraId="48C37B89">
            <w:pPr>
              <w:snapToGrid w:val="0"/>
              <w:spacing w:line="360" w:lineRule="auto"/>
              <w:jc w:val="center"/>
              <w:rPr>
                <w:rFonts w:ascii="宋体" w:hAnsi="宋体"/>
                <w:szCs w:val="21"/>
              </w:rPr>
            </w:pPr>
            <w:r>
              <w:rPr>
                <w:rFonts w:hint="eastAsia" w:ascii="宋体" w:hAnsi="宋体"/>
                <w:szCs w:val="21"/>
              </w:rPr>
              <w:t>货物招标</w:t>
            </w:r>
          </w:p>
        </w:tc>
        <w:tc>
          <w:tcPr>
            <w:tcW w:w="1788" w:type="dxa"/>
            <w:vAlign w:val="center"/>
          </w:tcPr>
          <w:p w14:paraId="4658F735">
            <w:pPr>
              <w:snapToGrid w:val="0"/>
              <w:spacing w:line="360" w:lineRule="auto"/>
              <w:jc w:val="center"/>
              <w:rPr>
                <w:rFonts w:ascii="宋体" w:hAnsi="宋体"/>
                <w:szCs w:val="21"/>
              </w:rPr>
            </w:pPr>
            <w:r>
              <w:rPr>
                <w:rFonts w:hint="eastAsia" w:ascii="宋体" w:hAnsi="宋体"/>
                <w:szCs w:val="21"/>
              </w:rPr>
              <w:t>服务招标</w:t>
            </w:r>
          </w:p>
        </w:tc>
        <w:tc>
          <w:tcPr>
            <w:tcW w:w="1788" w:type="dxa"/>
            <w:vAlign w:val="center"/>
          </w:tcPr>
          <w:p w14:paraId="025EA257">
            <w:pPr>
              <w:snapToGrid w:val="0"/>
              <w:spacing w:line="360" w:lineRule="auto"/>
              <w:jc w:val="center"/>
              <w:rPr>
                <w:rFonts w:ascii="宋体" w:hAnsi="宋体"/>
                <w:szCs w:val="21"/>
              </w:rPr>
            </w:pPr>
            <w:r>
              <w:rPr>
                <w:rFonts w:hint="eastAsia" w:ascii="宋体" w:hAnsi="宋体"/>
                <w:szCs w:val="21"/>
              </w:rPr>
              <w:t>工程招标</w:t>
            </w:r>
          </w:p>
        </w:tc>
      </w:tr>
      <w:tr w14:paraId="11CD0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39574FC6">
            <w:pPr>
              <w:snapToGrid w:val="0"/>
              <w:spacing w:line="360" w:lineRule="auto"/>
              <w:jc w:val="center"/>
              <w:rPr>
                <w:rFonts w:ascii="宋体" w:hAnsi="宋体"/>
                <w:szCs w:val="21"/>
              </w:rPr>
            </w:pPr>
            <w:r>
              <w:rPr>
                <w:rFonts w:ascii="宋体" w:hAnsi="宋体"/>
                <w:szCs w:val="21"/>
              </w:rPr>
              <w:t>100</w:t>
            </w:r>
            <w:r>
              <w:rPr>
                <w:rFonts w:hint="eastAsia" w:ascii="宋体" w:hAnsi="宋体"/>
                <w:szCs w:val="21"/>
              </w:rPr>
              <w:t>以下</w:t>
            </w:r>
          </w:p>
        </w:tc>
        <w:tc>
          <w:tcPr>
            <w:tcW w:w="1788" w:type="dxa"/>
          </w:tcPr>
          <w:p w14:paraId="57C914E4">
            <w:pPr>
              <w:spacing w:line="360" w:lineRule="auto"/>
              <w:jc w:val="center"/>
              <w:rPr>
                <w:rFonts w:ascii="宋体" w:hAnsi="宋体"/>
              </w:rPr>
            </w:pPr>
            <w:r>
              <w:rPr>
                <w:rFonts w:ascii="宋体" w:hAnsi="宋体"/>
              </w:rPr>
              <w:t>1.50%</w:t>
            </w:r>
          </w:p>
        </w:tc>
        <w:tc>
          <w:tcPr>
            <w:tcW w:w="1788" w:type="dxa"/>
          </w:tcPr>
          <w:p w14:paraId="079D87C8">
            <w:pPr>
              <w:spacing w:line="360" w:lineRule="auto"/>
              <w:jc w:val="center"/>
              <w:rPr>
                <w:rFonts w:ascii="宋体" w:hAnsi="宋体"/>
              </w:rPr>
            </w:pPr>
            <w:r>
              <w:rPr>
                <w:rFonts w:ascii="宋体" w:hAnsi="宋体"/>
              </w:rPr>
              <w:t>1.50%</w:t>
            </w:r>
          </w:p>
        </w:tc>
        <w:tc>
          <w:tcPr>
            <w:tcW w:w="1788" w:type="dxa"/>
          </w:tcPr>
          <w:p w14:paraId="486DB220">
            <w:pPr>
              <w:spacing w:line="360" w:lineRule="auto"/>
              <w:jc w:val="center"/>
              <w:rPr>
                <w:rFonts w:ascii="宋体" w:hAnsi="宋体"/>
              </w:rPr>
            </w:pPr>
            <w:r>
              <w:rPr>
                <w:rFonts w:ascii="宋体" w:hAnsi="宋体"/>
              </w:rPr>
              <w:t>1.00%</w:t>
            </w:r>
          </w:p>
        </w:tc>
      </w:tr>
      <w:tr w14:paraId="3ECF0E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472FE719">
            <w:pPr>
              <w:snapToGrid w:val="0"/>
              <w:spacing w:line="360" w:lineRule="auto"/>
              <w:jc w:val="center"/>
              <w:rPr>
                <w:rFonts w:ascii="宋体" w:hAnsi="宋体"/>
                <w:szCs w:val="21"/>
              </w:rPr>
            </w:pPr>
            <w:r>
              <w:rPr>
                <w:rFonts w:ascii="宋体" w:hAnsi="宋体"/>
                <w:szCs w:val="21"/>
              </w:rPr>
              <w:t>100-500</w:t>
            </w:r>
          </w:p>
        </w:tc>
        <w:tc>
          <w:tcPr>
            <w:tcW w:w="1788" w:type="dxa"/>
          </w:tcPr>
          <w:p w14:paraId="28C2234E">
            <w:pPr>
              <w:spacing w:line="360" w:lineRule="auto"/>
              <w:jc w:val="center"/>
              <w:rPr>
                <w:rFonts w:ascii="宋体" w:hAnsi="宋体"/>
              </w:rPr>
            </w:pPr>
            <w:r>
              <w:rPr>
                <w:rFonts w:ascii="宋体" w:hAnsi="宋体"/>
              </w:rPr>
              <w:t>1.10%</w:t>
            </w:r>
          </w:p>
        </w:tc>
        <w:tc>
          <w:tcPr>
            <w:tcW w:w="1788" w:type="dxa"/>
          </w:tcPr>
          <w:p w14:paraId="024C559E">
            <w:pPr>
              <w:spacing w:line="360" w:lineRule="auto"/>
              <w:jc w:val="center"/>
              <w:rPr>
                <w:rFonts w:ascii="宋体" w:hAnsi="宋体"/>
              </w:rPr>
            </w:pPr>
            <w:r>
              <w:rPr>
                <w:rFonts w:ascii="宋体" w:hAnsi="宋体"/>
              </w:rPr>
              <w:t>0.80%</w:t>
            </w:r>
          </w:p>
        </w:tc>
        <w:tc>
          <w:tcPr>
            <w:tcW w:w="1788" w:type="dxa"/>
          </w:tcPr>
          <w:p w14:paraId="11F6DD5D">
            <w:pPr>
              <w:spacing w:line="360" w:lineRule="auto"/>
              <w:jc w:val="center"/>
              <w:rPr>
                <w:rFonts w:ascii="宋体" w:hAnsi="宋体"/>
              </w:rPr>
            </w:pPr>
            <w:r>
              <w:rPr>
                <w:rFonts w:ascii="宋体" w:hAnsi="宋体"/>
              </w:rPr>
              <w:t>0.70%</w:t>
            </w:r>
          </w:p>
        </w:tc>
      </w:tr>
      <w:tr w14:paraId="3EBD1F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47DE1B33">
            <w:pPr>
              <w:snapToGrid w:val="0"/>
              <w:spacing w:line="360" w:lineRule="auto"/>
              <w:jc w:val="center"/>
              <w:rPr>
                <w:rFonts w:ascii="宋体" w:hAnsi="宋体"/>
                <w:szCs w:val="21"/>
              </w:rPr>
            </w:pPr>
            <w:r>
              <w:rPr>
                <w:rFonts w:ascii="宋体" w:hAnsi="宋体"/>
                <w:szCs w:val="21"/>
              </w:rPr>
              <w:t>500-1000</w:t>
            </w:r>
          </w:p>
        </w:tc>
        <w:tc>
          <w:tcPr>
            <w:tcW w:w="1788" w:type="dxa"/>
          </w:tcPr>
          <w:p w14:paraId="0F4E4001">
            <w:pPr>
              <w:spacing w:line="360" w:lineRule="auto"/>
              <w:jc w:val="center"/>
              <w:rPr>
                <w:rFonts w:ascii="宋体" w:hAnsi="宋体"/>
              </w:rPr>
            </w:pPr>
            <w:r>
              <w:rPr>
                <w:rFonts w:ascii="宋体" w:hAnsi="宋体"/>
              </w:rPr>
              <w:t>0.80%</w:t>
            </w:r>
          </w:p>
        </w:tc>
        <w:tc>
          <w:tcPr>
            <w:tcW w:w="1788" w:type="dxa"/>
          </w:tcPr>
          <w:p w14:paraId="3A240DD5">
            <w:pPr>
              <w:spacing w:line="360" w:lineRule="auto"/>
              <w:jc w:val="center"/>
              <w:rPr>
                <w:rFonts w:ascii="宋体" w:hAnsi="宋体"/>
              </w:rPr>
            </w:pPr>
            <w:r>
              <w:rPr>
                <w:rFonts w:ascii="宋体" w:hAnsi="宋体"/>
              </w:rPr>
              <w:t>0.45%</w:t>
            </w:r>
          </w:p>
        </w:tc>
        <w:tc>
          <w:tcPr>
            <w:tcW w:w="1788" w:type="dxa"/>
          </w:tcPr>
          <w:p w14:paraId="6D2D55A4">
            <w:pPr>
              <w:spacing w:line="360" w:lineRule="auto"/>
              <w:jc w:val="center"/>
              <w:rPr>
                <w:rFonts w:ascii="宋体" w:hAnsi="宋体"/>
              </w:rPr>
            </w:pPr>
            <w:r>
              <w:rPr>
                <w:rFonts w:ascii="宋体" w:hAnsi="宋体"/>
              </w:rPr>
              <w:t>0.55%</w:t>
            </w:r>
          </w:p>
        </w:tc>
      </w:tr>
      <w:tr w14:paraId="3A058C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6E3FE2EF">
            <w:pPr>
              <w:snapToGrid w:val="0"/>
              <w:spacing w:line="360" w:lineRule="auto"/>
              <w:jc w:val="center"/>
              <w:rPr>
                <w:rFonts w:ascii="宋体" w:hAnsi="宋体"/>
                <w:szCs w:val="21"/>
              </w:rPr>
            </w:pPr>
            <w:r>
              <w:rPr>
                <w:rFonts w:ascii="宋体" w:hAnsi="宋体"/>
                <w:szCs w:val="21"/>
              </w:rPr>
              <w:t>1000-5000</w:t>
            </w:r>
          </w:p>
        </w:tc>
        <w:tc>
          <w:tcPr>
            <w:tcW w:w="1788" w:type="dxa"/>
          </w:tcPr>
          <w:p w14:paraId="40CE52C1">
            <w:pPr>
              <w:spacing w:line="360" w:lineRule="auto"/>
              <w:jc w:val="center"/>
              <w:rPr>
                <w:rFonts w:ascii="宋体" w:hAnsi="宋体"/>
              </w:rPr>
            </w:pPr>
            <w:r>
              <w:rPr>
                <w:rFonts w:ascii="宋体" w:hAnsi="宋体"/>
              </w:rPr>
              <w:t>0.50%</w:t>
            </w:r>
          </w:p>
        </w:tc>
        <w:tc>
          <w:tcPr>
            <w:tcW w:w="1788" w:type="dxa"/>
          </w:tcPr>
          <w:p w14:paraId="0D51EF21">
            <w:pPr>
              <w:spacing w:line="360" w:lineRule="auto"/>
              <w:jc w:val="center"/>
              <w:rPr>
                <w:rFonts w:ascii="宋体" w:hAnsi="宋体"/>
              </w:rPr>
            </w:pPr>
            <w:r>
              <w:rPr>
                <w:rFonts w:ascii="宋体" w:hAnsi="宋体"/>
              </w:rPr>
              <w:t>0.25%</w:t>
            </w:r>
          </w:p>
        </w:tc>
        <w:tc>
          <w:tcPr>
            <w:tcW w:w="1788" w:type="dxa"/>
          </w:tcPr>
          <w:p w14:paraId="3A33C058">
            <w:pPr>
              <w:spacing w:line="360" w:lineRule="auto"/>
              <w:jc w:val="center"/>
              <w:rPr>
                <w:rFonts w:ascii="宋体" w:hAnsi="宋体"/>
              </w:rPr>
            </w:pPr>
            <w:r>
              <w:rPr>
                <w:rFonts w:ascii="宋体" w:hAnsi="宋体"/>
              </w:rPr>
              <w:t>0.35%</w:t>
            </w:r>
          </w:p>
        </w:tc>
      </w:tr>
      <w:tr w14:paraId="26835A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4B6489FA">
            <w:pPr>
              <w:snapToGrid w:val="0"/>
              <w:spacing w:line="360" w:lineRule="auto"/>
              <w:jc w:val="center"/>
              <w:rPr>
                <w:rFonts w:ascii="宋体" w:hAnsi="宋体"/>
                <w:szCs w:val="21"/>
              </w:rPr>
            </w:pPr>
            <w:r>
              <w:rPr>
                <w:rFonts w:ascii="宋体" w:hAnsi="宋体"/>
                <w:szCs w:val="21"/>
              </w:rPr>
              <w:t>5000-10000</w:t>
            </w:r>
          </w:p>
        </w:tc>
        <w:tc>
          <w:tcPr>
            <w:tcW w:w="1788" w:type="dxa"/>
          </w:tcPr>
          <w:p w14:paraId="11439403">
            <w:pPr>
              <w:spacing w:line="360" w:lineRule="auto"/>
              <w:jc w:val="center"/>
              <w:rPr>
                <w:rFonts w:ascii="宋体" w:hAnsi="宋体"/>
              </w:rPr>
            </w:pPr>
            <w:r>
              <w:rPr>
                <w:rFonts w:ascii="宋体" w:hAnsi="宋体"/>
              </w:rPr>
              <w:t>0.25%</w:t>
            </w:r>
          </w:p>
        </w:tc>
        <w:tc>
          <w:tcPr>
            <w:tcW w:w="1788" w:type="dxa"/>
          </w:tcPr>
          <w:p w14:paraId="64717CB7">
            <w:pPr>
              <w:spacing w:line="360" w:lineRule="auto"/>
              <w:jc w:val="center"/>
              <w:rPr>
                <w:rFonts w:ascii="宋体" w:hAnsi="宋体"/>
              </w:rPr>
            </w:pPr>
            <w:r>
              <w:rPr>
                <w:rFonts w:ascii="宋体" w:hAnsi="宋体"/>
              </w:rPr>
              <w:t>0.10%</w:t>
            </w:r>
          </w:p>
        </w:tc>
        <w:tc>
          <w:tcPr>
            <w:tcW w:w="1788" w:type="dxa"/>
          </w:tcPr>
          <w:p w14:paraId="5AB69F00">
            <w:pPr>
              <w:spacing w:line="360" w:lineRule="auto"/>
              <w:jc w:val="center"/>
              <w:rPr>
                <w:rFonts w:ascii="宋体" w:hAnsi="宋体"/>
              </w:rPr>
            </w:pPr>
            <w:r>
              <w:rPr>
                <w:rFonts w:ascii="宋体" w:hAnsi="宋体"/>
              </w:rPr>
              <w:t>0.20%</w:t>
            </w:r>
          </w:p>
        </w:tc>
      </w:tr>
      <w:tr w14:paraId="14528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0A362F0A">
            <w:pPr>
              <w:snapToGrid w:val="0"/>
              <w:spacing w:line="360" w:lineRule="auto"/>
              <w:jc w:val="center"/>
              <w:rPr>
                <w:rFonts w:ascii="宋体" w:hAnsi="宋体"/>
                <w:szCs w:val="21"/>
              </w:rPr>
            </w:pPr>
            <w:r>
              <w:rPr>
                <w:rFonts w:ascii="宋体" w:hAnsi="宋体"/>
                <w:szCs w:val="21"/>
              </w:rPr>
              <w:t>10000-100000</w:t>
            </w:r>
          </w:p>
        </w:tc>
        <w:tc>
          <w:tcPr>
            <w:tcW w:w="1788" w:type="dxa"/>
          </w:tcPr>
          <w:p w14:paraId="67B863F8">
            <w:pPr>
              <w:spacing w:line="360" w:lineRule="auto"/>
              <w:jc w:val="center"/>
              <w:rPr>
                <w:rFonts w:ascii="宋体" w:hAnsi="宋体"/>
              </w:rPr>
            </w:pPr>
            <w:r>
              <w:rPr>
                <w:rFonts w:ascii="宋体" w:hAnsi="宋体"/>
              </w:rPr>
              <w:t>0.05%</w:t>
            </w:r>
          </w:p>
        </w:tc>
        <w:tc>
          <w:tcPr>
            <w:tcW w:w="1788" w:type="dxa"/>
          </w:tcPr>
          <w:p w14:paraId="714E3B0A">
            <w:pPr>
              <w:spacing w:line="360" w:lineRule="auto"/>
              <w:jc w:val="center"/>
              <w:rPr>
                <w:rFonts w:ascii="宋体" w:hAnsi="宋体"/>
              </w:rPr>
            </w:pPr>
            <w:r>
              <w:rPr>
                <w:rFonts w:ascii="宋体" w:hAnsi="宋体"/>
              </w:rPr>
              <w:t>0.05%</w:t>
            </w:r>
          </w:p>
        </w:tc>
        <w:tc>
          <w:tcPr>
            <w:tcW w:w="1788" w:type="dxa"/>
          </w:tcPr>
          <w:p w14:paraId="4B2E16EE">
            <w:pPr>
              <w:spacing w:line="360" w:lineRule="auto"/>
              <w:jc w:val="center"/>
              <w:rPr>
                <w:rFonts w:ascii="宋体" w:hAnsi="宋体"/>
              </w:rPr>
            </w:pPr>
            <w:r>
              <w:rPr>
                <w:rFonts w:ascii="宋体" w:hAnsi="宋体"/>
              </w:rPr>
              <w:t>0.05%</w:t>
            </w:r>
          </w:p>
        </w:tc>
      </w:tr>
      <w:tr w14:paraId="7BBD54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0BD0F956">
            <w:pPr>
              <w:snapToGrid w:val="0"/>
              <w:spacing w:line="360" w:lineRule="auto"/>
              <w:jc w:val="center"/>
              <w:rPr>
                <w:rFonts w:ascii="宋体" w:hAnsi="宋体"/>
                <w:szCs w:val="21"/>
              </w:rPr>
            </w:pPr>
            <w:r>
              <w:rPr>
                <w:rFonts w:ascii="宋体" w:hAnsi="宋体"/>
                <w:szCs w:val="21"/>
              </w:rPr>
              <w:t>1000000</w:t>
            </w:r>
            <w:r>
              <w:rPr>
                <w:rFonts w:hint="eastAsia" w:ascii="宋体" w:hAnsi="宋体"/>
                <w:szCs w:val="21"/>
              </w:rPr>
              <w:t>以上</w:t>
            </w:r>
          </w:p>
        </w:tc>
        <w:tc>
          <w:tcPr>
            <w:tcW w:w="1788" w:type="dxa"/>
          </w:tcPr>
          <w:p w14:paraId="0DCD88D2">
            <w:pPr>
              <w:spacing w:line="360" w:lineRule="auto"/>
              <w:jc w:val="center"/>
              <w:rPr>
                <w:rFonts w:ascii="宋体" w:hAnsi="宋体"/>
              </w:rPr>
            </w:pPr>
            <w:r>
              <w:rPr>
                <w:rFonts w:ascii="宋体" w:hAnsi="宋体"/>
              </w:rPr>
              <w:t>0.01%</w:t>
            </w:r>
          </w:p>
        </w:tc>
        <w:tc>
          <w:tcPr>
            <w:tcW w:w="1788" w:type="dxa"/>
          </w:tcPr>
          <w:p w14:paraId="76BF45D7">
            <w:pPr>
              <w:spacing w:line="360" w:lineRule="auto"/>
              <w:jc w:val="center"/>
              <w:rPr>
                <w:rFonts w:ascii="宋体" w:hAnsi="宋体"/>
              </w:rPr>
            </w:pPr>
            <w:r>
              <w:rPr>
                <w:rFonts w:ascii="宋体" w:hAnsi="宋体"/>
              </w:rPr>
              <w:t>0.01%</w:t>
            </w:r>
          </w:p>
        </w:tc>
        <w:tc>
          <w:tcPr>
            <w:tcW w:w="1788" w:type="dxa"/>
          </w:tcPr>
          <w:p w14:paraId="19CBBE63">
            <w:pPr>
              <w:spacing w:line="360" w:lineRule="auto"/>
              <w:jc w:val="center"/>
              <w:rPr>
                <w:rFonts w:ascii="宋体" w:hAnsi="宋体"/>
              </w:rPr>
            </w:pPr>
            <w:r>
              <w:rPr>
                <w:rFonts w:ascii="宋体" w:hAnsi="宋体"/>
              </w:rPr>
              <w:t>0.01%</w:t>
            </w:r>
          </w:p>
        </w:tc>
      </w:tr>
    </w:tbl>
    <w:p w14:paraId="30D6F3A3">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例如：某服务招标代理业务中标金额为600万元，计算招标代理服务收费额如下：</w:t>
      </w:r>
    </w:p>
    <w:p w14:paraId="2776921E">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100万元×1.5%=1.5万元</w:t>
      </w:r>
    </w:p>
    <w:p w14:paraId="6B90840F">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（500-100）万元×0.8%=3.2万元</w:t>
      </w:r>
    </w:p>
    <w:p w14:paraId="61E73B18">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（600-500）万元×0.45%=0.45万元</w:t>
      </w:r>
    </w:p>
    <w:p w14:paraId="2D3FE851">
      <w:pPr>
        <w:ind w:firstLine="470" w:firstLineChars="196"/>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合计收费=1.5+3.2+0.45=5.15万元：</w:t>
      </w:r>
    </w:p>
    <w:p w14:paraId="0A5541DB">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中标人须在中标公告公示期结束后，领取《中标通知书》前，向招标代理机构缴纳中标服务费。</w:t>
      </w:r>
    </w:p>
    <w:p w14:paraId="7E7B6BA8">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4.2</w:t>
      </w:r>
      <w:r>
        <w:rPr>
          <w:rFonts w:hint="eastAsia" w:ascii="宋体" w:hAnsi="宋体"/>
          <w:color w:val="000000" w:themeColor="text1"/>
          <w:szCs w:val="21"/>
          <w14:textFill>
            <w14:solidFill>
              <w14:schemeClr w14:val="tx1"/>
            </w14:solidFill>
          </w14:textFill>
        </w:rPr>
        <w:t xml:space="preserve"> 招标代理服务费以转账、现金形式交付。</w:t>
      </w:r>
    </w:p>
    <w:p w14:paraId="6857FBFD"/>
    <w:bookmarkEnd w:id="76"/>
    <w:p w14:paraId="440D65AB">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公开招标失败的后续处理</w:t>
      </w:r>
    </w:p>
    <w:p w14:paraId="15908CFF">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42．公开招标失败的处理</w:t>
      </w:r>
    </w:p>
    <w:p w14:paraId="4FA66A1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42.1本项目公开招标过程中若由于投标截止后</w:t>
      </w:r>
      <w:r>
        <w:rPr>
          <w:rFonts w:hint="eastAsia" w:ascii="宋体" w:hAnsi="宋体"/>
          <w:color w:val="000000" w:themeColor="text1"/>
          <w14:textFill>
            <w14:solidFill>
              <w14:schemeClr w14:val="tx1"/>
            </w14:solidFill>
          </w14:textFill>
        </w:rPr>
        <w:t>实际递交</w:t>
      </w:r>
      <w:r>
        <w:rPr>
          <w:rFonts w:ascii="宋体" w:hAnsi="宋体"/>
          <w:color w:val="000000" w:themeColor="text1"/>
          <w14:textFill>
            <w14:solidFill>
              <w14:schemeClr w14:val="tx1"/>
            </w14:solidFill>
          </w14:textFill>
        </w:rPr>
        <w:t>投标</w:t>
      </w:r>
      <w:r>
        <w:rPr>
          <w:rFonts w:hint="eastAsia" w:ascii="宋体" w:hAnsi="宋体"/>
          <w:color w:val="000000" w:themeColor="text1"/>
          <w14:textFill>
            <w14:solidFill>
              <w14:schemeClr w14:val="tx1"/>
            </w14:solidFill>
          </w14:textFill>
        </w:rPr>
        <w:t>文件的供应商数量不足、经</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评审对招标文件作实质响应的供应商不足等原因造成公开招标失败，可由</w:t>
      </w:r>
      <w:r>
        <w:rPr>
          <w:rFonts w:hint="eastAsia" w:ascii="宋体" w:hAnsi="宋体" w:eastAsia="宋体" w:cs="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重新组织采购。</w:t>
      </w:r>
    </w:p>
    <w:p w14:paraId="78A6F0C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42.2对公开招标失败的项目，评审委员会在出具该项目招标失败结论的同时，可以提出重新采购组织形式的建议，以及进一步完善招标文件的资格、技术、商务要求的修改建议。</w:t>
      </w:r>
    </w:p>
    <w:p w14:paraId="1F6F515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42.3重新组织采购有以下两种组织形式：</w:t>
      </w:r>
    </w:p>
    <w:p w14:paraId="2CCAF0E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重新组织公开招标；</w:t>
      </w:r>
    </w:p>
    <w:p w14:paraId="33952152">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（2）根据实际情况需要向同级财政部门提出非公开招标方式申请，经同级财政部门批准，公开招标失败采购项目可转为竞争性谈判或单一来源谈判方式采购。</w:t>
      </w:r>
    </w:p>
    <w:p w14:paraId="64BC3EE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42.4公开招标失败的采购项目重新组织公开招标，由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重新按公开招标流程组织采购活动。</w:t>
      </w:r>
    </w:p>
    <w:p w14:paraId="23E02B0D">
      <w:pPr>
        <w:ind w:firstLine="470" w:firstLineChars="19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42.5公开招标失败的采购项目经同级财政部门批准转为竞争性谈判或单一来源谈判方式采购的，按规定要求组织政府采购工作。</w:t>
      </w:r>
    </w:p>
    <w:p w14:paraId="3356EA9E">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bookmarkStart w:id="77" w:name="_Hlk72439043"/>
      <w:r>
        <w:rPr>
          <w:rFonts w:hint="eastAsia"/>
          <w:color w:val="000000" w:themeColor="text1"/>
          <w:sz w:val="28"/>
          <w:szCs w:val="28"/>
          <w14:textFill>
            <w14:solidFill>
              <w14:schemeClr w14:val="tx1"/>
            </w14:solidFill>
          </w14:textFill>
        </w:rPr>
        <w:t>合同的授予与备案</w:t>
      </w:r>
      <w:bookmarkEnd w:id="77"/>
    </w:p>
    <w:p w14:paraId="116A37B1">
      <w:pPr>
        <w:rPr>
          <w:rFonts w:ascii="黑体" w:hAnsi="宋体" w:eastAsia="黑体"/>
          <w:color w:val="000000" w:themeColor="text1"/>
          <w14:textFill>
            <w14:solidFill>
              <w14:schemeClr w14:val="tx1"/>
            </w14:solidFill>
          </w14:textFill>
        </w:rPr>
      </w:pPr>
      <w:bookmarkStart w:id="78" w:name="_Toc73521586"/>
      <w:bookmarkStart w:id="79" w:name="_Toc73517679"/>
      <w:bookmarkStart w:id="80" w:name="_Toc73518157"/>
      <w:bookmarkStart w:id="81" w:name="_Toc100052408"/>
      <w:bookmarkStart w:id="82" w:name="_Toc73521674"/>
      <w:bookmarkStart w:id="83" w:name="_Hlk72439088"/>
      <w:r>
        <w:rPr>
          <w:rFonts w:hint="eastAsia" w:ascii="黑体" w:hAnsi="宋体" w:eastAsia="黑体"/>
          <w:color w:val="000000" w:themeColor="text1"/>
          <w14:textFill>
            <w14:solidFill>
              <w14:schemeClr w14:val="tx1"/>
            </w14:solidFill>
          </w14:textFill>
        </w:rPr>
        <w:t>43．合同授予标准</w:t>
      </w:r>
      <w:bookmarkEnd w:id="78"/>
      <w:bookmarkEnd w:id="79"/>
      <w:bookmarkEnd w:id="80"/>
      <w:bookmarkEnd w:id="81"/>
      <w:bookmarkEnd w:id="82"/>
    </w:p>
    <w:p w14:paraId="02E6BBD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本项目的合同将授予经本招标文件规定评审确定的中标供应商。</w:t>
      </w:r>
    </w:p>
    <w:p w14:paraId="5C6B1367">
      <w:pPr>
        <w:rPr>
          <w:rFonts w:ascii="黑体" w:hAnsi="宋体" w:eastAsia="黑体"/>
          <w:color w:val="000000" w:themeColor="text1"/>
          <w14:textFill>
            <w14:solidFill>
              <w14:schemeClr w14:val="tx1"/>
            </w14:solidFill>
          </w14:textFill>
        </w:rPr>
      </w:pPr>
      <w:bookmarkStart w:id="84" w:name="_Toc100052409"/>
      <w:bookmarkStart w:id="85" w:name="_Toc73521587"/>
      <w:bookmarkStart w:id="86" w:name="_Toc73518158"/>
      <w:bookmarkStart w:id="87" w:name="_Toc73521675"/>
      <w:bookmarkStart w:id="88" w:name="_Toc73517680"/>
      <w:r>
        <w:rPr>
          <w:rFonts w:hint="eastAsia" w:ascii="黑体" w:hAnsi="宋体" w:eastAsia="黑体"/>
          <w:color w:val="000000" w:themeColor="text1"/>
          <w14:textFill>
            <w14:solidFill>
              <w14:schemeClr w14:val="tx1"/>
            </w14:solidFill>
          </w14:textFill>
        </w:rPr>
        <w:t>44．</w:t>
      </w:r>
      <w:bookmarkEnd w:id="84"/>
      <w:bookmarkEnd w:id="85"/>
      <w:bookmarkEnd w:id="86"/>
      <w:bookmarkEnd w:id="87"/>
      <w:bookmarkEnd w:id="88"/>
      <w:r>
        <w:rPr>
          <w:rFonts w:hint="eastAsia" w:ascii="黑体" w:hAnsi="宋体" w:eastAsia="黑体"/>
          <w:color w:val="000000" w:themeColor="text1"/>
          <w14:textFill>
            <w14:solidFill>
              <w14:schemeClr w14:val="tx1"/>
            </w14:solidFill>
          </w14:textFill>
        </w:rPr>
        <w:t>接受和拒绝任何或所有投标的权力</w:t>
      </w:r>
    </w:p>
    <w:p w14:paraId="12F18EDB">
      <w:pPr>
        <w:ind w:firstLine="470" w:firstLineChars="196"/>
        <w:rPr>
          <w:rFonts w:ascii="宋体" w:hAnsi="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和采购人保留在投标之前任何时候接受或拒绝任何投标或所有投标，以及宣布招标无效的权力，对受影响的投标人不承担任何责任，也无义务向受影响的投标人解释采取这一行动的理由。</w:t>
      </w:r>
    </w:p>
    <w:p w14:paraId="3CDB4194">
      <w:pPr>
        <w:rPr>
          <w:rFonts w:ascii="黑体" w:hAnsi="宋体" w:eastAsia="黑体"/>
          <w:color w:val="000000" w:themeColor="text1"/>
          <w14:textFill>
            <w14:solidFill>
              <w14:schemeClr w14:val="tx1"/>
            </w14:solidFill>
          </w14:textFill>
        </w:rPr>
      </w:pPr>
      <w:bookmarkStart w:id="89" w:name="_Toc73521677"/>
      <w:bookmarkStart w:id="90" w:name="_Toc73517682"/>
      <w:bookmarkStart w:id="91" w:name="_Toc73521589"/>
      <w:bookmarkStart w:id="92" w:name="_Toc100052410"/>
      <w:bookmarkStart w:id="93" w:name="_Toc73518160"/>
      <w:r>
        <w:rPr>
          <w:rFonts w:hint="eastAsia" w:ascii="黑体" w:hAnsi="宋体" w:eastAsia="黑体"/>
          <w:color w:val="000000" w:themeColor="text1"/>
          <w14:textFill>
            <w14:solidFill>
              <w14:schemeClr w14:val="tx1"/>
            </w14:solidFill>
          </w14:textFill>
        </w:rPr>
        <w:t>45．合同的签订</w:t>
      </w:r>
      <w:bookmarkEnd w:id="89"/>
      <w:bookmarkEnd w:id="90"/>
      <w:bookmarkEnd w:id="91"/>
      <w:bookmarkEnd w:id="92"/>
      <w:bookmarkEnd w:id="93"/>
    </w:p>
    <w:p w14:paraId="3A01C4F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45.1中标人将于中标通知书发出之日起十个工作日内，按照采购文件（招标文件和投标文件等）内容与采购人签订政府采购合同；合同的实质性内容应当符合招标文件的规定；</w:t>
      </w:r>
    </w:p>
    <w:p w14:paraId="4625827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45.2中标人如不按本通用条款第45</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款的规定与采购人签订合同，</w:t>
      </w:r>
      <w:r>
        <w:rPr>
          <w:rFonts w:ascii="宋体" w:hAnsi="宋体" w:cs="宋体"/>
          <w:color w:val="000000" w:themeColor="text1"/>
          <w:szCs w:val="21"/>
          <w14:textFill>
            <w14:solidFill>
              <w14:schemeClr w14:val="tx1"/>
            </w14:solidFill>
          </w14:textFill>
        </w:rPr>
        <w:t>情节严重的，由</w:t>
      </w:r>
      <w:r>
        <w:rPr>
          <w:rFonts w:hint="eastAsia" w:ascii="宋体" w:hAnsi="宋体" w:cs="宋体"/>
          <w:color w:val="000000" w:themeColor="text1"/>
          <w:szCs w:val="21"/>
          <w14:textFill>
            <w14:solidFill>
              <w14:schemeClr w14:val="tx1"/>
            </w14:solidFill>
          </w14:textFill>
        </w:rPr>
        <w:t>同级财政</w:t>
      </w:r>
      <w:r>
        <w:rPr>
          <w:rFonts w:ascii="宋体" w:hAnsi="宋体" w:cs="宋体"/>
          <w:color w:val="000000" w:themeColor="text1"/>
          <w:szCs w:val="21"/>
          <w14:textFill>
            <w14:solidFill>
              <w14:schemeClr w14:val="tx1"/>
            </w14:solidFill>
          </w14:textFill>
        </w:rPr>
        <w:t>部门记入供应商诚信档案，予以通报</w:t>
      </w:r>
      <w:r>
        <w:rPr>
          <w:rFonts w:hint="eastAsia" w:ascii="宋体" w:hAnsi="宋体"/>
          <w:color w:val="000000" w:themeColor="text1"/>
          <w:szCs w:val="21"/>
          <w14:textFill>
            <w14:solidFill>
              <w14:schemeClr w14:val="tx1"/>
            </w14:solidFill>
          </w14:textFill>
        </w:rPr>
        <w:t>；</w:t>
      </w:r>
    </w:p>
    <w:p w14:paraId="6B9AF1E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45.3中标人应当按照合同约定履行义务，完成中标项目，不得将中标项目转让（转包）给他人。</w:t>
      </w:r>
    </w:p>
    <w:p w14:paraId="6EB293C1">
      <w:pPr>
        <w:rPr>
          <w:rFonts w:ascii="黑体" w:hAnsi="宋体" w:eastAsia="黑体"/>
          <w:color w:val="000000" w:themeColor="text1"/>
          <w14:textFill>
            <w14:solidFill>
              <w14:schemeClr w14:val="tx1"/>
            </w14:solidFill>
          </w14:textFill>
        </w:rPr>
      </w:pPr>
      <w:bookmarkStart w:id="94" w:name="_Toc73521590"/>
      <w:bookmarkStart w:id="95" w:name="_Toc73517683"/>
      <w:bookmarkStart w:id="96" w:name="_Toc73518161"/>
      <w:bookmarkStart w:id="97" w:name="_Toc73521678"/>
      <w:bookmarkStart w:id="98" w:name="_Toc100052411"/>
      <w:r>
        <w:rPr>
          <w:rFonts w:hint="eastAsia" w:ascii="黑体" w:hAnsi="宋体" w:eastAsia="黑体"/>
          <w:color w:val="000000" w:themeColor="text1"/>
          <w14:textFill>
            <w14:solidFill>
              <w14:schemeClr w14:val="tx1"/>
            </w14:solidFill>
          </w14:textFill>
        </w:rPr>
        <w:t>46．履约担保</w:t>
      </w:r>
      <w:bookmarkEnd w:id="94"/>
      <w:bookmarkEnd w:id="95"/>
      <w:bookmarkEnd w:id="96"/>
      <w:bookmarkEnd w:id="97"/>
      <w:bookmarkEnd w:id="98"/>
    </w:p>
    <w:p w14:paraId="06E99C7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46.1在签订项目合同的同时，中标人应按“对通用条款的补充内容”中规定的金额向采购人提交履约担保；</w:t>
      </w:r>
    </w:p>
    <w:p w14:paraId="471DD62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46.2允许供应商自主选择以支票、汇票、本票、保函等非现金方式提交履约担保；</w:t>
      </w:r>
      <w:r>
        <w:rPr>
          <w:color w:val="000000" w:themeColor="text1"/>
          <w14:textFill>
            <w14:solidFill>
              <w14:schemeClr w14:val="tx1"/>
            </w14:solidFill>
          </w14:textFill>
        </w:rPr>
        <w:t>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提交履约</w:t>
      </w:r>
      <w:r>
        <w:rPr>
          <w:rFonts w:hint="eastAsia"/>
          <w:color w:val="000000" w:themeColor="text1"/>
          <w14:textFill>
            <w14:solidFill>
              <w14:schemeClr w14:val="tx1"/>
            </w14:solidFill>
          </w14:textFill>
        </w:rPr>
        <w:t>担保不是</w:t>
      </w:r>
      <w:r>
        <w:rPr>
          <w:color w:val="000000" w:themeColor="text1"/>
          <w14:textFill>
            <w14:solidFill>
              <w14:schemeClr w14:val="tx1"/>
            </w14:solidFill>
          </w14:textFill>
        </w:rPr>
        <w:t>合同签订的</w:t>
      </w:r>
      <w:r>
        <w:rPr>
          <w:rFonts w:hint="eastAsia"/>
          <w:color w:val="000000" w:themeColor="text1"/>
          <w14:textFill>
            <w14:solidFill>
              <w14:schemeClr w14:val="tx1"/>
            </w14:solidFill>
          </w14:textFill>
        </w:rPr>
        <w:t>前提</w:t>
      </w:r>
      <w:r>
        <w:rPr>
          <w:color w:val="000000" w:themeColor="text1"/>
          <w14:textFill>
            <w14:solidFill>
              <w14:schemeClr w14:val="tx1"/>
            </w14:solidFill>
          </w14:textFill>
        </w:rPr>
        <w:t>条件，不要求中标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提供除法律、法规明确规定外的其他担保</w:t>
      </w:r>
      <w:r>
        <w:rPr>
          <w:rFonts w:hint="eastAsia"/>
          <w:color w:val="000000" w:themeColor="text1"/>
          <w14:textFill>
            <w14:solidFill>
              <w14:schemeClr w14:val="tx1"/>
            </w14:solidFill>
          </w14:textFill>
        </w:rPr>
        <w:t>。</w:t>
      </w:r>
    </w:p>
    <w:p w14:paraId="05DF0A9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47. 合同备案</w:t>
      </w:r>
    </w:p>
    <w:p w14:paraId="5411A08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采购人与中标人应于合同签订之日起</w:t>
      </w:r>
      <w:r>
        <w:rPr>
          <w:rFonts w:hint="eastAsia" w:ascii="宋体" w:hAnsi="宋体" w:eastAsia="宋体"/>
          <w:color w:val="000000" w:themeColor="text1"/>
          <w:szCs w:val="21"/>
          <w14:textFill>
            <w14:solidFill>
              <w14:schemeClr w14:val="tx1"/>
            </w14:solidFill>
          </w14:textFill>
        </w:rPr>
        <w:t>十日</w:t>
      </w:r>
      <w:r>
        <w:rPr>
          <w:rFonts w:hint="eastAsia" w:ascii="宋体" w:hAnsi="宋体"/>
          <w:color w:val="000000" w:themeColor="text1"/>
          <w:szCs w:val="21"/>
          <w14:textFill>
            <w14:solidFill>
              <w14:schemeClr w14:val="tx1"/>
            </w14:solidFill>
          </w14:textFill>
        </w:rPr>
        <w:t>内，由采购人或委托中标人将采购合同副本抄送合同备案工作实施机构备案。</w:t>
      </w:r>
    </w:p>
    <w:p w14:paraId="497EF40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48. 合同变更</w:t>
      </w:r>
    </w:p>
    <w:p w14:paraId="436A840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合同变更事宜按《深圳市财政局 深圳市政府采购中心关于进一步加强市本级政府采购合同备案管理工作的通知》（深财购〔2019〕43号）相关规定执行。</w:t>
      </w:r>
    </w:p>
    <w:p w14:paraId="395EDA8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49. 项目验收</w:t>
      </w:r>
    </w:p>
    <w:p w14:paraId="50B83F42">
      <w:pPr>
        <w:ind w:right="176"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49.1采购人应当按照招标文件和合同规定的标准和方法，及时组织验收。</w:t>
      </w:r>
    </w:p>
    <w:p w14:paraId="034776D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50. 宣传</w:t>
      </w:r>
    </w:p>
    <w:p w14:paraId="1BCCCEED">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凡与政府采购活动有关的宣传或广告，若当中提及政府采购，</w:t>
      </w:r>
      <w:r>
        <w:rPr>
          <w:rFonts w:ascii="宋体" w:hAnsi="宋体"/>
          <w:color w:val="000000" w:themeColor="text1"/>
          <w14:textFill>
            <w14:solidFill>
              <w14:schemeClr w14:val="tx1"/>
            </w14:solidFill>
          </w14:textFill>
        </w:rPr>
        <w:t>必须事先将具体对外宣传方案报</w:t>
      </w:r>
      <w:r>
        <w:rPr>
          <w:rFonts w:hint="eastAsia" w:ascii="宋体" w:hAnsi="宋体"/>
          <w:color w:val="000000" w:themeColor="text1"/>
          <w14:textFill>
            <w14:solidFill>
              <w14:schemeClr w14:val="tx1"/>
            </w14:solidFill>
          </w14:textFill>
        </w:rPr>
        <w:t>同级财政部门</w:t>
      </w:r>
      <w:r>
        <w:rPr>
          <w:rFonts w:ascii="宋体" w:hAnsi="宋体"/>
          <w:color w:val="000000" w:themeColor="text1"/>
          <w14:textFill>
            <w14:solidFill>
              <w14:schemeClr w14:val="tx1"/>
            </w14:solidFill>
          </w14:textFill>
        </w:rPr>
        <w:t>和</w:t>
      </w:r>
      <w:r>
        <w:rPr>
          <w:rFonts w:hint="eastAsia" w:ascii="宋体" w:hAnsi="宋体" w:eastAsia="宋体"/>
          <w:color w:val="000000" w:themeColor="text1"/>
          <w14:textFill>
            <w14:solidFill>
              <w14:schemeClr w14:val="tx1"/>
            </w14:solidFill>
          </w14:textFill>
        </w:rPr>
        <w:t>招标机构</w:t>
      </w:r>
      <w:r>
        <w:rPr>
          <w:rFonts w:ascii="宋体" w:hAnsi="宋体"/>
          <w:color w:val="000000" w:themeColor="text1"/>
          <w14:textFill>
            <w14:solidFill>
              <w14:schemeClr w14:val="tx1"/>
            </w14:solidFill>
          </w14:textFill>
        </w:rPr>
        <w:t>，并征得其同意。对外市场宣传包括但不限于以下形式：</w:t>
      </w:r>
    </w:p>
    <w:p w14:paraId="4A85740B">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a.名片、宣传册、广告标语等；</w:t>
      </w:r>
    </w:p>
    <w:p w14:paraId="15DB38AE">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b.案例介绍、推广等；</w:t>
      </w:r>
    </w:p>
    <w:p w14:paraId="7C162CAC">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c.工作</w:t>
      </w:r>
      <w:r>
        <w:rPr>
          <w:rFonts w:ascii="宋体" w:hAnsi="宋体"/>
          <w:color w:val="000000" w:themeColor="text1"/>
          <w14:textFill>
            <w14:solidFill>
              <w14:schemeClr w14:val="tx1"/>
            </w14:solidFill>
          </w14:textFill>
        </w:rPr>
        <w:t>人员向其他消费群体宣传。</w:t>
      </w:r>
    </w:p>
    <w:p w14:paraId="08BDAB2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51. 供应商违法责任</w:t>
      </w:r>
    </w:p>
    <w:p w14:paraId="502B02B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26E207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（1）在采购活动中应当回避而未回避的；</w:t>
      </w:r>
    </w:p>
    <w:p w14:paraId="79CD9DC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（2）未按本条例规定签订、履行采购合同，造成严重后果的；</w:t>
      </w:r>
    </w:p>
    <w:p w14:paraId="43B102D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（3）隐瞒真实情况，提供虚假资料的；</w:t>
      </w:r>
    </w:p>
    <w:p w14:paraId="423096C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（4）以非法手段排斥其他供应商参与竞争的；</w:t>
      </w:r>
    </w:p>
    <w:p w14:paraId="1ADDB5D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（5）与其他采购参加人串通投标的；</w:t>
      </w:r>
    </w:p>
    <w:p w14:paraId="7149386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（6）恶意投诉的；</w:t>
      </w:r>
    </w:p>
    <w:p w14:paraId="501A6B0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（7）向采购项目相关人行贿或者提供其他不当利益的；</w:t>
      </w:r>
    </w:p>
    <w:p w14:paraId="6715FCC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（8）阻碍、抗拒主管部门监督检查的；</w:t>
      </w:r>
    </w:p>
    <w:p w14:paraId="0C24C65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（9）其他违反本条例规定的行为。</w:t>
      </w:r>
    </w:p>
    <w:p w14:paraId="456882E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 xml:space="preserve">1.2 </w:t>
      </w:r>
      <w:r>
        <w:rPr>
          <w:rFonts w:hint="eastAsia" w:ascii="宋体" w:hAnsi="宋体"/>
          <w:color w:val="000000" w:themeColor="text1"/>
          <w:szCs w:val="21"/>
          <w14:textFill>
            <w14:solidFill>
              <w14:schemeClr w14:val="tx1"/>
            </w14:solidFill>
          </w14:textFill>
        </w:rPr>
        <w:t>根据《深圳市财政局关于明确政府采购保证金管理工作的通知》（深财购[2019]42号）的要求，供应商在政府采购活动中出现《深圳经济特区政府采购条例实施细则》第八十四条所列情形的，</w:t>
      </w:r>
      <w:bookmarkStart w:id="99" w:name="_Hlk72440769"/>
      <w:r>
        <w:rPr>
          <w:rFonts w:hint="eastAsia" w:ascii="宋体" w:hAnsi="宋体"/>
          <w:color w:val="000000" w:themeColor="text1"/>
          <w:szCs w:val="21"/>
          <w14:textFill>
            <w14:solidFill>
              <w14:schemeClr w14:val="tx1"/>
            </w14:solidFill>
          </w14:textFill>
        </w:rPr>
        <w:t>采购人或</w:t>
      </w:r>
      <w:bookmarkEnd w:id="99"/>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可将有关情况报同级财政部门，由财政部门根据实际情况记入供应商诚信档案，予以通报：</w:t>
      </w:r>
    </w:p>
    <w:p w14:paraId="705C0F8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）投标截止后，撤销投标的；</w:t>
      </w:r>
    </w:p>
    <w:p w14:paraId="18F9AA9A">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）中标后无正当理由未在规定期限内签订合同的；</w:t>
      </w:r>
    </w:p>
    <w:p w14:paraId="64EF2BAC">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）将中标项目转让给他人、或者在投标文件中未说明且未经采购人、采购招标机构同意，将中标项目分包给他人的；</w:t>
      </w:r>
    </w:p>
    <w:p w14:paraId="609ABFFB">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）拒绝履行合同义务的</w:t>
      </w:r>
      <w:r>
        <w:rPr>
          <w:rFonts w:hint="eastAsia" w:ascii="宋体" w:hAnsi="宋体"/>
          <w:color w:val="000000" w:themeColor="text1"/>
          <w:szCs w:val="21"/>
          <w14:textFill>
            <w14:solidFill>
              <w14:schemeClr w14:val="tx1"/>
            </w14:solidFill>
          </w14:textFill>
        </w:rPr>
        <w:t>。</w:t>
      </w:r>
    </w:p>
    <w:bookmarkEnd w:id="83"/>
    <w:p w14:paraId="051B317E">
      <w:pPr>
        <w:pStyle w:val="6"/>
        <w:numPr>
          <w:ilvl w:val="0"/>
          <w:numId w:val="3"/>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质疑处理</w:t>
      </w:r>
    </w:p>
    <w:p w14:paraId="1B23B8A0">
      <w:pPr>
        <w:rPr>
          <w:rFonts w:ascii="黑体" w:hAnsi="宋体" w:eastAsia="黑体"/>
          <w:color w:val="000000" w:themeColor="text1"/>
          <w14:textFill>
            <w14:solidFill>
              <w14:schemeClr w14:val="tx1"/>
            </w14:solidFill>
          </w14:textFill>
        </w:rPr>
      </w:pPr>
      <w:bookmarkStart w:id="100" w:name="_Hlk72439706"/>
      <w:r>
        <w:rPr>
          <w:rFonts w:hint="eastAsia" w:ascii="黑体" w:hAnsi="宋体" w:eastAsia="黑体"/>
          <w:color w:val="000000" w:themeColor="text1"/>
          <w14:textFill>
            <w14:solidFill>
              <w14:schemeClr w14:val="tx1"/>
            </w14:solidFill>
          </w14:textFill>
        </w:rPr>
        <w:t>52.质疑提出与答复</w:t>
      </w:r>
    </w:p>
    <w:p w14:paraId="0DCDE654">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52.1提出质疑</w:t>
      </w:r>
    </w:p>
    <w:p w14:paraId="40E38B4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参与政府采购活动的供应商认为自己的权益在采购活动中受到损害的，应当自知道或者应当知道其权益受到损害之日起七个工作日内向采购人、</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以书面形式提出质疑。</w:t>
      </w:r>
    </w:p>
    <w:p w14:paraId="6FA11B26">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52.2</w:t>
      </w:r>
      <w:r>
        <w:rPr>
          <w:rFonts w:ascii="宋体" w:hAnsi="宋体"/>
          <w:color w:val="000000" w:themeColor="text1"/>
          <w:szCs w:val="21"/>
          <w14:textFill>
            <w14:solidFill>
              <w14:schemeClr w14:val="tx1"/>
            </w14:solidFill>
          </w14:textFill>
        </w:rPr>
        <w:t>法律依据</w:t>
      </w:r>
    </w:p>
    <w:p w14:paraId="00C9836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《中华人民共和国政府采购法》、《中华人民共和国政府采购法实施条例》、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深圳经济特区政府采购</w:t>
      </w:r>
      <w:r>
        <w:rPr>
          <w:rFonts w:ascii="宋体" w:hAnsi="宋体"/>
          <w:color w:val="000000" w:themeColor="text1"/>
          <w:szCs w:val="21"/>
          <w14:textFill>
            <w14:solidFill>
              <w14:schemeClr w14:val="tx1"/>
            </w14:solidFill>
          </w14:textFill>
        </w:rPr>
        <w:t>条例</w:t>
      </w:r>
      <w:r>
        <w:rPr>
          <w:rFonts w:hint="eastAsia" w:ascii="宋体" w:hAnsi="宋体"/>
          <w:color w:val="000000" w:themeColor="text1"/>
          <w:szCs w:val="21"/>
          <w14:textFill>
            <w14:solidFill>
              <w14:schemeClr w14:val="tx1"/>
            </w14:solidFill>
          </w14:textFill>
        </w:rPr>
        <w:t>》、《深圳经济特区政府采购条例实施细则》、《政府采购质疑和投诉办法》（财政部令第94号）和其他有关法律法规规定。</w:t>
      </w:r>
    </w:p>
    <w:p w14:paraId="56AEDF1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52.3质疑条件</w:t>
      </w:r>
    </w:p>
    <w:p w14:paraId="3888579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52.3.1提出质疑的供应商应当是参与所质疑项目采购活动的供应商；</w:t>
      </w:r>
      <w:bookmarkStart w:id="101" w:name="_Hlk75374941"/>
      <w:r>
        <w:rPr>
          <w:rFonts w:hint="eastAsia" w:ascii="宋体" w:hAnsi="宋体"/>
          <w:color w:val="000000" w:themeColor="text1"/>
          <w:szCs w:val="21"/>
          <w14:textFill>
            <w14:solidFill>
              <w14:schemeClr w14:val="tx1"/>
            </w14:solidFill>
          </w14:textFill>
        </w:rPr>
        <w:t>以联合体形式参与的，质疑应当由组成联合体的所有成员共同提出</w:t>
      </w:r>
      <w:bookmarkEnd w:id="101"/>
      <w:r>
        <w:rPr>
          <w:rFonts w:hint="eastAsia" w:ascii="宋体" w:hAnsi="宋体"/>
          <w:color w:val="000000" w:themeColor="text1"/>
          <w:szCs w:val="21"/>
          <w14:textFill>
            <w14:solidFill>
              <w14:schemeClr w14:val="tx1"/>
            </w14:solidFill>
          </w14:textFill>
        </w:rPr>
        <w:t>；</w:t>
      </w:r>
    </w:p>
    <w:p w14:paraId="05D1E2C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592F634">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52.3.3应提交书面质疑函，质疑函应当包括以下内容：</w:t>
      </w:r>
    </w:p>
    <w:p w14:paraId="7C6AEA79">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（1）供应商的名称（或者姓名）、地址、邮编、邮箱、联系人及联系电话；</w:t>
      </w:r>
    </w:p>
    <w:p w14:paraId="2BDD2D88">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（2）质疑项目的名称、编号；</w:t>
      </w:r>
    </w:p>
    <w:p w14:paraId="76DD848F">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（3）具体、明确的质疑对象、质疑事项和质疑请求；</w:t>
      </w:r>
    </w:p>
    <w:p w14:paraId="7C5E566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（4）因质疑事项而受损害的权益；</w:t>
      </w:r>
    </w:p>
    <w:p w14:paraId="0AF174F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（5）事实依据；</w:t>
      </w:r>
    </w:p>
    <w:p w14:paraId="47F4B24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（6）必要的法律依据；</w:t>
      </w:r>
    </w:p>
    <w:p w14:paraId="10198BB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（7）提出质疑的日期。</w:t>
      </w:r>
    </w:p>
    <w:p w14:paraId="493B16C0">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供应商为自然人的，应当由本人签字；供应商为法人或者其他组织的，应当由法定代表人（负责人），或者其授权代理人签字或者盖章，并加盖公章。</w:t>
      </w:r>
    </w:p>
    <w:p w14:paraId="1573CF5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52.4提交</w:t>
      </w:r>
      <w:r>
        <w:rPr>
          <w:rFonts w:ascii="宋体" w:hAnsi="宋体"/>
          <w:color w:val="000000" w:themeColor="text1"/>
          <w:szCs w:val="21"/>
          <w14:textFill>
            <w14:solidFill>
              <w14:schemeClr w14:val="tx1"/>
            </w14:solidFill>
          </w14:textFill>
        </w:rPr>
        <w:t>材料</w:t>
      </w:r>
    </w:p>
    <w:p w14:paraId="5206821F">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供应商质疑实行实名制。供应商为自然人的，应当提交本人身份证复印件；供应商为法人或者其他组织的，应当根据自身性质提交营业执照复印件或者其他证明文件（如事业单位法人证书等）复印件。</w:t>
      </w:r>
    </w:p>
    <w:p w14:paraId="44B8646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供应商可以委托代理人进行质疑。</w:t>
      </w:r>
      <w:r>
        <w:rPr>
          <w:rFonts w:ascii="宋体" w:hAnsi="宋体"/>
          <w:color w:val="000000" w:themeColor="text1"/>
          <w:szCs w:val="21"/>
          <w14:textFill>
            <w14:solidFill>
              <w14:schemeClr w14:val="tx1"/>
            </w14:solidFill>
          </w14:textFill>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8AF127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52.5提交方式</w:t>
      </w:r>
    </w:p>
    <w:p w14:paraId="59767F9B">
      <w:pPr>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52.5.1供应商登录“深圳政府采购智慧平台用户网上办事子系统（</w:t>
      </w:r>
      <w:r>
        <w:rPr>
          <w:rFonts w:hint="eastAsia" w:ascii="宋体" w:hAnsi="宋体"/>
          <w:color w:val="000000" w:themeColor="text1"/>
          <w:szCs w:val="21"/>
          <w14:textFill>
            <w14:solidFill>
              <w14:schemeClr w14:val="tx1"/>
            </w14:solidFill>
          </w14:textFill>
        </w:rPr>
        <w:t>http://zfcg.szggzy.com:8081/TPBidder/memberLogin</w:t>
      </w:r>
      <w:r>
        <w:rPr>
          <w:rFonts w:ascii="宋体" w:hAnsi="宋体"/>
          <w:color w:val="000000" w:themeColor="text1"/>
          <w:szCs w:val="21"/>
          <w14:textFill>
            <w14:solidFill>
              <w14:schemeClr w14:val="tx1"/>
            </w14:solidFill>
          </w14:textFill>
        </w:rPr>
        <w:t>）”，在“【我的项目】→【项目流程】→【质疑】”中提出质疑。</w:t>
      </w:r>
    </w:p>
    <w:p w14:paraId="091B6BF2">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52.5.2请质疑供应商根据深圳政府采购智慧平台（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）所发布的质疑指引、质疑函模板填写质疑函并提交质疑材料。</w:t>
      </w:r>
      <w:r>
        <w:rPr>
          <w:rFonts w:ascii="宋体" w:hAnsi="宋体"/>
          <w:b/>
          <w:bCs/>
          <w:color w:val="000000" w:themeColor="text1"/>
          <w:szCs w:val="21"/>
          <w14:textFill>
            <w14:solidFill>
              <w14:schemeClr w14:val="tx1"/>
            </w14:solidFill>
          </w14:textFill>
        </w:rPr>
        <w:t>地址：</w:t>
      </w:r>
      <w:r>
        <w:rPr>
          <w:rFonts w:hint="eastAsia" w:ascii="宋体" w:hAnsi="宋体"/>
          <w:b/>
          <w:bCs/>
          <w:color w:val="000000" w:themeColor="text1"/>
          <w:szCs w:val="21"/>
          <w14:textFill>
            <w14:solidFill>
              <w14:schemeClr w14:val="tx1"/>
            </w14:solidFill>
          </w14:textFill>
        </w:rPr>
        <w:t>深圳市福田区福田体育公园西北角友和招标代理服务中心（靠近北门）</w:t>
      </w:r>
      <w:r>
        <w:rPr>
          <w:rFonts w:ascii="宋体" w:hAnsi="宋体"/>
          <w:b/>
          <w:bCs/>
          <w:color w:val="000000" w:themeColor="text1"/>
          <w:szCs w:val="21"/>
          <w14:textFill>
            <w14:solidFill>
              <w14:schemeClr w14:val="tx1"/>
            </w14:solidFill>
          </w14:textFill>
        </w:rPr>
        <w:t>，质疑咨询电话：0755-8388</w:t>
      </w:r>
      <w:r>
        <w:rPr>
          <w:rFonts w:hint="eastAsia" w:ascii="宋体" w:hAnsi="宋体" w:eastAsia="宋体"/>
          <w:b/>
          <w:bCs/>
          <w:color w:val="000000" w:themeColor="text1"/>
          <w:szCs w:val="21"/>
          <w:lang w:val="en-US" w:eastAsia="zh-CN"/>
          <w14:textFill>
            <w14:solidFill>
              <w14:schemeClr w14:val="tx1"/>
            </w14:solidFill>
          </w14:textFill>
        </w:rPr>
        <w:t>1283</w:t>
      </w:r>
      <w:r>
        <w:rPr>
          <w:rFonts w:ascii="宋体" w:hAnsi="宋体"/>
          <w:b/>
          <w:bCs/>
          <w:color w:val="000000" w:themeColor="text1"/>
          <w:szCs w:val="21"/>
          <w14:textFill>
            <w14:solidFill>
              <w14:schemeClr w14:val="tx1"/>
            </w14:solidFill>
          </w14:textFill>
        </w:rPr>
        <w:t>。</w:t>
      </w:r>
    </w:p>
    <w:p w14:paraId="01ADC55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52.6收文办理</w:t>
      </w:r>
      <w:r>
        <w:rPr>
          <w:rFonts w:ascii="宋体" w:hAnsi="宋体"/>
          <w:color w:val="000000" w:themeColor="text1"/>
          <w:szCs w:val="21"/>
          <w14:textFill>
            <w14:solidFill>
              <w14:schemeClr w14:val="tx1"/>
            </w14:solidFill>
          </w14:textFill>
        </w:rPr>
        <w:t>程序</w:t>
      </w:r>
    </w:p>
    <w:p w14:paraId="6CA58E8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52.6.1供应商提交的质疑符合受理条件的，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自收到质疑材料之日起即为受理，应当向供应商出具质疑函收文回执并可以要求其递交质疑的法定代表人（负责人）或者授权代理人签署质疑文书送达地址确认书。</w:t>
      </w:r>
    </w:p>
    <w:p w14:paraId="5AD47EA7">
      <w:pPr>
        <w:ind w:firstLine="480" w:firstLineChars="200"/>
        <w:rPr>
          <w:rFonts w:ascii="仿宋" w:hAnsi="仿宋" w:eastAsia="仿宋"/>
          <w:color w:val="000000" w:themeColor="text1"/>
          <w:sz w:val="28"/>
          <w:szCs w:val="28"/>
          <w14:textFill>
            <w14:solidFill>
              <w14:schemeClr w14:val="tx1"/>
            </w14:solidFill>
          </w14:textFill>
        </w:rPr>
      </w:pPr>
      <w:r>
        <w:rPr>
          <w:rFonts w:hint="eastAsia" w:ascii="宋体" w:hAnsi="宋体"/>
          <w:color w:val="000000" w:themeColor="text1"/>
          <w:szCs w:val="21"/>
          <w14:textFill>
            <w14:solidFill>
              <w14:schemeClr w14:val="tx1"/>
            </w14:solidFill>
          </w14:textFill>
        </w:rPr>
        <w:t>52.6.2供应商提交的质疑材料不符合质疑条件的，视情况处理：</w:t>
      </w:r>
    </w:p>
    <w:p w14:paraId="2E80640F">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供应商提交的质疑材料不全或者未按要求签字或者盖章的，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应当一次性告知供应商需补正的内容和补正期限。</w:t>
      </w:r>
    </w:p>
    <w:p w14:paraId="3FB0600F">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供应商提交的质疑存在下列情形之一的，不予受理：</w:t>
      </w:r>
    </w:p>
    <w:p w14:paraId="3643E6E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（1）质疑主体不满足要求的；</w:t>
      </w:r>
    </w:p>
    <w:p w14:paraId="68295D25">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（2）供应商自身权益未受到损害的；</w:t>
      </w:r>
    </w:p>
    <w:p w14:paraId="01C1E61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（3）供应商未在法定质疑期限内提出质疑的；</w:t>
      </w:r>
    </w:p>
    <w:p w14:paraId="1D9DADC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（4）质疑材料不全或者未按要求签字或者盖章的情况下，要求补正后，逾期未补正或者补正后仍不符合规定的；</w:t>
      </w:r>
    </w:p>
    <w:p w14:paraId="15B8CD41">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（5）其他不符合受理条件情形的。</w:t>
      </w:r>
    </w:p>
    <w:p w14:paraId="6FBD446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质疑事项不予受理的，招标机构应当向供应商出具不符合质疑条件告知书。</w:t>
      </w:r>
    </w:p>
    <w:p w14:paraId="3F65FC7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52.7质疑答复时限</w:t>
      </w:r>
    </w:p>
    <w:p w14:paraId="32A8BA9F">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自收文之日起七个工作日内。</w:t>
      </w:r>
    </w:p>
    <w:p w14:paraId="6BE5DF6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52.8投诉</w:t>
      </w:r>
    </w:p>
    <w:p w14:paraId="0C06A8D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对质疑答复不满意或者未在规定时间内答复的，提出质疑的供应商可以在答复期满后15个工作日内向同级财政部门投诉。</w:t>
      </w:r>
    </w:p>
    <w:p w14:paraId="5A7E26C9">
      <w:pPr>
        <w:ind w:firstLine="480" w:firstLineChars="2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53. 质疑后续处理   </w:t>
      </w:r>
    </w:p>
    <w:p w14:paraId="4F1A14E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53.1供应商质疑不成立，或者成立但未对中标、成交结果构成影响的，继续开展采购活动。</w:t>
      </w:r>
    </w:p>
    <w:p w14:paraId="2AA82372">
      <w:pPr>
        <w:ind w:firstLine="480" w:firstLineChars="200"/>
        <w:rPr>
          <w:rFonts w:hint="eastAsia" w:ascii="宋体" w:hAnsi="宋体" w:eastAsia="宋体" w:cs="宋体"/>
        </w:rPr>
      </w:pPr>
      <w:r>
        <w:rPr>
          <w:rFonts w:hint="eastAsia" w:ascii="宋体" w:hAnsi="宋体"/>
          <w:color w:val="000000" w:themeColor="text1"/>
          <w:szCs w:val="21"/>
          <w14:textFill>
            <w14:solidFill>
              <w14:schemeClr w14:val="tx1"/>
            </w14:solidFill>
          </w14:textFill>
        </w:rPr>
        <w:t>53.2供</w:t>
      </w:r>
      <w:r>
        <w:rPr>
          <w:rFonts w:hint="eastAsia" w:ascii="宋体" w:hAnsi="宋体" w:eastAsia="宋体" w:cs="宋体"/>
        </w:rPr>
        <w:t>应商质疑成立且影响或者可能影响中标、成交结果的，按照下列情况处理：（</w:t>
      </w:r>
      <w:r>
        <w:rPr>
          <w:rFonts w:hint="eastAsia"/>
        </w:rPr>
        <w:t>1</w:t>
      </w:r>
      <w:r>
        <w:rPr>
          <w:rFonts w:hint="eastAsia" w:ascii="宋体" w:hAnsi="宋体" w:eastAsia="宋体" w:cs="宋体"/>
        </w:rPr>
        <w:t>）对采购文件提出的质疑，依法通过澄清或者修改可以继续开展采购活动的，澄清或者修改采购文件后继续开展采购活动；否则应当修改采购文件后重新开展采购活动。（</w:t>
      </w:r>
      <w:r>
        <w:rPr>
          <w:rFonts w:hint="eastAsia"/>
        </w:rPr>
        <w:t>2</w:t>
      </w:r>
      <w:r>
        <w:rPr>
          <w:rFonts w:hint="eastAsia" w:ascii="宋体" w:hAnsi="宋体" w:eastAsia="宋体" w:cs="宋体"/>
        </w:rPr>
        <w:t>）对采购过程、中标或者成交结果提出的质疑，如果合格供应商符合法定数量，依法从合格的中标或者成交候选人中另行确定中标、成交供应商；如果合格供应商不符合法定数量，应当重新开展采购活动。</w:t>
      </w:r>
    </w:p>
    <w:p w14:paraId="0C2379B9">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54违约责任</w:t>
      </w:r>
    </w:p>
    <w:p w14:paraId="2F7C5962">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54.1供应商若在政府采购活动存在下列违法行为，给采购人、采购代理机造成损失的，应当承担赔偿责任。</w:t>
      </w:r>
    </w:p>
    <w:p w14:paraId="314BE6BD">
      <w:pPr>
        <w:pStyle w:val="7"/>
        <w:rPr>
          <w:rFonts w:hint="default"/>
          <w:color w:val="FF0000"/>
          <w:lang w:val="en-US" w:eastAsia="zh-CN"/>
        </w:rPr>
      </w:pPr>
      <w:r>
        <w:rPr>
          <w:rFonts w:hint="default"/>
          <w:color w:val="FF0000"/>
          <w:lang w:val="en-US" w:eastAsia="zh-CN"/>
        </w:rPr>
        <w:t>（</w:t>
      </w:r>
      <w:r>
        <w:rPr>
          <w:rFonts w:hint="eastAsia"/>
          <w:color w:val="FF0000"/>
          <w:lang w:val="en-US" w:eastAsia="zh-CN"/>
        </w:rPr>
        <w:t>1</w:t>
      </w:r>
      <w:r>
        <w:rPr>
          <w:rFonts w:hint="default"/>
          <w:color w:val="FF0000"/>
          <w:lang w:val="en-US" w:eastAsia="zh-CN"/>
        </w:rPr>
        <w:t>）</w:t>
      </w:r>
      <w:r>
        <w:rPr>
          <w:rFonts w:hint="eastAsia"/>
          <w:color w:val="FF0000"/>
          <w:lang w:val="en-US" w:eastAsia="zh-CN"/>
        </w:rPr>
        <w:t>未</w:t>
      </w:r>
      <w:r>
        <w:rPr>
          <w:rFonts w:hint="default"/>
          <w:color w:val="FF0000"/>
          <w:lang w:val="en-US" w:eastAsia="zh-CN"/>
        </w:rPr>
        <w:t>按照规定签订、履行采购合同</w:t>
      </w:r>
      <w:r>
        <w:rPr>
          <w:rFonts w:hint="eastAsia"/>
          <w:color w:val="FF0000"/>
          <w:lang w:val="en-US" w:eastAsia="zh-CN"/>
        </w:rPr>
        <w:t>；</w:t>
      </w:r>
    </w:p>
    <w:p w14:paraId="504F7A5A">
      <w:pPr>
        <w:pStyle w:val="7"/>
        <w:rPr>
          <w:rFonts w:hint="default"/>
          <w:color w:val="FF0000"/>
          <w:lang w:val="en-US" w:eastAsia="zh-CN"/>
        </w:rPr>
      </w:pPr>
      <w:r>
        <w:rPr>
          <w:rFonts w:hint="eastAsia"/>
          <w:color w:val="FF0000"/>
          <w:lang w:val="en-US" w:eastAsia="zh-CN"/>
        </w:rPr>
        <w:t>（2）</w:t>
      </w:r>
      <w:r>
        <w:rPr>
          <w:rFonts w:hint="default"/>
          <w:color w:val="FF0000"/>
          <w:lang w:val="en-US" w:eastAsia="zh-CN"/>
        </w:rPr>
        <w:t>提供虚假材料谋取中标、成交的；</w:t>
      </w:r>
    </w:p>
    <w:p w14:paraId="602A113B">
      <w:pPr>
        <w:pStyle w:val="7"/>
        <w:rPr>
          <w:rFonts w:hint="default"/>
          <w:color w:val="FF0000"/>
          <w:lang w:val="en-US" w:eastAsia="zh-CN"/>
        </w:rPr>
      </w:pPr>
      <w:r>
        <w:rPr>
          <w:rFonts w:hint="default"/>
          <w:color w:val="FF0000"/>
          <w:lang w:val="en-US" w:eastAsia="zh-CN"/>
        </w:rPr>
        <w:t>（</w:t>
      </w:r>
      <w:r>
        <w:rPr>
          <w:rFonts w:hint="eastAsia"/>
          <w:color w:val="FF0000"/>
          <w:lang w:val="en-US" w:eastAsia="zh-CN"/>
        </w:rPr>
        <w:t>3</w:t>
      </w:r>
      <w:r>
        <w:rPr>
          <w:rFonts w:hint="default"/>
          <w:color w:val="FF0000"/>
          <w:lang w:val="en-US" w:eastAsia="zh-CN"/>
        </w:rPr>
        <w:t>）采取不正当手段诋毁、排挤其他供应商的；</w:t>
      </w:r>
    </w:p>
    <w:p w14:paraId="5B245FF9">
      <w:pPr>
        <w:pStyle w:val="7"/>
        <w:rPr>
          <w:rFonts w:hint="default"/>
          <w:color w:val="FF0000"/>
          <w:lang w:val="en-US" w:eastAsia="zh-CN"/>
        </w:rPr>
      </w:pPr>
      <w:r>
        <w:rPr>
          <w:rFonts w:hint="default"/>
          <w:color w:val="FF0000"/>
          <w:lang w:val="en-US" w:eastAsia="zh-CN"/>
        </w:rPr>
        <w:t>（</w:t>
      </w:r>
      <w:r>
        <w:rPr>
          <w:rFonts w:hint="eastAsia"/>
          <w:color w:val="FF0000"/>
          <w:lang w:val="en-US" w:eastAsia="zh-CN"/>
        </w:rPr>
        <w:t>4</w:t>
      </w:r>
      <w:r>
        <w:rPr>
          <w:rFonts w:hint="default"/>
          <w:color w:val="FF0000"/>
          <w:lang w:val="en-US" w:eastAsia="zh-CN"/>
        </w:rPr>
        <w:t>）与其他供应商恶意串通的；</w:t>
      </w:r>
    </w:p>
    <w:p w14:paraId="04D18688">
      <w:pPr>
        <w:pStyle w:val="7"/>
        <w:rPr>
          <w:rFonts w:hint="eastAsia"/>
          <w:color w:val="FF0000"/>
          <w:lang w:val="en-US" w:eastAsia="zh-CN"/>
        </w:rPr>
      </w:pPr>
      <w:r>
        <w:rPr>
          <w:rFonts w:hint="default"/>
          <w:color w:val="FF0000"/>
          <w:lang w:val="en-US" w:eastAsia="zh-CN"/>
        </w:rPr>
        <w:t>（</w:t>
      </w:r>
      <w:r>
        <w:rPr>
          <w:rFonts w:hint="eastAsia"/>
          <w:color w:val="FF0000"/>
          <w:lang w:val="en-US" w:eastAsia="zh-CN"/>
        </w:rPr>
        <w:t>5</w:t>
      </w:r>
      <w:r>
        <w:rPr>
          <w:rFonts w:hint="default"/>
          <w:color w:val="FF0000"/>
          <w:lang w:val="en-US" w:eastAsia="zh-CN"/>
        </w:rPr>
        <w:t>）拒绝有关部门监督检查或者提供虚假情况的</w:t>
      </w:r>
      <w:r>
        <w:rPr>
          <w:rFonts w:hint="eastAsia"/>
          <w:color w:val="FF0000"/>
          <w:lang w:val="en-US" w:eastAsia="zh-CN"/>
        </w:rPr>
        <w:t>；</w:t>
      </w:r>
    </w:p>
    <w:p w14:paraId="7BFF6C96">
      <w:pPr>
        <w:pStyle w:val="7"/>
        <w:rPr>
          <w:rFonts w:hint="default"/>
          <w:color w:val="FF0000"/>
          <w:lang w:val="en-US" w:eastAsia="zh-CN"/>
        </w:rPr>
      </w:pPr>
      <w:r>
        <w:rPr>
          <w:rFonts w:hint="eastAsia"/>
          <w:color w:val="FF0000"/>
          <w:lang w:val="en-US" w:eastAsia="zh-CN"/>
        </w:rPr>
        <w:t>（6）经主管部门认定的其他违法采购相关法律法规的行为。</w:t>
      </w:r>
    </w:p>
    <w:p w14:paraId="31521E02">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54.2采购人、采购代理机构有权对违法供应商造成的损失进行追偿，可优先在已缴纳的代理服务费中进行抵扣，已缴纳的代理服务费不足以赔偿采购人、采购代理机构损失的，采购人、采购代理机构有权向人民法院提起诉讼。</w:t>
      </w:r>
    </w:p>
    <w:p w14:paraId="263FAB4B">
      <w:pPr>
        <w:pStyle w:val="7"/>
      </w:pPr>
    </w:p>
    <w:p w14:paraId="339E9644">
      <w:pPr>
        <w:jc w:val="center"/>
        <w:rPr>
          <w:color w:val="000000" w:themeColor="text1"/>
          <w14:textFill>
            <w14:solidFill>
              <w14:schemeClr w14:val="tx1"/>
            </w14:solidFill>
          </w14:textFill>
        </w:rPr>
      </w:pPr>
      <w:r>
        <w:rPr>
          <w:color w:val="000000" w:themeColor="text1"/>
          <w14:textFill>
            <w14:solidFill>
              <w14:schemeClr w14:val="tx1"/>
            </w14:solidFill>
          </w14:textFill>
        </w:rPr>
        <w:t>---- END ----</w:t>
      </w:r>
      <w:bookmarkEnd w:id="100"/>
    </w:p>
    <w:p w14:paraId="452D6A90">
      <w:pPr>
        <w:rPr>
          <w:rFonts w:ascii="宋体" w:hAnsi="宋体"/>
          <w:color w:val="000000" w:themeColor="text1"/>
          <w:szCs w:val="21"/>
          <w14:textFill>
            <w14:solidFill>
              <w14:schemeClr w14:val="tx1"/>
            </w14:solidFill>
          </w14:textFill>
        </w:rPr>
      </w:pPr>
    </w:p>
    <w:p w14:paraId="615EA293"/>
    <w:p w14:paraId="3552BF4A"/>
    <w:sectPr>
      <w:footerReference r:id="rId6" w:type="default"/>
      <w:type w:val="continuous"/>
      <w:pgSz w:w="11906" w:h="16838"/>
      <w:pgMar w:top="1440" w:right="1800" w:bottom="1440" w:left="1800"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4A5448-A43E-453A-A29E-1C95E747622F}"/>
  </w:font>
  <w:font w:name="黑体">
    <w:panose1 w:val="02010609060101010101"/>
    <w:charset w:val="86"/>
    <w:family w:val="auto"/>
    <w:pitch w:val="default"/>
    <w:sig w:usb0="800002BF" w:usb1="38CF7CFA" w:usb2="00000016" w:usb3="00000000" w:csb0="00040001" w:csb1="00000000"/>
    <w:embedRegular r:id="rId2" w:fontKey="{E97CEAC7-21A0-4DF6-B134-8E2191D867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EDEE487F-E6A5-46A2-AE68-3775E04008CA}"/>
  </w:font>
  <w:font w:name="仿宋">
    <w:panose1 w:val="02010609060101010101"/>
    <w:charset w:val="86"/>
    <w:family w:val="modern"/>
    <w:pitch w:val="default"/>
    <w:sig w:usb0="800002BF" w:usb1="38CF7CFA" w:usb2="00000016" w:usb3="00000000" w:csb0="00040001" w:csb1="00000000"/>
    <w:embedRegular r:id="rId4" w:fontKey="{735AF7F7-DA8F-42B1-801D-4628ACE7731F}"/>
  </w:font>
  <w:font w:name="Wingdings 2">
    <w:panose1 w:val="05020102010507070707"/>
    <w:charset w:val="02"/>
    <w:family w:val="roman"/>
    <w:pitch w:val="default"/>
    <w:sig w:usb0="00000000" w:usb1="00000000" w:usb2="00000000" w:usb3="00000000" w:csb0="80000000" w:csb1="00000000"/>
    <w:embedRegular r:id="rId5" w:fontKey="{1E962D52-7AFC-4331-9C21-4C118F5320A1}"/>
  </w:font>
  <w:font w:name="ˎ̥">
    <w:altName w:val="Times New Roman"/>
    <w:panose1 w:val="00000000000000000000"/>
    <w:charset w:val="00"/>
    <w:family w:val="roman"/>
    <w:pitch w:val="default"/>
    <w:sig w:usb0="00000000" w:usb1="00000000" w:usb2="00000000" w:usb3="00000000" w:csb0="00000000" w:csb1="00000000"/>
    <w:embedRegular r:id="rId6" w:fontKey="{A9BA9A6E-2F11-4216-B1DE-01613D1E85D9}"/>
  </w:font>
  <w:font w:name="WPSEMBED58">
    <w:panose1 w:val="02010609030101010101"/>
    <w:charset w:val="86"/>
    <w:family w:val="auto"/>
    <w:pitch w:val="default"/>
    <w:sig w:usb0="00000001" w:usb1="080E0000" w:usb2="00000000" w:usb3="00000000" w:csb0="00040000" w:csb1="00000000"/>
  </w:font>
  <w:font w:name="WPSEMBED59">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81BEE">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5BC90">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B95BC90">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BB61">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DD799">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50DD799">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F3EFC">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4092B">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854092B">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4E287">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B0D07">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0B0D07">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C06A3C2"/>
    <w:multiLevelType w:val="singleLevel"/>
    <w:tmpl w:val="1C06A3C2"/>
    <w:lvl w:ilvl="0" w:tentative="0">
      <w:start w:val="1"/>
      <w:numFmt w:val="decimal"/>
      <w:suff w:val="nothing"/>
      <w:lvlText w:val="（%1）"/>
      <w:lvlJc w:val="left"/>
    </w:lvl>
  </w:abstractNum>
  <w:abstractNum w:abstractNumId="2">
    <w:nsid w:val="24675649"/>
    <w:multiLevelType w:val="singleLevel"/>
    <w:tmpl w:val="24675649"/>
    <w:lvl w:ilvl="0" w:tentative="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iMDU1YjhkNjk3NDBkYTEwNmRkNWE0M2Q1ZjFhNWIifQ=="/>
  </w:docVars>
  <w:rsids>
    <w:rsidRoot w:val="00000000"/>
    <w:rsid w:val="00B96C44"/>
    <w:rsid w:val="00F942E2"/>
    <w:rsid w:val="026673DD"/>
    <w:rsid w:val="037B2C82"/>
    <w:rsid w:val="04A53486"/>
    <w:rsid w:val="04BA4D02"/>
    <w:rsid w:val="060327CF"/>
    <w:rsid w:val="061152F9"/>
    <w:rsid w:val="071208EA"/>
    <w:rsid w:val="093525C0"/>
    <w:rsid w:val="0AD56800"/>
    <w:rsid w:val="0B856A33"/>
    <w:rsid w:val="0C7F0980"/>
    <w:rsid w:val="0D9D1464"/>
    <w:rsid w:val="0DDD78CC"/>
    <w:rsid w:val="0DE11D81"/>
    <w:rsid w:val="0DF577ED"/>
    <w:rsid w:val="0FB07C1F"/>
    <w:rsid w:val="10C60085"/>
    <w:rsid w:val="112C6522"/>
    <w:rsid w:val="11E46830"/>
    <w:rsid w:val="1343435B"/>
    <w:rsid w:val="13D70930"/>
    <w:rsid w:val="13EE4FAF"/>
    <w:rsid w:val="152C512F"/>
    <w:rsid w:val="1545782E"/>
    <w:rsid w:val="16353C00"/>
    <w:rsid w:val="16731F67"/>
    <w:rsid w:val="16BF171B"/>
    <w:rsid w:val="16D84B75"/>
    <w:rsid w:val="188F7558"/>
    <w:rsid w:val="1A361D35"/>
    <w:rsid w:val="1B43798F"/>
    <w:rsid w:val="1B50482E"/>
    <w:rsid w:val="1C964CCC"/>
    <w:rsid w:val="1DE121E6"/>
    <w:rsid w:val="1EEB57A3"/>
    <w:rsid w:val="1F5C0633"/>
    <w:rsid w:val="1F6368EB"/>
    <w:rsid w:val="1F9217FE"/>
    <w:rsid w:val="1FE77ED1"/>
    <w:rsid w:val="20BF3E64"/>
    <w:rsid w:val="211C3B31"/>
    <w:rsid w:val="21771570"/>
    <w:rsid w:val="235F29CF"/>
    <w:rsid w:val="2597179C"/>
    <w:rsid w:val="26511AD7"/>
    <w:rsid w:val="26C952F0"/>
    <w:rsid w:val="26D11145"/>
    <w:rsid w:val="27702CEA"/>
    <w:rsid w:val="2AA61238"/>
    <w:rsid w:val="2AD215C5"/>
    <w:rsid w:val="2ADF4FA0"/>
    <w:rsid w:val="2BF74188"/>
    <w:rsid w:val="2CF250E1"/>
    <w:rsid w:val="2D834DF9"/>
    <w:rsid w:val="2EA96414"/>
    <w:rsid w:val="2F076A67"/>
    <w:rsid w:val="2FAA1F7E"/>
    <w:rsid w:val="2FB76FDC"/>
    <w:rsid w:val="2FBB2091"/>
    <w:rsid w:val="2FED773A"/>
    <w:rsid w:val="30002840"/>
    <w:rsid w:val="321E678F"/>
    <w:rsid w:val="32BC3CE0"/>
    <w:rsid w:val="32DC12ED"/>
    <w:rsid w:val="355462D6"/>
    <w:rsid w:val="35F504FD"/>
    <w:rsid w:val="362A0508"/>
    <w:rsid w:val="362B66CF"/>
    <w:rsid w:val="37282F06"/>
    <w:rsid w:val="38043F1B"/>
    <w:rsid w:val="38A55FF8"/>
    <w:rsid w:val="38D44413"/>
    <w:rsid w:val="3A193B4A"/>
    <w:rsid w:val="3AEA64B7"/>
    <w:rsid w:val="3B4953BB"/>
    <w:rsid w:val="3B572A86"/>
    <w:rsid w:val="3BCC5093"/>
    <w:rsid w:val="3C11319F"/>
    <w:rsid w:val="3C5F0860"/>
    <w:rsid w:val="3D1E351A"/>
    <w:rsid w:val="3D5C6BB7"/>
    <w:rsid w:val="41466BF8"/>
    <w:rsid w:val="420460B1"/>
    <w:rsid w:val="420A0825"/>
    <w:rsid w:val="437E6286"/>
    <w:rsid w:val="44B946CE"/>
    <w:rsid w:val="46AB4245"/>
    <w:rsid w:val="46EC3316"/>
    <w:rsid w:val="46FF153C"/>
    <w:rsid w:val="479D1F29"/>
    <w:rsid w:val="48494E29"/>
    <w:rsid w:val="48886652"/>
    <w:rsid w:val="48B95124"/>
    <w:rsid w:val="48EC61D3"/>
    <w:rsid w:val="48ED127B"/>
    <w:rsid w:val="49287E75"/>
    <w:rsid w:val="493A767E"/>
    <w:rsid w:val="49DC7913"/>
    <w:rsid w:val="4CA06BB3"/>
    <w:rsid w:val="4D470A71"/>
    <w:rsid w:val="4E9B418C"/>
    <w:rsid w:val="4EC35B98"/>
    <w:rsid w:val="50507FFF"/>
    <w:rsid w:val="50812BDB"/>
    <w:rsid w:val="511B6F73"/>
    <w:rsid w:val="52803120"/>
    <w:rsid w:val="53100CAE"/>
    <w:rsid w:val="535C77D7"/>
    <w:rsid w:val="536754F0"/>
    <w:rsid w:val="543C0C58"/>
    <w:rsid w:val="554F5D9E"/>
    <w:rsid w:val="55705126"/>
    <w:rsid w:val="557627DA"/>
    <w:rsid w:val="55EF2FA9"/>
    <w:rsid w:val="573B690D"/>
    <w:rsid w:val="583A6878"/>
    <w:rsid w:val="59550153"/>
    <w:rsid w:val="5AFD10E3"/>
    <w:rsid w:val="5B1B5FAE"/>
    <w:rsid w:val="5BED62A9"/>
    <w:rsid w:val="5C413F10"/>
    <w:rsid w:val="5C61311E"/>
    <w:rsid w:val="5CC97046"/>
    <w:rsid w:val="5D2F4993"/>
    <w:rsid w:val="5D6F0C9E"/>
    <w:rsid w:val="5E2D57AE"/>
    <w:rsid w:val="5F1540C5"/>
    <w:rsid w:val="603832A2"/>
    <w:rsid w:val="60867BFE"/>
    <w:rsid w:val="60B6404A"/>
    <w:rsid w:val="60F6595A"/>
    <w:rsid w:val="61113278"/>
    <w:rsid w:val="61E36A68"/>
    <w:rsid w:val="621A6328"/>
    <w:rsid w:val="626C66A6"/>
    <w:rsid w:val="62852434"/>
    <w:rsid w:val="631D4DCC"/>
    <w:rsid w:val="637644DD"/>
    <w:rsid w:val="644675FE"/>
    <w:rsid w:val="655820EC"/>
    <w:rsid w:val="6583539F"/>
    <w:rsid w:val="662B2F3B"/>
    <w:rsid w:val="67C57F21"/>
    <w:rsid w:val="67C66D2E"/>
    <w:rsid w:val="68BE2865"/>
    <w:rsid w:val="69126A56"/>
    <w:rsid w:val="69DE0CFA"/>
    <w:rsid w:val="69E564CD"/>
    <w:rsid w:val="6AF325B5"/>
    <w:rsid w:val="6BCD60A1"/>
    <w:rsid w:val="6C50049C"/>
    <w:rsid w:val="6CBF3A75"/>
    <w:rsid w:val="6D10521A"/>
    <w:rsid w:val="6D703A9E"/>
    <w:rsid w:val="6D774FB8"/>
    <w:rsid w:val="6D79502A"/>
    <w:rsid w:val="6D943EDD"/>
    <w:rsid w:val="6EA90247"/>
    <w:rsid w:val="6F9E335F"/>
    <w:rsid w:val="6FFD5156"/>
    <w:rsid w:val="723864FB"/>
    <w:rsid w:val="724D0317"/>
    <w:rsid w:val="740565DF"/>
    <w:rsid w:val="74D85F97"/>
    <w:rsid w:val="754553B2"/>
    <w:rsid w:val="769C5088"/>
    <w:rsid w:val="785C7CED"/>
    <w:rsid w:val="786C6FE0"/>
    <w:rsid w:val="797B769E"/>
    <w:rsid w:val="79FB41D3"/>
    <w:rsid w:val="7A440A39"/>
    <w:rsid w:val="7AC64070"/>
    <w:rsid w:val="7B875677"/>
    <w:rsid w:val="7D9D45CA"/>
    <w:rsid w:val="7DFD44B7"/>
    <w:rsid w:val="7EC601B8"/>
    <w:rsid w:val="7EC95058"/>
    <w:rsid w:val="7F261DDE"/>
    <w:rsid w:val="7F98457D"/>
    <w:rsid w:val="7FAD42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rPr>
  </w:style>
  <w:style w:type="paragraph" w:styleId="3">
    <w:name w:val="heading 1"/>
    <w:basedOn w:val="4"/>
    <w:next w:val="1"/>
    <w:link w:val="28"/>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29"/>
    <w:qFormat/>
    <w:uiPriority w:val="0"/>
    <w:pPr>
      <w:adjustRightInd w:val="0"/>
      <w:jc w:val="center"/>
      <w:textAlignment w:val="baseline"/>
      <w:outlineLvl w:val="1"/>
    </w:pPr>
    <w:rPr>
      <w:sz w:val="24"/>
      <w:szCs w:val="20"/>
    </w:rPr>
  </w:style>
  <w:style w:type="paragraph" w:styleId="4">
    <w:name w:val="heading 3"/>
    <w:basedOn w:val="5"/>
    <w:next w:val="1"/>
    <w:link w:val="27"/>
    <w:qFormat/>
    <w:uiPriority w:val="9"/>
    <w:pPr>
      <w:spacing w:before="260" w:after="260" w:line="240" w:lineRule="auto"/>
      <w:outlineLvl w:val="2"/>
    </w:pPr>
    <w:rPr>
      <w:rFonts w:ascii="宋体" w:hAnsi="宋体" w:eastAsia="宋体"/>
      <w:szCs w:val="32"/>
    </w:rPr>
  </w:style>
  <w:style w:type="paragraph" w:styleId="5">
    <w:name w:val="heading 4"/>
    <w:basedOn w:val="1"/>
    <w:next w:val="1"/>
    <w:link w:val="26"/>
    <w:qFormat/>
    <w:uiPriority w:val="9"/>
    <w:pPr>
      <w:keepNext/>
      <w:keepLines/>
      <w:spacing w:before="280" w:after="290" w:line="376" w:lineRule="auto"/>
      <w:outlineLvl w:val="3"/>
    </w:pPr>
    <w:rPr>
      <w:rFonts w:ascii="Arial" w:hAnsi="Arial" w:eastAsia="黑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link w:val="31"/>
    <w:qFormat/>
    <w:uiPriority w:val="0"/>
    <w:pPr>
      <w:spacing w:line="360" w:lineRule="auto"/>
    </w:pPr>
    <w:rPr>
      <w:b/>
      <w:bCs/>
    </w:rPr>
  </w:style>
  <w:style w:type="paragraph" w:styleId="7">
    <w:name w:val="Normal Indent"/>
    <w:basedOn w:val="1"/>
    <w:next w:val="2"/>
    <w:link w:val="25"/>
    <w:qFormat/>
    <w:uiPriority w:val="0"/>
    <w:pPr>
      <w:ind w:firstLine="420"/>
    </w:pPr>
    <w:rPr>
      <w:szCs w:val="20"/>
    </w:rPr>
  </w:style>
  <w:style w:type="paragraph" w:styleId="8">
    <w:name w:val="annotation text"/>
    <w:basedOn w:val="1"/>
    <w:link w:val="30"/>
    <w:unhideWhenUsed/>
    <w:qFormat/>
    <w:uiPriority w:val="0"/>
  </w:style>
  <w:style w:type="paragraph" w:styleId="9">
    <w:name w:val="Body Text Indent"/>
    <w:basedOn w:val="1"/>
    <w:qFormat/>
    <w:uiPriority w:val="99"/>
    <w:pPr>
      <w:spacing w:after="120"/>
      <w:ind w:left="420" w:leftChars="200"/>
    </w:pPr>
    <w:rPr>
      <w:rFonts w:ascii="Times New Roman" w:hAnsi="Times New Roman" w:eastAsia="宋体" w:cs="Times New Roman"/>
      <w:sz w:val="21"/>
    </w:rPr>
  </w:style>
  <w:style w:type="paragraph" w:styleId="10">
    <w:name w:val="Balloon Text"/>
    <w:basedOn w:val="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2"/>
    <w:basedOn w:val="1"/>
    <w:qFormat/>
    <w:uiPriority w:val="0"/>
    <w:pPr>
      <w:spacing w:line="360" w:lineRule="auto"/>
    </w:pPr>
    <w:rPr>
      <w:sz w:val="24"/>
    </w:rPr>
  </w:style>
  <w:style w:type="paragraph" w:styleId="14">
    <w:name w:val="Normal (Web)"/>
    <w:basedOn w:val="1"/>
    <w:link w:val="23"/>
    <w:qFormat/>
    <w:uiPriority w:val="99"/>
  </w:style>
  <w:style w:type="paragraph" w:styleId="15">
    <w:name w:val="Body Text First Indent 2"/>
    <w:basedOn w:val="9"/>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qFormat/>
    <w:uiPriority w:val="99"/>
    <w:rPr>
      <w:color w:val="0000FF"/>
      <w:u w:val="single"/>
    </w:rPr>
  </w:style>
  <w:style w:type="paragraph" w:styleId="2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3">
    <w:name w:val="普通(网站) Char"/>
    <w:link w:val="14"/>
    <w:qFormat/>
    <w:uiPriority w:val="0"/>
    <w:rPr>
      <w:kern w:val="2"/>
      <w:sz w:val="24"/>
      <w:szCs w:val="24"/>
    </w:rPr>
  </w:style>
  <w:style w:type="paragraph" w:customStyle="1" w:styleId="24">
    <w:name w:val="Table Paragraph"/>
    <w:basedOn w:val="1"/>
    <w:qFormat/>
    <w:uiPriority w:val="1"/>
    <w:rPr>
      <w:rFonts w:ascii="宋体" w:hAnsi="宋体" w:cs="宋体"/>
      <w:lang w:val="zh-CN" w:bidi="zh-CN"/>
    </w:rPr>
  </w:style>
  <w:style w:type="character" w:customStyle="1" w:styleId="25">
    <w:name w:val="正文缩进 Char"/>
    <w:link w:val="7"/>
    <w:qFormat/>
    <w:uiPriority w:val="0"/>
    <w:rPr>
      <w:rFonts w:eastAsia="宋体"/>
      <w:kern w:val="2"/>
      <w:sz w:val="21"/>
      <w:lang w:val="en-US" w:eastAsia="zh-CN" w:bidi="ar-SA"/>
    </w:rPr>
  </w:style>
  <w:style w:type="character" w:customStyle="1" w:styleId="26">
    <w:name w:val="标题 4 Char"/>
    <w:link w:val="5"/>
    <w:qFormat/>
    <w:uiPriority w:val="9"/>
    <w:rPr>
      <w:rFonts w:ascii="Arial" w:hAnsi="Arial" w:eastAsia="黑体"/>
      <w:b/>
      <w:bCs/>
      <w:kern w:val="2"/>
      <w:sz w:val="28"/>
      <w:szCs w:val="28"/>
      <w:lang w:val="en-US" w:eastAsia="zh-CN" w:bidi="ar-SA"/>
    </w:rPr>
  </w:style>
  <w:style w:type="character" w:customStyle="1" w:styleId="27">
    <w:name w:val="标题 3 Char1"/>
    <w:link w:val="4"/>
    <w:qFormat/>
    <w:uiPriority w:val="9"/>
    <w:rPr>
      <w:rFonts w:ascii="宋体" w:hAnsi="宋体" w:eastAsia="宋体"/>
      <w:b/>
      <w:bCs/>
      <w:kern w:val="2"/>
      <w:sz w:val="28"/>
      <w:szCs w:val="32"/>
      <w:lang w:val="en-US" w:eastAsia="zh-CN" w:bidi="ar-SA"/>
    </w:rPr>
  </w:style>
  <w:style w:type="character" w:customStyle="1" w:styleId="28">
    <w:name w:val="标题 1 Char"/>
    <w:link w:val="3"/>
    <w:qFormat/>
    <w:uiPriority w:val="0"/>
    <w:rPr>
      <w:rFonts w:ascii="宋体" w:hAnsi="宋体" w:eastAsia="黑体"/>
      <w:b/>
      <w:bCs/>
      <w:kern w:val="44"/>
      <w:sz w:val="28"/>
      <w:szCs w:val="44"/>
      <w:lang w:val="en-US" w:eastAsia="zh-CN" w:bidi="ar-SA"/>
    </w:rPr>
  </w:style>
  <w:style w:type="character" w:customStyle="1" w:styleId="29">
    <w:name w:val="标题 2 Char"/>
    <w:link w:val="6"/>
    <w:qFormat/>
    <w:uiPriority w:val="0"/>
    <w:rPr>
      <w:rFonts w:ascii="宋体" w:hAnsi="宋体" w:eastAsia="宋体"/>
      <w:b/>
      <w:bCs/>
      <w:sz w:val="24"/>
      <w:lang w:val="en-US" w:eastAsia="zh-CN" w:bidi="ar-SA"/>
    </w:rPr>
  </w:style>
  <w:style w:type="character" w:customStyle="1" w:styleId="30">
    <w:name w:val="批注文字 Char"/>
    <w:basedOn w:val="18"/>
    <w:link w:val="8"/>
    <w:qFormat/>
    <w:uiPriority w:val="0"/>
    <w:rPr>
      <w:sz w:val="24"/>
      <w:szCs w:val="24"/>
    </w:rPr>
  </w:style>
  <w:style w:type="character" w:customStyle="1" w:styleId="31">
    <w:name w:val="正文文本 Char"/>
    <w:link w:val="2"/>
    <w:qFormat/>
    <w:uiPriority w:val="0"/>
    <w:rPr>
      <w:rFonts w:eastAsia="宋体"/>
      <w:b/>
      <w:bCs/>
      <w:kern w:val="2"/>
      <w:sz w:val="24"/>
      <w:szCs w:val="24"/>
      <w:lang w:val="en-US" w:eastAsia="zh-CN" w:bidi="ar-SA"/>
    </w:rPr>
  </w:style>
  <w:style w:type="character" w:customStyle="1" w:styleId="32">
    <w:name w:val="标题 3 Char"/>
    <w:qFormat/>
    <w:uiPriority w:val="0"/>
    <w:rPr>
      <w:rFonts w:ascii="黑体" w:eastAsia="黑体"/>
      <w:bCs/>
      <w:sz w:val="30"/>
    </w:rPr>
  </w:style>
  <w:style w:type="paragraph" w:customStyle="1" w:styleId="33">
    <w:name w:val="正文1"/>
    <w:basedOn w:val="1"/>
    <w:qFormat/>
    <w:uiPriority w:val="0"/>
    <w:pPr>
      <w:tabs>
        <w:tab w:val="left" w:pos="4"/>
      </w:tabs>
    </w:pPr>
    <w:rPr>
      <w:rFonts w:ascii="宋体" w:hAnsi="宋体"/>
      <w:sz w:val="18"/>
    </w:rPr>
  </w:style>
  <w:style w:type="paragraph" w:customStyle="1" w:styleId="34">
    <w:name w:val="彩色列表 - 强调文字颜色 11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65</Pages>
  <Words>133</Words>
  <Characters>159</Characters>
  <Lines>1</Lines>
  <Paragraphs>1</Paragraphs>
  <TotalTime>0</TotalTime>
  <ScaleCrop>false</ScaleCrop>
  <LinksUpToDate>false</LinksUpToDate>
  <CharactersWithSpaces>166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2022-05-20T08:55:00Z</dcterms:created>
  <dc:creator>lenovo01</dc:creator>
  <cp:lastModifiedBy>潘艺伟</cp:lastModifiedBy>
  <dcterms:modified xsi:type="dcterms:W3CDTF">2025-11-11T08:21:07Z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69835A8171DE4F7785E748BE6F70EB70_13</vt:lpwstr>
  </property>
  <property fmtid="{D5CDD505-2E9C-101B-9397-08002B2CF9AE}" pid="4" name="KSOTemplateDocerSaveRecord">
    <vt:lpwstr>eyJoZGlkIjoiYzYwZGIyMmQ2Mjc4MjNhM2VhY2ZkNDJkOThhMDJmYTQiLCJ1c2VySWQiOiIzMzQ5MzMwOTYifQ==</vt:lpwstr>
  </property>
</Properties>
</file>