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1482B">
      <w:pPr>
        <w:jc w:val="right"/>
        <w:rPr>
          <w:rFonts w:hint="eastAsia" w:ascii="宋体" w:hAnsi="宋体"/>
          <w:b/>
          <w:spacing w:val="20"/>
          <w:sz w:val="28"/>
        </w:rPr>
      </w:pPr>
    </w:p>
    <w:p w14:paraId="5601608C">
      <w:pPr>
        <w:jc w:val="right"/>
        <w:rPr>
          <w:rFonts w:ascii="黑体" w:hAnsi="Arial" w:eastAsia="黑体" w:cs="Arial"/>
          <w:sz w:val="52"/>
          <w:szCs w:val="52"/>
        </w:rPr>
      </w:pPr>
      <w:r>
        <w:rPr>
          <w:rFonts w:hint="eastAsia" w:ascii="宋体" w:hAnsi="宋体"/>
          <w:b/>
          <w:spacing w:val="20"/>
          <w:sz w:val="28"/>
        </w:rPr>
        <w:t>项目编号：</w:t>
      </w:r>
      <w:r>
        <w:rPr>
          <w:rFonts w:hint="eastAsia" w:ascii="宋体" w:hAnsi="宋体"/>
          <w:b/>
          <w:spacing w:val="20"/>
          <w:sz w:val="28"/>
          <w:highlight w:val="yellow"/>
          <w:lang w:eastAsia="zh-CN"/>
        </w:rPr>
        <w:t>SZDL2025000085</w:t>
      </w:r>
      <w:r>
        <w:rPr>
          <w:rFonts w:hint="eastAsia" w:ascii="宋体" w:hAnsi="宋体"/>
          <w:b/>
          <w:spacing w:val="20"/>
          <w:sz w:val="28"/>
        </w:rPr>
        <w:t xml:space="preserve"> </w:t>
      </w:r>
    </w:p>
    <w:p w14:paraId="358BF24D">
      <w:pPr>
        <w:pStyle w:val="8"/>
      </w:pPr>
    </w:p>
    <w:p w14:paraId="3109AE3F">
      <w:pPr>
        <w:jc w:val="center"/>
        <w:rPr>
          <w:rFonts w:ascii="黑体" w:hAnsi="Arial" w:eastAsia="黑体" w:cs="Arial"/>
          <w:sz w:val="52"/>
          <w:szCs w:val="52"/>
        </w:rPr>
      </w:pPr>
    </w:p>
    <w:p w14:paraId="2D2EDE82">
      <w:pPr>
        <w:pStyle w:val="8"/>
      </w:pPr>
    </w:p>
    <w:p w14:paraId="1442F133">
      <w:pPr>
        <w:pStyle w:val="9"/>
      </w:pPr>
    </w:p>
    <w:p w14:paraId="58F99FB1">
      <w:pPr>
        <w:pStyle w:val="9"/>
      </w:pPr>
    </w:p>
    <w:p w14:paraId="26102BCF">
      <w:pPr>
        <w:jc w:val="center"/>
        <w:rPr>
          <w:rFonts w:ascii="黑体" w:hAnsi="Arial" w:eastAsia="黑体" w:cs="Arial"/>
          <w:sz w:val="52"/>
          <w:szCs w:val="52"/>
        </w:rPr>
      </w:pPr>
      <w:r>
        <w:rPr>
          <w:rFonts w:hint="eastAsia" w:ascii="黑体" w:hAnsi="Arial" w:eastAsia="黑体" w:cs="Arial"/>
          <w:sz w:val="52"/>
          <w:szCs w:val="52"/>
        </w:rPr>
        <w:t>【服务类】</w:t>
      </w:r>
    </w:p>
    <w:p w14:paraId="76D78B65">
      <w:pPr>
        <w:jc w:val="center"/>
        <w:rPr>
          <w:rFonts w:hint="default" w:ascii="黑体" w:eastAsia="黑体"/>
          <w:sz w:val="52"/>
          <w:szCs w:val="52"/>
          <w:lang w:val="en-US" w:eastAsia="zh-CN"/>
        </w:rPr>
      </w:pPr>
      <w:bookmarkStart w:id="104" w:name="_GoBack"/>
      <w:r>
        <w:rPr>
          <w:rFonts w:hint="eastAsia" w:ascii="黑体" w:eastAsia="黑体"/>
          <w:sz w:val="52"/>
          <w:szCs w:val="52"/>
          <w:lang w:eastAsia="zh-CN"/>
        </w:rPr>
        <w:t>2025年交通监控设施维护D包</w:t>
      </w:r>
      <w:bookmarkEnd w:id="104"/>
    </w:p>
    <w:p w14:paraId="6338221A"/>
    <w:p w14:paraId="72C7EF70"/>
    <w:p w14:paraId="6E8444FC"/>
    <w:p w14:paraId="325AA9F6"/>
    <w:p w14:paraId="67CBE80B">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黑体" w:eastAsia="黑体"/>
          <w:color w:val="000000" w:themeColor="text1"/>
          <w:sz w:val="72"/>
          <w:szCs w:val="52"/>
          <w14:textFill>
            <w14:solidFill>
              <w14:schemeClr w14:val="tx1"/>
            </w14:solidFill>
          </w14:textFill>
        </w:rPr>
      </w:pPr>
      <w:r>
        <w:rPr>
          <w:rFonts w:hint="eastAsia" w:ascii="黑体" w:eastAsia="黑体"/>
          <w:color w:val="000000" w:themeColor="text1"/>
          <w:sz w:val="72"/>
          <w:szCs w:val="52"/>
          <w14:textFill>
            <w14:solidFill>
              <w14:schemeClr w14:val="tx1"/>
            </w14:solidFill>
          </w14:textFill>
        </w:rPr>
        <w:t>招 标 文 件</w:t>
      </w:r>
    </w:p>
    <w:p w14:paraId="156A8F2A">
      <w:pPr>
        <w:pStyle w:val="9"/>
        <w:rPr>
          <w:rFonts w:hint="eastAsia"/>
        </w:rPr>
      </w:pPr>
    </w:p>
    <w:p w14:paraId="374E5668">
      <w:pPr>
        <w:pStyle w:val="8"/>
        <w:rPr>
          <w:rFonts w:hint="eastAsia"/>
          <w:lang w:eastAsia="zh-CN"/>
        </w:rPr>
      </w:pPr>
    </w:p>
    <w:p w14:paraId="3CA49E5C">
      <w:pPr>
        <w:pStyle w:val="9"/>
        <w:rPr>
          <w:rFonts w:hint="eastAsia"/>
          <w:lang w:eastAsia="zh-CN"/>
        </w:rPr>
      </w:pPr>
    </w:p>
    <w:p w14:paraId="3A83375B">
      <w:pPr>
        <w:pStyle w:val="9"/>
        <w:rPr>
          <w:rFonts w:hint="eastAsia"/>
          <w:lang w:eastAsia="zh-CN"/>
        </w:rPr>
      </w:pPr>
    </w:p>
    <w:p w14:paraId="2D4B8379">
      <w:pPr>
        <w:pStyle w:val="9"/>
        <w:rPr>
          <w:rFonts w:hint="eastAsia"/>
          <w:lang w:eastAsia="zh-CN"/>
        </w:rPr>
      </w:pPr>
    </w:p>
    <w:p w14:paraId="73626C99">
      <w:pPr>
        <w:pStyle w:val="9"/>
        <w:rPr>
          <w:rFonts w:hint="eastAsia"/>
          <w:lang w:eastAsia="zh-CN"/>
        </w:rPr>
      </w:pPr>
    </w:p>
    <w:p w14:paraId="12765A6B">
      <w:pPr>
        <w:pStyle w:val="9"/>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eastAsia="宋体"/>
          <w:lang w:eastAsia="zh-CN"/>
        </w:rPr>
      </w:pPr>
      <w:r>
        <w:rPr>
          <w:rFonts w:hint="eastAsia" w:ascii="Arial" w:hAnsi="Arial" w:eastAsia="仿宋_GB2312" w:cs="Arial"/>
          <w:sz w:val="44"/>
          <w:lang w:eastAsia="zh-CN"/>
        </w:rPr>
        <w:drawing>
          <wp:inline distT="0" distB="0" distL="114300" distR="114300">
            <wp:extent cx="1210945" cy="1210945"/>
            <wp:effectExtent l="0" t="0" r="8255" b="8255"/>
            <wp:docPr id="3" name="图片 3"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bbc1c3021ac190a7f1ff08bab79ef"/>
                    <pic:cNvPicPr>
                      <a:picLocks noChangeAspect="1"/>
                    </pic:cNvPicPr>
                  </pic:nvPicPr>
                  <pic:blipFill>
                    <a:blip r:embed="rId6"/>
                    <a:stretch>
                      <a:fillRect/>
                    </a:stretch>
                  </pic:blipFill>
                  <pic:spPr>
                    <a:xfrm>
                      <a:off x="0" y="0"/>
                      <a:ext cx="1210945" cy="1210945"/>
                    </a:xfrm>
                    <a:prstGeom prst="rect">
                      <a:avLst/>
                    </a:prstGeom>
                  </pic:spPr>
                </pic:pic>
              </a:graphicData>
            </a:graphic>
          </wp:inline>
        </w:drawing>
      </w:r>
    </w:p>
    <w:p w14:paraId="61AD851E">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lang w:eastAsia="zh-CN"/>
        </w:rPr>
      </w:pPr>
    </w:p>
    <w:p w14:paraId="167638A9">
      <w:pPr>
        <w:pStyle w:val="9"/>
        <w:keepNext w:val="0"/>
        <w:keepLines w:val="0"/>
        <w:pageBreakBefore w:val="0"/>
        <w:widowControl w:val="0"/>
        <w:kinsoku/>
        <w:wordWrap/>
        <w:overflowPunct/>
        <w:topLinePunct w:val="0"/>
        <w:autoSpaceDE/>
        <w:autoSpaceDN/>
        <w:bidi w:val="0"/>
        <w:adjustRightInd/>
        <w:snapToGrid/>
        <w:spacing w:after="0"/>
        <w:textAlignment w:val="auto"/>
        <w:rPr>
          <w:rFonts w:hint="eastAsia" w:eastAsia="宋体"/>
          <w:lang w:eastAsia="zh-CN"/>
        </w:rPr>
      </w:pPr>
    </w:p>
    <w:p w14:paraId="4641C5A8">
      <w:pPr>
        <w:snapToGrid w:val="0"/>
        <w:jc w:val="center"/>
        <w:rPr>
          <w:rFonts w:ascii="仿宋_GB2312" w:hAnsi="宋体" w:eastAsia="仿宋_GB2312" w:cs="Arial"/>
          <w:b/>
          <w:bCs/>
          <w:sz w:val="36"/>
          <w:szCs w:val="36"/>
        </w:rPr>
      </w:pPr>
      <w:r>
        <w:rPr>
          <w:rFonts w:hint="eastAsia" w:ascii="仿宋_GB2312" w:hAnsi="宋体" w:eastAsia="仿宋_GB2312" w:cs="Arial"/>
          <w:b/>
          <w:bCs/>
          <w:sz w:val="36"/>
          <w:szCs w:val="36"/>
        </w:rPr>
        <w:t>友和保险经纪有限公司</w:t>
      </w:r>
    </w:p>
    <w:p w14:paraId="522803D7">
      <w:pPr>
        <w:snapToGrid w:val="0"/>
        <w:jc w:val="center"/>
        <w:rPr>
          <w:rFonts w:ascii="仿宋_GB2312" w:hAnsi="宋体" w:eastAsia="仿宋_GB2312" w:cs="Arial"/>
          <w:b/>
          <w:bCs/>
          <w:sz w:val="21"/>
          <w:szCs w:val="21"/>
        </w:rPr>
      </w:pPr>
    </w:p>
    <w:p w14:paraId="085A698F">
      <w:pPr>
        <w:jc w:val="center"/>
      </w:pPr>
      <w:r>
        <w:rPr>
          <w:rFonts w:hint="eastAsia" w:ascii="仿宋_GB2312" w:hAnsi="Arial" w:eastAsia="仿宋_GB2312" w:cs="Arial"/>
          <w:b/>
          <w:bCs/>
          <w:sz w:val="36"/>
          <w:szCs w:val="36"/>
        </w:rPr>
        <w:t>二</w:t>
      </w:r>
      <w:r>
        <w:rPr>
          <w:rFonts w:hint="eastAsia" w:ascii="仿宋_GB2312" w:hAnsi="宋体" w:cs="宋体"/>
          <w:b/>
          <w:bCs/>
          <w:sz w:val="36"/>
          <w:szCs w:val="36"/>
        </w:rPr>
        <w:t>〇</w:t>
      </w:r>
      <w:r>
        <w:rPr>
          <w:rFonts w:hint="eastAsia" w:ascii="仿宋_GB2312" w:hAnsi="Arial" w:eastAsia="仿宋_GB2312" w:cs="Arial"/>
          <w:b/>
          <w:bCs/>
          <w:sz w:val="36"/>
          <w:szCs w:val="36"/>
        </w:rPr>
        <w:t>二</w:t>
      </w:r>
      <w:r>
        <w:rPr>
          <w:rFonts w:hint="eastAsia" w:ascii="仿宋_GB2312" w:hAnsi="Arial" w:eastAsia="仿宋_GB2312" w:cs="Arial"/>
          <w:b/>
          <w:bCs/>
          <w:sz w:val="36"/>
          <w:szCs w:val="36"/>
          <w:lang w:eastAsia="zh-CN"/>
        </w:rPr>
        <w:t>五</w:t>
      </w:r>
      <w:r>
        <w:rPr>
          <w:rFonts w:hint="eastAsia" w:ascii="仿宋_GB2312" w:hAnsi="Arial" w:eastAsia="仿宋_GB2312" w:cs="Arial"/>
          <w:b/>
          <w:bCs/>
          <w:sz w:val="36"/>
          <w:szCs w:val="36"/>
        </w:rPr>
        <w:t>年</w:t>
      </w:r>
      <w:r>
        <w:rPr>
          <w:rFonts w:hint="eastAsia" w:ascii="仿宋_GB2312" w:hAnsi="Arial" w:eastAsia="仿宋_GB2312" w:cs="Arial"/>
          <w:b/>
          <w:bCs/>
          <w:sz w:val="36"/>
          <w:szCs w:val="36"/>
          <w:lang w:eastAsia="zh-CN"/>
        </w:rPr>
        <w:t>二</w:t>
      </w:r>
      <w:r>
        <w:rPr>
          <w:rFonts w:hint="eastAsia" w:ascii="仿宋_GB2312" w:hAnsi="Arial" w:eastAsia="仿宋_GB2312" w:cs="Arial"/>
          <w:b/>
          <w:bCs/>
          <w:sz w:val="36"/>
          <w:szCs w:val="36"/>
        </w:rPr>
        <w:t>月</w:t>
      </w:r>
    </w:p>
    <w:p w14:paraId="617AD21D">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9"/>
        <w:rPr>
          <w:rFonts w:hint="eastAsia"/>
          <w:b/>
          <w:bCs/>
          <w:color w:val="000000" w:themeColor="text1"/>
          <w:sz w:val="40"/>
          <w:szCs w:val="40"/>
          <w14:textFill>
            <w14:solidFill>
              <w14:schemeClr w14:val="tx1"/>
            </w14:solidFill>
          </w14:textFill>
        </w:rPr>
      </w:pPr>
    </w:p>
    <w:p w14:paraId="4255941F">
      <w:pPr>
        <w:spacing w:beforeAutospacing="1" w:afterAutospacing="1"/>
        <w:jc w:val="center"/>
        <w:outlineLvl w:val="1"/>
        <w:rPr>
          <w:rFonts w:hint="eastAsia"/>
          <w:b/>
          <w:bCs/>
          <w:color w:val="000000" w:themeColor="text1"/>
          <w:sz w:val="40"/>
          <w:szCs w:val="40"/>
          <w14:textFill>
            <w14:solidFill>
              <w14:schemeClr w14:val="tx1"/>
            </w14:solidFill>
          </w14:textFill>
        </w:rPr>
        <w:sectPr>
          <w:footerReference r:id="rId3" w:type="default"/>
          <w:type w:val="continuous"/>
          <w:pgSz w:w="11906" w:h="16838"/>
          <w:pgMar w:top="1440" w:right="1800" w:bottom="1440" w:left="1800" w:header="720" w:footer="720" w:gutter="0"/>
          <w:pgNumType w:fmt="decimal"/>
          <w:cols w:space="720" w:num="1"/>
        </w:sectPr>
      </w:pPr>
    </w:p>
    <w:p w14:paraId="7BC83FBD">
      <w:pPr>
        <w:spacing w:beforeAutospacing="1" w:afterAutospacing="1"/>
        <w:jc w:val="center"/>
        <w:outlineLvl w:val="1"/>
        <w:rPr>
          <w:rFonts w:ascii="黑体" w:hAnsi="宋体" w:eastAsia="黑体" w:cs="黑体"/>
          <w:color w:val="000000" w:themeColor="text1"/>
          <w:sz w:val="40"/>
          <w:szCs w:val="40"/>
          <w14:textFill>
            <w14:solidFill>
              <w14:schemeClr w14:val="tx1"/>
            </w14:solidFill>
          </w14:textFill>
        </w:rPr>
      </w:pPr>
      <w:r>
        <w:rPr>
          <w:rFonts w:hint="eastAsia"/>
          <w:b/>
          <w:bCs/>
          <w:color w:val="000000" w:themeColor="text1"/>
          <w:sz w:val="40"/>
          <w:szCs w:val="40"/>
          <w14:textFill>
            <w14:solidFill>
              <w14:schemeClr w14:val="tx1"/>
            </w14:solidFill>
          </w14:textFill>
        </w:rPr>
        <w:t>招</w:t>
      </w:r>
      <w:r>
        <w:rPr>
          <w:rFonts w:hint="eastAsia" w:ascii="黑体" w:hAnsi="宋体" w:eastAsia="黑体" w:cs="黑体"/>
          <w:color w:val="000000" w:themeColor="text1"/>
          <w:sz w:val="40"/>
          <w:szCs w:val="40"/>
          <w14:textFill>
            <w14:solidFill>
              <w14:schemeClr w14:val="tx1"/>
            </w14:solidFill>
          </w14:textFill>
        </w:rPr>
        <w:t>标文件信息</w:t>
      </w:r>
    </w:p>
    <w:tbl>
      <w:tblPr>
        <w:tblStyle w:val="17"/>
        <w:tblW w:w="7943" w:type="dxa"/>
        <w:jc w:val="center"/>
        <w:tblCellSpacing w:w="0" w:type="dxa"/>
        <w:tblLayout w:type="fixed"/>
        <w:tblCellMar>
          <w:top w:w="45" w:type="dxa"/>
          <w:left w:w="45" w:type="dxa"/>
          <w:bottom w:w="45" w:type="dxa"/>
          <w:right w:w="45" w:type="dxa"/>
        </w:tblCellMar>
      </w:tblPr>
      <w:tblGrid>
        <w:gridCol w:w="2723"/>
        <w:gridCol w:w="5220"/>
      </w:tblGrid>
      <w:tr w14:paraId="6BC6802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C25C95">
            <w:pPr>
              <w:keepNext w:val="0"/>
              <w:keepLines w:val="0"/>
              <w:widowControl/>
              <w:suppressLineNumbers w:val="0"/>
              <w:spacing w:before="0" w:beforeAutospacing="0" w:after="0" w:afterAutospacing="0"/>
              <w:ind w:left="0" w:right="0"/>
              <w:jc w:val="right"/>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项目编号：</w:t>
            </w:r>
          </w:p>
        </w:tc>
        <w:tc>
          <w:tcPr>
            <w:tcW w:w="5220" w:type="dxa"/>
            <w:shd w:val="clear" w:color="auto" w:fill="auto"/>
            <w:vAlign w:val="center"/>
          </w:tcPr>
          <w:p w14:paraId="22A168F9">
            <w:pPr>
              <w:keepNext w:val="0"/>
              <w:keepLines w:val="0"/>
              <w:widowControl/>
              <w:suppressLineNumbers w:val="0"/>
              <w:spacing w:before="0" w:beforeAutospacing="0" w:after="0" w:afterAutospacing="0"/>
              <w:ind w:left="0" w:right="0"/>
              <w:rPr>
                <w:rFonts w:hint="eastAsia" w:eastAsia="宋体"/>
                <w:color w:val="000000" w:themeColor="text1"/>
                <w:sz w:val="30"/>
                <w:szCs w:val="30"/>
                <w:lang w:eastAsia="zh-CN"/>
                <w14:textFill>
                  <w14:solidFill>
                    <w14:schemeClr w14:val="tx1"/>
                  </w14:solidFill>
                </w14:textFill>
              </w:rPr>
            </w:pPr>
            <w:r>
              <w:rPr>
                <w:rFonts w:hint="eastAsia" w:eastAsia="宋体"/>
                <w:color w:val="000000" w:themeColor="text1"/>
                <w:sz w:val="30"/>
                <w:szCs w:val="30"/>
                <w:lang w:eastAsia="zh-CN"/>
                <w14:textFill>
                  <w14:solidFill>
                    <w14:schemeClr w14:val="tx1"/>
                  </w14:solidFill>
                </w14:textFill>
              </w:rPr>
              <w:t>SZDL2025000085</w:t>
            </w:r>
          </w:p>
        </w:tc>
      </w:tr>
      <w:tr w14:paraId="37D05BE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41BF605">
            <w:pPr>
              <w:keepNext w:val="0"/>
              <w:keepLines w:val="0"/>
              <w:widowControl/>
              <w:suppressLineNumbers w:val="0"/>
              <w:spacing w:before="0" w:beforeAutospacing="0" w:after="0" w:afterAutospacing="0"/>
              <w:ind w:left="0" w:right="0"/>
              <w:jc w:val="right"/>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项目名称：</w:t>
            </w:r>
          </w:p>
        </w:tc>
        <w:tc>
          <w:tcPr>
            <w:tcW w:w="5220" w:type="dxa"/>
            <w:shd w:val="clear" w:color="auto" w:fill="auto"/>
            <w:vAlign w:val="center"/>
          </w:tcPr>
          <w:p w14:paraId="2ACAB402">
            <w:pPr>
              <w:keepNext w:val="0"/>
              <w:keepLines w:val="0"/>
              <w:widowControl/>
              <w:suppressLineNumbers w:val="0"/>
              <w:spacing w:before="0" w:beforeAutospacing="0" w:after="0" w:afterAutospacing="0"/>
              <w:ind w:left="0" w:right="0"/>
              <w:rPr>
                <w:rFonts w:hint="eastAsia" w:eastAsiaTheme="minorEastAsia"/>
                <w:color w:val="000000" w:themeColor="text1"/>
                <w:sz w:val="30"/>
                <w:szCs w:val="30"/>
                <w:lang w:eastAsia="zh-CN"/>
                <w14:textFill>
                  <w14:solidFill>
                    <w14:schemeClr w14:val="tx1"/>
                  </w14:solidFill>
                </w14:textFill>
              </w:rPr>
            </w:pPr>
            <w:r>
              <w:rPr>
                <w:rFonts w:hint="eastAsia" w:eastAsiaTheme="minorEastAsia"/>
                <w:color w:val="000000" w:themeColor="text1"/>
                <w:sz w:val="30"/>
                <w:szCs w:val="30"/>
                <w:lang w:eastAsia="zh-CN"/>
                <w14:textFill>
                  <w14:solidFill>
                    <w14:schemeClr w14:val="tx1"/>
                  </w14:solidFill>
                </w14:textFill>
              </w:rPr>
              <w:t>2025年交通监控设施维护</w:t>
            </w:r>
          </w:p>
        </w:tc>
      </w:tr>
      <w:tr w14:paraId="034F1695">
        <w:tblPrEx>
          <w:tblCellMar>
            <w:top w:w="45" w:type="dxa"/>
            <w:left w:w="45" w:type="dxa"/>
            <w:bottom w:w="45" w:type="dxa"/>
            <w:right w:w="45" w:type="dxa"/>
          </w:tblCellMar>
        </w:tblPrEx>
        <w:trPr>
          <w:trHeight w:val="818" w:hRule="atLeast"/>
          <w:tblCellSpacing w:w="0" w:type="dxa"/>
          <w:jc w:val="center"/>
        </w:trPr>
        <w:tc>
          <w:tcPr>
            <w:tcW w:w="2723" w:type="dxa"/>
            <w:shd w:val="clear" w:color="auto" w:fill="auto"/>
            <w:vAlign w:val="center"/>
          </w:tcPr>
          <w:p w14:paraId="1D95CF31">
            <w:pPr>
              <w:keepNext w:val="0"/>
              <w:keepLines w:val="0"/>
              <w:widowControl/>
              <w:suppressLineNumbers w:val="0"/>
              <w:spacing w:before="0" w:beforeAutospacing="0" w:after="0" w:afterAutospacing="0"/>
              <w:ind w:left="0" w:right="0"/>
              <w:jc w:val="right"/>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 xml:space="preserve">包 </w:t>
            </w:r>
            <w:r>
              <w:rPr>
                <w:rFonts w:hint="eastAsia" w:ascii="宋体" w:hAnsi="宋体" w:cs="宋体"/>
                <w:color w:val="000000" w:themeColor="text1"/>
                <w:sz w:val="30"/>
                <w:szCs w:val="30"/>
                <w14:textFill>
                  <w14:solidFill>
                    <w14:schemeClr w14:val="tx1"/>
                  </w14:solidFill>
                </w14:textFill>
              </w:rPr>
              <w:t xml:space="preserve">  </w:t>
            </w:r>
            <w:r>
              <w:rPr>
                <w:rFonts w:hint="default" w:ascii="宋体" w:hAnsi="宋体" w:cs="宋体"/>
                <w:color w:val="000000" w:themeColor="text1"/>
                <w:sz w:val="30"/>
                <w:szCs w:val="30"/>
                <w14:textFill>
                  <w14:solidFill>
                    <w14:schemeClr w14:val="tx1"/>
                  </w14:solidFill>
                </w14:textFill>
              </w:rPr>
              <w:t>号：</w:t>
            </w:r>
          </w:p>
        </w:tc>
        <w:tc>
          <w:tcPr>
            <w:tcW w:w="5220" w:type="dxa"/>
            <w:shd w:val="clear" w:color="auto" w:fill="auto"/>
            <w:vAlign w:val="center"/>
          </w:tcPr>
          <w:p w14:paraId="17F67CA7">
            <w:pPr>
              <w:keepNext w:val="0"/>
              <w:keepLines w:val="0"/>
              <w:widowControl/>
              <w:suppressLineNumbers w:val="0"/>
              <w:spacing w:before="0" w:beforeAutospacing="0" w:after="0" w:afterAutospacing="0"/>
              <w:ind w:left="0" w:right="0"/>
              <w:rPr>
                <w:rFonts w:hint="eastAsia" w:eastAsia="宋体"/>
                <w:color w:val="000000" w:themeColor="text1"/>
                <w:sz w:val="30"/>
                <w:szCs w:val="30"/>
                <w:lang w:val="en-US" w:eastAsia="zh-CN"/>
                <w14:textFill>
                  <w14:solidFill>
                    <w14:schemeClr w14:val="tx1"/>
                  </w14:solidFill>
                </w14:textFill>
              </w:rPr>
            </w:pPr>
            <w:r>
              <w:rPr>
                <w:rFonts w:hint="eastAsia" w:eastAsia="宋体"/>
                <w:color w:val="000000" w:themeColor="text1"/>
                <w:sz w:val="30"/>
                <w:szCs w:val="30"/>
                <w:lang w:val="en-US" w:eastAsia="zh-CN"/>
                <w14:textFill>
                  <w14:solidFill>
                    <w14:schemeClr w14:val="tx1"/>
                  </w14:solidFill>
                </w14:textFill>
              </w:rPr>
              <w:t>D</w:t>
            </w:r>
          </w:p>
        </w:tc>
      </w:tr>
      <w:tr w14:paraId="0A379A0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940AFBE">
            <w:pPr>
              <w:keepNext w:val="0"/>
              <w:keepLines w:val="0"/>
              <w:widowControl/>
              <w:suppressLineNumbers w:val="0"/>
              <w:spacing w:before="0" w:beforeAutospacing="0" w:after="0" w:afterAutospacing="0"/>
              <w:ind w:left="0" w:right="0"/>
              <w:jc w:val="right"/>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项目类型：</w:t>
            </w:r>
          </w:p>
        </w:tc>
        <w:tc>
          <w:tcPr>
            <w:tcW w:w="5220" w:type="dxa"/>
            <w:shd w:val="clear" w:color="auto" w:fill="auto"/>
            <w:vAlign w:val="center"/>
          </w:tcPr>
          <w:p w14:paraId="441226AB">
            <w:pPr>
              <w:keepNext w:val="0"/>
              <w:keepLines w:val="0"/>
              <w:widowControl/>
              <w:suppressLineNumbers w:val="0"/>
              <w:spacing w:before="0" w:beforeAutospacing="0" w:after="0" w:afterAutospacing="0"/>
              <w:ind w:left="0" w:right="0"/>
              <w:rPr>
                <w:rFonts w:hint="default"/>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服务</w:t>
            </w:r>
            <w:r>
              <w:rPr>
                <w:rFonts w:hint="default" w:ascii="宋体" w:hAnsi="宋体" w:cs="宋体"/>
                <w:color w:val="000000" w:themeColor="text1"/>
                <w:sz w:val="30"/>
                <w:szCs w:val="30"/>
                <w14:textFill>
                  <w14:solidFill>
                    <w14:schemeClr w14:val="tx1"/>
                  </w14:solidFill>
                </w14:textFill>
              </w:rPr>
              <w:t>类</w:t>
            </w:r>
          </w:p>
        </w:tc>
      </w:tr>
      <w:tr w14:paraId="6821D3C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ABE3484">
            <w:pPr>
              <w:keepNext w:val="0"/>
              <w:keepLines w:val="0"/>
              <w:widowControl/>
              <w:suppressLineNumbers w:val="0"/>
              <w:spacing w:before="0" w:beforeAutospacing="0" w:after="0" w:afterAutospacing="0"/>
              <w:ind w:left="0" w:right="0"/>
              <w:jc w:val="right"/>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采购方式：</w:t>
            </w:r>
          </w:p>
        </w:tc>
        <w:tc>
          <w:tcPr>
            <w:tcW w:w="5220" w:type="dxa"/>
            <w:shd w:val="clear" w:color="auto" w:fill="auto"/>
            <w:vAlign w:val="center"/>
          </w:tcPr>
          <w:p w14:paraId="56F4AC5A">
            <w:pPr>
              <w:keepNext w:val="0"/>
              <w:keepLines w:val="0"/>
              <w:widowControl/>
              <w:suppressLineNumbers w:val="0"/>
              <w:spacing w:before="0" w:beforeAutospacing="0" w:after="0" w:afterAutospacing="0"/>
              <w:ind w:left="0" w:right="0"/>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公开招标</w:t>
            </w:r>
          </w:p>
        </w:tc>
      </w:tr>
      <w:tr w14:paraId="0A813EF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15E9360">
            <w:pPr>
              <w:keepNext w:val="0"/>
              <w:keepLines w:val="0"/>
              <w:widowControl/>
              <w:suppressLineNumbers w:val="0"/>
              <w:spacing w:before="0" w:beforeAutospacing="0" w:after="0" w:afterAutospacing="0"/>
              <w:ind w:left="0" w:right="0"/>
              <w:jc w:val="right"/>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货币类型：</w:t>
            </w:r>
          </w:p>
        </w:tc>
        <w:tc>
          <w:tcPr>
            <w:tcW w:w="5220" w:type="dxa"/>
            <w:shd w:val="clear" w:color="auto" w:fill="auto"/>
            <w:vAlign w:val="center"/>
          </w:tcPr>
          <w:p w14:paraId="652B1DAB">
            <w:pPr>
              <w:keepNext w:val="0"/>
              <w:keepLines w:val="0"/>
              <w:widowControl/>
              <w:suppressLineNumbers w:val="0"/>
              <w:spacing w:before="0" w:beforeAutospacing="0" w:after="0" w:afterAutospacing="0"/>
              <w:ind w:left="0" w:right="0"/>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人民币</w:t>
            </w:r>
          </w:p>
        </w:tc>
      </w:tr>
      <w:tr w14:paraId="33BA3CB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682F78">
            <w:pPr>
              <w:keepNext w:val="0"/>
              <w:keepLines w:val="0"/>
              <w:widowControl/>
              <w:suppressLineNumbers w:val="0"/>
              <w:spacing w:before="0" w:beforeAutospacing="0" w:after="0" w:afterAutospacing="0"/>
              <w:ind w:left="0" w:right="0"/>
              <w:jc w:val="right"/>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评标方法：</w:t>
            </w:r>
          </w:p>
        </w:tc>
        <w:tc>
          <w:tcPr>
            <w:tcW w:w="5220" w:type="dxa"/>
            <w:shd w:val="clear" w:color="auto" w:fill="auto"/>
            <w:vAlign w:val="center"/>
          </w:tcPr>
          <w:p w14:paraId="5D7B1689">
            <w:pPr>
              <w:keepNext w:val="0"/>
              <w:keepLines w:val="0"/>
              <w:widowControl/>
              <w:suppressLineNumbers w:val="0"/>
              <w:spacing w:before="0" w:beforeAutospacing="0" w:after="0" w:afterAutospacing="0"/>
              <w:ind w:left="0" w:right="0"/>
              <w:rPr>
                <w:rFonts w:hint="default"/>
                <w:color w:val="000000" w:themeColor="text1"/>
                <w:sz w:val="30"/>
                <w:szCs w:val="30"/>
                <w14:textFill>
                  <w14:solidFill>
                    <w14:schemeClr w14:val="tx1"/>
                  </w14:solidFill>
                </w14:textFill>
              </w:rPr>
            </w:pPr>
            <w:r>
              <w:rPr>
                <w:rFonts w:hint="default" w:ascii="宋体" w:hAnsi="宋体" w:cs="宋体"/>
                <w:color w:val="000000" w:themeColor="text1"/>
                <w:sz w:val="30"/>
                <w:szCs w:val="30"/>
                <w14:textFill>
                  <w14:solidFill>
                    <w14:schemeClr w14:val="tx1"/>
                  </w14:solidFill>
                </w14:textFill>
              </w:rPr>
              <w:t>综合评分法（新价格分算法）</w:t>
            </w:r>
          </w:p>
        </w:tc>
      </w:tr>
    </w:tbl>
    <w:p w14:paraId="4BA1C260">
      <w:pPr>
        <w:pStyle w:val="14"/>
        <w:jc w:val="center"/>
        <w:outlineLvl w:val="1"/>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资格性审查表</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3C167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D15A3C">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8"/>
                <w:szCs w:val="28"/>
                <w14:textFill>
                  <w14:solidFill>
                    <w14:schemeClr w14:val="tx1"/>
                  </w14:solidFill>
                </w14:textFill>
              </w:rPr>
            </w:pPr>
            <w:r>
              <w:rPr>
                <w:rFonts w:hint="default"/>
                <w:color w:val="000000" w:themeColor="text1"/>
                <w:sz w:val="28"/>
                <w:szCs w:val="28"/>
                <w14:textFill>
                  <w14:solidFill>
                    <w14:schemeClr w14:val="tx1"/>
                  </w14:solidFill>
                </w14:textFill>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4F54102">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8"/>
                <w:szCs w:val="28"/>
                <w14:textFill>
                  <w14:solidFill>
                    <w14:schemeClr w14:val="tx1"/>
                  </w14:solidFill>
                </w14:textFill>
              </w:rPr>
            </w:pPr>
            <w:r>
              <w:rPr>
                <w:rFonts w:hint="default"/>
                <w:color w:val="000000" w:themeColor="text1"/>
                <w:sz w:val="28"/>
                <w:szCs w:val="28"/>
                <w14:textFill>
                  <w14:solidFill>
                    <w14:schemeClr w14:val="tx1"/>
                  </w14:solidFill>
                </w14:textFill>
              </w:rPr>
              <w:t>内容</w:t>
            </w:r>
          </w:p>
        </w:tc>
      </w:tr>
      <w:tr w14:paraId="4CF0E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E7F5AE1">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8278" w:type="dxa"/>
            <w:tcBorders>
              <w:top w:val="single" w:color="000000" w:sz="8" w:space="0"/>
              <w:left w:val="single" w:color="000000" w:sz="8" w:space="0"/>
              <w:bottom w:val="single" w:color="000000" w:sz="8" w:space="0"/>
              <w:right w:val="single" w:color="000000" w:sz="8" w:space="0"/>
            </w:tcBorders>
          </w:tcPr>
          <w:p w14:paraId="1DD2B95D">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投标人不</w:t>
            </w:r>
            <w:r>
              <w:rPr>
                <w:rFonts w:hint="eastAsia" w:ascii="宋体" w:hAnsi="宋体" w:cs="宋体"/>
                <w:color w:val="000000" w:themeColor="text1"/>
                <w:szCs w:val="21"/>
                <w14:textFill>
                  <w14:solidFill>
                    <w14:schemeClr w14:val="tx1"/>
                  </w14:solidFill>
                </w14:textFill>
              </w:rPr>
              <w:t>符合</w:t>
            </w:r>
            <w:r>
              <w:rPr>
                <w:rFonts w:hint="default" w:ascii="宋体" w:hAnsi="宋体" w:cs="宋体"/>
                <w:color w:val="000000" w:themeColor="text1"/>
                <w:szCs w:val="21"/>
                <w14:textFill>
                  <w14:solidFill>
                    <w14:schemeClr w14:val="tx1"/>
                  </w14:solidFill>
                </w14:textFill>
              </w:rPr>
              <w:t>资格要求，或未提交相应的资格证明资料（详见招标公告</w:t>
            </w:r>
            <w:r>
              <w:rPr>
                <w:rFonts w:hint="eastAsia" w:ascii="宋体" w:hAnsi="宋体"/>
                <w:color w:val="000000" w:themeColor="text1"/>
                <w:szCs w:val="21"/>
                <w14:textFill>
                  <w14:solidFill>
                    <w14:schemeClr w14:val="tx1"/>
                  </w14:solidFill>
                </w14:textFill>
              </w:rPr>
              <w:t>投标人资格要求，即申请人的资格要求</w:t>
            </w:r>
            <w:r>
              <w:rPr>
                <w:rFonts w:hint="default" w:ascii="宋体" w:hAnsi="宋体" w:cs="宋体"/>
                <w:color w:val="000000" w:themeColor="text1"/>
                <w:szCs w:val="21"/>
                <w14:textFill>
                  <w14:solidFill>
                    <w14:schemeClr w14:val="tx1"/>
                  </w14:solidFill>
                </w14:textFill>
              </w:rPr>
              <w:t>）</w:t>
            </w:r>
          </w:p>
        </w:tc>
      </w:tr>
    </w:tbl>
    <w:p w14:paraId="008BEA1B">
      <w:pPr>
        <w:pStyle w:val="14"/>
        <w:spacing w:before="280"/>
        <w:jc w:val="center"/>
        <w:outlineLvl w:val="1"/>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符合性审查表</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1829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D1DEE1B">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8"/>
                <w:szCs w:val="28"/>
                <w14:textFill>
                  <w14:solidFill>
                    <w14:schemeClr w14:val="tx1"/>
                  </w14:solidFill>
                </w14:textFill>
              </w:rPr>
            </w:pPr>
            <w:r>
              <w:rPr>
                <w:rFonts w:hint="default"/>
                <w:color w:val="000000" w:themeColor="text1"/>
                <w:sz w:val="28"/>
                <w:szCs w:val="28"/>
                <w14:textFill>
                  <w14:solidFill>
                    <w14:schemeClr w14:val="tx1"/>
                  </w14:solidFill>
                </w14:textFill>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D5E0EE0">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 w:val="28"/>
                <w:szCs w:val="28"/>
                <w14:textFill>
                  <w14:solidFill>
                    <w14:schemeClr w14:val="tx1"/>
                  </w14:solidFill>
                </w14:textFill>
              </w:rPr>
            </w:pPr>
            <w:r>
              <w:rPr>
                <w:rFonts w:hint="default"/>
                <w:color w:val="000000" w:themeColor="text1"/>
                <w:sz w:val="28"/>
                <w:szCs w:val="28"/>
                <w14:textFill>
                  <w14:solidFill>
                    <w14:schemeClr w14:val="tx1"/>
                  </w14:solidFill>
                </w14:textFill>
              </w:rPr>
              <w:t>内容</w:t>
            </w:r>
          </w:p>
        </w:tc>
      </w:tr>
      <w:tr w14:paraId="30DDE5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23ECC61">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p>
        </w:tc>
        <w:tc>
          <w:tcPr>
            <w:tcW w:w="8278" w:type="dxa"/>
            <w:tcBorders>
              <w:top w:val="single" w:color="000000" w:sz="8" w:space="0"/>
              <w:left w:val="single" w:color="000000" w:sz="8" w:space="0"/>
              <w:bottom w:val="single" w:color="000000" w:sz="8" w:space="0"/>
              <w:right w:val="single" w:color="000000" w:sz="8" w:space="0"/>
            </w:tcBorders>
          </w:tcPr>
          <w:p w14:paraId="11E72C6C">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将一个包或一个标段的内容拆开投标；</w:t>
            </w:r>
          </w:p>
        </w:tc>
      </w:tr>
      <w:tr w14:paraId="0D1BA5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DD08F0C">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w:t>
            </w:r>
          </w:p>
        </w:tc>
        <w:tc>
          <w:tcPr>
            <w:tcW w:w="8278" w:type="dxa"/>
            <w:tcBorders>
              <w:top w:val="single" w:color="000000" w:sz="8" w:space="0"/>
              <w:left w:val="single" w:color="000000" w:sz="8" w:space="0"/>
              <w:bottom w:val="single" w:color="000000" w:sz="8" w:space="0"/>
              <w:right w:val="single" w:color="000000" w:sz="8" w:space="0"/>
            </w:tcBorders>
          </w:tcPr>
          <w:p w14:paraId="134EDB86">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对同一项目投标时，提供两套以上的投标方案（招标文件另有规定的除外）；</w:t>
            </w:r>
          </w:p>
        </w:tc>
      </w:tr>
      <w:tr w14:paraId="2C960C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2D18363">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w:t>
            </w:r>
          </w:p>
        </w:tc>
        <w:tc>
          <w:tcPr>
            <w:tcW w:w="8278" w:type="dxa"/>
            <w:tcBorders>
              <w:top w:val="single" w:color="000000" w:sz="8" w:space="0"/>
              <w:left w:val="single" w:color="000000" w:sz="8" w:space="0"/>
              <w:bottom w:val="single" w:color="000000" w:sz="8" w:space="0"/>
              <w:right w:val="single" w:color="000000" w:sz="8" w:space="0"/>
            </w:tcBorders>
            <w:vAlign w:val="top"/>
          </w:tcPr>
          <w:p w14:paraId="3DE803D2">
            <w:pPr>
              <w:keepNext w:val="0"/>
              <w:keepLines w:val="0"/>
              <w:widowControl/>
              <w:suppressLineNumbers w:val="0"/>
              <w:spacing w:before="0" w:beforeAutospacing="0" w:after="0" w:afterAutospacing="0"/>
              <w:ind w:left="0" w:right="0"/>
              <w:jc w:val="left"/>
              <w:rPr>
                <w:rFonts w:hint="default" w:ascii="宋体" w:hAnsi="宋体" w:cs="宋体"/>
                <w:color w:val="000000" w:themeColor="text1"/>
                <w:szCs w:val="21"/>
                <w14:textFill>
                  <w14:solidFill>
                    <w14:schemeClr w14:val="tx1"/>
                  </w14:solidFill>
                </w14:textFill>
              </w:rPr>
            </w:pPr>
            <w:r>
              <w:rPr>
                <w:rFonts w:hint="eastAsia"/>
                <w:highlight w:val="none"/>
              </w:rPr>
              <w:t>分项报价或投标总价高于</w:t>
            </w:r>
            <w:bookmarkStart w:id="0" w:name="_Hlk71832186"/>
            <w:r>
              <w:rPr>
                <w:rFonts w:hint="eastAsia"/>
                <w:highlight w:val="none"/>
              </w:rPr>
              <w:t>相应财政预算金额（或设定的财政预算金额下的最高限价）</w:t>
            </w:r>
            <w:bookmarkEnd w:id="0"/>
            <w:r>
              <w:rPr>
                <w:rFonts w:hint="eastAsia"/>
                <w:highlight w:val="none"/>
              </w:rPr>
              <w:t>；</w:t>
            </w:r>
          </w:p>
        </w:tc>
      </w:tr>
      <w:tr w14:paraId="6EC9C7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7FC0B77">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w:t>
            </w:r>
          </w:p>
        </w:tc>
        <w:tc>
          <w:tcPr>
            <w:tcW w:w="8278" w:type="dxa"/>
            <w:tcBorders>
              <w:top w:val="single" w:color="000000" w:sz="8" w:space="0"/>
              <w:left w:val="single" w:color="000000" w:sz="8" w:space="0"/>
              <w:bottom w:val="single" w:color="000000" w:sz="8" w:space="0"/>
              <w:right w:val="single" w:color="000000" w:sz="8" w:space="0"/>
            </w:tcBorders>
          </w:tcPr>
          <w:p w14:paraId="258F9E7F">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6C2E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1B8B6A6">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w:t>
            </w:r>
          </w:p>
        </w:tc>
        <w:tc>
          <w:tcPr>
            <w:tcW w:w="8278" w:type="dxa"/>
            <w:tcBorders>
              <w:top w:val="single" w:color="000000" w:sz="8" w:space="0"/>
              <w:left w:val="single" w:color="000000" w:sz="8" w:space="0"/>
              <w:bottom w:val="single" w:color="000000" w:sz="8" w:space="0"/>
              <w:right w:val="single" w:color="000000" w:sz="8" w:space="0"/>
            </w:tcBorders>
          </w:tcPr>
          <w:p w14:paraId="380C7586">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rPr>
              <w:t>所投货物、服务在技术、商务等方面没有实质性满足招标文件要求的（是否实质性满足招标文件要求，由评审委员会根据《实质性条款响应情况表》做出评判）</w:t>
            </w:r>
            <w:r>
              <w:rPr>
                <w:rFonts w:hint="eastAsia" w:ascii="宋体" w:hAnsi="宋体" w:eastAsia="宋体"/>
                <w:lang w:eastAsia="zh-CN"/>
              </w:rPr>
              <w:t>，投标文件的轻微瑕疵、非关键内容不得作为认定投标无效的依据</w:t>
            </w:r>
            <w:r>
              <w:rPr>
                <w:rFonts w:hint="eastAsia" w:ascii="宋体" w:hAnsi="宋体" w:eastAsia="宋体"/>
              </w:rPr>
              <w:t>）</w:t>
            </w:r>
            <w:r>
              <w:rPr>
                <w:rFonts w:hint="eastAsia"/>
              </w:rPr>
              <w:t>；</w:t>
            </w:r>
          </w:p>
        </w:tc>
      </w:tr>
      <w:tr w14:paraId="0E699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8" w:hRule="atLeast"/>
          <w:jc w:val="center"/>
        </w:trPr>
        <w:tc>
          <w:tcPr>
            <w:tcW w:w="794" w:type="dxa"/>
            <w:tcBorders>
              <w:top w:val="single" w:color="000000" w:sz="8" w:space="0"/>
              <w:left w:val="single" w:color="000000" w:sz="8" w:space="0"/>
              <w:bottom w:val="single" w:color="000000" w:sz="8" w:space="0"/>
              <w:right w:val="single" w:color="000000" w:sz="8" w:space="0"/>
            </w:tcBorders>
          </w:tcPr>
          <w:p w14:paraId="26443175">
            <w:pPr>
              <w:keepNext w:val="0"/>
              <w:keepLines w:val="0"/>
              <w:widowControl/>
              <w:suppressLineNumbers w:val="0"/>
              <w:spacing w:before="0" w:beforeAutospacing="0" w:after="0" w:afterAutospacing="0"/>
              <w:ind w:left="0" w:right="0"/>
              <w:jc w:val="center"/>
              <w:rPr>
                <w:rFonts w:hint="default" w:ascii="宋体" w:hAnsi="宋体" w:cs="宋体"/>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w:t>
            </w:r>
          </w:p>
        </w:tc>
        <w:tc>
          <w:tcPr>
            <w:tcW w:w="8278" w:type="dxa"/>
            <w:tcBorders>
              <w:top w:val="single" w:color="000000" w:sz="8" w:space="0"/>
              <w:left w:val="single" w:color="000000" w:sz="8" w:space="0"/>
              <w:bottom w:val="single" w:color="000000" w:sz="8" w:space="0"/>
              <w:right w:val="single" w:color="000000" w:sz="8" w:space="0"/>
            </w:tcBorders>
          </w:tcPr>
          <w:p w14:paraId="6FCF2F18">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未按招标文件所提供的样式填写《投标函》；</w:t>
            </w:r>
          </w:p>
        </w:tc>
      </w:tr>
      <w:tr w14:paraId="790435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851B1A1">
            <w:pPr>
              <w:keepNext w:val="0"/>
              <w:keepLines w:val="0"/>
              <w:widowControl/>
              <w:suppressLineNumbers w:val="0"/>
              <w:spacing w:before="0" w:beforeAutospacing="0" w:after="0" w:afterAutospacing="0"/>
              <w:ind w:left="0" w:right="0"/>
              <w:jc w:val="center"/>
              <w:rPr>
                <w:rFonts w:hint="eastAsia"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7</w:t>
            </w:r>
          </w:p>
        </w:tc>
        <w:tc>
          <w:tcPr>
            <w:tcW w:w="8278" w:type="dxa"/>
            <w:tcBorders>
              <w:top w:val="single" w:color="000000" w:sz="8" w:space="0"/>
              <w:left w:val="single" w:color="000000" w:sz="8" w:space="0"/>
              <w:bottom w:val="single" w:color="000000" w:sz="8" w:space="0"/>
              <w:right w:val="single" w:color="000000" w:sz="8" w:space="0"/>
            </w:tcBorders>
          </w:tcPr>
          <w:p w14:paraId="3F5AEB9A">
            <w:pPr>
              <w:keepNext w:val="0"/>
              <w:keepLines w:val="0"/>
              <w:widowControl/>
              <w:suppressLineNumbers w:val="0"/>
              <w:spacing w:before="0" w:beforeAutospacing="0" w:after="0" w:afterAutospacing="0"/>
              <w:ind w:left="0" w:righ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未按招标文件所提供的《政府采购投标及履约承诺函》进行承诺</w:t>
            </w:r>
            <w:r>
              <w:rPr>
                <w:rFonts w:hint="eastAsia"/>
                <w:color w:val="auto"/>
              </w:rPr>
              <w:t>或不符合承诺的</w:t>
            </w:r>
            <w:r>
              <w:rPr>
                <w:rFonts w:hint="eastAsia"/>
                <w:color w:val="000000" w:themeColor="text1"/>
                <w14:textFill>
                  <w14:solidFill>
                    <w14:schemeClr w14:val="tx1"/>
                  </w14:solidFill>
                </w14:textFill>
              </w:rPr>
              <w:t>；</w:t>
            </w:r>
          </w:p>
        </w:tc>
      </w:tr>
      <w:tr w14:paraId="09205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37D99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8</w:t>
            </w:r>
          </w:p>
        </w:tc>
        <w:tc>
          <w:tcPr>
            <w:tcW w:w="8278" w:type="dxa"/>
            <w:tcBorders>
              <w:top w:val="single" w:color="000000" w:sz="8" w:space="0"/>
              <w:left w:val="single" w:color="000000" w:sz="8" w:space="0"/>
              <w:bottom w:val="single" w:color="000000" w:sz="8" w:space="0"/>
              <w:right w:val="single" w:color="000000" w:sz="8" w:space="0"/>
            </w:tcBorders>
          </w:tcPr>
          <w:p w14:paraId="0F037450">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ascii="宋体" w:hAnsi="宋体" w:eastAsia="宋体"/>
                <w:lang w:eastAsia="zh-CN"/>
              </w:rPr>
              <w:t>投标文件对</w:t>
            </w:r>
            <w:r>
              <w:rPr>
                <w:rFonts w:hint="eastAsia" w:ascii="宋体" w:hAnsi="宋体" w:eastAsia="宋体" w:cs="Times New Roman"/>
                <w:kern w:val="0"/>
                <w:sz w:val="24"/>
                <w:szCs w:val="24"/>
                <w:lang w:val="en-US" w:eastAsia="zh-CN" w:bidi="ar"/>
              </w:rPr>
              <w:t>采购标的响应不全（响应不全情形包括：</w:t>
            </w:r>
            <w:r>
              <w:rPr>
                <w:rFonts w:hint="eastAsia" w:ascii="宋体" w:hAnsi="宋体" w:eastAsia="宋体"/>
              </w:rPr>
              <w:t>投标报价有缺漏</w:t>
            </w:r>
            <w:r>
              <w:rPr>
                <w:rFonts w:hint="eastAsia" w:ascii="宋体" w:hAnsi="宋体" w:eastAsia="宋体"/>
                <w:lang w:eastAsia="zh-CN"/>
              </w:rPr>
              <w:t>项，</w:t>
            </w:r>
            <w:r>
              <w:rPr>
                <w:rFonts w:hint="eastAsia" w:ascii="宋体" w:hAnsi="宋体" w:eastAsia="宋体"/>
              </w:rPr>
              <w:t>对招标文件规定的项目需求内容或者需求数量进行修改</w:t>
            </w:r>
            <w:r>
              <w:rPr>
                <w:rFonts w:hint="eastAsia" w:ascii="宋体" w:hAnsi="宋体" w:eastAsia="宋体" w:cs="Times New Roman"/>
                <w:kern w:val="0"/>
                <w:sz w:val="24"/>
                <w:szCs w:val="24"/>
                <w:lang w:val="en-US" w:eastAsia="zh-CN" w:bidi="ar"/>
              </w:rPr>
              <w:t>），</w:t>
            </w:r>
            <w:r>
              <w:rPr>
                <w:rFonts w:hint="eastAsia" w:ascii="宋体" w:hAnsi="宋体" w:eastAsia="宋体"/>
              </w:rPr>
              <w:t>由评审委员会根据《</w:t>
            </w:r>
            <w:r>
              <w:rPr>
                <w:rFonts w:hint="eastAsia" w:ascii="宋体" w:hAnsi="宋体" w:eastAsia="宋体"/>
                <w:b w:val="0"/>
                <w:lang w:eastAsia="zh-CN"/>
              </w:rPr>
              <w:t>项目详细报价</w:t>
            </w:r>
            <w:r>
              <w:rPr>
                <w:rFonts w:hint="eastAsia" w:ascii="宋体" w:hAnsi="宋体" w:eastAsia="宋体"/>
              </w:rPr>
              <w:t>》</w:t>
            </w:r>
            <w:r>
              <w:rPr>
                <w:rFonts w:hint="eastAsia" w:eastAsia="宋体"/>
                <w:lang w:eastAsia="zh-CN"/>
              </w:rPr>
              <w:t>、《分项报价表》</w:t>
            </w:r>
            <w:r>
              <w:rPr>
                <w:rFonts w:hint="eastAsia" w:ascii="宋体" w:hAnsi="宋体" w:eastAsia="宋体"/>
              </w:rPr>
              <w:t>做出评判）</w:t>
            </w:r>
          </w:p>
        </w:tc>
      </w:tr>
      <w:tr w14:paraId="3895F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018DF6B9">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59C0B94F">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投标文件存在列放位置错误，导致属于信息公开情形的没有被公开；</w:t>
            </w:r>
          </w:p>
        </w:tc>
      </w:tr>
      <w:tr w14:paraId="12D77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177B213C">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rPr>
              <w:t>1</w:t>
            </w:r>
            <w:r>
              <w:rPr>
                <w:rFonts w:hint="eastAsia" w:ascii="宋体" w:hAnsi="宋体" w:eastAsia="宋体" w:cs="宋体"/>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4C9CF26F">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投标文件电子文档带病毒；</w:t>
            </w:r>
          </w:p>
        </w:tc>
      </w:tr>
      <w:tr w14:paraId="469664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02FAB0C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48343658">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投标文件用不属于本公司的电子密钥进行加密的；</w:t>
            </w:r>
          </w:p>
        </w:tc>
      </w:tr>
      <w:tr w14:paraId="2C01C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23241232">
            <w:pPr>
              <w:keepNext w:val="0"/>
              <w:keepLines w:val="0"/>
              <w:widowControl/>
              <w:suppressLineNumbers w:val="0"/>
              <w:spacing w:before="0" w:beforeAutospacing="0" w:after="0" w:afterAutospacing="0"/>
              <w:ind w:left="0" w:right="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12</w:t>
            </w:r>
          </w:p>
        </w:tc>
        <w:tc>
          <w:tcPr>
            <w:tcW w:w="8278" w:type="dxa"/>
            <w:tcBorders>
              <w:top w:val="single" w:color="000000" w:sz="8" w:space="0"/>
              <w:left w:val="single" w:color="000000" w:sz="8" w:space="0"/>
              <w:bottom w:val="single" w:color="000000" w:sz="8" w:space="0"/>
              <w:right w:val="single" w:color="000000" w:sz="8" w:space="0"/>
            </w:tcBorders>
          </w:tcPr>
          <w:p w14:paraId="75C9012A">
            <w:pPr>
              <w:keepNext w:val="0"/>
              <w:keepLines w:val="0"/>
              <w:widowControl/>
              <w:suppressLineNumbers w:val="0"/>
              <w:spacing w:before="0" w:beforeAutospacing="0" w:after="0" w:afterAutospacing="0"/>
              <w:ind w:left="0" w:right="0"/>
              <w:rPr>
                <w:rFonts w:hint="eastAsia"/>
                <w:color w:val="000000" w:themeColor="text1"/>
                <w:highlight w:val="none"/>
                <w14:textFill>
                  <w14:solidFill>
                    <w14:schemeClr w14:val="tx1"/>
                  </w14:solidFill>
                </w14:textFill>
              </w:rPr>
            </w:pPr>
            <w:r>
              <w:rPr>
                <w:rFonts w:hint="default"/>
                <w:highlight w:val="none"/>
              </w:rPr>
              <w:t>不同投标供应商投标文件“文件制作机器码”</w:t>
            </w:r>
            <w:r>
              <w:rPr>
                <w:rFonts w:hint="eastAsia" w:eastAsia="宋体"/>
                <w:highlight w:val="none"/>
                <w:lang w:val="en-US" w:eastAsia="zh-CN"/>
              </w:rPr>
              <w:t>或</w:t>
            </w:r>
            <w:r>
              <w:rPr>
                <w:rFonts w:hint="default"/>
                <w:highlight w:val="none"/>
              </w:rPr>
              <w:t>“文件创建标</w:t>
            </w:r>
            <w:r>
              <w:rPr>
                <w:rFonts w:hint="eastAsia"/>
                <w:highlight w:val="none"/>
              </w:rPr>
              <w:t>识码”一致</w:t>
            </w:r>
            <w:r>
              <w:rPr>
                <w:rFonts w:hint="eastAsia"/>
                <w:highlight w:val="none"/>
                <w:lang w:eastAsia="zh-CN"/>
              </w:rPr>
              <w:t>的</w:t>
            </w:r>
            <w:r>
              <w:rPr>
                <w:rFonts w:hint="eastAsia"/>
                <w:color w:val="000000" w:themeColor="text1"/>
                <w:highlight w:val="none"/>
                <w14:textFill>
                  <w14:solidFill>
                    <w14:schemeClr w14:val="tx1"/>
                  </w14:solidFill>
                </w14:textFill>
              </w:rPr>
              <w:t>；</w:t>
            </w:r>
          </w:p>
        </w:tc>
      </w:tr>
      <w:tr w14:paraId="61B455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3AF0C5A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Cs w:val="21"/>
                <w:lang w:val="en-US" w:eastAsia="zh-CN"/>
              </w:rPr>
              <w:t>13</w:t>
            </w:r>
          </w:p>
        </w:tc>
        <w:tc>
          <w:tcPr>
            <w:tcW w:w="8278" w:type="dxa"/>
            <w:tcBorders>
              <w:top w:val="single" w:color="000000" w:sz="8" w:space="0"/>
              <w:left w:val="single" w:color="000000" w:sz="8" w:space="0"/>
              <w:bottom w:val="single" w:color="000000" w:sz="8" w:space="0"/>
              <w:right w:val="single" w:color="000000" w:sz="8" w:space="0"/>
            </w:tcBorders>
          </w:tcPr>
          <w:p w14:paraId="17DB8742">
            <w:pPr>
              <w:keepNext w:val="0"/>
              <w:keepLines w:val="0"/>
              <w:widowControl/>
              <w:suppressLineNumbers w:val="0"/>
              <w:spacing w:before="0" w:beforeAutospacing="0" w:after="0" w:afterAutospacing="0"/>
              <w:ind w:left="0" w:right="0"/>
              <w:rPr>
                <w:rFonts w:hint="default"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法律、法规、规章、规范性文件规定的其他情形。</w:t>
            </w:r>
          </w:p>
        </w:tc>
      </w:tr>
    </w:tbl>
    <w:p w14:paraId="07A46A5B">
      <w:pPr>
        <w:pStyle w:val="14"/>
        <w:jc w:val="center"/>
        <w:outlineLvl w:val="1"/>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评标信息</w:t>
      </w:r>
    </w:p>
    <w:p w14:paraId="4859421E">
      <w:pPr>
        <w:rPr>
          <w:vanish/>
          <w:color w:val="000000" w:themeColor="text1"/>
          <w14:textFill>
            <w14:solidFill>
              <w14:schemeClr w14:val="tx1"/>
            </w14:solidFill>
          </w14:textFill>
        </w:rPr>
      </w:pPr>
    </w:p>
    <w:p w14:paraId="46920FAD">
      <w:pPr>
        <w:rPr>
          <w:rFonts w:eastAsia="黑体"/>
        </w:rPr>
      </w:pPr>
    </w:p>
    <w:tbl>
      <w:tblPr>
        <w:tblStyle w:val="17"/>
        <w:tblW w:w="9072" w:type="dxa"/>
        <w:jc w:val="center"/>
        <w:tblCellSpacing w:w="0" w:type="dxa"/>
        <w:tblLayout w:type="fixed"/>
        <w:tblCellMar>
          <w:top w:w="45" w:type="dxa"/>
          <w:left w:w="45" w:type="dxa"/>
          <w:bottom w:w="45" w:type="dxa"/>
          <w:right w:w="45" w:type="dxa"/>
        </w:tblCellMar>
      </w:tblPr>
      <w:tblGrid>
        <w:gridCol w:w="8867"/>
        <w:gridCol w:w="205"/>
      </w:tblGrid>
      <w:tr w14:paraId="532001FE">
        <w:tblPrEx>
          <w:tblCellMar>
            <w:top w:w="45" w:type="dxa"/>
            <w:left w:w="45" w:type="dxa"/>
            <w:bottom w:w="45" w:type="dxa"/>
            <w:right w:w="45" w:type="dxa"/>
          </w:tblCellMar>
        </w:tblPrEx>
        <w:trPr>
          <w:tblCellSpacing w:w="0" w:type="dxa"/>
          <w:jc w:val="center"/>
        </w:trPr>
        <w:tc>
          <w:tcPr>
            <w:tcW w:w="8867" w:type="dxa"/>
            <w:tcBorders>
              <w:top w:val="nil"/>
              <w:left w:val="nil"/>
              <w:bottom w:val="nil"/>
              <w:right w:val="nil"/>
            </w:tcBorders>
            <w:vAlign w:val="center"/>
          </w:tcPr>
          <w:p w14:paraId="37B9A0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评标方法：最低价法/综合评分法（新价格分算法）</w:t>
            </w:r>
          </w:p>
        </w:tc>
        <w:tc>
          <w:tcPr>
            <w:tcW w:w="205" w:type="dxa"/>
            <w:tcBorders>
              <w:top w:val="nil"/>
              <w:left w:val="nil"/>
              <w:bottom w:val="nil"/>
              <w:right w:val="nil"/>
            </w:tcBorders>
            <w:vAlign w:val="center"/>
          </w:tcPr>
          <w:p w14:paraId="628EB0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b/>
                <w:bCs/>
                <w:color w:val="000000" w:themeColor="text1"/>
                <w:sz w:val="24"/>
                <w:szCs w:val="24"/>
                <w14:textFill>
                  <w14:solidFill>
                    <w14:schemeClr w14:val="tx1"/>
                  </w14:solidFill>
                </w14:textFill>
              </w:rPr>
            </w:pPr>
          </w:p>
        </w:tc>
      </w:tr>
      <w:tr w14:paraId="442130E8">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2BB97843">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综合评分法，是指投标文件满足招标文件全部实质性要求，且按照评审因素的量化指标评审得分最高的投标人为中标候选人的评标方法。 </w:t>
            </w:r>
          </w:p>
          <w:p w14:paraId="3FC1C73A">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价格分计算方法：</w:t>
            </w:r>
          </w:p>
          <w:p w14:paraId="09C54BC8">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14:paraId="2C379485">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投标报价得分=(评标基准价／投标报价)×100 </w:t>
            </w:r>
          </w:p>
          <w:p w14:paraId="2D0DF2C6">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评标总得分＝F1×A1＋F2×A2＋……＋Fn×An </w:t>
            </w:r>
          </w:p>
          <w:p w14:paraId="421D952D">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F1、F2……Fn分别为各项评审因素的得分； </w:t>
            </w:r>
          </w:p>
          <w:p w14:paraId="710D11D5">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A1、A2、……An 分别为各项评审因素所占的权重(A1＋A2＋……＋An＝1)。 </w:t>
            </w:r>
          </w:p>
          <w:p w14:paraId="162ACD55">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评标过程中，不得去掉报价中的最高报价和最低报价。 </w:t>
            </w:r>
          </w:p>
          <w:p w14:paraId="6AEC625D">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此方法适用于货物类、服务类、工程类项目。 </w:t>
            </w:r>
          </w:p>
        </w:tc>
      </w:tr>
      <w:tr w14:paraId="42DB8AF8">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76"/>
              <w:gridCol w:w="675"/>
              <w:gridCol w:w="1295"/>
              <w:gridCol w:w="1030"/>
              <w:gridCol w:w="5396"/>
            </w:tblGrid>
            <w:tr w14:paraId="5B46F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A397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000"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6773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评分项</w:t>
                  </w:r>
                </w:p>
              </w:tc>
              <w:tc>
                <w:tcPr>
                  <w:tcW w:w="53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B3F3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权重(%)</w:t>
                  </w:r>
                </w:p>
              </w:tc>
            </w:tr>
            <w:tr w14:paraId="087B1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noWrap w:val="0"/>
                  <w:vAlign w:val="top"/>
                </w:tcPr>
                <w:p w14:paraId="73AC8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5FDA8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价格</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7800F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b/>
                      <w:bCs/>
                      <w:sz w:val="24"/>
                      <w:szCs w:val="24"/>
                      <w:lang w:val="en-US" w:eastAsia="zh-CN"/>
                    </w:rPr>
                  </w:pPr>
                  <w:r>
                    <w:rPr>
                      <w:rFonts w:hint="eastAsia" w:ascii="宋体" w:hAnsi="宋体" w:eastAsia="Times New Roman" w:cs="宋体"/>
                      <w:b/>
                      <w:bCs/>
                      <w:color w:val="auto"/>
                      <w:kern w:val="0"/>
                      <w:sz w:val="24"/>
                      <w:szCs w:val="24"/>
                      <w:highlight w:val="none"/>
                      <w:lang w:val="en-US" w:eastAsia="zh-CN"/>
                    </w:rPr>
                    <w:t>10</w:t>
                  </w:r>
                </w:p>
              </w:tc>
            </w:tr>
            <w:tr w14:paraId="30BC1B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noWrap w:val="0"/>
                  <w:vAlign w:val="top"/>
                </w:tcPr>
                <w:p w14:paraId="71877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38E90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技术部分</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5FAF9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48</w:t>
                  </w:r>
                </w:p>
              </w:tc>
            </w:tr>
            <w:tr w14:paraId="25FA6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2EF492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13B9A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501E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9A6D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9441B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评分准则</w:t>
                  </w:r>
                </w:p>
              </w:tc>
            </w:tr>
            <w:tr w14:paraId="11BDDD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FBC3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5869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077F5CB0">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实施方案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012F39C">
                  <w:pPr>
                    <w:keepNext w:val="0"/>
                    <w:keepLines w:val="0"/>
                    <w:widowControl/>
                    <w:suppressLineNumbers w:val="0"/>
                    <w:wordWrap w:val="0"/>
                    <w:spacing w:before="0" w:beforeAutospacing="0" w:after="0" w:afterAutospacing="0"/>
                    <w:ind w:left="0" w:leftChars="0" w:right="0" w:rightChars="0"/>
                    <w:jc w:val="center"/>
                    <w:textAlignment w:val="top"/>
                    <w:rPr>
                      <w:rFonts w:hint="default" w:ascii="宋体" w:hAnsi="宋体" w:eastAsia="宋体" w:cs="宋体"/>
                      <w:sz w:val="24"/>
                      <w:szCs w:val="24"/>
                      <w:lang w:val="en-US" w:eastAsia="zh-CN"/>
                    </w:rPr>
                  </w:pPr>
                  <w:r>
                    <w:rPr>
                      <w:rFonts w:hint="eastAsia" w:ascii="宋体" w:hAnsi="宋体" w:eastAsia="宋体" w:cs="宋体"/>
                      <w:kern w:val="0"/>
                      <w:sz w:val="21"/>
                      <w:szCs w:val="21"/>
                      <w:lang w:val="en-US" w:eastAsia="zh-CN" w:bidi="ar"/>
                    </w:rPr>
                    <w:t>10</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58DC7C37">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（一）评审内容：</w:t>
                  </w:r>
                  <w:r>
                    <w:rPr>
                      <w:rFonts w:hint="eastAsia" w:ascii="宋体" w:hAnsi="宋体" w:eastAsia="宋体" w:cs="宋体"/>
                      <w:kern w:val="0"/>
                      <w:sz w:val="21"/>
                      <w:szCs w:val="21"/>
                      <w:lang w:val="en-US" w:eastAsia="zh-CN" w:bidi="ar"/>
                    </w:rPr>
                    <w:t xml:space="preserve"> </w:t>
                  </w:r>
                </w:p>
                <w:p w14:paraId="2229C1F5">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评标委员会根据投标人针对本项目提供的实施方案进行评审，方案具体包含以下内容： </w:t>
                  </w:r>
                </w:p>
                <w:p w14:paraId="1EC72D2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1.项目实施总体方案和管理方案； </w:t>
                  </w:r>
                </w:p>
                <w:p w14:paraId="00B46BF5">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2.质量保障和监督； </w:t>
                  </w:r>
                </w:p>
                <w:p w14:paraId="1BAB4E63">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3.工作方法和措施； </w:t>
                  </w:r>
                </w:p>
                <w:p w14:paraId="4FE5769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4.应急保障方案、工作流程、进度管理。 </w:t>
                  </w:r>
                </w:p>
                <w:p w14:paraId="02A6B74F">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 xml:space="preserve">（二）评分标准： </w:t>
                  </w:r>
                </w:p>
                <w:p w14:paraId="783CECF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考察以上四点内容，满足四点得60分，满足任意三点得45分，满足任意两点得30分，满足任意一点得15分，未满足不得分。在此基础上，专家根据各供应商的具体响应内容按照量化的评审因素指标进一步评审： </w:t>
                  </w:r>
                </w:p>
                <w:p w14:paraId="5EBACBDE">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（1）优评分标准：方案内容全面具体、科学合理，且针对性和可操作性强的加40分；</w:t>
                  </w:r>
                </w:p>
                <w:p w14:paraId="624A0D39">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（2）良评分标准：方案内容较全面具体、较科学合理，且针对性和可操作性较好的加20分； </w:t>
                  </w:r>
                </w:p>
                <w:p w14:paraId="5D59AC0B">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（3）中评分标准：方案内容一般，且针对性和可操作性一般的加10分； </w:t>
                  </w:r>
                </w:p>
                <w:p w14:paraId="793E5C8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（4）差评分标准：方案内容不全面、不具体，且完全无针对性和可操作性的不得分。</w:t>
                  </w:r>
                </w:p>
                <w:p w14:paraId="7BA0A7E2">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如果评审为差，要求专家书面说明理由，并记录在档。</w:t>
                  </w:r>
                </w:p>
              </w:tc>
            </w:tr>
            <w:tr w14:paraId="1AD0E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024B2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038F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8100774">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安全方案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B263F1B">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lang w:val="en-US" w:eastAsia="zh-CN"/>
                    </w:rPr>
                  </w:pPr>
                  <w:r>
                    <w:rPr>
                      <w:rFonts w:hint="eastAsia" w:ascii="宋体" w:hAnsi="宋体" w:eastAsia="宋体" w:cs="宋体"/>
                      <w:kern w:val="0"/>
                      <w:sz w:val="21"/>
                      <w:szCs w:val="21"/>
                      <w:lang w:val="en-US" w:eastAsia="zh-CN" w:bidi="ar"/>
                    </w:rPr>
                    <w:t>10</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1B0CC01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（一）评审内容：</w:t>
                  </w:r>
                  <w:r>
                    <w:rPr>
                      <w:rFonts w:hint="eastAsia" w:ascii="宋体" w:hAnsi="宋体" w:eastAsia="宋体" w:cs="宋体"/>
                      <w:kern w:val="0"/>
                      <w:sz w:val="21"/>
                      <w:szCs w:val="21"/>
                      <w:lang w:val="en-US" w:eastAsia="zh-CN" w:bidi="ar"/>
                    </w:rPr>
                    <w:t xml:space="preserve"> </w:t>
                  </w:r>
                </w:p>
                <w:p w14:paraId="0D8F2CF4">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下列各项方案须区分白天和夜间，在此基础上，评标委员会根据投标人针对本项目提供的安全方案进行评审，否则不得分。方案具体包含以下内容： </w:t>
                  </w:r>
                </w:p>
                <w:p w14:paraId="65B58BAA">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1.市政道路作业安全方案； </w:t>
                  </w:r>
                </w:p>
                <w:p w14:paraId="796A7007">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2.高快速路作业安全方案； </w:t>
                  </w:r>
                </w:p>
                <w:p w14:paraId="2A789C69">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3.高空作业安全方案； </w:t>
                  </w:r>
                </w:p>
                <w:p w14:paraId="29464871">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4.涉电作业安全方案。</w:t>
                  </w:r>
                </w:p>
                <w:p w14:paraId="1D6A671B">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 xml:space="preserve">（二）评分标准： </w:t>
                  </w:r>
                </w:p>
                <w:p w14:paraId="15AD511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考察以上四点内容，满足四点得60分，满足任意三点得45分，满足任意两点得30分，满足任意一点得15分，未满足不得分。在此基础上，专家根据各供应商的具体响应内容按照量化的评审因素指标进一步评审： </w:t>
                  </w:r>
                </w:p>
                <w:p w14:paraId="7E70C3F1">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（1）优评分标准：方案内容全面具体、科学合理，且针对性和可操作性强的加40分；</w:t>
                  </w:r>
                </w:p>
                <w:p w14:paraId="08D2A07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（2）良评分标准：方案内容较全面具体、较科学合理，且针对性和可操作性较好的加20分； </w:t>
                  </w:r>
                </w:p>
                <w:p w14:paraId="2607AD5F">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（3）中评分标准：方案内容一般，且针对性和可操作性一般的加10分； </w:t>
                  </w:r>
                </w:p>
                <w:p w14:paraId="3EC6379E">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（4）差评分标准：方案内容不全面、不具体，且完全无针对性和可操作性的不得分。</w:t>
                  </w:r>
                </w:p>
                <w:p w14:paraId="49AEB4F4">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如果评审为差，要求专家书面说明理由，并记录在档。</w:t>
                  </w:r>
                </w:p>
              </w:tc>
            </w:tr>
            <w:tr w14:paraId="32EC63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7880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15E1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26CB0922">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项目重点难点分析、应对措施及相关的合理化建议</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18041BB8">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lang w:val="en-US" w:eastAsia="zh-CN"/>
                    </w:rPr>
                  </w:pPr>
                  <w:r>
                    <w:rPr>
                      <w:rFonts w:hint="eastAsia" w:ascii="宋体" w:hAnsi="宋体" w:eastAsia="宋体" w:cs="宋体"/>
                      <w:kern w:val="0"/>
                      <w:sz w:val="21"/>
                      <w:szCs w:val="21"/>
                      <w:lang w:val="en-US" w:eastAsia="zh-CN" w:bidi="ar"/>
                    </w:rPr>
                    <w:t>10</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3BE03D4E">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（一）评审内容：</w:t>
                  </w:r>
                  <w:r>
                    <w:rPr>
                      <w:rFonts w:hint="eastAsia" w:ascii="宋体" w:hAnsi="宋体" w:eastAsia="宋体" w:cs="宋体"/>
                      <w:kern w:val="0"/>
                      <w:sz w:val="21"/>
                      <w:szCs w:val="21"/>
                      <w:lang w:val="en-US" w:eastAsia="zh-CN" w:bidi="ar"/>
                    </w:rPr>
                    <w:t xml:space="preserve">  </w:t>
                  </w:r>
                </w:p>
                <w:p w14:paraId="68525C07">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评标委员会根据投标人针对本项目提供的项目重点难点分析、应对措施及相关的合理化建议响应情况进行评审，方案具体包含以下内容： </w:t>
                  </w:r>
                </w:p>
                <w:p w14:paraId="591407D8">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1.项目重点难点分析； </w:t>
                  </w:r>
                </w:p>
                <w:p w14:paraId="1BA473F7">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2.突发事件处理； </w:t>
                  </w:r>
                </w:p>
                <w:p w14:paraId="7E61A099">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3.应急预案及措施； </w:t>
                  </w:r>
                </w:p>
                <w:p w14:paraId="35BB4C58">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4.紧急情况处理方案（包括处理时间、配备工具、维护流程等）。 </w:t>
                  </w:r>
                </w:p>
                <w:p w14:paraId="2BF1A9A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 xml:space="preserve">（二）评分标准： </w:t>
                  </w:r>
                </w:p>
                <w:p w14:paraId="4F79067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考察以上四点内容，满足四点得60分，满足任意三点得45分，满足任意两点得30分，满足任意一点得15分，未满足不得分。在此基础上，专家根据各供应商的具体响应内容按照量化的评审因素指标进一步评审： </w:t>
                  </w:r>
                </w:p>
                <w:p w14:paraId="3298A31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（1）优评分标准：方案内容全面具体、科学合理，且针对性和可操作性强的加40分；</w:t>
                  </w:r>
                </w:p>
                <w:p w14:paraId="6348F83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（2）良评分标准：方案内容较全面具体、较科学合理，且针对性和可操作性较好的加20分； </w:t>
                  </w:r>
                </w:p>
                <w:p w14:paraId="716E8A63">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（3）中评分标准：方案内容一般，且针对性和可操作性一般的加10分； </w:t>
                  </w:r>
                </w:p>
                <w:p w14:paraId="6EA23F2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（4）差评分标准：方案内容不全面、不具体，且完全无针对性和可操作性的不得分。</w:t>
                  </w:r>
                </w:p>
                <w:p w14:paraId="455594FC">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如果评审为差，要求专家书面说明理由，并记录在档。</w:t>
                  </w:r>
                </w:p>
              </w:tc>
            </w:tr>
            <w:tr w14:paraId="37FE8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23709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59DDD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0E982CD">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质量（完成时间、安全、环保）保障措施及方案</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2B3265A7">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lang w:val="en-US" w:eastAsia="zh-CN"/>
                    </w:rPr>
                  </w:pPr>
                  <w:r>
                    <w:rPr>
                      <w:rFonts w:hint="eastAsia" w:ascii="宋体" w:hAnsi="宋体" w:eastAsia="宋体" w:cs="宋体"/>
                      <w:kern w:val="0"/>
                      <w:sz w:val="21"/>
                      <w:szCs w:val="21"/>
                      <w:lang w:val="en-US" w:eastAsia="zh-CN" w:bidi="ar"/>
                    </w:rPr>
                    <w:t>10</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653A3CC5">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（一）评审内容：</w:t>
                  </w:r>
                  <w:r>
                    <w:rPr>
                      <w:rFonts w:hint="eastAsia" w:ascii="宋体" w:hAnsi="宋体" w:eastAsia="宋体" w:cs="宋体"/>
                      <w:kern w:val="0"/>
                      <w:sz w:val="21"/>
                      <w:szCs w:val="21"/>
                      <w:lang w:val="en-US" w:eastAsia="zh-CN" w:bidi="ar"/>
                    </w:rPr>
                    <w:t xml:space="preserve">  </w:t>
                  </w:r>
                </w:p>
                <w:p w14:paraId="220DED80">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评标委员会根据投标人针对本项目提供的质量保障措施及方案响应情况进行评审，方案具体包含以下内容： </w:t>
                  </w:r>
                </w:p>
                <w:p w14:paraId="4D80AB2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1.分阶段项目时间安排、工作进度与阶段性成果； </w:t>
                  </w:r>
                </w:p>
                <w:p w14:paraId="5AE17A9F">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2.项目时间管理制度与措施； </w:t>
                  </w:r>
                </w:p>
                <w:p w14:paraId="14B26397">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3.组织协调及人员配备方案； </w:t>
                  </w:r>
                </w:p>
                <w:p w14:paraId="4385A44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4.项目质量管理制度与措施； </w:t>
                  </w:r>
                </w:p>
                <w:p w14:paraId="6FBA1194">
                  <w:pPr>
                    <w:keepNext w:val="0"/>
                    <w:keepLines w:val="0"/>
                    <w:widowControl/>
                    <w:suppressLineNumbers w:val="0"/>
                    <w:wordWrap w:val="0"/>
                    <w:spacing w:before="0" w:beforeAutospacing="0" w:after="0" w:afterAutospacing="0"/>
                    <w:ind w:left="0" w:right="0"/>
                    <w:jc w:val="left"/>
                    <w:textAlignment w:val="top"/>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5.项目安全管理制度与保障方案。</w:t>
                  </w:r>
                </w:p>
                <w:p w14:paraId="56CA9FC1">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 xml:space="preserve">（二）评分标准： </w:t>
                  </w:r>
                </w:p>
                <w:p w14:paraId="3BEE49AF">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考察以上五点内容，满足五点得50分，满足任意四点得40分，满足任意三点得30分，满足任意两点得20分，满足任意一点得10分，未满足不得分。在此基础上，专家根据各供应商的具体响应内容按照量化的评审因素指标进一步评审： </w:t>
                  </w:r>
                </w:p>
                <w:p w14:paraId="491651C2">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（1）优评分标准：方案内容全面具体、科学合理，且针对性和可操作性强的加50分；</w:t>
                  </w:r>
                </w:p>
                <w:p w14:paraId="0CA0C890">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（2）良评分标准：方案内容较全面具体、较科学合理，且针对性和可操作性较好的加30分； </w:t>
                  </w:r>
                </w:p>
                <w:p w14:paraId="6BE1B07B">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（3）中评分标准：方案内容一般，且针对性和可操作性一般的加10分； </w:t>
                  </w:r>
                </w:p>
                <w:p w14:paraId="2857C64F">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（4）差评分标准：方案内容不全面、不具体，且完全无针对性和可操作性的不得分。</w:t>
                  </w:r>
                </w:p>
                <w:p w14:paraId="47C9FD69">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sz w:val="24"/>
                      <w:szCs w:val="24"/>
                      <w:highlight w:val="yellow"/>
                    </w:rPr>
                  </w:pPr>
                  <w:r>
                    <w:rPr>
                      <w:rFonts w:hint="eastAsia" w:ascii="宋体" w:hAnsi="宋体" w:eastAsia="宋体" w:cs="宋体"/>
                      <w:kern w:val="0"/>
                      <w:sz w:val="21"/>
                      <w:szCs w:val="21"/>
                      <w:lang w:val="en-US" w:eastAsia="zh-CN" w:bidi="ar"/>
                    </w:rPr>
                    <w:t>如果评审为差，要求专家书面说明理由，并记录在档。</w:t>
                  </w:r>
                </w:p>
              </w:tc>
            </w:tr>
            <w:tr w14:paraId="79AC1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615FE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4F4E0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5C45929">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项目完成（服务期满）后的服务承诺</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109F62E">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lang w:val="en-US" w:eastAsia="zh-CN"/>
                    </w:rPr>
                  </w:pPr>
                  <w:r>
                    <w:rPr>
                      <w:rFonts w:hint="eastAsia" w:ascii="宋体" w:hAnsi="宋体" w:eastAsia="宋体" w:cs="宋体"/>
                      <w:kern w:val="0"/>
                      <w:sz w:val="21"/>
                      <w:szCs w:val="21"/>
                      <w:lang w:val="en-US" w:eastAsia="zh-CN" w:bidi="ar"/>
                    </w:rPr>
                    <w:t>3</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56B44F41">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（一）评审内容：</w:t>
                  </w:r>
                  <w:r>
                    <w:rPr>
                      <w:rFonts w:hint="eastAsia" w:ascii="宋体" w:hAnsi="宋体" w:eastAsia="宋体" w:cs="宋体"/>
                      <w:kern w:val="0"/>
                      <w:sz w:val="21"/>
                      <w:szCs w:val="21"/>
                      <w:lang w:val="en-US" w:eastAsia="zh-CN" w:bidi="ar"/>
                    </w:rPr>
                    <w:t xml:space="preserve">  </w:t>
                  </w:r>
                </w:p>
                <w:p w14:paraId="2EBD807D">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评标委员会根据投标人针对本项目提供的项目完成（服务期满）后的服务承诺情况进行评审，具体包含以下内容： </w:t>
                  </w:r>
                </w:p>
                <w:p w14:paraId="0118FDF9">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1.提供项目完成后服务负责人信息与联系方式； </w:t>
                  </w:r>
                </w:p>
                <w:p w14:paraId="1EAF3FBA">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2.给出明确的服务时间； </w:t>
                  </w:r>
                </w:p>
                <w:p w14:paraId="620A0BC9">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3.详细阐述响应时间； </w:t>
                  </w:r>
                </w:p>
                <w:p w14:paraId="284FCC50">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4.详细阐述项目完成后服务内容。 </w:t>
                  </w:r>
                </w:p>
                <w:p w14:paraId="5BA1F2D0">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b/>
                      <w:bCs/>
                      <w:kern w:val="2"/>
                      <w:sz w:val="21"/>
                      <w:szCs w:val="21"/>
                    </w:rPr>
                  </w:pPr>
                  <w:r>
                    <w:rPr>
                      <w:rFonts w:hint="eastAsia" w:ascii="宋体" w:hAnsi="宋体" w:eastAsia="宋体" w:cs="宋体"/>
                      <w:b/>
                      <w:bCs/>
                      <w:kern w:val="0"/>
                      <w:sz w:val="21"/>
                      <w:szCs w:val="21"/>
                      <w:lang w:val="en-US" w:eastAsia="zh-CN" w:bidi="ar"/>
                    </w:rPr>
                    <w:t xml:space="preserve">（二）评分标准： </w:t>
                  </w:r>
                </w:p>
                <w:p w14:paraId="66E7BC7E">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考察以上四点内容，满足四点得60分，满足任意三点得45分，满足任意两点得30分，满足任意一点得15分，未满足不得分。在此基础上，专家根据各供应商的具体响应内容按照量化的评审因素指标进一步评审： </w:t>
                  </w:r>
                </w:p>
                <w:p w14:paraId="4B7B35DD">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（1）优评分标准：服务承诺内容全面，满足招标文件要求的加40分； </w:t>
                  </w:r>
                </w:p>
                <w:p w14:paraId="7101CE11">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（2）良评分标准：服务承诺内容基本到位，满足招标文件要求的加20分； </w:t>
                  </w:r>
                </w:p>
                <w:p w14:paraId="7F550BC5">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（3）中评分标准：服务承诺内容一般，基本满足招标文件要求的加10分； </w:t>
                  </w:r>
                </w:p>
                <w:p w14:paraId="66A4B48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（4）差评分标准：其它情况不得分。 </w:t>
                  </w:r>
                </w:p>
                <w:p w14:paraId="445E0984">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color w:val="auto"/>
                      <w:sz w:val="24"/>
                      <w:szCs w:val="24"/>
                      <w:highlight w:val="none"/>
                    </w:rPr>
                  </w:pPr>
                  <w:r>
                    <w:rPr>
                      <w:rFonts w:hint="eastAsia" w:ascii="宋体" w:hAnsi="宋体" w:eastAsia="宋体" w:cs="宋体"/>
                      <w:kern w:val="0"/>
                      <w:sz w:val="21"/>
                      <w:szCs w:val="21"/>
                      <w:lang w:val="en-US" w:eastAsia="zh-CN" w:bidi="ar"/>
                    </w:rPr>
                    <w:t>如果评审为差，要求专家书面说明理由，并记录在档。</w:t>
                  </w:r>
                </w:p>
              </w:tc>
            </w:tr>
            <w:tr w14:paraId="37025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233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15AEB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57D8E16F">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rPr>
                  </w:pPr>
                  <w:r>
                    <w:rPr>
                      <w:rFonts w:hint="eastAsia" w:ascii="宋体" w:hAnsi="宋体" w:eastAsia="宋体" w:cs="宋体"/>
                      <w:kern w:val="0"/>
                      <w:sz w:val="21"/>
                      <w:szCs w:val="21"/>
                      <w:lang w:val="en-US" w:eastAsia="zh-CN" w:bidi="ar"/>
                    </w:rPr>
                    <w:t>履约承诺</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61F00284">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sz w:val="24"/>
                      <w:szCs w:val="24"/>
                      <w:lang w:val="en-US" w:eastAsia="zh-CN"/>
                    </w:rPr>
                  </w:pPr>
                  <w:r>
                    <w:rPr>
                      <w:rFonts w:hint="eastAsia" w:ascii="宋体" w:hAnsi="宋体" w:eastAsia="宋体" w:cs="宋体"/>
                      <w:kern w:val="0"/>
                      <w:sz w:val="21"/>
                      <w:szCs w:val="21"/>
                      <w:lang w:val="en-US" w:eastAsia="zh-CN" w:bidi="ar"/>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2EC1E2DB">
                  <w:pPr>
                    <w:keepNext w:val="0"/>
                    <w:keepLines w:val="0"/>
                    <w:widowControl/>
                    <w:suppressLineNumbers w:val="0"/>
                    <w:wordWrap w:val="0"/>
                    <w:spacing w:before="0" w:beforeAutospacing="0" w:after="0" w:afterAutospacing="0"/>
                    <w:ind w:left="0" w:right="0"/>
                    <w:jc w:val="left"/>
                    <w:textAlignment w:val="top"/>
                    <w:rPr>
                      <w:rFonts w:hint="default" w:ascii="Times New Roman" w:hAnsi="宋体" w:cs="宋体"/>
                      <w:b/>
                      <w:bCs/>
                      <w:kern w:val="2"/>
                      <w:sz w:val="21"/>
                      <w:szCs w:val="21"/>
                    </w:rPr>
                  </w:pPr>
                  <w:r>
                    <w:rPr>
                      <w:rFonts w:hint="eastAsia" w:ascii="宋体" w:hAnsi="宋体" w:eastAsia="宋体" w:cs="宋体"/>
                      <w:b/>
                      <w:bCs/>
                      <w:kern w:val="2"/>
                      <w:sz w:val="21"/>
                      <w:szCs w:val="21"/>
                      <w:lang w:val="en-US" w:eastAsia="zh-CN" w:bidi="ar"/>
                    </w:rPr>
                    <w:t>（一）评审内容：</w:t>
                  </w:r>
                </w:p>
                <w:p w14:paraId="78838C38">
                  <w:pPr>
                    <w:keepNext w:val="0"/>
                    <w:keepLines w:val="0"/>
                    <w:widowControl/>
                    <w:suppressLineNumbers w:val="0"/>
                    <w:wordWrap w:val="0"/>
                    <w:spacing w:before="0" w:beforeAutospacing="0" w:after="0" w:afterAutospacing="0"/>
                    <w:ind w:left="0" w:right="0"/>
                    <w:jc w:val="left"/>
                    <w:textAlignment w:val="top"/>
                    <w:rPr>
                      <w:rFonts w:hint="default" w:ascii="Times New Roman" w:hAnsi="宋体" w:cs="宋体"/>
                      <w:kern w:val="2"/>
                      <w:sz w:val="21"/>
                      <w:szCs w:val="21"/>
                    </w:rPr>
                  </w:pPr>
                  <w:r>
                    <w:rPr>
                      <w:rFonts w:hint="eastAsia" w:ascii="宋体" w:hAnsi="宋体" w:eastAsia="宋体" w:cs="宋体"/>
                      <w:kern w:val="2"/>
                      <w:sz w:val="21"/>
                      <w:szCs w:val="21"/>
                      <w:lang w:val="en-US" w:eastAsia="zh-CN" w:bidi="ar"/>
                    </w:rPr>
                    <w:t>投标人提供履约承诺函，承诺满足招标文件要求，履约承诺函内容需包括：</w:t>
                  </w:r>
                </w:p>
                <w:p w14:paraId="749339C7">
                  <w:pPr>
                    <w:keepNext w:val="0"/>
                    <w:keepLines w:val="0"/>
                    <w:widowControl/>
                    <w:suppressLineNumbers w:val="0"/>
                    <w:wordWrap w:val="0"/>
                    <w:spacing w:before="0" w:beforeAutospacing="0" w:after="0" w:afterAutospacing="0"/>
                    <w:ind w:left="0" w:right="0"/>
                    <w:jc w:val="left"/>
                    <w:textAlignment w:val="top"/>
                    <w:rPr>
                      <w:rFonts w:hint="default" w:ascii="Times New Roman" w:hAnsi="宋体" w:cs="宋体"/>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项目进度履约承诺。</w:t>
                  </w:r>
                </w:p>
                <w:p w14:paraId="207AB271">
                  <w:pPr>
                    <w:keepNext w:val="0"/>
                    <w:keepLines w:val="0"/>
                    <w:widowControl/>
                    <w:suppressLineNumbers w:val="0"/>
                    <w:wordWrap w:val="0"/>
                    <w:spacing w:before="0" w:beforeAutospacing="0" w:after="0" w:afterAutospacing="0"/>
                    <w:ind w:left="0" w:right="0"/>
                    <w:jc w:val="left"/>
                    <w:textAlignment w:val="top"/>
                    <w:rPr>
                      <w:rFonts w:hint="default" w:ascii="Times New Roman" w:hAnsi="宋体" w:cs="宋体"/>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项目质量保证履约承诺。</w:t>
                  </w:r>
                </w:p>
                <w:p w14:paraId="1B2782F4">
                  <w:pPr>
                    <w:keepNext w:val="0"/>
                    <w:keepLines w:val="0"/>
                    <w:widowControl/>
                    <w:suppressLineNumbers w:val="0"/>
                    <w:wordWrap w:val="0"/>
                    <w:spacing w:before="0" w:beforeAutospacing="0" w:after="0" w:afterAutospacing="0"/>
                    <w:ind w:left="0" w:right="0"/>
                    <w:jc w:val="left"/>
                    <w:textAlignment w:val="top"/>
                    <w:rPr>
                      <w:rFonts w:hint="default" w:ascii="Times New Roman" w:hAnsi="宋体" w:cs="宋体"/>
                      <w:kern w:val="2"/>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项目售后服务履约承诺。</w:t>
                  </w:r>
                </w:p>
                <w:p w14:paraId="7FBED924">
                  <w:pPr>
                    <w:keepNext w:val="0"/>
                    <w:keepLines w:val="0"/>
                    <w:widowControl/>
                    <w:suppressLineNumbers w:val="0"/>
                    <w:wordWrap w:val="0"/>
                    <w:spacing w:before="0" w:beforeAutospacing="0" w:after="0" w:afterAutospacing="0"/>
                    <w:ind w:left="0" w:right="0"/>
                    <w:jc w:val="left"/>
                    <w:textAlignment w:val="top"/>
                    <w:rPr>
                      <w:rFonts w:hint="default" w:ascii="Times New Roman" w:hAnsi="宋体" w:cs="宋体"/>
                      <w:b/>
                      <w:bCs/>
                      <w:kern w:val="2"/>
                      <w:sz w:val="21"/>
                      <w:szCs w:val="21"/>
                    </w:rPr>
                  </w:pPr>
                  <w:r>
                    <w:rPr>
                      <w:rFonts w:hint="eastAsia" w:ascii="宋体" w:hAnsi="宋体" w:eastAsia="宋体" w:cs="宋体"/>
                      <w:b/>
                      <w:bCs/>
                      <w:kern w:val="2"/>
                      <w:sz w:val="21"/>
                      <w:szCs w:val="21"/>
                      <w:lang w:val="en-US" w:eastAsia="zh-CN" w:bidi="ar"/>
                    </w:rPr>
                    <w:t>（二）评分依据：</w:t>
                  </w:r>
                </w:p>
                <w:p w14:paraId="54E2AC57">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color w:val="auto"/>
                      <w:sz w:val="24"/>
                      <w:szCs w:val="24"/>
                      <w:highlight w:val="none"/>
                    </w:rPr>
                  </w:pPr>
                  <w:r>
                    <w:rPr>
                      <w:rFonts w:hint="eastAsia" w:ascii="宋体" w:hAnsi="宋体" w:eastAsia="宋体" w:cs="宋体"/>
                      <w:kern w:val="2"/>
                      <w:sz w:val="21"/>
                      <w:szCs w:val="21"/>
                      <w:lang w:val="en-US" w:eastAsia="zh-CN" w:bidi="ar"/>
                    </w:rPr>
                    <w:t>满足履约承诺的三条全部内容得</w:t>
                  </w:r>
                  <w:r>
                    <w:rPr>
                      <w:rFonts w:hint="default"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分，其余不得分。</w:t>
                  </w:r>
                </w:p>
              </w:tc>
            </w:tr>
            <w:tr w14:paraId="2FDFE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right w:val="single" w:color="000000" w:sz="8" w:space="0"/>
                  </w:tcBorders>
                  <w:noWrap w:val="0"/>
                  <w:vAlign w:val="top"/>
                </w:tcPr>
                <w:p w14:paraId="31479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3</w:t>
                  </w:r>
                </w:p>
              </w:tc>
              <w:tc>
                <w:tcPr>
                  <w:tcW w:w="3000" w:type="dxa"/>
                  <w:gridSpan w:val="3"/>
                  <w:tcBorders>
                    <w:top w:val="single" w:color="000000" w:sz="8" w:space="0"/>
                    <w:left w:val="single" w:color="000000" w:sz="8" w:space="0"/>
                    <w:bottom w:val="single" w:color="000000" w:sz="8" w:space="0"/>
                    <w:right w:val="single" w:color="000000" w:sz="8" w:space="0"/>
                  </w:tcBorders>
                  <w:noWrap w:val="0"/>
                  <w:vAlign w:val="top"/>
                </w:tcPr>
                <w:p w14:paraId="7135B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商务部分</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25C35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37</w:t>
                  </w:r>
                </w:p>
              </w:tc>
            </w:tr>
            <w:tr w14:paraId="6E0F1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2BEBA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8396" w:type="dxa"/>
                  <w:gridSpan w:val="4"/>
                  <w:tcBorders>
                    <w:top w:val="single" w:color="000000" w:sz="8" w:space="0"/>
                    <w:left w:val="single" w:color="000000" w:sz="8" w:space="0"/>
                    <w:bottom w:val="single" w:color="000000" w:sz="8" w:space="0"/>
                    <w:right w:val="single" w:color="000000" w:sz="8" w:space="0"/>
                  </w:tcBorders>
                  <w:noWrap w:val="0"/>
                  <w:vAlign w:val="top"/>
                </w:tcPr>
                <w:p w14:paraId="443EF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4"/>
                      <w:szCs w:val="24"/>
                    </w:rPr>
                  </w:pPr>
                </w:p>
              </w:tc>
            </w:tr>
            <w:tr w14:paraId="1B880A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shd w:val="clear" w:color="auto" w:fill="E6EFFA"/>
                  <w:noWrap w:val="0"/>
                  <w:vAlign w:val="center"/>
                </w:tcPr>
                <w:p w14:paraId="7FC3D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6AB6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2F31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7A77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688D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评分准则</w:t>
                  </w:r>
                </w:p>
              </w:tc>
            </w:tr>
            <w:tr w14:paraId="56B851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1322F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9171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C1683BE">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供应商资格（资质、认证）情况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5E736C29">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kern w:val="2"/>
                      <w:sz w:val="21"/>
                      <w:szCs w:val="21"/>
                      <w:lang w:val="en-US" w:eastAsia="zh-CN" w:bidi="ar"/>
                    </w:rPr>
                    <w:t>3</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1DE1196A">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（一）评分内容：</w:t>
                  </w:r>
                </w:p>
                <w:p w14:paraId="7836B2EE">
                  <w:pPr>
                    <w:keepNext w:val="0"/>
                    <w:keepLines w:val="0"/>
                    <w:widowControl w:val="0"/>
                    <w:suppressLineNumbers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具有ISO9001质量管理体系认证证书的，得100分。</w:t>
                  </w:r>
                </w:p>
                <w:p w14:paraId="243F02D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（二）评分依据：</w:t>
                  </w:r>
                </w:p>
                <w:p w14:paraId="30C8B585">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1.要求提供在有效期内的认证证书并且提供在有效期内的认证证书扫描件及全国认证认可信息公共服务平台 （http://cx.cnca.cn）认证信息查询截图（截图需显示证书状态为有效）作为得分依据。 </w:t>
                  </w:r>
                </w:p>
                <w:p w14:paraId="0F9367A5">
                  <w:pPr>
                    <w:keepNext w:val="0"/>
                    <w:keepLines w:val="0"/>
                    <w:widowControl w:val="0"/>
                    <w:suppressLineNumbers w:val="0"/>
                    <w:snapToGrid w:val="0"/>
                    <w:spacing w:before="0" w:beforeAutospacing="0" w:after="0" w:afterAutospacing="0"/>
                    <w:ind w:left="0" w:leftChars="0" w:right="0" w:rightChars="0"/>
                    <w:jc w:val="both"/>
                    <w:rPr>
                      <w:rFonts w:hint="eastAsia" w:ascii="宋体" w:hAnsi="宋体" w:eastAsia="宋体" w:cs="宋体"/>
                      <w:sz w:val="24"/>
                      <w:szCs w:val="24"/>
                    </w:rPr>
                  </w:pPr>
                  <w:r>
                    <w:rPr>
                      <w:rFonts w:hint="eastAsia" w:ascii="宋体" w:hAnsi="宋体" w:eastAsia="宋体" w:cs="宋体"/>
                      <w:kern w:val="0"/>
                      <w:sz w:val="21"/>
                      <w:szCs w:val="21"/>
                      <w:lang w:val="en-US" w:eastAsia="zh-CN" w:bidi="ar"/>
                    </w:rPr>
                    <w:t>2.以上资料均要求提供扫描件，原件备查。评分中出现无证明资料或专家无法凭所提供资料判断是否得分的情况，一律作不得分处理。</w:t>
                  </w:r>
                </w:p>
              </w:tc>
            </w:tr>
            <w:tr w14:paraId="1CC1E6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5B24B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3E2D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640FC9BA">
                  <w:pPr>
                    <w:keepNext w:val="0"/>
                    <w:keepLines w:val="0"/>
                    <w:widowControl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sz w:val="24"/>
                      <w:szCs w:val="24"/>
                    </w:rPr>
                  </w:pPr>
                  <w:r>
                    <w:rPr>
                      <w:rFonts w:hint="eastAsia" w:ascii="宋体" w:hAnsi="宋体" w:eastAsia="宋体" w:cs="宋体"/>
                      <w:kern w:val="2"/>
                      <w:sz w:val="21"/>
                      <w:szCs w:val="21"/>
                      <w:lang w:val="en-US" w:eastAsia="zh-CN" w:bidi="ar"/>
                    </w:rPr>
                    <w:t>投标人同类项目业绩情况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7EAAFB6D">
                  <w:pPr>
                    <w:keepNext w:val="0"/>
                    <w:keepLines w:val="0"/>
                    <w:widowControl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kern w:val="2"/>
                      <w:sz w:val="21"/>
                      <w:szCs w:val="21"/>
                      <w:lang w:val="en-US" w:eastAsia="zh-CN" w:bidi="ar"/>
                    </w:rPr>
                    <w:t>21</w:t>
                  </w:r>
                </w:p>
              </w:tc>
              <w:tc>
                <w:tcPr>
                  <w:tcW w:w="5396" w:type="dxa"/>
                  <w:tcBorders>
                    <w:top w:val="single" w:color="000000" w:sz="8" w:space="0"/>
                    <w:left w:val="single" w:color="000000" w:sz="8" w:space="0"/>
                    <w:bottom w:val="single" w:color="000000" w:sz="8" w:space="0"/>
                    <w:right w:val="single" w:color="000000" w:sz="8" w:space="0"/>
                  </w:tcBorders>
                  <w:noWrap w:val="0"/>
                  <w:vAlign w:val="center"/>
                </w:tcPr>
                <w:p w14:paraId="2ACC360D">
                  <w:pPr>
                    <w:keepNext w:val="0"/>
                    <w:keepLines w:val="0"/>
                    <w:widowControl w:val="0"/>
                    <w:suppressLineNumbers w:val="0"/>
                    <w:snapToGrid w:val="0"/>
                    <w:spacing w:before="0" w:beforeAutospacing="0" w:after="0" w:afterAutospacing="0" w:line="320" w:lineRule="exact"/>
                    <w:ind w:left="0" w:right="0"/>
                    <w:jc w:val="both"/>
                    <w:rPr>
                      <w:rFonts w:hint="eastAsia" w:ascii="宋体" w:hAnsi="宋体" w:eastAsia="宋体" w:cs="宋体"/>
                      <w:b/>
                      <w:bCs w:val="0"/>
                      <w:kern w:val="2"/>
                      <w:sz w:val="21"/>
                      <w:szCs w:val="21"/>
                    </w:rPr>
                  </w:pPr>
                  <w:r>
                    <w:rPr>
                      <w:rFonts w:hint="eastAsia" w:ascii="宋体" w:hAnsi="宋体" w:eastAsia="宋体" w:cs="宋体"/>
                      <w:b/>
                      <w:bCs/>
                      <w:kern w:val="0"/>
                      <w:sz w:val="21"/>
                      <w:szCs w:val="21"/>
                      <w:lang w:val="en-US" w:eastAsia="zh-CN" w:bidi="ar"/>
                    </w:rPr>
                    <w:t>（一）</w:t>
                  </w:r>
                  <w:r>
                    <w:rPr>
                      <w:rFonts w:hint="eastAsia" w:ascii="宋体" w:hAnsi="宋体" w:eastAsia="宋体" w:cs="宋体"/>
                      <w:b/>
                      <w:bCs w:val="0"/>
                      <w:kern w:val="2"/>
                      <w:sz w:val="21"/>
                      <w:szCs w:val="21"/>
                      <w:lang w:val="en-US" w:eastAsia="zh-CN" w:bidi="ar"/>
                    </w:rPr>
                    <w:t>评分内容：</w:t>
                  </w:r>
                </w:p>
                <w:p w14:paraId="79364EBB">
                  <w:pPr>
                    <w:keepNext w:val="0"/>
                    <w:keepLines w:val="0"/>
                    <w:widowControl w:val="0"/>
                    <w:suppressLineNumbers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投标人2022年1月1日至本项目投标截止之日（以合同签订时间为准）的交通监控项目业绩情况：</w:t>
                  </w:r>
                </w:p>
                <w:p w14:paraId="43040B35">
                  <w:pPr>
                    <w:keepNext w:val="0"/>
                    <w:keepLines w:val="0"/>
                    <w:widowControl w:val="0"/>
                    <w:suppressLineNumbers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1.具有道路交通监控设施维护类（不含项目质保期维护）项目经验，每个得30分，最高得60分；</w:t>
                  </w:r>
                </w:p>
                <w:p w14:paraId="596BA33F">
                  <w:pPr>
                    <w:keepNext w:val="0"/>
                    <w:keepLines w:val="0"/>
                    <w:widowControl w:val="0"/>
                    <w:suppressLineNumbers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2.具有道路交通监控设施建设工程类项目经验，每个得10分，最高得20分；在此基础上涉及新建信号灯的，每个加10分，最高加20分，本小项最高40分。</w:t>
                  </w:r>
                </w:p>
                <w:p w14:paraId="529F9BC1">
                  <w:pPr>
                    <w:keepNext w:val="0"/>
                    <w:keepLines w:val="0"/>
                    <w:widowControl w:val="0"/>
                    <w:suppressLineNumbers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上述2项合计最高100分；若投标人一个合同中既包含工程类业绩又包含维护类业绩，可重复计分。</w:t>
                  </w:r>
                </w:p>
                <w:p w14:paraId="2E4E2A3A">
                  <w:pPr>
                    <w:keepNext w:val="0"/>
                    <w:keepLines w:val="0"/>
                    <w:widowControl w:val="0"/>
                    <w:suppressLineNumbers w:val="0"/>
                    <w:snapToGrid w:val="0"/>
                    <w:spacing w:before="0" w:beforeAutospacing="0" w:after="0" w:afterAutospacing="0" w:line="320" w:lineRule="exact"/>
                    <w:ind w:left="0" w:right="0"/>
                    <w:jc w:val="both"/>
                    <w:rPr>
                      <w:rFonts w:hint="eastAsia" w:ascii="宋体" w:hAnsi="宋体" w:eastAsia="宋体" w:cs="宋体"/>
                      <w:b/>
                      <w:bCs w:val="0"/>
                      <w:kern w:val="2"/>
                      <w:sz w:val="21"/>
                      <w:szCs w:val="21"/>
                    </w:rPr>
                  </w:pPr>
                  <w:r>
                    <w:rPr>
                      <w:rFonts w:hint="eastAsia" w:ascii="宋体" w:hAnsi="宋体" w:eastAsia="宋体" w:cs="宋体"/>
                      <w:b/>
                      <w:bCs/>
                      <w:kern w:val="0"/>
                      <w:sz w:val="21"/>
                      <w:szCs w:val="21"/>
                      <w:lang w:val="en-US" w:eastAsia="zh-CN" w:bidi="ar"/>
                    </w:rPr>
                    <w:t>（二）</w:t>
                  </w:r>
                  <w:r>
                    <w:rPr>
                      <w:rFonts w:hint="eastAsia" w:ascii="宋体" w:hAnsi="宋体" w:eastAsia="宋体" w:cs="宋体"/>
                      <w:b/>
                      <w:bCs w:val="0"/>
                      <w:kern w:val="2"/>
                      <w:sz w:val="21"/>
                      <w:szCs w:val="21"/>
                      <w:lang w:val="en-US" w:eastAsia="zh-CN" w:bidi="ar"/>
                    </w:rPr>
                    <w:t>评分依据：</w:t>
                  </w:r>
                </w:p>
                <w:p w14:paraId="5A5B61C6">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1.要求同时</w:t>
                  </w:r>
                  <w:r>
                    <w:rPr>
                      <w:rFonts w:hint="eastAsia" w:ascii="宋体" w:hAnsi="宋体" w:eastAsia="宋体" w:cs="宋体"/>
                      <w:kern w:val="2"/>
                      <w:sz w:val="21"/>
                      <w:szCs w:val="21"/>
                      <w:lang w:val="en-US" w:eastAsia="zh-CN" w:bidi="ar"/>
                    </w:rPr>
                    <w:t>提供项目合同关键信息页及中标通知书</w:t>
                  </w:r>
                  <w:r>
                    <w:rPr>
                      <w:rFonts w:hint="eastAsia" w:ascii="宋体" w:hAnsi="宋体" w:eastAsia="宋体" w:cs="宋体"/>
                      <w:bCs/>
                      <w:kern w:val="2"/>
                      <w:sz w:val="21"/>
                      <w:szCs w:val="21"/>
                      <w:lang w:val="en-US" w:eastAsia="zh-CN" w:bidi="ar"/>
                    </w:rPr>
                    <w:t xml:space="preserve">作为得分依据，通过合同关键信息无法判断是否得分的，还须同时提供能证明得分的其它证明资料，证明文件需加盖甲方公章（或甲方业务章）。 </w:t>
                  </w:r>
                </w:p>
                <w:p w14:paraId="57522194">
                  <w:pPr>
                    <w:keepNext w:val="0"/>
                    <w:keepLines w:val="0"/>
                    <w:widowControl w:val="0"/>
                    <w:suppressLineNumbers w:val="0"/>
                    <w:snapToGrid w:val="0"/>
                    <w:spacing w:before="0" w:beforeAutospacing="0" w:after="0" w:afterAutospacing="0" w:line="320" w:lineRule="exact"/>
                    <w:ind w:left="0" w:leftChars="0" w:right="0" w:rightChars="0"/>
                    <w:jc w:val="both"/>
                    <w:rPr>
                      <w:rFonts w:hint="eastAsia" w:ascii="宋体" w:hAnsi="宋体" w:eastAsia="宋体" w:cs="宋体"/>
                      <w:sz w:val="24"/>
                      <w:szCs w:val="24"/>
                    </w:rPr>
                  </w:pPr>
                  <w:r>
                    <w:rPr>
                      <w:rFonts w:hint="eastAsia" w:ascii="宋体" w:hAnsi="宋体" w:eastAsia="宋体" w:cs="宋体"/>
                      <w:bCs/>
                      <w:kern w:val="2"/>
                      <w:sz w:val="21"/>
                      <w:szCs w:val="21"/>
                      <w:lang w:val="en-US" w:eastAsia="zh-CN" w:bidi="ar"/>
                    </w:rPr>
                    <w:t>2.以上资料均要求提供扫描件，原件备查。评分中出现无证明资料或专家无法凭所提供资料判断是否得分的情况，一律作不得分处理。</w:t>
                  </w:r>
                </w:p>
              </w:tc>
            </w:tr>
            <w:tr w14:paraId="6ADC98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right w:val="single" w:color="000000" w:sz="8" w:space="0"/>
                  </w:tcBorders>
                  <w:noWrap w:val="0"/>
                  <w:vAlign w:val="center"/>
                </w:tcPr>
                <w:p w14:paraId="7F938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3CA2F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568407A1">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kern w:val="2"/>
                      <w:sz w:val="21"/>
                      <w:szCs w:val="21"/>
                      <w:lang w:val="en-US" w:eastAsia="zh-CN" w:bidi="ar"/>
                    </w:rPr>
                  </w:pPr>
                  <w:r>
                    <w:rPr>
                      <w:rFonts w:hint="eastAsia" w:ascii="宋体" w:hAnsi="宋体" w:eastAsia="宋体" w:cs="宋体"/>
                      <w:kern w:val="0"/>
                      <w:sz w:val="21"/>
                      <w:szCs w:val="21"/>
                      <w:lang w:val="en-US" w:eastAsia="zh-CN" w:bidi="ar"/>
                    </w:rPr>
                    <w:t>拟安排的项目负责人情况（仅限一人）</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4CF49F42">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kern w:val="2"/>
                      <w:sz w:val="21"/>
                      <w:szCs w:val="21"/>
                      <w:lang w:val="en-US" w:eastAsia="zh-CN" w:bidi="ar"/>
                    </w:rPr>
                  </w:pPr>
                  <w:r>
                    <w:rPr>
                      <w:rFonts w:hint="eastAsia" w:ascii="宋体" w:hAnsi="宋体" w:eastAsia="宋体" w:cs="宋体"/>
                      <w:kern w:val="0"/>
                      <w:sz w:val="21"/>
                      <w:szCs w:val="21"/>
                      <w:lang w:val="en-US" w:eastAsia="zh-CN" w:bidi="ar"/>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4F45A920">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（一）评审内容：</w:t>
                  </w:r>
                  <w:r>
                    <w:rPr>
                      <w:rFonts w:hint="eastAsia" w:ascii="宋体" w:hAnsi="宋体" w:eastAsia="宋体" w:cs="宋体"/>
                      <w:kern w:val="0"/>
                      <w:sz w:val="21"/>
                      <w:szCs w:val="21"/>
                      <w:lang w:val="en-US" w:eastAsia="zh-CN" w:bidi="ar"/>
                    </w:rPr>
                    <w:t xml:space="preserve">  </w:t>
                  </w:r>
                </w:p>
                <w:p w14:paraId="38F6C8A9">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拟安排项目负责人为投标单位员工（以社保为准），且拥有B类安全员证书，否则本评分项不予计分。在此基础上，按以下标准进行打分： </w:t>
                  </w:r>
                </w:p>
                <w:p w14:paraId="42C5551F">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1.</w:t>
                  </w:r>
                  <w:r>
                    <w:rPr>
                      <w:rFonts w:hint="eastAsia" w:ascii="宋体" w:hAnsi="宋体" w:eastAsia="宋体" w:cs="宋体"/>
                      <w:kern w:val="2"/>
                      <w:sz w:val="21"/>
                      <w:szCs w:val="21"/>
                      <w:lang w:val="en-US" w:eastAsia="zh-CN" w:bidi="ar"/>
                    </w:rPr>
                    <w:t>具有网络专业或交通工程或机电工程或电子信息相关专业的，副高级（或以上）职称得30分，中级职称得15分，其它情况不得分；</w:t>
                  </w:r>
                </w:p>
                <w:p w14:paraId="67B0F9C5">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2.拟安排的项目负责人学历情况：具有交通、电子或电气工程、智能化、自动化、机电工程和网络（信息）相关专业专科或以上学历情况：本科或以上学历得20分、专科学历得5分，其它情况不得分；</w:t>
                  </w:r>
                </w:p>
                <w:p w14:paraId="77F6085D">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3.</w:t>
                  </w:r>
                  <w:r>
                    <w:rPr>
                      <w:rFonts w:hint="eastAsia" w:ascii="宋体" w:hAnsi="宋体" w:eastAsia="宋体" w:cs="宋体"/>
                      <w:kern w:val="2"/>
                      <w:sz w:val="21"/>
                      <w:szCs w:val="21"/>
                      <w:lang w:val="en-US" w:eastAsia="zh-CN" w:bidi="ar"/>
                    </w:rPr>
                    <w:t>拟安排的项目负责人具有2022年1月1日至本项目投标截止之日（以合同签订时间为准）的内交通监控设施维护类项目负责人经验得</w:t>
                  </w:r>
                  <w:r>
                    <w:rPr>
                      <w:rFonts w:hint="default" w:ascii="Times New Roman" w:hAnsi="Times New Roman" w:eastAsia="宋体" w:cs="Times New Roman"/>
                      <w:kern w:val="2"/>
                      <w:sz w:val="21"/>
                      <w:szCs w:val="21"/>
                      <w:lang w:val="en-US" w:eastAsia="zh-CN" w:bidi="ar"/>
                    </w:rPr>
                    <w:t>30</w:t>
                  </w:r>
                  <w:r>
                    <w:rPr>
                      <w:rFonts w:hint="eastAsia" w:ascii="宋体" w:hAnsi="宋体" w:eastAsia="宋体" w:cs="宋体"/>
                      <w:kern w:val="2"/>
                      <w:sz w:val="21"/>
                      <w:szCs w:val="21"/>
                      <w:lang w:val="en-US" w:eastAsia="zh-CN" w:bidi="ar"/>
                    </w:rPr>
                    <w:t>分；具有2022年1月1日至本项目投标截止之日（以合同签订时间为准）内交通监控设施工程类项目负责人经验得</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分；若投标人所提供项目负责人的经验的合同同时包含交通监控设施维护类和工程类经验，则可得</w:t>
                  </w:r>
                  <w:r>
                    <w:rPr>
                      <w:rFonts w:hint="default" w:ascii="Times New Roman" w:hAnsi="Times New Roman" w:eastAsia="宋体" w:cs="Times New Roman"/>
                      <w:kern w:val="2"/>
                      <w:sz w:val="21"/>
                      <w:szCs w:val="21"/>
                      <w:lang w:val="en-US" w:eastAsia="zh-CN" w:bidi="ar"/>
                    </w:rPr>
                    <w:t>50</w:t>
                  </w:r>
                  <w:r>
                    <w:rPr>
                      <w:rFonts w:hint="eastAsia" w:ascii="宋体" w:hAnsi="宋体" w:eastAsia="宋体" w:cs="宋体"/>
                      <w:kern w:val="2"/>
                      <w:sz w:val="21"/>
                      <w:szCs w:val="21"/>
                      <w:lang w:val="en-US" w:eastAsia="zh-CN" w:bidi="ar"/>
                    </w:rPr>
                    <w:t>分。其他不得分；本小项最高得</w:t>
                  </w:r>
                  <w:r>
                    <w:rPr>
                      <w:rFonts w:hint="default" w:ascii="Times New Roman" w:hAnsi="Times New Roman" w:eastAsia="宋体" w:cs="Times New Roman"/>
                      <w:kern w:val="2"/>
                      <w:sz w:val="21"/>
                      <w:szCs w:val="21"/>
                      <w:lang w:val="en-US" w:eastAsia="zh-CN" w:bidi="ar"/>
                    </w:rPr>
                    <w:t>50</w:t>
                  </w:r>
                  <w:r>
                    <w:rPr>
                      <w:rFonts w:hint="eastAsia" w:ascii="宋体" w:hAnsi="宋体" w:eastAsia="宋体" w:cs="宋体"/>
                      <w:kern w:val="2"/>
                      <w:sz w:val="21"/>
                      <w:szCs w:val="21"/>
                      <w:lang w:val="en-US" w:eastAsia="zh-CN" w:bidi="ar"/>
                    </w:rPr>
                    <w:t>分。</w:t>
                  </w:r>
                </w:p>
                <w:p w14:paraId="10010DD5">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 xml:space="preserve">以上3项累计计分，最高得100分。 </w:t>
                  </w:r>
                </w:p>
                <w:p w14:paraId="565204A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（二）评分依据：</w:t>
                  </w:r>
                  <w:r>
                    <w:rPr>
                      <w:rFonts w:hint="eastAsia" w:ascii="宋体" w:hAnsi="宋体" w:eastAsia="宋体" w:cs="宋体"/>
                      <w:kern w:val="0"/>
                      <w:sz w:val="21"/>
                      <w:szCs w:val="21"/>
                      <w:lang w:val="en-US" w:eastAsia="zh-CN" w:bidi="ar"/>
                    </w:rPr>
                    <w:t xml:space="preserve"> </w:t>
                  </w:r>
                </w:p>
                <w:p w14:paraId="000428FF">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要求提供通过投标人缴纳的近三个月的任意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14:paraId="40E46913">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要求提供学历证书的，明确要求投标人提供证书扫描件以及学信网查询记录，并注明原件备查。对于较早颁发的学历证书，学信网无法查询的，要求提供证书扫描件及其他佐证材料（如毕业院校、人社部门等颁发机构或监管机构等单位出具的证明），原件备查。海外留学人员学历无法通过学信网站查询的，需提供教育部留学服务中心出具的学历认证书及教育部留学服务中心官网查询截图。证明材料均提供扫描件，原件备查。</w:t>
                  </w:r>
                </w:p>
                <w:p w14:paraId="3EE20458">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3.要求提供投标人相关证书证明资料作为得分依据。</w:t>
                  </w:r>
                </w:p>
                <w:p w14:paraId="52AB88BB">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4.如涉及考察人员工作经验，要求提供项目合同关键信息页及中标通知书作为得分依据，通过合同关键信息无法判断人员信息的，还须同时提供甲方出具的证明文件。</w:t>
                  </w:r>
                </w:p>
                <w:p w14:paraId="7671EFB4">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bCs/>
                      <w:kern w:val="2"/>
                      <w:sz w:val="21"/>
                      <w:szCs w:val="21"/>
                      <w:lang w:val="en-US" w:eastAsia="zh-CN" w:bidi="ar"/>
                    </w:rPr>
                  </w:pPr>
                  <w:r>
                    <w:rPr>
                      <w:rFonts w:hint="eastAsia" w:ascii="宋体" w:hAnsi="宋体" w:eastAsia="宋体" w:cs="宋体"/>
                      <w:kern w:val="2"/>
                      <w:sz w:val="21"/>
                      <w:szCs w:val="21"/>
                      <w:lang w:val="en-US" w:eastAsia="zh-CN" w:bidi="ar"/>
                    </w:rPr>
                    <w:t>5.以上资料均要求提供扫描件，原件备查。评分中出现无证明资料或专家无法凭所提供资料判断是否得分的情况，一律作不得分处理。</w:t>
                  </w:r>
                </w:p>
              </w:tc>
            </w:tr>
            <w:tr w14:paraId="284F7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left w:val="single" w:color="000000" w:sz="8" w:space="0"/>
                    <w:bottom w:val="single" w:color="000000" w:sz="8" w:space="0"/>
                    <w:right w:val="single" w:color="000000" w:sz="8" w:space="0"/>
                  </w:tcBorders>
                  <w:noWrap w:val="0"/>
                  <w:vAlign w:val="center"/>
                </w:tcPr>
                <w:p w14:paraId="639DF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075E3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3DBA7805">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kern w:val="2"/>
                      <w:sz w:val="21"/>
                      <w:szCs w:val="21"/>
                      <w:lang w:val="en-US" w:eastAsia="zh-CN" w:bidi="ar"/>
                    </w:rPr>
                  </w:pPr>
                  <w:r>
                    <w:rPr>
                      <w:rFonts w:hint="eastAsia" w:ascii="宋体" w:hAnsi="宋体" w:eastAsia="宋体" w:cs="宋体"/>
                      <w:kern w:val="0"/>
                      <w:sz w:val="21"/>
                      <w:szCs w:val="21"/>
                      <w:lang w:val="en-US" w:eastAsia="zh-CN" w:bidi="ar"/>
                    </w:rPr>
                    <w:t>拟安排的项目主要团队成员（主要技术人员）情况（项目负责人除外）</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A4684D4">
                  <w:pPr>
                    <w:keepNext w:val="0"/>
                    <w:keepLines w:val="0"/>
                    <w:widowControl/>
                    <w:suppressLineNumbers w:val="0"/>
                    <w:wordWrap w:val="0"/>
                    <w:spacing w:before="0" w:beforeAutospacing="0" w:after="0" w:afterAutospacing="0"/>
                    <w:ind w:left="0" w:leftChars="0" w:right="0" w:rightChars="0"/>
                    <w:jc w:val="center"/>
                    <w:textAlignment w:val="top"/>
                    <w:rPr>
                      <w:rFonts w:hint="eastAsia" w:ascii="宋体" w:hAnsi="宋体" w:eastAsia="宋体" w:cs="宋体"/>
                      <w:kern w:val="2"/>
                      <w:sz w:val="21"/>
                      <w:szCs w:val="21"/>
                      <w:lang w:val="en-US" w:eastAsia="zh-CN" w:bidi="ar"/>
                    </w:rPr>
                  </w:pPr>
                  <w:r>
                    <w:rPr>
                      <w:rFonts w:hint="eastAsia" w:ascii="宋体" w:hAnsi="宋体" w:eastAsia="宋体" w:cs="宋体"/>
                      <w:kern w:val="0"/>
                      <w:sz w:val="21"/>
                      <w:szCs w:val="21"/>
                      <w:lang w:val="en-US" w:eastAsia="zh-CN" w:bidi="ar"/>
                    </w:rPr>
                    <w:t>8</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34A6A55E">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2"/>
                      <w:sz w:val="21"/>
                      <w:szCs w:val="21"/>
                    </w:rPr>
                  </w:pPr>
                  <w:r>
                    <w:rPr>
                      <w:rFonts w:hint="eastAsia" w:ascii="宋体" w:hAnsi="宋体" w:eastAsia="宋体" w:cs="宋体"/>
                      <w:b/>
                      <w:bCs/>
                      <w:kern w:val="0"/>
                      <w:sz w:val="21"/>
                      <w:szCs w:val="21"/>
                      <w:lang w:val="en-US" w:eastAsia="zh-CN" w:bidi="ar"/>
                    </w:rPr>
                    <w:t>（一）评审内容：</w:t>
                  </w:r>
                  <w:r>
                    <w:rPr>
                      <w:rFonts w:hint="eastAsia" w:ascii="宋体" w:hAnsi="宋体" w:eastAsia="宋体" w:cs="宋体"/>
                      <w:kern w:val="0"/>
                      <w:sz w:val="21"/>
                      <w:szCs w:val="21"/>
                      <w:lang w:val="en-US" w:eastAsia="zh-CN" w:bidi="ar"/>
                    </w:rPr>
                    <w:t xml:space="preserve">  </w:t>
                  </w:r>
                </w:p>
                <w:p w14:paraId="5BFF11B0">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拟安排的项目主要团队成员为投标单位员工（以社保为准）（注：主要团队成员为本项目专职人员，且人员不得同时兼任其它项目，提供承诺函及人员名单），否则本评分项不予计分。在此基础上，按以下标准对团队人员进行打分：</w:t>
                  </w:r>
                </w:p>
                <w:p w14:paraId="17D956B9">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1.主要团队成员持证情况</w:t>
                  </w:r>
                </w:p>
                <w:p w14:paraId="1AB8EFBE">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（1）具有C类或以上安全员证书，每提供1人得10分，本项最高40分。</w:t>
                  </w:r>
                </w:p>
                <w:p w14:paraId="692D7B1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（2）具有全国计算机等级考试证书</w:t>
                  </w:r>
                  <w:r>
                    <w:rPr>
                      <w:rFonts w:hint="eastAsia" w:ascii="宋体" w:hAnsi="宋体" w:eastAsia="宋体" w:cs="宋体"/>
                      <w:i w:val="0"/>
                      <w:iCs w:val="0"/>
                      <w:caps w:val="0"/>
                      <w:spacing w:val="0"/>
                      <w:kern w:val="0"/>
                      <w:sz w:val="21"/>
                      <w:szCs w:val="21"/>
                      <w:lang w:val="en-US" w:eastAsia="zh-CN" w:bidi="ar"/>
                    </w:rPr>
                    <w:t>或全国计算机应用技术证书的</w:t>
                  </w:r>
                  <w:r>
                    <w:rPr>
                      <w:rFonts w:hint="eastAsia" w:ascii="宋体" w:hAnsi="宋体" w:eastAsia="宋体" w:cs="宋体"/>
                      <w:kern w:val="0"/>
                      <w:sz w:val="21"/>
                      <w:szCs w:val="21"/>
                      <w:lang w:val="en-US" w:eastAsia="zh-CN" w:bidi="ar"/>
                    </w:rPr>
                    <w:t>，1人得20分，本项最高60分。</w:t>
                  </w:r>
                </w:p>
                <w:p w14:paraId="02FA4BD4">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若同1人既有评分项（1）相关证书又有评分项（2）证书，可重复计分。</w:t>
                  </w:r>
                </w:p>
                <w:p w14:paraId="08642D03">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 xml:space="preserve">（二）评分依据： </w:t>
                  </w:r>
                </w:p>
                <w:p w14:paraId="23E04C56">
                  <w:pPr>
                    <w:keepNext w:val="0"/>
                    <w:keepLines w:val="0"/>
                    <w:widowControl/>
                    <w:suppressLineNumbers w:val="0"/>
                    <w:wordWrap w:val="0"/>
                    <w:spacing w:before="0" w:beforeAutospacing="0" w:after="0" w:afterAutospacing="0"/>
                    <w:ind w:left="0" w:right="0"/>
                    <w:jc w:val="left"/>
                    <w:textAlignment w:val="top"/>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
                    </w:rPr>
                    <w:t>1.团队成员承诺函（至少包含承诺人数，承诺专职人员，人员名单，格式自拟）</w:t>
                  </w:r>
                </w:p>
                <w:p w14:paraId="2B97AF7C">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要求提供通过投标人缴纳的近三个月的任意一个月的社保证明作为本单位员工的证明依据。若供应商成立不足一个月的，需提供成立情况说明函（格式自拟），无需提供相关人员社保，亦可得分；若为退休返聘人员，需提供说明函（格式自拟），无需提供相关人员社保，亦可得分。</w:t>
                  </w:r>
                </w:p>
                <w:p w14:paraId="38046F93">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3.要求提供投标人相关证书扫描件及官网查询截图作为得分依据。</w:t>
                  </w:r>
                </w:p>
                <w:p w14:paraId="6DFB597C">
                  <w:pPr>
                    <w:keepNext w:val="0"/>
                    <w:keepLines w:val="0"/>
                    <w:widowControl/>
                    <w:suppressLineNumbers w:val="0"/>
                    <w:wordWrap w:val="0"/>
                    <w:spacing w:before="0" w:beforeAutospacing="0" w:after="0" w:afterAutospacing="0"/>
                    <w:ind w:left="0" w:leftChars="0" w:right="0" w:rightChars="0"/>
                    <w:jc w:val="left"/>
                    <w:textAlignment w:val="top"/>
                    <w:rPr>
                      <w:rFonts w:hint="eastAsia" w:ascii="宋体" w:hAnsi="宋体" w:eastAsia="宋体" w:cs="宋体"/>
                      <w:bCs/>
                      <w:kern w:val="2"/>
                      <w:sz w:val="21"/>
                      <w:szCs w:val="21"/>
                      <w:lang w:val="en-US" w:eastAsia="zh-CN" w:bidi="ar"/>
                    </w:rPr>
                  </w:pPr>
                  <w:r>
                    <w:rPr>
                      <w:rFonts w:hint="eastAsia" w:ascii="宋体" w:hAnsi="宋体" w:eastAsia="宋体" w:cs="宋体"/>
                      <w:kern w:val="2"/>
                      <w:sz w:val="21"/>
                      <w:szCs w:val="21"/>
                      <w:lang w:val="en-US" w:eastAsia="zh-CN" w:bidi="ar"/>
                    </w:rPr>
                    <w:t>4.以上资料均要求提供扫描件，原件备查。评分中出现无证明资料或专家无法凭所提供资料判断是否得分的情况，一律作不得分处理。</w:t>
                  </w:r>
                </w:p>
              </w:tc>
            </w:tr>
            <w:tr w14:paraId="0F092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auto" w:sz="4" w:space="0"/>
                    <w:right w:val="single" w:color="000000" w:sz="8" w:space="0"/>
                  </w:tcBorders>
                  <w:noWrap w:val="0"/>
                  <w:vAlign w:val="top"/>
                </w:tcPr>
                <w:p w14:paraId="467EF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4</w:t>
                  </w:r>
                </w:p>
              </w:tc>
              <w:tc>
                <w:tcPr>
                  <w:tcW w:w="3000" w:type="dxa"/>
                  <w:gridSpan w:val="3"/>
                  <w:tcBorders>
                    <w:top w:val="single" w:color="000000" w:sz="8" w:space="0"/>
                    <w:left w:val="single" w:color="000000" w:sz="8" w:space="0"/>
                    <w:bottom w:val="single" w:color="auto" w:sz="4" w:space="0"/>
                    <w:right w:val="single" w:color="000000" w:sz="8" w:space="0"/>
                  </w:tcBorders>
                  <w:noWrap w:val="0"/>
                  <w:vAlign w:val="top"/>
                </w:tcPr>
                <w:p w14:paraId="3D409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诚信情况</w:t>
                  </w:r>
                </w:p>
              </w:tc>
              <w:tc>
                <w:tcPr>
                  <w:tcW w:w="5396" w:type="dxa"/>
                  <w:tcBorders>
                    <w:top w:val="single" w:color="000000" w:sz="8" w:space="0"/>
                    <w:left w:val="single" w:color="000000" w:sz="8" w:space="0"/>
                    <w:bottom w:val="single" w:color="auto" w:sz="4" w:space="0"/>
                    <w:right w:val="single" w:color="000000" w:sz="8" w:space="0"/>
                  </w:tcBorders>
                  <w:noWrap w:val="0"/>
                  <w:vAlign w:val="top"/>
                </w:tcPr>
                <w:p w14:paraId="6CB60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5</w:t>
                  </w:r>
                </w:p>
              </w:tc>
            </w:tr>
            <w:tr w14:paraId="133DEE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6DFCF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2127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9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0DC51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评审因素</w:t>
                  </w:r>
                </w:p>
              </w:tc>
              <w:tc>
                <w:tcPr>
                  <w:tcW w:w="103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3470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权重(%)</w:t>
                  </w:r>
                </w:p>
              </w:tc>
              <w:tc>
                <w:tcPr>
                  <w:tcW w:w="53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0D8B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评分准则</w:t>
                  </w:r>
                </w:p>
              </w:tc>
            </w:tr>
            <w:tr w14:paraId="75FFD5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9B1FC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b/>
                      <w:bCs/>
                      <w:sz w:val="24"/>
                      <w:szCs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14:paraId="60C62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95" w:type="dxa"/>
                  <w:tcBorders>
                    <w:top w:val="single" w:color="000000" w:sz="8" w:space="0"/>
                    <w:left w:val="single" w:color="000000" w:sz="8" w:space="0"/>
                    <w:bottom w:val="single" w:color="000000" w:sz="8" w:space="0"/>
                    <w:right w:val="single" w:color="000000" w:sz="8" w:space="0"/>
                  </w:tcBorders>
                  <w:noWrap w:val="0"/>
                  <w:vAlign w:val="center"/>
                </w:tcPr>
                <w:p w14:paraId="4BE6A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诚信情况</w:t>
                  </w:r>
                </w:p>
              </w:tc>
              <w:tc>
                <w:tcPr>
                  <w:tcW w:w="1030" w:type="dxa"/>
                  <w:tcBorders>
                    <w:top w:val="single" w:color="000000" w:sz="8" w:space="0"/>
                    <w:left w:val="single" w:color="000000" w:sz="8" w:space="0"/>
                    <w:bottom w:val="single" w:color="000000" w:sz="8" w:space="0"/>
                    <w:right w:val="single" w:color="000000" w:sz="8" w:space="0"/>
                  </w:tcBorders>
                  <w:noWrap w:val="0"/>
                  <w:vAlign w:val="center"/>
                </w:tcPr>
                <w:p w14:paraId="06241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5396" w:type="dxa"/>
                  <w:tcBorders>
                    <w:top w:val="single" w:color="000000" w:sz="8" w:space="0"/>
                    <w:left w:val="single" w:color="000000" w:sz="8" w:space="0"/>
                    <w:bottom w:val="single" w:color="000000" w:sz="8" w:space="0"/>
                    <w:right w:val="single" w:color="000000" w:sz="8" w:space="0"/>
                  </w:tcBorders>
                  <w:noWrap w:val="0"/>
                  <w:vAlign w:val="top"/>
                </w:tcPr>
                <w:p w14:paraId="3F9D7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（一）评分内容：</w:t>
                  </w:r>
                </w:p>
                <w:p w14:paraId="0EB57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2399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（二）评分依据:</w:t>
                  </w:r>
                </w:p>
                <w:p w14:paraId="532B6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采购代理机构通过“信用中国”、“中国政府采购网”、“深圳市政府采购监管网”以及市、区财政部门认定的其他渠道查询供应商信用信息，投标人无需提供证明材料。</w:t>
                  </w:r>
                </w:p>
              </w:tc>
            </w:tr>
          </w:tbl>
          <w:p w14:paraId="01DA9FA6">
            <w:pPr>
              <w:pStyle w:val="14"/>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420" w:right="0"/>
              <w:textAlignment w:val="auto"/>
              <w:rPr>
                <w:rFonts w:hint="eastAsia" w:ascii="宋体" w:hAnsi="宋体" w:eastAsia="宋体" w:cs="宋体"/>
                <w:color w:val="000000" w:themeColor="text1"/>
                <w:sz w:val="24"/>
                <w:szCs w:val="24"/>
                <w14:textFill>
                  <w14:solidFill>
                    <w14:schemeClr w14:val="tx1"/>
                  </w14:solidFill>
                </w14:textFill>
              </w:rPr>
            </w:pPr>
          </w:p>
        </w:tc>
      </w:tr>
    </w:tbl>
    <w:p w14:paraId="171505E4">
      <w:pPr>
        <w:rPr>
          <w:rFonts w:eastAsia="黑体"/>
        </w:rPr>
      </w:pPr>
    </w:p>
    <w:p w14:paraId="644ECBD9">
      <w:pPr>
        <w:rPr>
          <w:rFonts w:eastAsia="黑体"/>
        </w:rPr>
      </w:pPr>
      <w:r>
        <w:rPr>
          <w:rFonts w:eastAsia="黑体"/>
        </w:rPr>
        <w:br w:type="page"/>
      </w:r>
    </w:p>
    <w:p w14:paraId="634AC641">
      <w:pPr>
        <w:pStyle w:val="14"/>
        <w:spacing w:line="360" w:lineRule="auto"/>
        <w:jc w:val="center"/>
        <w:outlineLvl w:val="1"/>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投标书目录</w:t>
      </w:r>
    </w:p>
    <w:tbl>
      <w:tblPr>
        <w:tblStyle w:val="17"/>
        <w:tblW w:w="9072" w:type="dxa"/>
        <w:jc w:val="center"/>
        <w:tblCellSpacing w:w="0" w:type="dxa"/>
        <w:tblLayout w:type="fixed"/>
        <w:tblCellMar>
          <w:top w:w="45" w:type="dxa"/>
          <w:left w:w="45" w:type="dxa"/>
          <w:bottom w:w="45" w:type="dxa"/>
          <w:right w:w="45" w:type="dxa"/>
        </w:tblCellMar>
      </w:tblPr>
      <w:tblGrid>
        <w:gridCol w:w="9072"/>
      </w:tblGrid>
      <w:tr w14:paraId="77634434">
        <w:tblPrEx>
          <w:tblCellMar>
            <w:top w:w="45" w:type="dxa"/>
            <w:left w:w="45" w:type="dxa"/>
            <w:bottom w:w="45" w:type="dxa"/>
            <w:right w:w="45" w:type="dxa"/>
          </w:tblCellMar>
        </w:tblPrEx>
        <w:trPr>
          <w:trHeight w:val="11432" w:hRule="atLeast"/>
          <w:tblCellSpacing w:w="0" w:type="dxa"/>
          <w:jc w:val="center"/>
        </w:trPr>
        <w:tc>
          <w:tcPr>
            <w:tcW w:w="9072" w:type="dxa"/>
            <w:vAlign w:val="center"/>
          </w:tcPr>
          <w:p w14:paraId="5E0D37C7">
            <w:pPr>
              <w:keepNext w:val="0"/>
              <w:keepLines w:val="0"/>
              <w:widowControl/>
              <w:suppressLineNumbers w:val="0"/>
              <w:spacing w:before="0" w:beforeAutospacing="0" w:after="0" w:afterAutospacing="0"/>
              <w:ind w:left="0" w:right="0"/>
              <w:outlineLvl w:val="1"/>
              <w:rPr>
                <w:rFonts w:hint="default" w:ascii="宋体" w:hAnsi="宋体"/>
                <w:b/>
                <w:bCs/>
                <w:color w:val="FF0000"/>
                <w:sz w:val="28"/>
                <w:szCs w:val="28"/>
              </w:rPr>
            </w:pPr>
            <w:r>
              <w:rPr>
                <w:rFonts w:hint="eastAsia" w:ascii="宋体" w:hAnsi="宋体"/>
                <w:b/>
                <w:bCs/>
                <w:color w:val="FF0000"/>
                <w:sz w:val="28"/>
                <w:szCs w:val="28"/>
              </w:rPr>
              <w:t>1.投标文件正文（信息公开部分）：</w:t>
            </w:r>
          </w:p>
          <w:p w14:paraId="60783934">
            <w:pPr>
              <w:keepNext w:val="0"/>
              <w:keepLines w:val="0"/>
              <w:widowControl/>
              <w:suppressLineNumbers w:val="0"/>
              <w:spacing w:before="0" w:beforeAutospacing="0" w:after="0" w:afterAutospacing="0"/>
              <w:ind w:left="0" w:right="0"/>
              <w:outlineLvl w:val="1"/>
              <w:rPr>
                <w:rFonts w:hint="default" w:ascii="宋体" w:hAnsi="宋体"/>
                <w:sz w:val="28"/>
                <w:szCs w:val="28"/>
              </w:rPr>
            </w:pPr>
            <w:r>
              <w:rPr>
                <w:rFonts w:hint="eastAsia" w:ascii="宋体" w:hAnsi="宋体"/>
                <w:sz w:val="28"/>
                <w:szCs w:val="28"/>
              </w:rPr>
              <w:t>（1）投标函</w:t>
            </w:r>
          </w:p>
          <w:p w14:paraId="4E4CF8C1">
            <w:pPr>
              <w:keepNext w:val="0"/>
              <w:keepLines w:val="0"/>
              <w:widowControl/>
              <w:suppressLineNumbers w:val="0"/>
              <w:spacing w:before="0" w:beforeAutospacing="0" w:after="0" w:afterAutospacing="0"/>
              <w:ind w:left="0" w:right="0"/>
              <w:outlineLvl w:val="1"/>
              <w:rPr>
                <w:rFonts w:hint="default" w:ascii="宋体" w:hAnsi="宋体"/>
                <w:sz w:val="28"/>
                <w:szCs w:val="28"/>
              </w:rPr>
            </w:pPr>
            <w:r>
              <w:rPr>
                <w:rFonts w:hint="eastAsia" w:ascii="宋体" w:hAnsi="宋体"/>
                <w:sz w:val="28"/>
                <w:szCs w:val="28"/>
              </w:rPr>
              <w:t>（2）政府采购投标及履约承诺函</w:t>
            </w:r>
          </w:p>
          <w:p w14:paraId="3651F835">
            <w:pPr>
              <w:keepNext w:val="0"/>
              <w:keepLines w:val="0"/>
              <w:widowControl/>
              <w:suppressLineNumbers w:val="0"/>
              <w:spacing w:before="0" w:beforeAutospacing="0" w:after="0" w:afterAutospacing="0"/>
              <w:ind w:left="0" w:right="0"/>
              <w:outlineLvl w:val="1"/>
              <w:rPr>
                <w:rFonts w:hint="default" w:ascii="宋体" w:hAnsi="宋体"/>
                <w:sz w:val="28"/>
                <w:szCs w:val="28"/>
              </w:rPr>
            </w:pPr>
            <w:r>
              <w:rPr>
                <w:rFonts w:hint="eastAsia" w:ascii="宋体" w:hAnsi="宋体"/>
                <w:sz w:val="28"/>
                <w:szCs w:val="28"/>
              </w:rPr>
              <w:t>（3）投标人情况及资格证明文件</w:t>
            </w:r>
          </w:p>
          <w:p w14:paraId="7E9B5EB4">
            <w:pPr>
              <w:keepNext w:val="0"/>
              <w:keepLines w:val="0"/>
              <w:widowControl/>
              <w:suppressLineNumbers w:val="0"/>
              <w:spacing w:before="0" w:beforeAutospacing="0" w:after="0" w:afterAutospacing="0"/>
              <w:ind w:left="0" w:right="0"/>
              <w:outlineLvl w:val="1"/>
              <w:rPr>
                <w:rFonts w:hint="eastAsia" w:ascii="宋体" w:hAnsi="宋体" w:eastAsia="宋体"/>
                <w:sz w:val="28"/>
                <w:szCs w:val="28"/>
                <w:highlight w:val="none"/>
                <w:lang w:eastAsia="zh-CN"/>
              </w:rPr>
            </w:pPr>
            <w:r>
              <w:rPr>
                <w:rFonts w:hint="eastAsia" w:ascii="宋体" w:hAnsi="宋体"/>
                <w:sz w:val="28"/>
                <w:szCs w:val="28"/>
              </w:rPr>
              <w:t>（4）</w:t>
            </w:r>
            <w:r>
              <w:rPr>
                <w:rFonts w:hint="eastAsia" w:ascii="宋体" w:hAnsi="宋体"/>
                <w:sz w:val="28"/>
                <w:szCs w:val="28"/>
                <w:highlight w:val="none"/>
              </w:rPr>
              <w:t>项目</w:t>
            </w:r>
            <w:r>
              <w:rPr>
                <w:rFonts w:hint="eastAsia" w:ascii="宋体" w:hAnsi="宋体" w:eastAsia="宋体"/>
                <w:sz w:val="28"/>
                <w:szCs w:val="28"/>
                <w:highlight w:val="none"/>
                <w:lang w:eastAsia="zh-CN"/>
              </w:rPr>
              <w:t>分项报价</w:t>
            </w:r>
          </w:p>
          <w:p w14:paraId="49B30C1C">
            <w:pPr>
              <w:keepNext w:val="0"/>
              <w:keepLines w:val="0"/>
              <w:widowControl/>
              <w:suppressLineNumbers w:val="0"/>
              <w:spacing w:before="0" w:beforeAutospacing="0" w:after="0" w:afterAutospacing="0"/>
              <w:ind w:left="0" w:right="0"/>
              <w:outlineLvl w:val="1"/>
              <w:rPr>
                <w:rFonts w:hint="eastAsia" w:ascii="宋体" w:hAnsi="宋体" w:eastAsia="宋体"/>
                <w:sz w:val="28"/>
                <w:szCs w:val="28"/>
                <w:highlight w:val="none"/>
                <w:lang w:eastAsia="zh-CN"/>
              </w:rPr>
            </w:pPr>
            <w:r>
              <w:rPr>
                <w:rFonts w:hint="eastAsia" w:ascii="宋体" w:hAnsi="宋体"/>
                <w:sz w:val="28"/>
                <w:szCs w:val="28"/>
                <w:highlight w:val="none"/>
              </w:rPr>
              <w:t>（</w:t>
            </w:r>
            <w:r>
              <w:rPr>
                <w:rFonts w:hint="default" w:ascii="宋体" w:hAnsi="宋体"/>
                <w:sz w:val="28"/>
                <w:szCs w:val="28"/>
                <w:highlight w:val="none"/>
              </w:rPr>
              <w:t>5</w:t>
            </w:r>
            <w:r>
              <w:rPr>
                <w:rFonts w:hint="eastAsia" w:ascii="宋体" w:hAnsi="宋体"/>
                <w:sz w:val="28"/>
                <w:szCs w:val="28"/>
                <w:highlight w:val="none"/>
              </w:rPr>
              <w:t>）</w:t>
            </w:r>
            <w:r>
              <w:rPr>
                <w:rFonts w:hint="eastAsia" w:ascii="宋体" w:hAnsi="宋体" w:eastAsia="宋体"/>
                <w:sz w:val="28"/>
                <w:szCs w:val="28"/>
                <w:highlight w:val="none"/>
                <w:lang w:eastAsia="zh-CN"/>
              </w:rPr>
              <w:t>项目详细报价</w:t>
            </w:r>
          </w:p>
          <w:p w14:paraId="191F2821">
            <w:pPr>
              <w:keepNext w:val="0"/>
              <w:keepLines w:val="0"/>
              <w:widowControl/>
              <w:suppressLineNumbers w:val="0"/>
              <w:spacing w:before="0" w:beforeAutospacing="0" w:after="0" w:afterAutospacing="0"/>
              <w:ind w:left="0" w:right="0"/>
              <w:outlineLvl w:val="1"/>
              <w:rPr>
                <w:rFonts w:hint="default" w:ascii="宋体" w:hAnsi="宋体"/>
                <w:sz w:val="28"/>
                <w:szCs w:val="28"/>
                <w:highlight w:val="none"/>
              </w:rPr>
            </w:pPr>
            <w:r>
              <w:rPr>
                <w:rFonts w:hint="eastAsia" w:ascii="宋体" w:hAnsi="宋体"/>
                <w:sz w:val="28"/>
                <w:szCs w:val="28"/>
                <w:highlight w:val="none"/>
              </w:rPr>
              <w:t>（</w:t>
            </w:r>
            <w:r>
              <w:rPr>
                <w:rFonts w:hint="default" w:ascii="宋体" w:hAnsi="宋体"/>
                <w:sz w:val="28"/>
                <w:szCs w:val="28"/>
                <w:highlight w:val="none"/>
              </w:rPr>
              <w:t>6</w:t>
            </w:r>
            <w:r>
              <w:rPr>
                <w:rFonts w:hint="eastAsia" w:ascii="宋体" w:hAnsi="宋体"/>
                <w:sz w:val="28"/>
                <w:szCs w:val="28"/>
                <w:highlight w:val="none"/>
              </w:rPr>
              <w:t>）供应商资格（资质、认证）情况</w:t>
            </w:r>
          </w:p>
          <w:p w14:paraId="321D9058">
            <w:pPr>
              <w:keepNext w:val="0"/>
              <w:keepLines w:val="0"/>
              <w:widowControl/>
              <w:suppressLineNumbers w:val="0"/>
              <w:spacing w:before="0" w:beforeAutospacing="0" w:after="0" w:afterAutospacing="0"/>
              <w:ind w:left="0" w:right="0"/>
              <w:outlineLvl w:val="1"/>
              <w:rPr>
                <w:rFonts w:hint="eastAsia" w:ascii="宋体" w:hAnsi="宋体"/>
                <w:sz w:val="28"/>
                <w:szCs w:val="28"/>
                <w:highlight w:val="none"/>
              </w:rPr>
            </w:pPr>
            <w:r>
              <w:rPr>
                <w:rFonts w:hint="eastAsia" w:ascii="宋体" w:hAnsi="宋体"/>
                <w:sz w:val="28"/>
                <w:szCs w:val="28"/>
                <w:highlight w:val="none"/>
              </w:rPr>
              <w:t>（</w:t>
            </w:r>
            <w:r>
              <w:rPr>
                <w:rFonts w:hint="default" w:ascii="宋体" w:hAnsi="宋体"/>
                <w:sz w:val="28"/>
                <w:szCs w:val="28"/>
                <w:highlight w:val="none"/>
              </w:rPr>
              <w:t>7</w:t>
            </w:r>
            <w:r>
              <w:rPr>
                <w:rFonts w:hint="eastAsia" w:ascii="宋体" w:hAnsi="宋体"/>
                <w:sz w:val="28"/>
                <w:szCs w:val="28"/>
                <w:highlight w:val="none"/>
              </w:rPr>
              <w:t>）投标人同类项目业绩情况</w:t>
            </w:r>
          </w:p>
          <w:p w14:paraId="78798623">
            <w:pPr>
              <w:keepNext w:val="0"/>
              <w:keepLines w:val="0"/>
              <w:widowControl/>
              <w:suppressLineNumbers w:val="0"/>
              <w:spacing w:before="0" w:beforeAutospacing="0" w:after="0" w:afterAutospacing="0"/>
              <w:ind w:left="0" w:right="0"/>
              <w:outlineLvl w:val="1"/>
              <w:rPr>
                <w:rFonts w:hint="default" w:ascii="宋体" w:hAnsi="宋体"/>
                <w:sz w:val="28"/>
                <w:szCs w:val="28"/>
                <w:highlight w:val="none"/>
              </w:rPr>
            </w:pPr>
            <w:r>
              <w:rPr>
                <w:rFonts w:hint="eastAsia" w:ascii="宋体" w:hAnsi="宋体"/>
                <w:sz w:val="28"/>
                <w:szCs w:val="28"/>
                <w:highlight w:val="none"/>
                <w:lang w:eastAsia="zh-CN"/>
              </w:rPr>
              <w:t>（</w:t>
            </w:r>
            <w:r>
              <w:rPr>
                <w:rFonts w:hint="eastAsia" w:ascii="宋体" w:hAnsi="宋体"/>
                <w:sz w:val="28"/>
                <w:szCs w:val="28"/>
                <w:highlight w:val="none"/>
                <w:lang w:val="en-US" w:eastAsia="zh-CN"/>
              </w:rPr>
              <w:t>8</w:t>
            </w:r>
            <w:r>
              <w:rPr>
                <w:rFonts w:hint="eastAsia" w:ascii="宋体" w:hAnsi="宋体"/>
                <w:sz w:val="28"/>
                <w:szCs w:val="28"/>
                <w:highlight w:val="none"/>
                <w:lang w:eastAsia="zh-CN"/>
              </w:rPr>
              <w:t>）</w:t>
            </w:r>
            <w:r>
              <w:rPr>
                <w:rFonts w:hint="eastAsia" w:ascii="宋体" w:hAnsi="宋体"/>
                <w:sz w:val="28"/>
                <w:szCs w:val="28"/>
                <w:highlight w:val="none"/>
              </w:rPr>
              <w:t>投标人认为需要加以说明的其他公开内容（格式自定）</w:t>
            </w:r>
          </w:p>
          <w:p w14:paraId="44B262BB">
            <w:pPr>
              <w:keepNext w:val="0"/>
              <w:keepLines w:val="0"/>
              <w:widowControl/>
              <w:suppressLineNumbers w:val="0"/>
              <w:spacing w:before="0" w:beforeAutospacing="0" w:after="0" w:afterAutospacing="0"/>
              <w:ind w:left="0" w:right="0"/>
              <w:outlineLvl w:val="1"/>
              <w:rPr>
                <w:rFonts w:hint="default" w:ascii="宋体" w:hAnsi="宋体"/>
                <w:b/>
                <w:bCs/>
                <w:color w:val="FF0000"/>
                <w:sz w:val="28"/>
                <w:szCs w:val="28"/>
                <w:highlight w:val="none"/>
              </w:rPr>
            </w:pPr>
            <w:r>
              <w:rPr>
                <w:rFonts w:hint="eastAsia" w:ascii="宋体" w:hAnsi="宋体"/>
                <w:b/>
                <w:bCs/>
                <w:color w:val="FF0000"/>
                <w:sz w:val="28"/>
                <w:szCs w:val="28"/>
                <w:highlight w:val="none"/>
              </w:rPr>
              <w:t>2.投标文件附件（信息不公开部分）：</w:t>
            </w:r>
          </w:p>
          <w:p w14:paraId="2F4765E1">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（1）法定代表人（负责人或执行事务合伙人）资格证明书</w:t>
            </w:r>
          </w:p>
          <w:p w14:paraId="2CF072CF">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（2）投标文件签署授权委托书</w:t>
            </w:r>
          </w:p>
          <w:p w14:paraId="2E96BA11">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（3）供应商法定代表人等缴纳社会保险情况一览表</w:t>
            </w:r>
          </w:p>
          <w:p w14:paraId="6C1E4334">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（4）实质性条款响应情况表</w:t>
            </w:r>
          </w:p>
          <w:p w14:paraId="6AA7511F">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（5）承诺函</w:t>
            </w:r>
          </w:p>
          <w:p w14:paraId="2D613E96">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（6）商务、服务条款偏离表</w:t>
            </w:r>
          </w:p>
          <w:p w14:paraId="07CF348D">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（7）拟安排的项目负责人情况（仅限一人）</w:t>
            </w:r>
          </w:p>
          <w:p w14:paraId="5488B6D9">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（8）拟安排的项目主要团队成员（主要技术人员）情况（项目负责人除外）</w:t>
            </w:r>
          </w:p>
          <w:p w14:paraId="183FFE60">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（9）实施方案（格式自定）</w:t>
            </w:r>
          </w:p>
          <w:p w14:paraId="0877FDC5">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（10）安全方案（格式自定）</w:t>
            </w:r>
          </w:p>
          <w:p w14:paraId="23FD646F">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（11）项目重点难点分析、应对措施及相关的合理化建议（格式自定）</w:t>
            </w:r>
          </w:p>
          <w:p w14:paraId="67200C24">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（12）质量（完成时间、安全、环保）保障措施及方案（格式自定）</w:t>
            </w:r>
          </w:p>
          <w:p w14:paraId="6AFC7111">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（13）项目完成（服务期满）后的服务承诺（格式自定）</w:t>
            </w:r>
          </w:p>
          <w:p w14:paraId="5557F346">
            <w:pPr>
              <w:keepNext w:val="0"/>
              <w:keepLines w:val="0"/>
              <w:widowControl/>
              <w:suppressLineNumbers w:val="0"/>
              <w:spacing w:before="0" w:beforeAutospacing="0" w:after="0" w:afterAutospacing="0"/>
              <w:ind w:left="0" w:right="0"/>
              <w:outlineLvl w:val="1"/>
              <w:rPr>
                <w:rFonts w:hint="eastAsia" w:ascii="宋体" w:hAnsi="宋体" w:cs="Times New Roman"/>
                <w:sz w:val="28"/>
                <w:szCs w:val="28"/>
                <w:highlight w:val="none"/>
              </w:rPr>
            </w:pPr>
            <w:r>
              <w:rPr>
                <w:rFonts w:hint="eastAsia" w:ascii="宋体" w:hAnsi="宋体" w:cs="Times New Roman"/>
                <w:sz w:val="28"/>
                <w:szCs w:val="28"/>
                <w:highlight w:val="none"/>
              </w:rPr>
              <w:t>（14）履约承诺（格式自定）</w:t>
            </w:r>
          </w:p>
          <w:p w14:paraId="1909E60A">
            <w:pPr>
              <w:keepNext w:val="0"/>
              <w:keepLines w:val="0"/>
              <w:widowControl/>
              <w:suppressLineNumbers w:val="0"/>
              <w:spacing w:before="0" w:beforeAutospacing="0" w:after="0" w:afterAutospacing="0"/>
              <w:ind w:left="0" w:right="0"/>
              <w:outlineLvl w:val="1"/>
              <w:rPr>
                <w:rFonts w:hint="default" w:ascii="宋体" w:hAnsi="宋体" w:cs="宋体"/>
              </w:rPr>
            </w:pPr>
            <w:r>
              <w:rPr>
                <w:rFonts w:hint="eastAsia" w:ascii="宋体" w:hAnsi="宋体" w:eastAsia="Times New Roman" w:cs="Times New Roman"/>
                <w:sz w:val="28"/>
                <w:szCs w:val="28"/>
                <w:highlight w:val="none"/>
                <w:lang w:eastAsia="zh-CN"/>
              </w:rPr>
              <w:t>（</w:t>
            </w:r>
            <w:r>
              <w:rPr>
                <w:rFonts w:hint="eastAsia" w:ascii="宋体" w:hAnsi="宋体" w:eastAsia="Times New Roman" w:cs="Times New Roman"/>
                <w:sz w:val="28"/>
                <w:szCs w:val="28"/>
                <w:highlight w:val="none"/>
                <w:lang w:val="en-US" w:eastAsia="zh-CN"/>
              </w:rPr>
              <w:t>1</w:t>
            </w:r>
            <w:r>
              <w:rPr>
                <w:rFonts w:hint="eastAsia" w:ascii="宋体" w:hAnsi="宋体" w:cs="Times New Roman"/>
                <w:sz w:val="28"/>
                <w:szCs w:val="28"/>
                <w:highlight w:val="none"/>
                <w:lang w:val="en-US" w:eastAsia="zh-CN"/>
              </w:rPr>
              <w:t>5</w:t>
            </w:r>
            <w:r>
              <w:rPr>
                <w:rFonts w:hint="eastAsia" w:ascii="宋体" w:hAnsi="宋体" w:eastAsia="Times New Roman" w:cs="Times New Roman"/>
                <w:sz w:val="28"/>
                <w:szCs w:val="28"/>
                <w:highlight w:val="none"/>
                <w:lang w:eastAsia="zh-CN"/>
              </w:rPr>
              <w:t>）</w:t>
            </w:r>
            <w:r>
              <w:rPr>
                <w:rFonts w:hint="eastAsia" w:ascii="宋体" w:hAnsi="宋体" w:eastAsia="Times New Roman" w:cs="Times New Roman"/>
                <w:sz w:val="28"/>
                <w:szCs w:val="28"/>
                <w:highlight w:val="none"/>
              </w:rPr>
              <w:t>投标人认为需要加以说明的其他内容（格式自定）</w:t>
            </w:r>
          </w:p>
        </w:tc>
      </w:tr>
    </w:tbl>
    <w:p w14:paraId="62B3E4A7"/>
    <w:p w14:paraId="6EA897B5">
      <w:pPr>
        <w:pStyle w:val="6"/>
      </w:pPr>
    </w:p>
    <w:p w14:paraId="01D9D457">
      <w:r>
        <w:br w:type="page"/>
      </w:r>
    </w:p>
    <w:p w14:paraId="4D7E0874"/>
    <w:p w14:paraId="435EECE3"/>
    <w:p w14:paraId="5D2B2FB8"/>
    <w:p w14:paraId="43D01B1F"/>
    <w:p w14:paraId="1633606E"/>
    <w:p w14:paraId="12096CE3"/>
    <w:p w14:paraId="50C1E6E5"/>
    <w:p w14:paraId="7C977049">
      <w:pPr>
        <w:jc w:val="center"/>
        <w:rPr>
          <w:b/>
          <w:color w:val="000000" w:themeColor="text1"/>
          <w:sz w:val="120"/>
          <w:szCs w:val="120"/>
          <w14:textFill>
            <w14:solidFill>
              <w14:schemeClr w14:val="tx1"/>
            </w14:solidFill>
          </w14:textFill>
        </w:rPr>
      </w:pPr>
      <w:r>
        <w:rPr>
          <w:rFonts w:hint="eastAsia"/>
          <w:b/>
          <w:color w:val="000000" w:themeColor="text1"/>
          <w:sz w:val="120"/>
          <w:szCs w:val="120"/>
          <w14:textFill>
            <w14:solidFill>
              <w14:schemeClr w14:val="tx1"/>
            </w14:solidFill>
          </w14:textFill>
        </w:rPr>
        <w:t>政府采购</w:t>
      </w:r>
    </w:p>
    <w:p w14:paraId="7F8D52C0">
      <w:pPr>
        <w:jc w:val="center"/>
        <w:rPr>
          <w:b/>
          <w:color w:val="000000" w:themeColor="text1"/>
          <w:sz w:val="120"/>
          <w:szCs w:val="120"/>
          <w14:textFill>
            <w14:solidFill>
              <w14:schemeClr w14:val="tx1"/>
            </w14:solidFill>
          </w14:textFill>
        </w:rPr>
      </w:pPr>
      <w:r>
        <w:rPr>
          <w:rFonts w:hint="eastAsia"/>
          <w:b/>
          <w:color w:val="000000" w:themeColor="text1"/>
          <w:sz w:val="120"/>
          <w:szCs w:val="120"/>
          <w14:textFill>
            <w14:solidFill>
              <w14:schemeClr w14:val="tx1"/>
            </w14:solidFill>
          </w14:textFill>
        </w:rPr>
        <w:t>招标文件</w:t>
      </w:r>
    </w:p>
    <w:p w14:paraId="7B03300D">
      <w:pPr>
        <w:jc w:val="center"/>
        <w:rPr>
          <w:b/>
          <w:color w:val="000000" w:themeColor="text1"/>
          <w:sz w:val="52"/>
          <w:szCs w:val="52"/>
          <w14:textFill>
            <w14:solidFill>
              <w14:schemeClr w14:val="tx1"/>
            </w14:solidFill>
          </w14:textFill>
        </w:rPr>
      </w:pPr>
    </w:p>
    <w:p w14:paraId="6BEFBDC1">
      <w:pPr>
        <w:jc w:val="center"/>
        <w:rPr>
          <w:b/>
          <w:color w:val="000000" w:themeColor="text1"/>
          <w:sz w:val="52"/>
          <w:szCs w:val="52"/>
          <w14:textFill>
            <w14:solidFill>
              <w14:schemeClr w14:val="tx1"/>
            </w14:solidFill>
          </w14:textFill>
        </w:rPr>
      </w:pPr>
    </w:p>
    <w:p w14:paraId="3B79A9C3">
      <w:pPr>
        <w:jc w:val="center"/>
        <w:rPr>
          <w:b/>
          <w:color w:val="000000" w:themeColor="text1"/>
          <w:sz w:val="52"/>
          <w:szCs w:val="52"/>
          <w14:textFill>
            <w14:solidFill>
              <w14:schemeClr w14:val="tx1"/>
            </w14:solidFill>
          </w14:textFill>
        </w:rPr>
      </w:pPr>
    </w:p>
    <w:p w14:paraId="47BFD582">
      <w:pPr>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（服务类）</w:t>
      </w:r>
    </w:p>
    <w:p w14:paraId="615239E2">
      <w:pPr>
        <w:rPr>
          <w:color w:val="000000" w:themeColor="text1"/>
          <w14:textFill>
            <w14:solidFill>
              <w14:schemeClr w14:val="tx1"/>
            </w14:solidFill>
          </w14:textFill>
        </w:rPr>
      </w:pPr>
    </w:p>
    <w:p w14:paraId="67ED2938">
      <w:pPr>
        <w:rPr>
          <w:color w:val="000000" w:themeColor="text1"/>
          <w14:textFill>
            <w14:solidFill>
              <w14:schemeClr w14:val="tx1"/>
            </w14:solidFill>
          </w14:textFill>
        </w:rPr>
      </w:pPr>
    </w:p>
    <w:p w14:paraId="2ABF75C1">
      <w:pPr>
        <w:rPr>
          <w:color w:val="000000" w:themeColor="text1"/>
          <w14:textFill>
            <w14:solidFill>
              <w14:schemeClr w14:val="tx1"/>
            </w14:solidFill>
          </w14:textFill>
        </w:rPr>
      </w:pPr>
    </w:p>
    <w:p w14:paraId="058ADE22">
      <w:pPr>
        <w:rPr>
          <w:color w:val="000000" w:themeColor="text1"/>
          <w14:textFill>
            <w14:solidFill>
              <w14:schemeClr w14:val="tx1"/>
            </w14:solidFill>
          </w14:textFill>
        </w:rPr>
      </w:pPr>
    </w:p>
    <w:p w14:paraId="3FEF25B1">
      <w:pPr>
        <w:rPr>
          <w:color w:val="000000" w:themeColor="text1"/>
          <w14:textFill>
            <w14:solidFill>
              <w14:schemeClr w14:val="tx1"/>
            </w14:solidFill>
          </w14:textFill>
        </w:rPr>
      </w:pPr>
    </w:p>
    <w:p w14:paraId="5E403B30">
      <w:pPr>
        <w:rPr>
          <w:color w:val="000000" w:themeColor="text1"/>
          <w14:textFill>
            <w14:solidFill>
              <w14:schemeClr w14:val="tx1"/>
            </w14:solidFill>
          </w14:textFill>
        </w:rPr>
      </w:pPr>
    </w:p>
    <w:p w14:paraId="06EF9CFA">
      <w:pPr>
        <w:jc w:val="center"/>
        <w:rPr>
          <w:b/>
          <w:color w:val="000000" w:themeColor="text1"/>
          <w:sz w:val="44"/>
          <w:szCs w:val="44"/>
          <w14:textFill>
            <w14:solidFill>
              <w14:schemeClr w14:val="tx1"/>
            </w14:solidFill>
          </w14:textFill>
        </w:rPr>
      </w:pPr>
    </w:p>
    <w:p w14:paraId="2A94A867">
      <w:pPr>
        <w:jc w:val="center"/>
        <w:rPr>
          <w:b/>
          <w:color w:val="000000" w:themeColor="text1"/>
          <w:sz w:val="44"/>
          <w:szCs w:val="44"/>
          <w14:textFill>
            <w14:solidFill>
              <w14:schemeClr w14:val="tx1"/>
            </w14:solidFill>
          </w14:textFill>
        </w:rPr>
      </w:pPr>
    </w:p>
    <w:p w14:paraId="59442243">
      <w:pPr>
        <w:jc w:val="center"/>
        <w:rPr>
          <w:b/>
          <w:color w:val="000000" w:themeColor="text1"/>
          <w:sz w:val="44"/>
          <w:szCs w:val="44"/>
          <w14:textFill>
            <w14:solidFill>
              <w14:schemeClr w14:val="tx1"/>
            </w14:solidFill>
          </w14:textFill>
        </w:rPr>
      </w:pPr>
    </w:p>
    <w:p w14:paraId="3DD30E17">
      <w:pPr>
        <w:jc w:val="center"/>
        <w:rPr>
          <w:rFonts w:eastAsia="宋体"/>
          <w:b/>
          <w:color w:val="000000" w:themeColor="text1"/>
          <w:sz w:val="44"/>
          <w:szCs w:val="44"/>
          <w14:textFill>
            <w14:solidFill>
              <w14:schemeClr w14:val="tx1"/>
            </w14:solidFill>
          </w14:textFill>
        </w:rPr>
      </w:pPr>
      <w:bookmarkStart w:id="1" w:name="_Hlk71465316"/>
      <w:r>
        <w:rPr>
          <w:rFonts w:hint="eastAsia" w:eastAsia="宋体"/>
          <w:b/>
          <w:color w:val="000000" w:themeColor="text1"/>
          <w:sz w:val="44"/>
          <w:szCs w:val="44"/>
          <w14:textFill>
            <w14:solidFill>
              <w14:schemeClr w14:val="tx1"/>
            </w14:solidFill>
          </w14:textFill>
        </w:rPr>
        <w:t>友和保险经纪有限公司</w:t>
      </w:r>
    </w:p>
    <w:bookmarkEnd w:id="1"/>
    <w:p w14:paraId="10DB7614">
      <w:pPr>
        <w:keepNext w:val="0"/>
        <w:keepLines w:val="0"/>
        <w:pageBreakBefore w:val="0"/>
        <w:widowControl/>
        <w:kinsoku/>
        <w:wordWrap/>
        <w:overflowPunct/>
        <w:topLinePunct w:val="0"/>
        <w:autoSpaceDE/>
        <w:autoSpaceDN/>
        <w:bidi w:val="0"/>
        <w:adjustRightInd/>
        <w:snapToGrid/>
        <w:spacing w:line="360" w:lineRule="auto"/>
        <w:ind w:firstLine="3600" w:firstLineChars="1500"/>
        <w:textAlignment w:val="auto"/>
        <w:outlineLvl w:val="1"/>
        <w:rPr>
          <w:rFonts w:ascii="宋体" w:hAnsi="宋体"/>
          <w:color w:val="FF0000"/>
          <w:sz w:val="30"/>
          <w:szCs w:val="30"/>
        </w:rPr>
      </w:pPr>
      <w:r>
        <w:rPr>
          <w:rFonts w:hint="eastAsia"/>
          <w:color w:val="000000" w:themeColor="text1"/>
          <w14:textFill>
            <w14:solidFill>
              <w14:schemeClr w14:val="tx1"/>
            </w14:solidFill>
          </w14:textFill>
        </w:rPr>
        <w:br w:type="page"/>
      </w:r>
      <w:r>
        <w:rPr>
          <w:rFonts w:hint="eastAsia" w:ascii="宋体" w:hAnsi="宋体" w:eastAsia="黑体"/>
          <w:b/>
          <w:bCs/>
          <w:color w:val="FF0000"/>
          <w:kern w:val="44"/>
          <w:sz w:val="30"/>
          <w:szCs w:val="30"/>
        </w:rPr>
        <w:t>警示条款</w:t>
      </w:r>
    </w:p>
    <w:p w14:paraId="09A8755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w:t>
      </w:r>
      <w:r>
        <w:rPr>
          <w:rFonts w:hint="eastAsia" w:ascii="宋体" w:hAnsi="宋体"/>
          <w:b/>
          <w:bCs/>
          <w:color w:val="000000" w:themeColor="text1"/>
          <w14:textFill>
            <w14:solidFill>
              <w14:schemeClr w14:val="tx1"/>
            </w14:solidFill>
          </w14:textFill>
        </w:rPr>
        <w:t>《深圳经济特区政府采购条例》第五十七条</w:t>
      </w:r>
      <w:r>
        <w:rPr>
          <w:rFonts w:hint="eastAsia" w:ascii="宋体" w:hAnsi="宋体"/>
          <w:color w:val="000000" w:themeColor="text1"/>
          <w14:textFill>
            <w14:solidFill>
              <w14:schemeClr w14:val="tx1"/>
            </w14:solidFill>
          </w14:textFill>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AC1E79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（一）在采购活动中应当回避而未回避的；</w:t>
      </w:r>
    </w:p>
    <w:p w14:paraId="2096840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（二）未按本条例规定签订、履行采购合同，造成严重后果的；</w:t>
      </w:r>
    </w:p>
    <w:p w14:paraId="104D3B1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（三）隐瞒真实情况，提供虚假资料的；</w:t>
      </w:r>
    </w:p>
    <w:p w14:paraId="2B760EFA">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（四）以非法手段排斥其他供应商参与竞争的；</w:t>
      </w:r>
    </w:p>
    <w:p w14:paraId="5CC58E7E">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（五）与其他采购参加人串通投标的；</w:t>
      </w:r>
    </w:p>
    <w:p w14:paraId="39D6A4F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（六）恶意投诉的；</w:t>
      </w:r>
    </w:p>
    <w:p w14:paraId="51E9A048">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（七）向采购项目相关人行贿或者提供其他不当利益的；</w:t>
      </w:r>
    </w:p>
    <w:p w14:paraId="39F4529C">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（八）阻碍、抗拒主管部门监督检查的；</w:t>
      </w:r>
    </w:p>
    <w:p w14:paraId="32F133C9">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（九）其他违反本条例规定的行为。</w:t>
      </w:r>
    </w:p>
    <w:p w14:paraId="4D6D65D9">
      <w:pPr>
        <w:ind w:firstLine="482" w:firstLineChars="200"/>
        <w:rPr>
          <w:rFonts w:ascii="宋体" w:hAnsi="宋体"/>
          <w:color w:val="000000" w:themeColor="text1"/>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二</w:t>
      </w:r>
      <w:r>
        <w:rPr>
          <w:rFonts w:hint="eastAsia" w:ascii="宋体" w:hAnsi="宋体"/>
          <w:b/>
          <w:bCs/>
          <w:color w:val="000000" w:themeColor="text1"/>
          <w14:textFill>
            <w14:solidFill>
              <w14:schemeClr w14:val="tx1"/>
            </w14:solidFill>
          </w14:textFill>
        </w:rPr>
        <w:t>、《深圳经济特区政府采购条例实施细则》第七十五条 </w:t>
      </w:r>
      <w:r>
        <w:rPr>
          <w:rFonts w:hint="eastAsia" w:ascii="宋体" w:hAnsi="宋体"/>
          <w:color w:val="000000" w:themeColor="text1"/>
          <w14:textFill>
            <w14:solidFill>
              <w14:schemeClr w14:val="tx1"/>
            </w14:solidFill>
          </w14:textFill>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61E0202A">
      <w:pPr>
        <w:ind w:firstLine="482" w:firstLineChars="200"/>
        <w:rPr>
          <w:rFonts w:ascii="宋体" w:hAnsi="宋体"/>
          <w:color w:val="000000" w:themeColor="text1"/>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三</w:t>
      </w:r>
      <w:r>
        <w:rPr>
          <w:rFonts w:hint="eastAsia" w:ascii="宋体" w:hAnsi="宋体"/>
          <w:b/>
          <w:bCs/>
          <w:color w:val="000000" w:themeColor="text1"/>
          <w14:textFill>
            <w14:solidFill>
              <w14:schemeClr w14:val="tx1"/>
            </w14:solidFill>
          </w14:textFill>
        </w:rPr>
        <w:t>、《深圳经济特区政府采购条例实施细则》第七十七条 </w:t>
      </w:r>
      <w:r>
        <w:rPr>
          <w:rFonts w:hint="eastAsia" w:ascii="宋体" w:hAnsi="宋体"/>
          <w:color w:val="000000" w:themeColor="text1"/>
          <w14:textFill>
            <w14:solidFill>
              <w14:schemeClr w14:val="tx1"/>
            </w14:solidFill>
          </w14:textFill>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783334E">
      <w:pPr>
        <w:ind w:firstLine="48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投标供应商不能提供项目负责人或者主要技术人员的劳动合同、社会保险等劳动关系证明材料的，视为存在前款第（三）项规定的情形。</w:t>
      </w:r>
    </w:p>
    <w:p w14:paraId="2FB5998A">
      <w:pPr>
        <w:ind w:firstLine="480" w:firstLineChars="200"/>
        <w:rPr>
          <w:rFonts w:hint="eastAsia" w:ascii="宋体" w:hAnsi="宋体" w:eastAsia="宋体" w:cs="Times New Roman"/>
          <w:color w:val="FF0000"/>
          <w:highlight w:val="none"/>
          <w:lang w:eastAsia="zh-CN"/>
        </w:rPr>
      </w:pPr>
      <w:r>
        <w:rPr>
          <w:rFonts w:hint="eastAsia" w:ascii="宋体" w:hAnsi="宋体" w:eastAsia="Times New Roman" w:cs="Times New Roman"/>
          <w:color w:val="FF0000"/>
          <w:highlight w:val="none"/>
        </w:rPr>
        <w:t>四、请投标供应商阅读《政府采购违法行为风险知悉确认书》（内容详见“投标文件附件（信息不公开部分）”中“投标人认为需要加以说明的其他内容（格式自定）”</w:t>
      </w:r>
      <w:r>
        <w:rPr>
          <w:rFonts w:hint="eastAsia" w:ascii="宋体" w:hAnsi="宋体" w:eastAsia="宋体" w:cs="Times New Roman"/>
          <w:color w:val="FF0000"/>
          <w:highlight w:val="none"/>
          <w:lang w:eastAsia="zh-CN"/>
        </w:rPr>
        <w:t>）</w:t>
      </w:r>
      <w:r>
        <w:rPr>
          <w:rFonts w:hint="eastAsia" w:ascii="宋体" w:hAnsi="宋体" w:eastAsia="Times New Roman" w:cs="Times New Roman"/>
          <w:color w:val="FF0000"/>
          <w:highlight w:val="none"/>
        </w:rPr>
        <w:t>，并经各投标供应商负责人或投标授权代表签字并加盖单位公章后，扫描上传至投标文件一并提交。</w:t>
      </w:r>
    </w:p>
    <w:p w14:paraId="5EEA196A">
      <w:pPr>
        <w:ind w:firstLine="480" w:firstLineChars="200"/>
        <w:rPr>
          <w:rFonts w:hint="eastAsia" w:ascii="宋体" w:hAnsi="宋体" w:eastAsia="Times New Roman" w:cs="Times New Roman"/>
          <w:color w:val="FF0000"/>
          <w:highlight w:val="none"/>
        </w:rPr>
      </w:pPr>
      <w:r>
        <w:rPr>
          <w:rFonts w:hint="eastAsia" w:ascii="宋体" w:hAnsi="宋体" w:eastAsia="Times New Roman" w:cs="Times New Roman"/>
          <w:color w:val="FF0000"/>
          <w:highlight w:val="none"/>
        </w:rPr>
        <w:t>注：该风险知悉确认书用于对供应商违法行为的警示，不作为供应商资格性审查及符合性审查条件。</w:t>
      </w:r>
    </w:p>
    <w:p w14:paraId="2125DB9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Times New Roman" w:cs="Times New Roman"/>
          <w:b w:val="0"/>
          <w:bCs w:val="0"/>
          <w:color w:val="000000" w:themeColor="text1"/>
          <w:highlight w:val="none"/>
          <w:lang w:val="en-US" w:eastAsia="zh-CN"/>
          <w14:textFill>
            <w14:solidFill>
              <w14:schemeClr w14:val="tx1"/>
            </w14:solidFill>
          </w14:textFill>
        </w:rPr>
      </w:pPr>
      <w:r>
        <w:rPr>
          <w:rFonts w:hint="eastAsia" w:ascii="宋体" w:hAnsi="宋体" w:eastAsia="Times New Roman" w:cs="Times New Roman"/>
          <w:b w:val="0"/>
          <w:bCs w:val="0"/>
          <w:color w:val="000000" w:themeColor="text1"/>
          <w:sz w:val="24"/>
          <w:szCs w:val="24"/>
          <w:highlight w:val="none"/>
          <w:lang w:val="en-US" w:eastAsia="zh-CN"/>
          <w14:textFill>
            <w14:solidFill>
              <w14:schemeClr w14:val="tx1"/>
            </w14:solidFill>
          </w14:textFill>
        </w:rPr>
        <w:t>五、</w:t>
      </w:r>
      <w:r>
        <w:rPr>
          <w:rFonts w:hint="eastAsia" w:ascii="宋体" w:hAnsi="宋体" w:eastAsia="Times New Roman" w:cs="Times New Roman"/>
          <w:b w:val="0"/>
          <w:bCs w:val="0"/>
          <w:color w:val="000000" w:themeColor="text1"/>
          <w:highlight w:val="none"/>
          <w14:textFill>
            <w14:solidFill>
              <w14:schemeClr w14:val="tx1"/>
            </w14:solidFill>
          </w14:textFill>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14:paraId="6CFCEB3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Times New Roman" w:cs="Times New Roman"/>
          <w:b w:val="0"/>
          <w:bCs w:val="0"/>
          <w:color w:val="000000" w:themeColor="text1"/>
          <w:highlight w:val="none"/>
          <w14:textFill>
            <w14:solidFill>
              <w14:schemeClr w14:val="tx1"/>
            </w14:solidFill>
          </w14:textFill>
        </w:rPr>
      </w:pPr>
      <w:r>
        <w:rPr>
          <w:rFonts w:hint="eastAsia" w:ascii="宋体" w:hAnsi="宋体" w:eastAsia="Times New Roman" w:cs="Times New Roman"/>
          <w:b w:val="0"/>
          <w:bCs w:val="0"/>
          <w:color w:val="000000" w:themeColor="text1"/>
          <w:highlight w:val="none"/>
          <w14:textFill>
            <w14:solidFill>
              <w14:schemeClr w14:val="tx1"/>
            </w14:solidFill>
          </w14:textFill>
        </w:rPr>
        <w:t>六、为避免出现不同供应商投标文件的文件制作机器码、文件创建标识码、IP 地址一致的异常情况，建议各供应商编制、上传投标文件时不要使用公共电脑设备或公共网络。</w:t>
      </w:r>
    </w:p>
    <w:p w14:paraId="70CBCCC6">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Times New Roman" w:cs="Times New Roman"/>
          <w:b w:val="0"/>
          <w:bCs w:val="0"/>
          <w:color w:val="000000" w:themeColor="text1"/>
          <w:highlight w:val="none"/>
          <w:lang w:val="en-US" w:eastAsia="zh-CN"/>
          <w14:textFill>
            <w14:solidFill>
              <w14:schemeClr w14:val="tx1"/>
            </w14:solidFill>
          </w14:textFill>
        </w:rPr>
      </w:pPr>
      <w:r>
        <w:rPr>
          <w:rFonts w:hint="eastAsia" w:ascii="宋体" w:hAnsi="宋体" w:eastAsia="Times New Roman" w:cs="Times New Roman"/>
          <w:b w:val="0"/>
          <w:bCs w:val="0"/>
          <w:color w:val="000000" w:themeColor="text1"/>
          <w:highlight w:val="none"/>
          <w14:textFill>
            <w14:solidFill>
              <w14:schemeClr w14:val="tx1"/>
            </w14:solidFill>
          </w14:textFill>
        </w:rPr>
        <w:t>七、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060497CD">
      <w:pPr>
        <w:rPr>
          <w:color w:val="000000" w:themeColor="text1"/>
          <w14:textFill>
            <w14:solidFill>
              <w14:schemeClr w14:val="tx1"/>
            </w14:solidFill>
          </w14:textFill>
        </w:rPr>
      </w:pPr>
    </w:p>
    <w:p w14:paraId="5C118A1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目   录</w:t>
      </w:r>
    </w:p>
    <w:p w14:paraId="4BC6E08E">
      <w:pPr>
        <w:spacing w:line="360" w:lineRule="auto"/>
        <w:outlineLvl w:val="1"/>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第一册  专用条款</w:t>
      </w:r>
    </w:p>
    <w:p w14:paraId="13485B0F">
      <w:pPr>
        <w:spacing w:line="360" w:lineRule="auto"/>
        <w:ind w:left="720" w:leftChars="300" w:firstLine="470" w:firstLineChars="196"/>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第一章  招标公告</w:t>
      </w:r>
    </w:p>
    <w:p w14:paraId="524935E0">
      <w:pPr>
        <w:spacing w:line="360" w:lineRule="auto"/>
        <w:ind w:left="720" w:leftChars="300" w:firstLine="470" w:firstLineChars="196"/>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第二章  </w:t>
      </w:r>
      <w:bookmarkStart w:id="2" w:name="_Hlk71994379"/>
      <w:r>
        <w:rPr>
          <w:rFonts w:hint="eastAsia" w:ascii="宋体" w:hAnsi="宋体" w:eastAsia="宋体"/>
          <w:color w:val="000000" w:themeColor="text1"/>
          <w:szCs w:val="21"/>
          <w14:textFill>
            <w14:solidFill>
              <w14:schemeClr w14:val="tx1"/>
            </w14:solidFill>
          </w14:textFill>
        </w:rPr>
        <w:t>对通用条款的补充内容及其他关键信息</w:t>
      </w:r>
      <w:bookmarkEnd w:id="2"/>
    </w:p>
    <w:p w14:paraId="227981B0">
      <w:pPr>
        <w:spacing w:line="360" w:lineRule="auto"/>
        <w:ind w:left="720" w:leftChars="300" w:firstLine="470" w:firstLineChars="196"/>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第三章  用户需求书</w:t>
      </w:r>
    </w:p>
    <w:p w14:paraId="5C2C1612">
      <w:pPr>
        <w:spacing w:line="360" w:lineRule="auto"/>
        <w:ind w:left="720" w:leftChars="300" w:firstLine="470" w:firstLineChars="196"/>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第四章  投标文件组成要求及格式</w:t>
      </w:r>
    </w:p>
    <w:p w14:paraId="21C087E9">
      <w:pPr>
        <w:spacing w:line="360" w:lineRule="auto"/>
        <w:ind w:left="720" w:leftChars="300" w:firstLine="470" w:firstLineChars="196"/>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第五章  合同条款及格式</w:t>
      </w:r>
    </w:p>
    <w:p w14:paraId="719F675E">
      <w:pPr>
        <w:rPr>
          <w:rFonts w:eastAsia="宋体"/>
        </w:rPr>
      </w:pPr>
    </w:p>
    <w:p w14:paraId="7D9F2F03">
      <w:pPr>
        <w:spacing w:line="360" w:lineRule="auto"/>
        <w:outlineLvl w:val="1"/>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第二册  通用条款</w:t>
      </w:r>
    </w:p>
    <w:p w14:paraId="6200EBE8">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第一章  总则</w:t>
      </w:r>
    </w:p>
    <w:p w14:paraId="0AF2D6EF">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第二章  招标文件</w:t>
      </w:r>
    </w:p>
    <w:p w14:paraId="52190CA5">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第三章  投标文件的编制</w:t>
      </w:r>
    </w:p>
    <w:p w14:paraId="1C980C1E">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第四章  投标文件的递交</w:t>
      </w:r>
    </w:p>
    <w:p w14:paraId="577DFA93">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第五章  开标</w:t>
      </w:r>
    </w:p>
    <w:p w14:paraId="721DFE66">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第六章  评审要求</w:t>
      </w:r>
    </w:p>
    <w:p w14:paraId="637148B1">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第七章  评审程序及评审方法</w:t>
      </w:r>
    </w:p>
    <w:p w14:paraId="1D3608CF">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第八章  定标及公示</w:t>
      </w:r>
    </w:p>
    <w:p w14:paraId="7895AB95">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第九章  公开招标失败的后续处理</w:t>
      </w:r>
    </w:p>
    <w:p w14:paraId="6BE092F2">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第十章  合同的授予与备案</w:t>
      </w:r>
    </w:p>
    <w:p w14:paraId="65EA6E0C">
      <w:pPr>
        <w:spacing w:line="360" w:lineRule="auto"/>
        <w:ind w:left="720" w:leftChars="300" w:firstLine="470" w:firstLineChars="196"/>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第十一章  质疑处理</w:t>
      </w:r>
    </w:p>
    <w:p w14:paraId="72F8E12C">
      <w:pPr>
        <w:spacing w:line="360" w:lineRule="auto"/>
        <w:ind w:firstLine="480" w:firstLineChars="200"/>
        <w:rPr>
          <w:rFonts w:ascii="宋体" w:hAnsi="宋体" w:eastAsia="宋体"/>
          <w:color w:val="000000" w:themeColor="text1"/>
          <w:szCs w:val="21"/>
          <w14:textFill>
            <w14:solidFill>
              <w14:schemeClr w14:val="tx1"/>
            </w14:solidFill>
          </w14:textFill>
        </w:rPr>
      </w:pPr>
    </w:p>
    <w:p w14:paraId="1E60710F">
      <w:pPr>
        <w:pStyle w:val="2"/>
        <w:rPr>
          <w:color w:val="000000" w:themeColor="text1"/>
          <w:sz w:val="24"/>
          <w14:textFill>
            <w14:solidFill>
              <w14:schemeClr w14:val="tx1"/>
            </w14:solidFill>
          </w14:textFill>
        </w:rPr>
      </w:pPr>
      <w:r>
        <w:rPr>
          <w:rFonts w:eastAsia="宋体"/>
          <w:color w:val="000000" w:themeColor="text1"/>
          <w14:textFill>
            <w14:solidFill>
              <w14:schemeClr w14:val="tx1"/>
            </w14:solidFill>
          </w14:textFill>
        </w:rPr>
        <w:br w:type="page"/>
      </w:r>
      <w:bookmarkStart w:id="3" w:name="bt投标文件签署授权委托书"/>
      <w:bookmarkEnd w:id="3"/>
      <w:bookmarkStart w:id="4" w:name="合同格式"/>
      <w:bookmarkEnd w:id="4"/>
      <w:bookmarkStart w:id="5" w:name="bt投标函"/>
      <w:bookmarkEnd w:id="5"/>
      <w:bookmarkStart w:id="6" w:name="bt投标人须知"/>
      <w:bookmarkEnd w:id="6"/>
      <w:bookmarkStart w:id="7" w:name="bt商务标投标文件格式"/>
      <w:bookmarkEnd w:id="7"/>
      <w:bookmarkStart w:id="8" w:name="bt说明"/>
      <w:bookmarkEnd w:id="8"/>
      <w:bookmarkStart w:id="9" w:name="bt合同条款"/>
      <w:bookmarkEnd w:id="9"/>
      <w:bookmarkStart w:id="10" w:name="bt投标人情况介绍"/>
      <w:bookmarkEnd w:id="10"/>
      <w:bookmarkStart w:id="11" w:name="bt项目管理班子配备情况"/>
      <w:bookmarkEnd w:id="11"/>
      <w:bookmarkStart w:id="12" w:name="bt其他资料2"/>
      <w:bookmarkEnd w:id="12"/>
      <w:bookmarkStart w:id="13" w:name="bt开标一览表"/>
      <w:bookmarkEnd w:id="13"/>
      <w:bookmarkStart w:id="14" w:name="bt投标报价汇总表"/>
      <w:bookmarkEnd w:id="14"/>
      <w:bookmarkStart w:id="15" w:name="bt本工程承诺书"/>
      <w:bookmarkEnd w:id="15"/>
      <w:bookmarkStart w:id="16" w:name="bt合同格式"/>
      <w:bookmarkEnd w:id="16"/>
      <w:bookmarkStart w:id="17" w:name="bt合同条款及格式"/>
      <w:bookmarkEnd w:id="17"/>
      <w:bookmarkStart w:id="18" w:name="bt其他资料由投标人自定"/>
      <w:bookmarkEnd w:id="18"/>
      <w:bookmarkStart w:id="19" w:name="bt技术标投标文件格式"/>
      <w:bookmarkEnd w:id="19"/>
      <w:r>
        <w:rPr>
          <w:rFonts w:hint="eastAsia"/>
          <w:color w:val="000000" w:themeColor="text1"/>
          <w14:textFill>
            <w14:solidFill>
              <w14:schemeClr w14:val="tx1"/>
            </w14:solidFill>
          </w14:textFill>
        </w:rPr>
        <w:t>第一册专用条款</w:t>
      </w:r>
    </w:p>
    <w:p w14:paraId="187CB1E2">
      <w:pPr>
        <w:pStyle w:val="5"/>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第一章  </w:t>
      </w:r>
      <w:r>
        <w:rPr>
          <w:rFonts w:hint="eastAsia" w:cs="宋体"/>
          <w:b/>
          <w:bCs/>
          <w:color w:val="000000" w:themeColor="text1"/>
          <w:szCs w:val="21"/>
          <w14:textFill>
            <w14:solidFill>
              <w14:schemeClr w14:val="tx1"/>
            </w14:solidFill>
          </w14:textFill>
        </w:rPr>
        <w:t>招标公告</w:t>
      </w:r>
      <w:r>
        <w:rPr>
          <w:rFonts w:hint="eastAsia"/>
          <w:b/>
          <w:bCs/>
          <w:color w:val="000000" w:themeColor="text1"/>
          <w14:textFill>
            <w14:solidFill>
              <w14:schemeClr w14:val="tx1"/>
            </w14:solidFill>
          </w14:textFill>
        </w:rPr>
        <w:t xml:space="preserve">  </w:t>
      </w:r>
    </w:p>
    <w:p w14:paraId="07857A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本公告内涉及时间的相关内容均已对外发布的招标公告内容为准</w:t>
      </w:r>
    </w:p>
    <w:p w14:paraId="135C26B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p>
    <w:p w14:paraId="0736639C">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一、项目概况：</w:t>
      </w:r>
    </w:p>
    <w:p w14:paraId="36F8FA8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color w:val="FF0000"/>
          <w:highlight w:val="yellow"/>
          <w:u w:val="single"/>
          <w:lang w:val="en-US" w:eastAsia="zh-CN"/>
        </w:rPr>
        <w:t>2025年交通监控设施维护D包</w:t>
      </w:r>
      <w:r>
        <w:rPr>
          <w:rFonts w:hint="eastAsia" w:ascii="宋体" w:hAnsi="宋体" w:eastAsia="宋体" w:cs="宋体"/>
        </w:rPr>
        <w:t>的潜在投标人应在（本公告附件中）获取招标文件，于</w:t>
      </w:r>
      <w:r>
        <w:rPr>
          <w:rFonts w:hint="eastAsia" w:ascii="宋体" w:hAnsi="宋体" w:eastAsia="宋体" w:cs="宋体"/>
          <w:color w:val="FF0000"/>
          <w:highlight w:val="yellow"/>
          <w:lang w:eastAsia="zh-CN"/>
        </w:rPr>
        <w:t>202</w:t>
      </w:r>
      <w:r>
        <w:rPr>
          <w:rFonts w:hint="eastAsia" w:ascii="宋体" w:hAnsi="宋体" w:eastAsia="宋体" w:cs="宋体"/>
          <w:color w:val="FF0000"/>
          <w:highlight w:val="yellow"/>
          <w:lang w:val="en-US" w:eastAsia="zh-CN"/>
        </w:rPr>
        <w:t>5</w:t>
      </w:r>
      <w:r>
        <w:rPr>
          <w:rFonts w:hint="eastAsia" w:ascii="宋体" w:hAnsi="宋体" w:eastAsia="宋体" w:cs="宋体"/>
          <w:color w:val="FF0000"/>
          <w:highlight w:val="yellow"/>
          <w:lang w:eastAsia="zh-CN"/>
        </w:rPr>
        <w:t>年</w:t>
      </w:r>
      <w:r>
        <w:rPr>
          <w:rFonts w:hint="eastAsia" w:ascii="宋体" w:hAnsi="宋体" w:eastAsia="宋体" w:cs="宋体"/>
          <w:color w:val="FF0000"/>
          <w:highlight w:val="yellow"/>
          <w:lang w:val="en-US" w:eastAsia="zh-CN"/>
        </w:rPr>
        <w:t>X</w:t>
      </w:r>
      <w:r>
        <w:rPr>
          <w:rFonts w:hint="eastAsia" w:ascii="宋体" w:hAnsi="宋体" w:eastAsia="宋体" w:cs="宋体"/>
          <w:color w:val="FF0000"/>
          <w:highlight w:val="yellow"/>
          <w:lang w:eastAsia="zh-CN"/>
        </w:rPr>
        <w:t>月</w:t>
      </w:r>
      <w:r>
        <w:rPr>
          <w:rFonts w:hint="eastAsia" w:ascii="宋体" w:hAnsi="宋体" w:eastAsia="宋体" w:cs="宋体"/>
          <w:color w:val="FF0000"/>
          <w:highlight w:val="yellow"/>
          <w:lang w:val="en-US" w:eastAsia="zh-CN"/>
        </w:rPr>
        <w:t>X</w:t>
      </w:r>
      <w:r>
        <w:rPr>
          <w:rFonts w:hint="eastAsia" w:ascii="宋体" w:hAnsi="宋体" w:eastAsia="宋体" w:cs="宋体"/>
          <w:color w:val="FF0000"/>
          <w:highlight w:val="yellow"/>
          <w:lang w:eastAsia="zh-CN"/>
        </w:rPr>
        <w:t>日</w:t>
      </w:r>
      <w:r>
        <w:rPr>
          <w:rFonts w:hint="eastAsia" w:ascii="宋体" w:hAnsi="宋体" w:eastAsia="宋体" w:cs="宋体"/>
          <w:color w:val="FF0000"/>
          <w:highlight w:val="yellow"/>
          <w:lang w:val="en-US" w:eastAsia="zh-CN"/>
        </w:rPr>
        <w:t>XX时XX分XX秒</w:t>
      </w:r>
      <w:r>
        <w:rPr>
          <w:rFonts w:hint="eastAsia" w:ascii="宋体" w:hAnsi="宋体" w:eastAsia="宋体" w:cs="宋体"/>
        </w:rPr>
        <w:t>（北京时间）前递交投标文件。</w:t>
      </w:r>
    </w:p>
    <w:p w14:paraId="061174E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一、项目基本情况</w:t>
      </w:r>
    </w:p>
    <w:p w14:paraId="1BE65C9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lang w:val="en-US" w:eastAsia="zh-CN"/>
        </w:rPr>
      </w:pPr>
      <w:r>
        <w:rPr>
          <w:rFonts w:hint="eastAsia" w:ascii="宋体" w:hAnsi="宋体" w:eastAsia="宋体" w:cs="宋体"/>
        </w:rPr>
        <w:t>1.项目编号：</w:t>
      </w:r>
      <w:r>
        <w:rPr>
          <w:rFonts w:hint="eastAsia" w:ascii="宋体" w:hAnsi="宋体" w:eastAsia="宋体" w:cs="宋体"/>
          <w:color w:val="FF0000"/>
          <w:highlight w:val="yellow"/>
          <w:u w:val="single"/>
          <w:lang w:val="en-US" w:eastAsia="zh-CN"/>
        </w:rPr>
        <w:t>SZDL2025000085</w:t>
      </w:r>
    </w:p>
    <w:p w14:paraId="3D1DAD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highlight w:val="yellow"/>
          <w:u w:val="single"/>
          <w:lang w:val="en-US" w:eastAsia="zh-CN"/>
        </w:rPr>
      </w:pPr>
      <w:r>
        <w:rPr>
          <w:rFonts w:hint="eastAsia" w:ascii="宋体" w:hAnsi="宋体" w:eastAsia="宋体" w:cs="宋体"/>
        </w:rPr>
        <w:t>2.项目名称：</w:t>
      </w:r>
      <w:r>
        <w:rPr>
          <w:rFonts w:hint="eastAsia" w:ascii="宋体" w:hAnsi="宋体" w:eastAsia="宋体" w:cs="宋体"/>
          <w:color w:val="FF0000"/>
          <w:highlight w:val="yellow"/>
          <w:u w:val="single"/>
          <w:lang w:val="en-US" w:eastAsia="zh-CN"/>
        </w:rPr>
        <w:t>2025年交通监控设施维护</w:t>
      </w:r>
    </w:p>
    <w:p w14:paraId="495693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lang w:val="en-US" w:eastAsia="zh-CN"/>
        </w:rPr>
      </w:pPr>
      <w:r>
        <w:rPr>
          <w:rFonts w:hint="eastAsia" w:ascii="宋体" w:hAnsi="宋体" w:eastAsia="宋体" w:cs="宋体"/>
          <w:color w:val="FF0000"/>
          <w:highlight w:val="yellow"/>
          <w:u w:val="single"/>
          <w:lang w:val="en-US" w:eastAsia="zh-CN"/>
        </w:rPr>
        <w:t>3.包    号：D包</w:t>
      </w:r>
    </w:p>
    <w:p w14:paraId="2DD4545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3.预算金额：</w:t>
      </w:r>
      <w:r>
        <w:rPr>
          <w:rFonts w:hint="eastAsia" w:ascii="宋体" w:hAnsi="宋体" w:eastAsia="宋体" w:cs="宋体"/>
          <w:color w:val="FF0000"/>
          <w:highlight w:val="yellow"/>
          <w:lang w:val="en-US" w:eastAsia="zh-CN"/>
        </w:rPr>
        <w:t>5,627,430.62元</w:t>
      </w:r>
    </w:p>
    <w:p w14:paraId="0B509B1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4.最高限价：</w:t>
      </w:r>
      <w:r>
        <w:rPr>
          <w:rFonts w:hint="eastAsia" w:ascii="宋体" w:hAnsi="宋体" w:eastAsia="宋体" w:cs="宋体"/>
          <w:color w:val="FF0000"/>
          <w:highlight w:val="yellow"/>
          <w:lang w:val="en-US" w:eastAsia="zh-CN"/>
        </w:rPr>
        <w:t>5,627,430.62元</w:t>
      </w:r>
    </w:p>
    <w:p w14:paraId="431EBC8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5.采购需求：</w:t>
      </w:r>
    </w:p>
    <w:tbl>
      <w:tblPr>
        <w:tblStyle w:val="17"/>
        <w:tblW w:w="7941" w:type="dxa"/>
        <w:tblInd w:w="0" w:type="dxa"/>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2228"/>
        <w:gridCol w:w="714"/>
        <w:gridCol w:w="714"/>
        <w:gridCol w:w="3571"/>
        <w:gridCol w:w="714"/>
      </w:tblGrid>
      <w:tr w14:paraId="3116E51E">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AF24B17">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标的名称</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715C43DE">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数量</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99E8C94">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单位</w:t>
            </w:r>
          </w:p>
        </w:tc>
        <w:tc>
          <w:tcPr>
            <w:tcW w:w="357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5521A34">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简要技术需求（服务需求）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171866C">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备注</w:t>
            </w:r>
          </w:p>
        </w:tc>
      </w:tr>
      <w:tr w14:paraId="7A8000F6">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c>
          <w:tcPr>
            <w:tcW w:w="2228" w:type="dxa"/>
            <w:tcBorders>
              <w:top w:val="outset" w:color="AAAAAA" w:sz="6" w:space="0"/>
              <w:left w:val="outset" w:color="AAAAAA" w:sz="6" w:space="0"/>
              <w:bottom w:val="outset" w:color="AAAAAA" w:sz="6" w:space="0"/>
              <w:right w:val="outset" w:color="AAAAAA" w:sz="6" w:space="0"/>
            </w:tcBorders>
            <w:vAlign w:val="center"/>
          </w:tcPr>
          <w:p w14:paraId="68898236">
            <w:pPr>
              <w:keepNext w:val="0"/>
              <w:keepLines w:val="0"/>
              <w:widowControl/>
              <w:suppressLineNumbers w:val="0"/>
              <w:spacing w:before="100" w:beforeAutospacing="1" w:after="100" w:afterAutospacing="1"/>
              <w:ind w:left="0" w:right="0"/>
              <w:jc w:val="center"/>
              <w:rPr>
                <w:rFonts w:hint="eastAsia" w:cs="宋体" w:asciiTheme="minorEastAsia" w:hAnsiTheme="minorEastAsia" w:eastAsiaTheme="minorEastAsia"/>
                <w:szCs w:val="21"/>
                <w:highlight w:val="yellow"/>
                <w:lang w:eastAsia="zh-CN"/>
              </w:rPr>
            </w:pPr>
            <w:r>
              <w:rPr>
                <w:rFonts w:hint="eastAsia" w:ascii="宋体" w:hAnsi="宋体" w:eastAsia="宋体" w:cs="宋体"/>
                <w:color w:val="FF0000"/>
                <w:highlight w:val="yellow"/>
                <w:u w:val="single"/>
                <w:lang w:val="en-US" w:eastAsia="zh-CN"/>
              </w:rPr>
              <w:t>2025年交通监控设施维护D包</w:t>
            </w:r>
          </w:p>
        </w:tc>
        <w:tc>
          <w:tcPr>
            <w:tcW w:w="714" w:type="dxa"/>
            <w:tcBorders>
              <w:top w:val="outset" w:color="AAAAAA" w:sz="6" w:space="0"/>
              <w:left w:val="outset" w:color="AAAAAA" w:sz="6" w:space="0"/>
              <w:bottom w:val="outset" w:color="AAAAAA" w:sz="6" w:space="0"/>
              <w:right w:val="outset" w:color="AAAAAA" w:sz="6" w:space="0"/>
            </w:tcBorders>
            <w:vAlign w:val="center"/>
          </w:tcPr>
          <w:p w14:paraId="0C59999A">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yellow"/>
              </w:rPr>
            </w:pPr>
            <w:r>
              <w:rPr>
                <w:rFonts w:hint="default" w:cs="宋体" w:asciiTheme="minorEastAsia" w:hAnsiTheme="minorEastAsia" w:eastAsiaTheme="minorEastAsia"/>
                <w:szCs w:val="21"/>
                <w:highlight w:val="yellow"/>
              </w:rPr>
              <w:t>1.0</w:t>
            </w:r>
          </w:p>
        </w:tc>
        <w:tc>
          <w:tcPr>
            <w:tcW w:w="714" w:type="dxa"/>
            <w:tcBorders>
              <w:top w:val="outset" w:color="AAAAAA" w:sz="6" w:space="0"/>
              <w:left w:val="outset" w:color="AAAAAA" w:sz="6" w:space="0"/>
              <w:bottom w:val="outset" w:color="AAAAAA" w:sz="6" w:space="0"/>
              <w:right w:val="outset" w:color="AAAAAA" w:sz="6" w:space="0"/>
            </w:tcBorders>
            <w:vAlign w:val="center"/>
          </w:tcPr>
          <w:p w14:paraId="04142229">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yellow"/>
              </w:rPr>
            </w:pPr>
            <w:r>
              <w:rPr>
                <w:rFonts w:hint="default" w:cs="宋体" w:asciiTheme="minorEastAsia" w:hAnsiTheme="minorEastAsia" w:eastAsiaTheme="minorEastAsia"/>
                <w:szCs w:val="21"/>
                <w:highlight w:val="yellow"/>
              </w:rPr>
              <w:t>项</w:t>
            </w:r>
          </w:p>
        </w:tc>
        <w:tc>
          <w:tcPr>
            <w:tcW w:w="3571" w:type="dxa"/>
            <w:tcBorders>
              <w:top w:val="outset" w:color="AAAAAA" w:sz="6" w:space="0"/>
              <w:left w:val="outset" w:color="AAAAAA" w:sz="6" w:space="0"/>
              <w:bottom w:val="outset" w:color="AAAAAA" w:sz="6" w:space="0"/>
              <w:right w:val="outset" w:color="AAAAAA" w:sz="6" w:space="0"/>
            </w:tcBorders>
            <w:vAlign w:val="center"/>
          </w:tcPr>
          <w:p w14:paraId="4EA6A456">
            <w:pPr>
              <w:keepNext w:val="0"/>
              <w:keepLines w:val="0"/>
              <w:widowControl/>
              <w:suppressLineNumbers w:val="0"/>
              <w:spacing w:before="100" w:beforeAutospacing="1" w:after="100" w:afterAutospacing="1"/>
              <w:ind w:left="0" w:right="0"/>
              <w:jc w:val="center"/>
              <w:rPr>
                <w:rFonts w:hint="default" w:cs="宋体" w:asciiTheme="minorEastAsia" w:hAnsiTheme="minorEastAsia" w:eastAsiaTheme="minorEastAsia"/>
                <w:szCs w:val="21"/>
                <w:highlight w:val="yellow"/>
              </w:rPr>
            </w:pPr>
            <w:r>
              <w:rPr>
                <w:rFonts w:hint="default" w:cs="宋体" w:asciiTheme="minorEastAsia" w:hAnsiTheme="minorEastAsia" w:eastAsiaTheme="minorEastAsia"/>
                <w:szCs w:val="21"/>
                <w:highlight w:val="yellow"/>
              </w:rPr>
              <w:t>详见采购文件</w:t>
            </w:r>
          </w:p>
        </w:tc>
        <w:tc>
          <w:tcPr>
            <w:tcW w:w="714" w:type="dxa"/>
            <w:tcBorders>
              <w:top w:val="outset" w:color="AAAAAA" w:sz="6" w:space="0"/>
              <w:left w:val="outset" w:color="AAAAAA" w:sz="6" w:space="0"/>
              <w:bottom w:val="outset" w:color="AAAAAA" w:sz="6" w:space="0"/>
              <w:right w:val="outset" w:color="AAAAAA" w:sz="6" w:space="0"/>
            </w:tcBorders>
            <w:vAlign w:val="center"/>
          </w:tcPr>
          <w:p w14:paraId="085D3E50">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szCs w:val="21"/>
              </w:rPr>
            </w:pPr>
          </w:p>
        </w:tc>
      </w:tr>
    </w:tbl>
    <w:p w14:paraId="24B72E6E">
      <w:pPr>
        <w:spacing w:line="400" w:lineRule="exact"/>
        <w:ind w:firstLine="480" w:firstLineChars="200"/>
        <w:rPr>
          <w:rFonts w:hint="eastAsia" w:ascii="宋体" w:hAnsi="宋体" w:eastAsia="宋体" w:cs="宋体"/>
        </w:rPr>
      </w:pPr>
      <w:r>
        <w:rPr>
          <w:rFonts w:hint="eastAsia" w:ascii="宋体" w:hAnsi="宋体" w:eastAsia="宋体" w:cs="宋体"/>
        </w:rPr>
        <w:t>6.合同履行期限：详见招标文件。</w:t>
      </w:r>
    </w:p>
    <w:p w14:paraId="0C6F47DE">
      <w:pPr>
        <w:spacing w:line="400" w:lineRule="exact"/>
        <w:ind w:firstLine="480" w:firstLineChars="200"/>
        <w:rPr>
          <w:rFonts w:hint="eastAsia" w:ascii="宋体" w:hAnsi="宋体" w:eastAsia="宋体" w:cs="宋体"/>
        </w:rPr>
      </w:pPr>
      <w:r>
        <w:rPr>
          <w:rFonts w:hint="eastAsia" w:ascii="宋体" w:hAnsi="宋体" w:eastAsia="宋体" w:cs="宋体"/>
        </w:rPr>
        <w:t>7.本项目</w:t>
      </w:r>
      <w:r>
        <w:rPr>
          <w:rFonts w:hint="eastAsia" w:ascii="宋体" w:hAnsi="宋体" w:eastAsia="宋体" w:cs="宋体"/>
          <w:lang w:val="en-US" w:eastAsia="zh-CN"/>
        </w:rPr>
        <w:t>不</w:t>
      </w:r>
      <w:r>
        <w:rPr>
          <w:rFonts w:hint="eastAsia" w:ascii="宋体" w:hAnsi="宋体" w:eastAsia="宋体" w:cs="宋体"/>
        </w:rPr>
        <w:t>接受联合体投标。</w:t>
      </w:r>
    </w:p>
    <w:p w14:paraId="4200FE54">
      <w:pPr>
        <w:spacing w:beforeLines="0" w:afterLines="0" w:line="240" w:lineRule="auto"/>
        <w:rPr>
          <w:rFonts w:hint="eastAsia" w:ascii="宋体" w:hAnsi="宋体" w:eastAsia="宋体" w:cs="宋体"/>
          <w:b/>
          <w:color w:val="000000" w:themeColor="text1"/>
          <w:szCs w:val="21"/>
          <w:lang w:eastAsia="zh-CN"/>
          <w14:textFill>
            <w14:solidFill>
              <w14:schemeClr w14:val="tx1"/>
            </w14:solidFill>
          </w14:textFill>
        </w:rPr>
      </w:pPr>
    </w:p>
    <w:p w14:paraId="0A95CFBA">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eastAsia="zh-CN"/>
          <w14:textFill>
            <w14:solidFill>
              <w14:schemeClr w14:val="tx1"/>
            </w14:solidFill>
          </w14:textFill>
        </w:rPr>
        <w:t>二、</w:t>
      </w:r>
      <w:r>
        <w:rPr>
          <w:rFonts w:hint="eastAsia" w:ascii="宋体" w:hAnsi="宋体" w:eastAsia="宋体" w:cs="宋体"/>
          <w:b/>
          <w:color w:val="000000" w:themeColor="text1"/>
          <w:szCs w:val="21"/>
          <w14:textFill>
            <w14:solidFill>
              <w14:schemeClr w14:val="tx1"/>
            </w14:solidFill>
          </w14:textFill>
        </w:rPr>
        <w:t>投标人的资格要求：</w:t>
      </w:r>
    </w:p>
    <w:p w14:paraId="306AEFF3">
      <w:pPr>
        <w:spacing w:beforeLines="0" w:afterLines="0"/>
        <w:ind w:firstLine="480" w:firstLineChars="200"/>
        <w:jc w:val="both"/>
        <w:rPr>
          <w:rFonts w:hint="eastAsia" w:ascii="宋体" w:hAnsi="宋体" w:eastAsia="宋体"/>
        </w:rPr>
      </w:pPr>
      <w:r>
        <w:rPr>
          <w:rFonts w:hint="eastAsia" w:ascii="宋体" w:hAnsi="宋体" w:eastAsia="宋体"/>
        </w:rPr>
        <w:t>1.投标人必须是具有独立法人资格或经其授权具有承接本项目能力的分支机构，或为具有独立承担民事责任能力的其它组织（提供营业执照或事业单位法人证书或其他证明材料，如果是分支机构投标，还须同时提供其具备独立法人资格的上级主体出具的有效授权书）。本项目不接受总公司与分支机构同时参与投标，也不接受同一总公司有两个或以上分支机构参与投标；如出现以上情形，该两家或以上投标人的投标文件均按无效投标处理；</w:t>
      </w:r>
    </w:p>
    <w:p w14:paraId="5B193297">
      <w:pPr>
        <w:spacing w:beforeLines="0" w:afterLines="0"/>
        <w:ind w:firstLine="480" w:firstLineChars="200"/>
        <w:jc w:val="both"/>
        <w:rPr>
          <w:rFonts w:hint="eastAsia" w:ascii="宋体" w:hAnsi="宋体" w:eastAsia="宋体"/>
        </w:rPr>
      </w:pPr>
      <w:r>
        <w:rPr>
          <w:rFonts w:hint="eastAsia" w:ascii="宋体" w:hAnsi="宋体" w:eastAsia="宋体"/>
        </w:rPr>
        <w:t>2.具备政府部门颁发的机电工程施工总承包三级及以上资质或公路交通工程（公路机电工程分项）专业承包二级及以上资质（提供证书扫描件，原件备查）。</w:t>
      </w:r>
    </w:p>
    <w:p w14:paraId="03298578">
      <w:pPr>
        <w:spacing w:beforeLines="0" w:afterLines="0"/>
        <w:ind w:firstLine="480" w:firstLineChars="200"/>
        <w:jc w:val="both"/>
        <w:rPr>
          <w:rFonts w:hint="eastAsia" w:ascii="宋体" w:hAnsi="宋体" w:eastAsia="宋体"/>
        </w:rPr>
      </w:pPr>
      <w:r>
        <w:rPr>
          <w:rFonts w:hint="eastAsia" w:ascii="宋体" w:hAnsi="宋体" w:eastAsia="宋体"/>
        </w:rPr>
        <w:t>3.本项目不接受联合体投标，不接受进口产品参与投标（由供应商在《政府采购投标及履约承诺函》中作出声明）；</w:t>
      </w:r>
    </w:p>
    <w:p w14:paraId="646D4D42">
      <w:pPr>
        <w:spacing w:beforeLines="0" w:afterLines="0"/>
        <w:ind w:firstLine="480" w:firstLineChars="200"/>
        <w:jc w:val="both"/>
        <w:rPr>
          <w:rFonts w:hint="eastAsia" w:ascii="宋体" w:hAnsi="宋体" w:eastAsia="宋体"/>
        </w:rPr>
      </w:pPr>
      <w:r>
        <w:rPr>
          <w:rFonts w:hint="eastAsia" w:ascii="宋体" w:hAnsi="宋体" w:eastAsia="宋体"/>
        </w:rPr>
        <w:t>4.参与本项目政府采购活动时不存在被有关部门禁止参与政府采购活动且在有效期内的情况（由供应商在《政府采购投标及履约承诺函》中作出声明）；</w:t>
      </w:r>
    </w:p>
    <w:p w14:paraId="4E3A3E6B">
      <w:pPr>
        <w:spacing w:beforeLines="0" w:afterLines="0"/>
        <w:ind w:firstLine="480" w:firstLineChars="200"/>
        <w:jc w:val="both"/>
        <w:rPr>
          <w:rFonts w:hint="eastAsia" w:ascii="宋体" w:hAnsi="宋体" w:eastAsia="宋体"/>
        </w:rPr>
      </w:pPr>
      <w:r>
        <w:rPr>
          <w:rFonts w:hint="eastAsia" w:ascii="宋体" w:hAnsi="宋体" w:eastAsia="宋体"/>
        </w:rPr>
        <w:t>5.具备《中华人民共和国政府采购法》第二十二条第一款的条件（由供应商在《政府采购投标及履约承诺函》中作出声明）；</w:t>
      </w:r>
    </w:p>
    <w:p w14:paraId="196AD510">
      <w:pPr>
        <w:spacing w:beforeLines="0" w:afterLines="0"/>
        <w:ind w:firstLine="480" w:firstLineChars="200"/>
        <w:jc w:val="both"/>
        <w:rPr>
          <w:rFonts w:hint="eastAsia" w:ascii="宋体" w:hAnsi="宋体" w:eastAsia="宋体"/>
        </w:rPr>
      </w:pPr>
      <w:r>
        <w:rPr>
          <w:rFonts w:hint="eastAsia" w:ascii="宋体" w:hAnsi="宋体" w:eastAsia="宋体"/>
        </w:rPr>
        <w:t>6.未被列入失信被执行人、重大税收违法失信主体、政府采购严重违法失信行为记录名单（由供应商在《政府采购投标及履约承诺函》中作出声明）。</w:t>
      </w:r>
    </w:p>
    <w:p w14:paraId="61E2F9A3">
      <w:pPr>
        <w:spacing w:beforeLines="0" w:afterLines="0"/>
        <w:ind w:firstLine="480" w:firstLineChars="200"/>
        <w:jc w:val="both"/>
        <w:rPr>
          <w:rFonts w:hint="eastAsia" w:ascii="宋体" w:hAnsi="宋体" w:eastAsia="宋体"/>
        </w:rPr>
      </w:pPr>
      <w:r>
        <w:rPr>
          <w:rFonts w:hint="eastAsia" w:ascii="宋体" w:hAnsi="宋体" w:eastAsia="宋体"/>
        </w:rPr>
        <w:t>7.单位法定代表人（负责人）为同一人或者存在直接控股、管理关系的不同供应商，不得同时参加本项目投标（由供应商在《政府采购投标及履约承诺函》中作出声明）【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14:paraId="4836B79D">
      <w:pPr>
        <w:spacing w:beforeLines="0" w:afterLines="0"/>
        <w:ind w:firstLine="480" w:firstLineChars="200"/>
        <w:jc w:val="both"/>
        <w:rPr>
          <w:rFonts w:hint="eastAsia" w:ascii="宋体" w:hAnsi="宋体" w:eastAsia="宋体"/>
        </w:rPr>
      </w:pPr>
      <w:r>
        <w:rPr>
          <w:rFonts w:hint="eastAsia" w:ascii="宋体" w:hAnsi="宋体" w:eastAsia="宋体"/>
        </w:rPr>
        <w:t>8.不存在《深圳市财政局政府采购供应商信用信息管理办法》（深财规〔2023〕3 号）列明的严重违法失信行为（由供应商在《政府采购投标及履约承诺函》中作出声明）；</w:t>
      </w:r>
    </w:p>
    <w:p w14:paraId="45640D11">
      <w:pPr>
        <w:spacing w:beforeLines="0" w:afterLines="0"/>
        <w:ind w:firstLine="480" w:firstLineChars="200"/>
        <w:jc w:val="both"/>
        <w:rPr>
          <w:rFonts w:hint="eastAsia" w:ascii="宋体" w:hAnsi="宋体" w:eastAsia="宋体"/>
        </w:rPr>
      </w:pPr>
      <w:r>
        <w:rPr>
          <w:rFonts w:hint="eastAsia" w:ascii="宋体" w:hAnsi="宋体" w:eastAsia="宋体"/>
        </w:rPr>
        <w:t>9.为本项目提供整体设计、规范编制或者项目管理、监理、检测等服务的供应商，不得参加本项目投标。（由供应商在《政府采购投标及履约承诺函》中作出声明）；</w:t>
      </w:r>
    </w:p>
    <w:p w14:paraId="50CAE8E5">
      <w:pPr>
        <w:spacing w:beforeLines="0" w:afterLines="0"/>
        <w:ind w:firstLine="480" w:firstLineChars="200"/>
        <w:jc w:val="both"/>
        <w:rPr>
          <w:rFonts w:hint="eastAsia" w:ascii="宋体" w:hAnsi="宋体" w:eastAsia="宋体"/>
        </w:rPr>
      </w:pPr>
      <w:r>
        <w:rPr>
          <w:rFonts w:hint="eastAsia" w:ascii="宋体" w:hAnsi="宋体" w:eastAsia="宋体"/>
        </w:rPr>
        <w:t>10.本项目是否专门面向中小微企业采购：否；</w:t>
      </w:r>
    </w:p>
    <w:p w14:paraId="204F5AF4">
      <w:pPr>
        <w:spacing w:beforeLines="0" w:afterLines="0"/>
        <w:ind w:firstLine="480" w:firstLineChars="200"/>
        <w:jc w:val="both"/>
        <w:rPr>
          <w:rFonts w:hint="eastAsia" w:cs="宋体" w:asciiTheme="minorEastAsia" w:hAnsiTheme="minorEastAsia" w:eastAsiaTheme="minorEastAsia"/>
          <w:szCs w:val="21"/>
        </w:rPr>
      </w:pPr>
      <w:r>
        <w:rPr>
          <w:rFonts w:hint="eastAsia" w:ascii="宋体" w:hAnsi="宋体" w:eastAsia="宋体"/>
        </w:rPr>
        <w:t>11.本项目分为A、B、C、D四个分包，采取“兼投不兼中”原则。投标人可根据自身情况，对两个（或以上）分包分别投标，但是只允许中标一个分包。当出现甲公司对两个（或以上）分包均有投标时，按A包、B包、C包、D包的顺序，在前面分包已有中标时，后面分包均不再具有投标资格（在符合性审查中将做审查不通过处理）。即当甲公司为 A 包中标人时，B包不再具有投标资格，以此类推</w:t>
      </w:r>
      <w:r>
        <w:rPr>
          <w:rFonts w:hint="eastAsia" w:cs="宋体" w:asciiTheme="minorEastAsia" w:hAnsiTheme="minorEastAsia" w:eastAsiaTheme="minorEastAsia"/>
          <w:szCs w:val="21"/>
        </w:rPr>
        <w:t>。</w:t>
      </w:r>
    </w:p>
    <w:p w14:paraId="749181CD">
      <w:pPr>
        <w:pStyle w:val="6"/>
        <w:rPr>
          <w:rFonts w:hint="eastAsia"/>
          <w:lang w:eastAsia="zh-CN"/>
        </w:rPr>
      </w:pPr>
    </w:p>
    <w:p w14:paraId="27CD4E4D">
      <w:pPr>
        <w:pStyle w:val="8"/>
        <w:spacing w:beforeLines="0" w:after="0" w:afterLines="0" w:line="240" w:lineRule="auto"/>
        <w:ind w:firstLine="482" w:firstLineChars="200"/>
        <w:rPr>
          <w:rFonts w:ascii="宋体" w:hAnsi="宋体" w:eastAsia="宋体"/>
          <w:b/>
          <w:bCs/>
        </w:rPr>
      </w:pPr>
      <w:r>
        <w:rPr>
          <w:rFonts w:hint="eastAsia" w:ascii="宋体" w:hAnsi="宋体" w:eastAsia="宋体"/>
          <w:b/>
          <w:bCs/>
        </w:rPr>
        <w:t>本项目所属行业类型为：</w:t>
      </w:r>
      <w:r>
        <w:rPr>
          <w:rFonts w:hint="eastAsia" w:ascii="宋体" w:hAnsi="宋体" w:eastAsia="宋体"/>
          <w:b/>
          <w:bCs/>
          <w:u w:val="single"/>
        </w:rPr>
        <w:t xml:space="preserve"> 其他未列明行业</w:t>
      </w:r>
      <w:r>
        <w:rPr>
          <w:rFonts w:hint="eastAsia" w:ascii="宋体" w:hAnsi="宋体" w:eastAsia="宋体"/>
          <w:b/>
          <w:bCs/>
        </w:rPr>
        <w:t>。</w:t>
      </w:r>
    </w:p>
    <w:p w14:paraId="291B92B9">
      <w:pPr>
        <w:pStyle w:val="8"/>
        <w:spacing w:beforeLines="0" w:after="0" w:afterLines="0" w:line="240" w:lineRule="auto"/>
        <w:ind w:firstLine="482" w:firstLineChars="200"/>
        <w:rPr>
          <w:rFonts w:ascii="宋体" w:hAnsi="宋体" w:eastAsia="宋体"/>
          <w:b/>
          <w:bCs/>
        </w:rPr>
      </w:pPr>
    </w:p>
    <w:p w14:paraId="6DB9397B">
      <w:pPr>
        <w:spacing w:beforeLines="0" w:afterLines="0"/>
        <w:ind w:firstLine="480" w:firstLineChars="200"/>
        <w:jc w:val="both"/>
        <w:rPr>
          <w:rFonts w:ascii="宋体" w:hAnsi="宋体" w:eastAsia="宋体"/>
        </w:rPr>
      </w:pPr>
      <w:r>
        <w:rPr>
          <w:rFonts w:hint="eastAsia" w:ascii="宋体" w:hAnsi="宋体" w:eastAsia="宋体"/>
        </w:rPr>
        <w:t>注：（1）采购代理机构将通过“信用中国”中“信用服务”栏的“</w:t>
      </w:r>
      <w:r>
        <w:rPr>
          <w:rFonts w:hint="eastAsia" w:ascii="宋体" w:hAnsi="宋体" w:eastAsia="宋体"/>
          <w:lang w:eastAsia="zh-CN"/>
        </w:rPr>
        <w:t>重大税收违法失信主体</w:t>
      </w:r>
      <w:r>
        <w:rPr>
          <w:rFonts w:hint="eastAsia" w:ascii="宋体" w:hAnsi="宋体" w:eastAsia="宋体"/>
        </w:rPr>
        <w:t>”“失信被执行人”</w:t>
      </w:r>
      <w:r>
        <w:rPr>
          <w:rFonts w:hint="eastAsia" w:ascii="宋体" w:hAnsi="宋体" w:eastAsia="宋体"/>
          <w:lang w:eastAsia="zh-CN"/>
        </w:rPr>
        <w:t>，</w:t>
      </w:r>
      <w:r>
        <w:rPr>
          <w:rFonts w:hint="eastAsia" w:ascii="宋体" w:hAnsi="宋体" w:eastAsia="宋体"/>
        </w:rPr>
        <w:t>“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0A32B50B">
      <w:pPr>
        <w:spacing w:beforeLines="0" w:afterLines="0"/>
        <w:ind w:firstLine="480" w:firstLineChars="200"/>
        <w:jc w:val="both"/>
        <w:rPr>
          <w:rFonts w:hint="eastAsia" w:ascii="宋体" w:hAnsi="宋体" w:eastAsia="宋体"/>
          <w:color w:val="auto"/>
          <w:kern w:val="0"/>
          <w:highlight w:val="none"/>
          <w:lang w:eastAsia="zh-CN"/>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2</w:t>
      </w:r>
      <w:r>
        <w:rPr>
          <w:rFonts w:hint="eastAsia" w:ascii="宋体" w:hAnsi="宋体"/>
          <w:color w:val="auto"/>
          <w:kern w:val="0"/>
          <w:highlight w:val="none"/>
          <w:lang w:eastAsia="zh-CN"/>
        </w:rPr>
        <w:t>）</w:t>
      </w:r>
      <w:r>
        <w:rPr>
          <w:rFonts w:hint="eastAsia" w:ascii="仿宋" w:hAnsi="仿宋" w:eastAsia="仿宋" w:cs="仿宋"/>
          <w:color w:val="FF0000"/>
          <w:sz w:val="24"/>
        </w:rPr>
        <w:t>采购代理机构将通过国家企业信用信息公示系统(https://www.gsxt.gov.cn/index.html）或机关赋码和事业单位登记管理网（http://gjsy.gov.cn/sydwfrxxcx/)或全国社会组织信用信息公示平台（https://xxgs.chinanpo.mca.gov.cn/gsxt/newList 等网站查询供应商信息，相关信息以截标当日的查询结果为准</w:t>
      </w:r>
      <w:r>
        <w:rPr>
          <w:rFonts w:hint="eastAsia" w:ascii="宋体" w:hAnsi="宋体" w:eastAsia="宋体"/>
          <w:color w:val="auto"/>
          <w:kern w:val="0"/>
          <w:highlight w:val="none"/>
          <w:lang w:eastAsia="zh-CN"/>
        </w:rPr>
        <w:t>；</w:t>
      </w:r>
    </w:p>
    <w:p w14:paraId="538C7659">
      <w:pPr>
        <w:spacing w:beforeLines="0" w:afterLines="0"/>
        <w:ind w:firstLine="480" w:firstLineChars="200"/>
        <w:jc w:val="both"/>
        <w:rPr>
          <w:rFonts w:ascii="宋体" w:hAnsi="宋体" w:eastAsia="宋体"/>
          <w:color w:val="4F81BD" w:themeColor="accent1"/>
          <w14:textFill>
            <w14:solidFill>
              <w14:schemeClr w14:val="accent1"/>
            </w14:solidFill>
          </w14:textFill>
        </w:rPr>
      </w:pPr>
      <w:r>
        <w:rPr>
          <w:rFonts w:hint="eastAsia" w:ascii="宋体" w:hAnsi="宋体" w:eastAsia="宋体"/>
          <w:color w:val="4F81BD" w:themeColor="accent1"/>
          <w14:textFill>
            <w14:solidFill>
              <w14:schemeClr w14:val="accent1"/>
            </w14:solidFill>
          </w14:textFill>
        </w:rPr>
        <w:t>（</w:t>
      </w:r>
      <w:r>
        <w:rPr>
          <w:rFonts w:hint="eastAsia" w:ascii="宋体" w:hAnsi="宋体" w:eastAsia="宋体"/>
          <w:color w:val="4F81BD" w:themeColor="accent1"/>
          <w:lang w:val="en-US" w:eastAsia="zh-CN"/>
          <w14:textFill>
            <w14:solidFill>
              <w14:schemeClr w14:val="accent1"/>
            </w14:solidFill>
          </w14:textFill>
        </w:rPr>
        <w:t>3</w:t>
      </w:r>
      <w:r>
        <w:rPr>
          <w:rFonts w:hint="eastAsia" w:ascii="宋体" w:hAnsi="宋体" w:eastAsia="宋体"/>
          <w:color w:val="4F81BD" w:themeColor="accent1"/>
          <w14:textFill>
            <w14:solidFill>
              <w14:schemeClr w14:val="accent1"/>
            </w14:solidFill>
          </w14:textFill>
        </w:rPr>
        <w:t>）供应商投标（上传投标文件）请先行办理注册手续，具体请按照本公告“六、其他补充事宜”相关内容指引办理。</w:t>
      </w:r>
    </w:p>
    <w:p w14:paraId="7184C1E1">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7770CBE6">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三、获取招标文件</w:t>
      </w:r>
    </w:p>
    <w:p w14:paraId="5FB3D7E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时间：发布招标公告当日至</w:t>
      </w:r>
      <w:r>
        <w:rPr>
          <w:rFonts w:hint="eastAsia" w:ascii="宋体" w:hAnsi="宋体" w:eastAsia="宋体" w:cs="宋体"/>
          <w:color w:val="FF0000"/>
          <w:highlight w:val="yellow"/>
          <w:lang w:val="en-US" w:eastAsia="zh-CN"/>
        </w:rPr>
        <w:t>2025年X月X日XX时XX分XX秒</w:t>
      </w:r>
      <w:r>
        <w:rPr>
          <w:rFonts w:hint="eastAsia" w:ascii="宋体" w:hAnsi="宋体" w:eastAsia="宋体" w:cs="宋体"/>
        </w:rPr>
        <w:t xml:space="preserve">（北京时间） </w:t>
      </w:r>
    </w:p>
    <w:p w14:paraId="1947439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地点：登录深圳政府采购智慧平台（http://zfcg.szggzy.com:8081）下载本项目的招标文件。</w:t>
      </w:r>
    </w:p>
    <w:p w14:paraId="7872D32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 xml:space="preserve">方式：在线下载。 </w:t>
      </w:r>
    </w:p>
    <w:p w14:paraId="1062E32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售价：免费。</w:t>
      </w:r>
    </w:p>
    <w:p w14:paraId="64F51B05">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rPr>
      </w:pPr>
      <w:r>
        <w:rPr>
          <w:rFonts w:hint="eastAsia" w:ascii="宋体" w:hAnsi="宋体" w:eastAsia="宋体" w:cs="宋体"/>
        </w:rPr>
        <w:t>凡已注册的深圳市网上政府采购供应商，按照授予的操作权限，可于发布招标公告当日至</w:t>
      </w:r>
      <w:r>
        <w:rPr>
          <w:rFonts w:hint="eastAsia" w:ascii="宋体" w:hAnsi="宋体" w:eastAsia="宋体" w:cs="宋体"/>
          <w:color w:val="FF0000"/>
          <w:highlight w:val="yellow"/>
          <w:lang w:val="en-US" w:eastAsia="zh-CN"/>
        </w:rPr>
        <w:t>2025年X月X日XX时XX分XX秒</w:t>
      </w:r>
      <w:r>
        <w:rPr>
          <w:rFonts w:hint="eastAsia" w:ascii="宋体" w:hAnsi="宋体" w:eastAsia="宋体" w:cs="宋体"/>
        </w:rPr>
        <w:t>（北京时间）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w:t>
      </w:r>
      <w:r>
        <w:rPr>
          <w:rFonts w:hint="eastAsia" w:ascii="宋体" w:hAnsi="宋体" w:eastAsia="宋体" w:cs="宋体"/>
          <w:lang w:eastAsia="zh-CN"/>
        </w:rPr>
        <w:t>深圳市南山区沙河西路3185号南山智谷A座（深圳交易集团总部大楼）3楼前台，咨询电话：0755-83948165、0755-83938966、4008301330</w:t>
      </w:r>
      <w:r>
        <w:rPr>
          <w:rFonts w:hint="eastAsia" w:ascii="宋体" w:hAnsi="宋体" w:eastAsia="宋体" w:cs="宋体"/>
        </w:rPr>
        <w:t>），再进行投标报名。在网上报名后，点击“【我的项目】→【项目流程】→【采购文件下载】”进行招标文件的下载。</w:t>
      </w:r>
    </w:p>
    <w:p w14:paraId="06010B3F">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440B68AA">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四、提交投标文件截止时间、开标时间和地点</w:t>
      </w:r>
    </w:p>
    <w:p w14:paraId="27361D5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1.投标截止时间：所有投标文件应于</w:t>
      </w:r>
      <w:r>
        <w:rPr>
          <w:rFonts w:hint="eastAsia" w:ascii="宋体" w:hAnsi="宋体" w:eastAsia="宋体" w:cs="宋体"/>
          <w:color w:val="FF0000"/>
          <w:highlight w:val="yellow"/>
          <w:lang w:val="en-US" w:eastAsia="zh-CN"/>
        </w:rPr>
        <w:t>2025年X月X日XX时XX分XX秒（北京时间）</w:t>
      </w:r>
      <w:r>
        <w:rPr>
          <w:rFonts w:hint="eastAsia" w:ascii="宋体" w:hAnsi="宋体" w:eastAsia="宋体" w:cs="宋体"/>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    </w:t>
      </w:r>
    </w:p>
    <w:p w14:paraId="0CC4416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2.开标时间和地点：定于</w:t>
      </w:r>
      <w:r>
        <w:rPr>
          <w:rFonts w:hint="eastAsia" w:ascii="宋体" w:hAnsi="宋体" w:eastAsia="宋体" w:cs="宋体"/>
          <w:color w:val="FF0000"/>
          <w:highlight w:val="yellow"/>
          <w:lang w:val="en-US" w:eastAsia="zh-CN"/>
        </w:rPr>
        <w:t>2025年X月X日XX时XX分XX秒（北京时间）</w:t>
      </w:r>
      <w:r>
        <w:rPr>
          <w:rFonts w:hint="eastAsia" w:ascii="宋体" w:hAnsi="宋体" w:eastAsia="宋体" w:cs="宋体"/>
        </w:rPr>
        <w:t>，在</w:t>
      </w:r>
      <w:r>
        <w:rPr>
          <w:rFonts w:hint="eastAsia" w:ascii="宋体" w:hAnsi="宋体" w:eastAsia="宋体" w:cs="宋体"/>
          <w:highlight w:val="yellow"/>
        </w:rPr>
        <w:t>友和保险经纪有限公司</w:t>
      </w:r>
      <w:r>
        <w:rPr>
          <w:rFonts w:hint="eastAsia" w:ascii="宋体" w:hAnsi="宋体" w:eastAsia="宋体" w:cs="宋体"/>
        </w:rPr>
        <w:t>公开开标。供应商可以登录“深圳政府采购智慧平台用户网上办事子系统（http://zfcg.szggzy.com:8081/TPBidder/memberLogin）”，在“【我的项目】→【项目流程】→【开标及解密】”进行在线解密、查询开标情况。</w:t>
      </w:r>
    </w:p>
    <w:p w14:paraId="57569A2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3.在线解密：投标人须在</w:t>
      </w:r>
      <w:r>
        <w:rPr>
          <w:rFonts w:hint="eastAsia" w:ascii="宋体" w:hAnsi="宋体" w:eastAsia="宋体" w:cs="宋体"/>
          <w:color w:val="FF0000"/>
          <w:highlight w:val="yellow"/>
          <w:lang w:val="en-US" w:eastAsia="zh-CN"/>
        </w:rPr>
        <w:t>开标当日XX:XX:XX-XX:XX:XX期间</w:t>
      </w:r>
      <w:r>
        <w:rPr>
          <w:rFonts w:hint="eastAsia" w:ascii="宋体" w:hAnsi="宋体" w:eastAsia="宋体" w:cs="宋体"/>
        </w:rPr>
        <w:t>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6C76E9B3">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5AE26432">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五、公告期限</w:t>
      </w:r>
    </w:p>
    <w:p w14:paraId="057704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自本公告发布之日起5个工作日。</w:t>
      </w:r>
    </w:p>
    <w:p w14:paraId="1B199370">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118746A1">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六、其他补充事宜</w:t>
      </w:r>
    </w:p>
    <w:p w14:paraId="26C1F18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1.本项目实行网上投标，采用电子投标文件。</w:t>
      </w:r>
    </w:p>
    <w:p w14:paraId="4FA4B17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w:t>
      </w:r>
      <w:r>
        <w:rPr>
          <w:rFonts w:hint="eastAsia" w:ascii="宋体" w:hAnsi="宋体" w:eastAsia="宋体" w:cs="宋体"/>
          <w:lang w:eastAsia="zh-CN"/>
        </w:rPr>
        <w:t>、</w:t>
      </w:r>
      <w:r>
        <w:rPr>
          <w:rFonts w:hint="eastAsia" w:ascii="宋体" w:hAnsi="宋体" w:eastAsia="宋体" w:cs="宋体"/>
        </w:rPr>
        <w:t>4008301330 ），再进行投标报名。在网上报名后，点击“我的项目→项目流程”中进行招标文件的下载。</w:t>
      </w:r>
    </w:p>
    <w:p w14:paraId="6D0B935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3.开标操作：投标人可以登录“深圳公共资源交易中心（深圳交易集团有限公司政府采购业务分公司）网站”，在系统登录首页面即可查看开标情况。</w:t>
      </w:r>
    </w:p>
    <w:p w14:paraId="53C4349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14:paraId="073C209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5.采购文件澄清/修改事项：</w:t>
      </w:r>
      <w:r>
        <w:rPr>
          <w:rFonts w:hint="eastAsia" w:ascii="宋体" w:hAnsi="宋体" w:eastAsia="宋体" w:cs="宋体"/>
          <w:color w:val="FF0000"/>
          <w:highlight w:val="yellow"/>
          <w:lang w:val="en-US" w:eastAsia="zh-CN"/>
        </w:rPr>
        <w:t>2025年X月X日XX:XX:XX（北京时间）前</w:t>
      </w:r>
      <w:r>
        <w:rPr>
          <w:rFonts w:hint="eastAsia" w:ascii="宋体" w:hAnsi="宋体" w:eastAsia="宋体" w:cs="宋体"/>
        </w:rPr>
        <w:t>，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w:t>
      </w:r>
      <w:r>
        <w:rPr>
          <w:rFonts w:hint="eastAsia" w:ascii="宋体" w:hAnsi="宋体" w:eastAsia="宋体" w:cs="宋体"/>
          <w:color w:val="FF0000"/>
          <w:highlight w:val="yellow"/>
          <w:lang w:val="en-US" w:eastAsia="zh-CN"/>
        </w:rPr>
        <w:t>2025年X月X日XX:XX:XX（北京时间）</w:t>
      </w:r>
      <w:r>
        <w:rPr>
          <w:rFonts w:hint="eastAsia" w:ascii="宋体" w:hAnsi="宋体" w:eastAsia="宋体" w:cs="宋体"/>
        </w:rPr>
        <w:t>前将采购文件澄清/修改情况在“【我的项目】→【项目流程】→【答疑澄清文件下载】”中公布，望投标人予以关注。</w:t>
      </w:r>
    </w:p>
    <w:p w14:paraId="6249476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globalSearch/details.html?contentId=1211037）所发布的质疑指引、质疑函模板填写质疑函并提交质疑材料。质疑材料可以采用现场或邮寄方式提交，采用邮寄方式提交的，交邮时间应在本公告发布之日起七个工作日内。质疑材料现场提交、邮寄地址：深圳市福田区福田体育公园西北角友和招标代理服务中心（靠近北门）。</w:t>
      </w:r>
      <w:r>
        <w:rPr>
          <w:rFonts w:hint="eastAsia" w:ascii="宋体" w:hAnsi="宋体" w:eastAsia="宋体" w:cs="宋体"/>
          <w:color w:val="FF0000"/>
          <w:highlight w:val="yellow"/>
          <w:lang w:val="en-US" w:eastAsia="zh-CN"/>
        </w:rPr>
        <w:t>质疑咨询电话：0755-83881282</w:t>
      </w:r>
      <w:r>
        <w:rPr>
          <w:rFonts w:hint="eastAsia" w:ascii="宋体" w:hAnsi="宋体" w:eastAsia="宋体" w:cs="宋体"/>
          <w:lang w:val="en-US" w:eastAsia="zh-CN"/>
        </w:rPr>
        <w:t>，</w:t>
      </w:r>
      <w:r>
        <w:rPr>
          <w:rFonts w:hint="eastAsia" w:ascii="宋体" w:hAnsi="宋体" w:eastAsia="宋体" w:cs="宋体"/>
          <w:lang w:eastAsia="zh-CN"/>
        </w:rPr>
        <w:t>质疑材料提交邮箱：ywjd@uho.cn</w:t>
      </w:r>
      <w:r>
        <w:rPr>
          <w:rFonts w:hint="eastAsia" w:ascii="宋体" w:hAnsi="宋体" w:eastAsia="宋体" w:cs="宋体"/>
          <w:b w:val="0"/>
          <w:bCs w:val="0"/>
        </w:rPr>
        <w:t>。</w:t>
      </w:r>
      <w:r>
        <w:rPr>
          <w:rFonts w:hint="eastAsia" w:ascii="宋体" w:hAnsi="宋体" w:eastAsia="宋体" w:cs="宋体"/>
        </w:rPr>
        <w:t xml:space="preserve">根据《深圳经济特区政府采购条例》第四十二条“供应商投诉的事项应当是经过质疑的事项”的规定，未经正式质疑的，将影响供应商行使向财政部门提起投诉的权利。） </w:t>
      </w:r>
    </w:p>
    <w:p w14:paraId="1ADCA21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highlight w:val="yellow"/>
        </w:rPr>
        <w:t>友和保险经纪有限公司</w:t>
      </w:r>
      <w:r>
        <w:rPr>
          <w:rFonts w:hint="eastAsia" w:ascii="宋体" w:hAnsi="宋体" w:eastAsia="宋体" w:cs="宋体"/>
        </w:rPr>
        <w:t xml:space="preserve">有权对投标人就本项目要求提供的相关证明资料（原件）进行审查。供应商提供虚假资料被查实的，则可能面临被取消本项目中标资格、列入不良行为记录名单和三年内禁止参与深圳市政府采购活动的风险。 </w:t>
      </w:r>
    </w:p>
    <w:p w14:paraId="34E5BFD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7.本招标公告及本项目招标文件所涉及的时间一律为北京时间。投标人有义务在招标活动期间浏览深圳公共资源交易中心（深圳交易集团有限公司政府采购业务分公司）网（http://zfcg.szggzy.com:8081），在深圳公共资源交易中心（深圳交易集团有限公司政府采购业务分公司）网上公布的与本次招标项目有关的信息视为已送达各投标人。</w:t>
      </w:r>
    </w:p>
    <w:p w14:paraId="423C0D5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8.本项目不需要投标保证金。</w:t>
      </w:r>
    </w:p>
    <w:p w14:paraId="3A02B2C4">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p>
    <w:p w14:paraId="19C4B82C">
      <w:pPr>
        <w:keepNext w:val="0"/>
        <w:keepLines w:val="0"/>
        <w:pageBreakBefore w:val="0"/>
        <w:widowControl/>
        <w:kinsoku/>
        <w:wordWrap/>
        <w:overflowPunct/>
        <w:topLinePunct w:val="0"/>
        <w:autoSpaceDE/>
        <w:autoSpaceDN/>
        <w:bidi w:val="0"/>
        <w:adjustRightInd/>
        <w:snapToGrid/>
        <w:spacing w:beforeLines="0" w:afterLines="0" w:line="240" w:lineRule="auto"/>
        <w:ind w:firstLine="48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七、对本次采购提出询问，请按以下方式联系</w:t>
      </w:r>
    </w:p>
    <w:p w14:paraId="2299F74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1.采购人信息</w:t>
      </w:r>
    </w:p>
    <w:p w14:paraId="61990ED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highlight w:val="yellow"/>
        </w:rPr>
      </w:pPr>
      <w:r>
        <w:rPr>
          <w:rFonts w:hint="eastAsia" w:ascii="宋体" w:hAnsi="宋体" w:eastAsia="宋体" w:cs="宋体"/>
          <w:color w:val="FF0000"/>
          <w:highlight w:val="yellow"/>
        </w:rPr>
        <w:t>名　称：深圳市公安局交通警察局</w:t>
      </w:r>
    </w:p>
    <w:p w14:paraId="113D257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highlight w:val="yellow"/>
        </w:rPr>
      </w:pPr>
      <w:r>
        <w:rPr>
          <w:rFonts w:hint="eastAsia" w:ascii="宋体" w:hAnsi="宋体" w:eastAsia="宋体" w:cs="宋体"/>
          <w:color w:val="FF0000"/>
          <w:highlight w:val="yellow"/>
        </w:rPr>
        <w:t>地　址：福田区莲花支路1006号</w:t>
      </w:r>
    </w:p>
    <w:p w14:paraId="572E5A3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FF0000"/>
          <w:highlight w:val="yellow"/>
          <w:lang w:val="en-US" w:eastAsia="zh-CN"/>
        </w:rPr>
      </w:pPr>
      <w:r>
        <w:rPr>
          <w:rFonts w:hint="eastAsia" w:ascii="宋体" w:hAnsi="宋体" w:eastAsia="宋体" w:cs="宋体"/>
          <w:color w:val="FF0000"/>
          <w:highlight w:val="yellow"/>
        </w:rPr>
        <w:t>联系方式：</w:t>
      </w:r>
      <w:r>
        <w:rPr>
          <w:rFonts w:hint="eastAsia"/>
        </w:rPr>
        <w:t>许景田 0755-84469336</w:t>
      </w:r>
    </w:p>
    <w:p w14:paraId="0DD74A1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r>
        <w:rPr>
          <w:rFonts w:hint="eastAsia" w:ascii="宋体" w:hAnsi="宋体" w:eastAsia="宋体" w:cs="宋体"/>
        </w:rPr>
        <w:t>2.招标机构</w:t>
      </w:r>
    </w:p>
    <w:p w14:paraId="660496F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名　称：友和保险经纪有限公司</w:t>
      </w:r>
    </w:p>
    <w:p w14:paraId="19FCE8A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地　址：深圳市福田区福田体育公园西北角友和招标代理服务中心（靠近北门）</w:t>
      </w:r>
    </w:p>
    <w:p w14:paraId="4584A81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监督举报：0755-83889803、83889016</w:t>
      </w:r>
    </w:p>
    <w:p w14:paraId="1704408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3.项目联系方式</w:t>
      </w:r>
    </w:p>
    <w:p w14:paraId="61F2DB1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rPr>
        <w:t>项目联系人：</w:t>
      </w:r>
      <w:r>
        <w:rPr>
          <w:rFonts w:hint="eastAsia" w:ascii="宋体" w:hAnsi="宋体" w:eastAsia="宋体" w:cs="宋体"/>
          <w:color w:val="FF0000"/>
          <w:highlight w:val="none"/>
          <w:lang w:eastAsia="zh-CN"/>
        </w:rPr>
        <w:t>方婕</w:t>
      </w:r>
      <w:r>
        <w:rPr>
          <w:rFonts w:hint="eastAsia" w:ascii="宋体" w:hAnsi="宋体" w:eastAsia="宋体" w:cs="宋体"/>
          <w:color w:val="FF0000"/>
          <w:highlight w:val="none"/>
          <w:lang w:val="en-US" w:eastAsia="zh-CN"/>
        </w:rPr>
        <w:t>/张挺/王璐</w:t>
      </w:r>
    </w:p>
    <w:p w14:paraId="661D408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FF0000"/>
          <w:highlight w:val="none"/>
          <w:lang w:val="en-US" w:eastAsia="zh-CN"/>
        </w:rPr>
      </w:pPr>
      <w:r>
        <w:rPr>
          <w:rFonts w:hint="eastAsia" w:ascii="宋体" w:hAnsi="宋体" w:eastAsia="宋体" w:cs="宋体"/>
          <w:color w:val="FF0000"/>
          <w:highlight w:val="none"/>
          <w:lang w:eastAsia="zh-CN"/>
        </w:rPr>
        <w:t>项目咨询</w:t>
      </w:r>
      <w:r>
        <w:rPr>
          <w:rFonts w:hint="eastAsia" w:ascii="宋体" w:hAnsi="宋体" w:eastAsia="宋体" w:cs="宋体"/>
          <w:color w:val="FF0000"/>
          <w:highlight w:val="none"/>
        </w:rPr>
        <w:t>：0755-8388</w:t>
      </w:r>
      <w:r>
        <w:rPr>
          <w:rFonts w:hint="eastAsia" w:ascii="宋体" w:hAnsi="宋体" w:eastAsia="宋体" w:cs="宋体"/>
          <w:color w:val="FF0000"/>
          <w:highlight w:val="none"/>
          <w:lang w:val="en-US" w:eastAsia="zh-CN"/>
        </w:rPr>
        <w:t>1282、0755-83889026</w:t>
      </w:r>
    </w:p>
    <w:p w14:paraId="1E7F572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投标报名：0755-83881111（总机）</w:t>
      </w:r>
    </w:p>
    <w:p w14:paraId="193E0E11">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sz w:val="24"/>
          <w:szCs w:val="24"/>
        </w:rPr>
      </w:pPr>
      <w:r>
        <w:rPr>
          <w:rFonts w:hint="eastAsia" w:ascii="宋体" w:hAnsi="宋体" w:eastAsia="宋体" w:cs="宋体"/>
          <w:lang w:val="en-US" w:eastAsia="zh-CN"/>
        </w:rPr>
        <w:t>4.</w:t>
      </w:r>
      <w:r>
        <w:rPr>
          <w:rFonts w:hint="eastAsia" w:ascii="宋体" w:hAnsi="宋体" w:eastAsia="宋体" w:cs="宋体"/>
          <w:sz w:val="24"/>
          <w:szCs w:val="24"/>
        </w:rPr>
        <w:t>相关项目信息查询网址</w:t>
      </w:r>
    </w:p>
    <w:p w14:paraId="7F9786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深圳政府采购智慧平台 </w:t>
      </w:r>
      <w:r>
        <w:rPr>
          <w:rFonts w:hint="eastAsia" w:ascii="宋体" w:hAnsi="宋体" w:eastAsia="宋体" w:cs="宋体"/>
          <w:color w:val="auto"/>
          <w:sz w:val="24"/>
          <w:szCs w:val="24"/>
          <w:u w:val="none"/>
        </w:rPr>
        <w:t>http://zfcg.szggzy.com:8081/</w:t>
      </w:r>
    </w:p>
    <w:p w14:paraId="17496D2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友和招标代理服务网 http://yhzb.uho.cn/</w:t>
      </w:r>
    </w:p>
    <w:p w14:paraId="0623B33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eastAsia="宋体"/>
          <w:lang w:val="en-US" w:eastAsia="zh-CN"/>
        </w:rPr>
      </w:pPr>
    </w:p>
    <w:p w14:paraId="799D36E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rPr>
      </w:pPr>
    </w:p>
    <w:p w14:paraId="7EE1DC28">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highlight w:val="yellow"/>
        </w:rPr>
      </w:pPr>
      <w:r>
        <w:rPr>
          <w:rFonts w:hint="eastAsia" w:ascii="宋体" w:hAnsi="宋体" w:eastAsia="宋体" w:cs="宋体"/>
          <w:highlight w:val="yellow"/>
        </w:rPr>
        <w:t>友和保险经纪有限公司</w:t>
      </w:r>
    </w:p>
    <w:p w14:paraId="3AE0DAEA">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eastAsia="宋体" w:cs="宋体"/>
        </w:rPr>
      </w:pPr>
      <w:r>
        <w:rPr>
          <w:rFonts w:hint="eastAsia" w:ascii="宋体" w:hAnsi="宋体" w:eastAsia="宋体" w:cs="宋体"/>
          <w:lang w:eastAsia="zh-CN"/>
        </w:rPr>
        <w:t>20</w:t>
      </w:r>
      <w:r>
        <w:rPr>
          <w:rFonts w:hint="eastAsia" w:ascii="宋体" w:hAnsi="宋体" w:eastAsia="宋体" w:cs="宋体"/>
          <w:lang w:val="en-US" w:eastAsia="zh-CN"/>
        </w:rPr>
        <w:t>25</w:t>
      </w:r>
      <w:r>
        <w:rPr>
          <w:rFonts w:hint="eastAsia" w:ascii="宋体" w:hAnsi="宋体" w:eastAsia="宋体" w:cs="宋体"/>
        </w:rPr>
        <w:t>年</w:t>
      </w:r>
      <w:r>
        <w:rPr>
          <w:rFonts w:hint="eastAsia" w:ascii="宋体" w:hAnsi="宋体" w:eastAsia="宋体" w:cs="宋体"/>
          <w:lang w:val="en-US" w:eastAsia="zh-CN"/>
        </w:rPr>
        <w:t>X</w:t>
      </w:r>
      <w:r>
        <w:rPr>
          <w:rFonts w:hint="eastAsia" w:ascii="宋体" w:hAnsi="宋体" w:eastAsia="宋体" w:cs="宋体"/>
        </w:rPr>
        <w:t>月</w:t>
      </w:r>
      <w:r>
        <w:rPr>
          <w:rFonts w:hint="eastAsia" w:ascii="宋体" w:hAnsi="宋体" w:eastAsia="宋体" w:cs="宋体"/>
          <w:lang w:val="en-US" w:eastAsia="zh-CN"/>
        </w:rPr>
        <w:t>X</w:t>
      </w:r>
      <w:r>
        <w:rPr>
          <w:rFonts w:hint="eastAsia" w:ascii="宋体" w:hAnsi="宋体" w:eastAsia="宋体" w:cs="宋体"/>
        </w:rPr>
        <w:t>日</w:t>
      </w:r>
    </w:p>
    <w:p w14:paraId="2B91C178"/>
    <w:p w14:paraId="700CEB23">
      <w:pPr>
        <w:spacing w:beforeLines="0" w:afterLines="0"/>
        <w:rPr>
          <w:rFonts w:ascii="宋体" w:hAnsi="宋体" w:eastAsia="宋体" w:cs="宋体"/>
          <w:b/>
          <w:bCs/>
          <w:szCs w:val="21"/>
        </w:rPr>
      </w:pPr>
    </w:p>
    <w:p w14:paraId="59DF0985">
      <w:pPr>
        <w:pStyle w:val="6"/>
        <w:spacing w:before="0" w:beforeLines="0" w:after="0" w:afterLines="0" w:line="240" w:lineRule="auto"/>
        <w:ind w:firstLine="0"/>
        <w:rPr>
          <w:rFonts w:ascii="宋体" w:hAnsi="宋体" w:eastAsia="宋体"/>
          <w:b/>
          <w:color w:val="auto"/>
          <w:sz w:val="28"/>
          <w:szCs w:val="28"/>
          <w:highlight w:val="yellow"/>
        </w:rPr>
      </w:pPr>
      <w:r>
        <w:rPr>
          <w:rFonts w:hint="eastAsia"/>
          <w:color w:val="auto"/>
          <w:szCs w:val="20"/>
          <w:highlight w:val="none"/>
        </w:rPr>
        <w:t>完整公告内容详见：</w:t>
      </w:r>
      <w:r>
        <w:rPr>
          <w:rFonts w:hint="eastAsia"/>
          <w:color w:val="auto"/>
          <w:szCs w:val="20"/>
          <w:highlight w:val="yellow"/>
        </w:rPr>
        <w:t>http://zfcg.szggzy.com:8081/</w:t>
      </w:r>
    </w:p>
    <w:p w14:paraId="51F80579">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br w:type="page"/>
      </w:r>
    </w:p>
    <w:p w14:paraId="664E8BA3">
      <w:pPr>
        <w:pStyle w:val="5"/>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第二章 对通用条款的补充内容及其他关键信息</w:t>
      </w:r>
    </w:p>
    <w:p w14:paraId="481C0484">
      <w:pPr>
        <w:jc w:val="center"/>
        <w:outlineLvl w:val="2"/>
        <w:rPr>
          <w:b/>
          <w:bCs/>
          <w:sz w:val="28"/>
          <w:szCs w:val="28"/>
        </w:rPr>
      </w:pPr>
      <w:bookmarkStart w:id="20" w:name="_Toc60560625"/>
      <w:bookmarkStart w:id="21" w:name="_Toc73521547"/>
      <w:bookmarkStart w:id="22" w:name="_Toc73521635"/>
      <w:bookmarkStart w:id="23" w:name="_Toc73518117"/>
      <w:bookmarkStart w:id="24" w:name="_Toc73517639"/>
      <w:bookmarkStart w:id="25" w:name="_Toc60631620"/>
      <w:bookmarkStart w:id="26" w:name="_Toc101074876"/>
      <w:bookmarkStart w:id="27" w:name="_Toc100052364"/>
      <w:r>
        <w:rPr>
          <w:rFonts w:hint="eastAsia" w:ascii="宋体" w:hAnsi="宋体" w:eastAsia="宋体" w:cs="宋体"/>
          <w:b/>
          <w:bCs/>
          <w:sz w:val="28"/>
          <w:szCs w:val="28"/>
        </w:rPr>
        <w:t>一、对通用条款的补充内容</w:t>
      </w:r>
    </w:p>
    <w:bookmarkEnd w:id="20"/>
    <w:bookmarkEnd w:id="21"/>
    <w:bookmarkEnd w:id="22"/>
    <w:bookmarkEnd w:id="23"/>
    <w:bookmarkEnd w:id="24"/>
    <w:bookmarkEnd w:id="25"/>
    <w:bookmarkEnd w:id="26"/>
    <w:bookmarkEnd w:id="27"/>
    <w:tbl>
      <w:tblPr>
        <w:tblStyle w:val="17"/>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888"/>
        <w:gridCol w:w="5501"/>
      </w:tblGrid>
      <w:tr w14:paraId="1B7549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4FA6F16">
            <w:pPr>
              <w:keepNext w:val="0"/>
              <w:keepLines w:val="0"/>
              <w:widowControl/>
              <w:suppressLineNumbers w:val="0"/>
              <w:spacing w:before="0" w:beforeAutospacing="0" w:after="0" w:afterAutospacing="0"/>
              <w:ind w:left="0" w:right="0"/>
              <w:jc w:val="center"/>
              <w:rPr>
                <w:rFonts w:hint="default"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通用条款序号</w:t>
            </w:r>
          </w:p>
        </w:tc>
        <w:tc>
          <w:tcPr>
            <w:tcW w:w="1888" w:type="dxa"/>
            <w:vAlign w:val="center"/>
          </w:tcPr>
          <w:p w14:paraId="718F9090">
            <w:pPr>
              <w:keepNext w:val="0"/>
              <w:keepLines w:val="0"/>
              <w:widowControl/>
              <w:suppressLineNumbers w:val="0"/>
              <w:spacing w:before="0" w:beforeAutospacing="0" w:after="0" w:afterAutospacing="0"/>
              <w:ind w:left="0" w:right="0"/>
              <w:jc w:val="center"/>
              <w:rPr>
                <w:rFonts w:hint="default"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涉及事项</w:t>
            </w:r>
          </w:p>
        </w:tc>
        <w:tc>
          <w:tcPr>
            <w:tcW w:w="5501" w:type="dxa"/>
            <w:vAlign w:val="center"/>
          </w:tcPr>
          <w:p w14:paraId="75C54144">
            <w:pPr>
              <w:keepNext w:val="0"/>
              <w:keepLines w:val="0"/>
              <w:widowControl/>
              <w:suppressLineNumbers w:val="0"/>
              <w:spacing w:before="0" w:beforeAutospacing="0" w:after="0" w:afterAutospacing="0"/>
              <w:ind w:left="0" w:right="0"/>
              <w:jc w:val="center"/>
              <w:rPr>
                <w:rFonts w:hint="default"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 xml:space="preserve">具 </w:t>
            </w:r>
            <w:r>
              <w:rPr>
                <w:rFonts w:hint="default"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体 </w:t>
            </w:r>
            <w:r>
              <w:rPr>
                <w:rFonts w:hint="default"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补 </w:t>
            </w:r>
            <w:r>
              <w:rPr>
                <w:rFonts w:hint="default"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充 </w:t>
            </w:r>
            <w:r>
              <w:rPr>
                <w:rFonts w:hint="default"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 xml:space="preserve">内 </w:t>
            </w:r>
            <w:r>
              <w:rPr>
                <w:rFonts w:hint="default"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容</w:t>
            </w:r>
          </w:p>
        </w:tc>
      </w:tr>
      <w:tr w14:paraId="3D289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9418FE">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default" w:ascii="宋体" w:hAnsi="宋体"/>
                <w:color w:val="000000" w:themeColor="text1"/>
                <w14:textFill>
                  <w14:solidFill>
                    <w14:schemeClr w14:val="tx1"/>
                  </w14:solidFill>
                </w14:textFill>
              </w:rPr>
              <w:t>.1</w:t>
            </w:r>
          </w:p>
        </w:tc>
        <w:tc>
          <w:tcPr>
            <w:tcW w:w="1888" w:type="dxa"/>
            <w:vAlign w:val="center"/>
          </w:tcPr>
          <w:p w14:paraId="4EB6D8EA">
            <w:pPr>
              <w:keepNext w:val="0"/>
              <w:keepLines w:val="0"/>
              <w:widowControl/>
              <w:suppressLineNumbers w:val="0"/>
              <w:spacing w:before="0" w:beforeAutospacing="0" w:after="0" w:afterAutospacing="0"/>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采购人</w:t>
            </w:r>
          </w:p>
        </w:tc>
        <w:tc>
          <w:tcPr>
            <w:tcW w:w="5501" w:type="dxa"/>
            <w:vAlign w:val="center"/>
          </w:tcPr>
          <w:p w14:paraId="7F759E0E">
            <w:pPr>
              <w:keepNext w:val="0"/>
              <w:keepLines w:val="0"/>
              <w:widowControl/>
              <w:suppressLineNumbers w:val="0"/>
              <w:spacing w:before="0" w:beforeAutospacing="0" w:after="0" w:afterAutospacing="0"/>
              <w:ind w:left="0" w:right="0"/>
              <w:jc w:val="center"/>
              <w:rPr>
                <w:rFonts w:hint="eastAsia" w:ascii="宋体" w:hAnsi="宋体" w:eastAsiaTheme="minorEastAsia"/>
                <w:color w:val="000000" w:themeColor="text1"/>
                <w:lang w:eastAsia="zh-CN"/>
                <w14:textFill>
                  <w14:solidFill>
                    <w14:schemeClr w14:val="tx1"/>
                  </w14:solidFill>
                </w14:textFill>
              </w:rPr>
            </w:pPr>
            <w:r>
              <w:rPr>
                <w:rFonts w:hint="eastAsia" w:ascii="宋体" w:hAnsi="宋体" w:eastAsiaTheme="minorEastAsia"/>
                <w:color w:val="000000" w:themeColor="text1"/>
                <w:lang w:eastAsia="zh-CN"/>
                <w14:textFill>
                  <w14:solidFill>
                    <w14:schemeClr w14:val="tx1"/>
                  </w14:solidFill>
                </w14:textFill>
              </w:rPr>
              <w:t>深圳市公安局交通警察局</w:t>
            </w:r>
          </w:p>
        </w:tc>
      </w:tr>
      <w:tr w14:paraId="2A4C53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5D1984E">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default" w:ascii="宋体" w:hAnsi="宋体"/>
                <w:color w:val="000000" w:themeColor="text1"/>
                <w14:textFill>
                  <w14:solidFill>
                    <w14:schemeClr w14:val="tx1"/>
                  </w14:solidFill>
                </w14:textFill>
              </w:rPr>
              <w:t>.2</w:t>
            </w:r>
          </w:p>
        </w:tc>
        <w:tc>
          <w:tcPr>
            <w:tcW w:w="1888" w:type="dxa"/>
            <w:vAlign w:val="center"/>
          </w:tcPr>
          <w:p w14:paraId="25D4127E">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采购机构</w:t>
            </w:r>
          </w:p>
        </w:tc>
        <w:tc>
          <w:tcPr>
            <w:tcW w:w="5501" w:type="dxa"/>
            <w:vAlign w:val="center"/>
          </w:tcPr>
          <w:p w14:paraId="654B5DCD">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友和保险经纪有限公司</w:t>
            </w:r>
          </w:p>
        </w:tc>
      </w:tr>
      <w:tr w14:paraId="0C5C51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BC44A5E">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default" w:ascii="宋体" w:hAnsi="宋体"/>
                <w:color w:val="000000" w:themeColor="text1"/>
                <w14:textFill>
                  <w14:solidFill>
                    <w14:schemeClr w14:val="tx1"/>
                  </w14:solidFill>
                </w14:textFill>
              </w:rPr>
              <w:t>.3</w:t>
            </w:r>
          </w:p>
        </w:tc>
        <w:tc>
          <w:tcPr>
            <w:tcW w:w="1888" w:type="dxa"/>
            <w:vAlign w:val="center"/>
          </w:tcPr>
          <w:p w14:paraId="0CE28C38">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联合体投标</w:t>
            </w:r>
          </w:p>
        </w:tc>
        <w:tc>
          <w:tcPr>
            <w:tcW w:w="5501" w:type="dxa"/>
            <w:vAlign w:val="center"/>
          </w:tcPr>
          <w:p w14:paraId="1C6155EB">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不接受</w:t>
            </w:r>
          </w:p>
        </w:tc>
      </w:tr>
      <w:tr w14:paraId="2AFAE9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44612A">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1888" w:type="dxa"/>
            <w:vAlign w:val="center"/>
          </w:tcPr>
          <w:p w14:paraId="60DAA316">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踏勘现场</w:t>
            </w:r>
          </w:p>
        </w:tc>
        <w:tc>
          <w:tcPr>
            <w:tcW w:w="5501" w:type="dxa"/>
            <w:vAlign w:val="center"/>
          </w:tcPr>
          <w:p w14:paraId="76C821FB">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不组织</w:t>
            </w:r>
          </w:p>
        </w:tc>
      </w:tr>
      <w:tr w14:paraId="12C257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2E94FB">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default" w:ascii="宋体" w:hAnsi="宋体"/>
                <w:color w:val="000000" w:themeColor="text1"/>
                <w14:textFill>
                  <w14:solidFill>
                    <w14:schemeClr w14:val="tx1"/>
                  </w14:solidFill>
                </w14:textFill>
              </w:rPr>
              <w:t>0</w:t>
            </w:r>
          </w:p>
        </w:tc>
        <w:tc>
          <w:tcPr>
            <w:tcW w:w="1888" w:type="dxa"/>
            <w:vAlign w:val="center"/>
          </w:tcPr>
          <w:p w14:paraId="6640E007">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标前会议</w:t>
            </w:r>
          </w:p>
        </w:tc>
        <w:tc>
          <w:tcPr>
            <w:tcW w:w="5501" w:type="dxa"/>
            <w:vAlign w:val="center"/>
          </w:tcPr>
          <w:p w14:paraId="5C7A55F1">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不组织</w:t>
            </w:r>
          </w:p>
        </w:tc>
      </w:tr>
      <w:tr w14:paraId="010C0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B361246">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default"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/1</w:t>
            </w:r>
            <w:r>
              <w:rPr>
                <w:rFonts w:hint="default" w:ascii="宋体" w:hAnsi="宋体"/>
                <w:color w:val="000000" w:themeColor="text1"/>
                <w14:textFill>
                  <w14:solidFill>
                    <w14:schemeClr w14:val="tx1"/>
                  </w14:solidFill>
                </w14:textFill>
              </w:rPr>
              <w:t>3</w:t>
            </w:r>
          </w:p>
        </w:tc>
        <w:tc>
          <w:tcPr>
            <w:tcW w:w="1888" w:type="dxa"/>
            <w:vAlign w:val="center"/>
          </w:tcPr>
          <w:p w14:paraId="2806C66B">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招标文件的澄清和修改</w:t>
            </w:r>
          </w:p>
        </w:tc>
        <w:tc>
          <w:tcPr>
            <w:tcW w:w="5501" w:type="dxa"/>
            <w:vAlign w:val="center"/>
          </w:tcPr>
          <w:p w14:paraId="050898A0">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不晚于投标截止日三日前（详见招标公告），投标人有义务在招标期间在</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网站浏览与本项目有关的澄清和修改信息</w:t>
            </w:r>
          </w:p>
        </w:tc>
      </w:tr>
      <w:tr w14:paraId="2BF814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5E8A33B">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default" w:ascii="宋体" w:hAnsi="宋体"/>
                <w:color w:val="000000" w:themeColor="text1"/>
                <w14:textFill>
                  <w14:solidFill>
                    <w14:schemeClr w14:val="tx1"/>
                  </w14:solidFill>
                </w14:textFill>
              </w:rPr>
              <w:t>0</w:t>
            </w:r>
          </w:p>
        </w:tc>
        <w:tc>
          <w:tcPr>
            <w:tcW w:w="1888" w:type="dxa"/>
            <w:vAlign w:val="center"/>
          </w:tcPr>
          <w:p w14:paraId="412CE1EC">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投标有效期</w:t>
            </w:r>
          </w:p>
        </w:tc>
        <w:tc>
          <w:tcPr>
            <w:tcW w:w="5501" w:type="dxa"/>
            <w:vAlign w:val="center"/>
          </w:tcPr>
          <w:p w14:paraId="6FDB2129">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120个日历日</w:t>
            </w:r>
          </w:p>
        </w:tc>
      </w:tr>
      <w:tr w14:paraId="6C38CC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85A3FE0">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default" w:ascii="宋体" w:hAnsi="宋体"/>
                <w:color w:val="000000" w:themeColor="text1"/>
                <w14:textFill>
                  <w14:solidFill>
                    <w14:schemeClr w14:val="tx1"/>
                  </w14:solidFill>
                </w14:textFill>
              </w:rPr>
              <w:t>2</w:t>
            </w:r>
          </w:p>
        </w:tc>
        <w:tc>
          <w:tcPr>
            <w:tcW w:w="1888" w:type="dxa"/>
            <w:vAlign w:val="center"/>
          </w:tcPr>
          <w:p w14:paraId="2848AD6C">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投标人的替代方案</w:t>
            </w:r>
          </w:p>
        </w:tc>
        <w:tc>
          <w:tcPr>
            <w:tcW w:w="5501" w:type="dxa"/>
            <w:vAlign w:val="center"/>
          </w:tcPr>
          <w:p w14:paraId="07C8F0BA">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不接受</w:t>
            </w:r>
          </w:p>
        </w:tc>
      </w:tr>
      <w:tr w14:paraId="703F1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7B82708">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default" w:ascii="宋体" w:hAnsi="宋体"/>
                <w:color w:val="000000" w:themeColor="text1"/>
                <w14:textFill>
                  <w14:solidFill>
                    <w14:schemeClr w14:val="tx1"/>
                  </w14:solidFill>
                </w14:textFill>
              </w:rPr>
              <w:t>5</w:t>
            </w:r>
          </w:p>
        </w:tc>
        <w:tc>
          <w:tcPr>
            <w:tcW w:w="1888" w:type="dxa"/>
            <w:vAlign w:val="center"/>
          </w:tcPr>
          <w:p w14:paraId="34FF1AEC">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投标文件的大小</w:t>
            </w:r>
          </w:p>
        </w:tc>
        <w:tc>
          <w:tcPr>
            <w:tcW w:w="5501" w:type="dxa"/>
            <w:vAlign w:val="center"/>
          </w:tcPr>
          <w:p w14:paraId="5B316E65">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投标文件大小不得超过</w:t>
            </w:r>
            <w:r>
              <w:rPr>
                <w:rFonts w:hint="default"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00MB</w:t>
            </w:r>
          </w:p>
        </w:tc>
      </w:tr>
      <w:tr w14:paraId="69F879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F7366D">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default" w:ascii="宋体" w:hAnsi="宋体"/>
                <w:color w:val="000000" w:themeColor="text1"/>
                <w14:textFill>
                  <w14:solidFill>
                    <w14:schemeClr w14:val="tx1"/>
                  </w14:solidFill>
                </w14:textFill>
              </w:rPr>
              <w:t>6</w:t>
            </w:r>
          </w:p>
        </w:tc>
        <w:tc>
          <w:tcPr>
            <w:tcW w:w="1888" w:type="dxa"/>
            <w:vAlign w:val="center"/>
          </w:tcPr>
          <w:p w14:paraId="71BA8A23">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bookmarkStart w:id="28" w:name="_Hlk71664860"/>
            <w:r>
              <w:rPr>
                <w:rFonts w:hint="eastAsia" w:ascii="宋体" w:hAnsi="宋体"/>
                <w:color w:val="000000" w:themeColor="text1"/>
                <w14:textFill>
                  <w14:solidFill>
                    <w14:schemeClr w14:val="tx1"/>
                  </w14:solidFill>
                </w14:textFill>
              </w:rPr>
              <w:t>样品、现场演示、方案讲解</w:t>
            </w:r>
            <w:bookmarkEnd w:id="28"/>
          </w:p>
        </w:tc>
        <w:tc>
          <w:tcPr>
            <w:tcW w:w="5501" w:type="dxa"/>
            <w:vAlign w:val="center"/>
          </w:tcPr>
          <w:p w14:paraId="4A9F0BAF">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default" w:ascii="Wingdings 2" w:hAnsi="Wingdings 2"/>
                <w:b/>
                <w:color w:val="000000" w:themeColor="text1"/>
                <w14:textFill>
                  <w14:solidFill>
                    <w14:schemeClr w14:val="tx1"/>
                  </w14:solidFill>
                </w14:textFill>
              </w:rPr>
              <w:sym w:font="Wingdings 2" w:char="F052"/>
            </w:r>
            <w:r>
              <w:rPr>
                <w:rFonts w:hint="eastAsia" w:ascii="宋体" w:hAnsi="宋体"/>
                <w:color w:val="000000" w:themeColor="text1"/>
                <w14:textFill>
                  <w14:solidFill>
                    <w14:schemeClr w14:val="tx1"/>
                  </w14:solidFill>
                </w14:textFill>
              </w:rPr>
              <w:t xml:space="preserve"> 无</w:t>
            </w:r>
          </w:p>
        </w:tc>
      </w:tr>
      <w:tr w14:paraId="1907C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D56E929">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default" w:ascii="宋体" w:hAnsi="宋体"/>
                <w:color w:val="000000" w:themeColor="text1"/>
                <w14:textFill>
                  <w14:solidFill>
                    <w14:schemeClr w14:val="tx1"/>
                  </w14:solidFill>
                </w14:textFill>
              </w:rPr>
              <w:t>7</w:t>
            </w:r>
          </w:p>
        </w:tc>
        <w:tc>
          <w:tcPr>
            <w:tcW w:w="1888" w:type="dxa"/>
            <w:vAlign w:val="center"/>
          </w:tcPr>
          <w:p w14:paraId="2B556E5C">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评审方法</w:t>
            </w:r>
          </w:p>
        </w:tc>
        <w:tc>
          <w:tcPr>
            <w:tcW w:w="5501" w:type="dxa"/>
            <w:vAlign w:val="center"/>
          </w:tcPr>
          <w:p w14:paraId="005600E8">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default" w:ascii="Wingdings 2" w:hAnsi="Wingdings 2"/>
                <w:b/>
                <w:color w:val="000000" w:themeColor="text1"/>
                <w14:textFill>
                  <w14:solidFill>
                    <w14:schemeClr w14:val="tx1"/>
                  </w14:solidFill>
                </w14:textFill>
              </w:rPr>
              <w:sym w:font="Wingdings 2" w:char="F052"/>
            </w:r>
            <w:r>
              <w:rPr>
                <w:rFonts w:hint="eastAsia" w:ascii="宋体" w:hAnsi="宋体"/>
                <w:b/>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综合评分法</w:t>
            </w:r>
          </w:p>
        </w:tc>
      </w:tr>
      <w:tr w14:paraId="550F4E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ABC043A">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default" w:ascii="宋体" w:hAnsi="宋体"/>
                <w:color w:val="000000" w:themeColor="text1"/>
                <w14:textFill>
                  <w14:solidFill>
                    <w14:schemeClr w14:val="tx1"/>
                  </w14:solidFill>
                </w14:textFill>
              </w:rPr>
              <w:t>8</w:t>
            </w:r>
          </w:p>
        </w:tc>
        <w:tc>
          <w:tcPr>
            <w:tcW w:w="1888" w:type="dxa"/>
            <w:vAlign w:val="center"/>
          </w:tcPr>
          <w:p w14:paraId="480C8B5B">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定标方法</w:t>
            </w:r>
          </w:p>
        </w:tc>
        <w:tc>
          <w:tcPr>
            <w:tcW w:w="5501" w:type="dxa"/>
            <w:vAlign w:val="center"/>
          </w:tcPr>
          <w:p w14:paraId="04066FFC">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14:textFill>
                  <w14:solidFill>
                    <w14:schemeClr w14:val="tx1"/>
                  </w14:solidFill>
                </w14:textFill>
              </w:rPr>
            </w:pPr>
            <w:r>
              <w:rPr>
                <w:rFonts w:hint="default" w:ascii="Wingdings 2" w:hAnsi="Wingdings 2" w:eastAsia="宋体"/>
                <w:b/>
                <w:color w:val="000000" w:themeColor="text1"/>
                <w14:textFill>
                  <w14:solidFill>
                    <w14:schemeClr w14:val="tx1"/>
                  </w14:solidFill>
                </w14:textFill>
              </w:rPr>
              <w:t>无</w:t>
            </w:r>
          </w:p>
        </w:tc>
      </w:tr>
      <w:tr w14:paraId="0A0FE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963699F">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hint="default" w:ascii="宋体" w:hAnsi="宋体"/>
                <w:color w:val="000000" w:themeColor="text1"/>
                <w14:textFill>
                  <w14:solidFill>
                    <w14:schemeClr w14:val="tx1"/>
                  </w14:solidFill>
                </w14:textFill>
              </w:rPr>
              <w:t>6</w:t>
            </w:r>
          </w:p>
        </w:tc>
        <w:tc>
          <w:tcPr>
            <w:tcW w:w="1888" w:type="dxa"/>
            <w:vAlign w:val="center"/>
          </w:tcPr>
          <w:p w14:paraId="3A1B1679">
            <w:pPr>
              <w:keepNext w:val="0"/>
              <w:keepLines w:val="0"/>
              <w:widowControl/>
              <w:suppressLineNumbers w:val="0"/>
              <w:spacing w:before="0" w:beforeAutospacing="0" w:after="0" w:afterAutospacing="0"/>
              <w:ind w:left="0" w:right="0"/>
              <w:jc w:val="center"/>
              <w:rPr>
                <w:rFonts w:hint="default"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履约担保</w:t>
            </w:r>
          </w:p>
        </w:tc>
        <w:tc>
          <w:tcPr>
            <w:tcW w:w="5501" w:type="dxa"/>
            <w:vAlign w:val="center"/>
          </w:tcPr>
          <w:p w14:paraId="0418A5D5">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有，合同金额的5%，中标供应商签订合同的一个月内须向采购单位提交合同金额5%的履约担保金。在中标供应商完成其合同义务并在本项目竣工验收合格之日起180个自然日，包括任何保证义务后七个工作日内，办理退还履约担保手续。</w:t>
            </w:r>
          </w:p>
          <w:p w14:paraId="02F66AEE">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本项目履约担保金，投标供应商以保函形式缴纳或提交。如中标供应商未能履行合同规定的义务，采购单位有权从履约保证金中取得相应补偿。如中标供应商在履行本合同中，由于资金、技术、质量或非不可抗力等原因给采购单位造成损失时，在履约担保书的有效期内，采购人应书面通知中标供应商，说明导致索赔的原因，并及时向保证人提出索赔文件，保证人应无条件就担保金额向采购单位支付索赔款项，无须征得中标供应商的同意。因中标供应商原因而未能达到本项目验收标准或验收不通过的，履约保证金不予退还。</w:t>
            </w:r>
          </w:p>
          <w:p w14:paraId="5434FFF0">
            <w:pPr>
              <w:keepNext w:val="0"/>
              <w:keepLines w:val="0"/>
              <w:widowControl/>
              <w:suppressLineNumbers w:val="0"/>
              <w:spacing w:before="0" w:beforeAutospacing="0" w:after="0" w:afterAutospacing="0"/>
              <w:ind w:left="0" w:right="0"/>
              <w:jc w:val="left"/>
              <w:rPr>
                <w:rFonts w:hint="default" w:ascii="宋体" w:hAnsi="宋体" w:cs="宋体" w:eastAsiaTheme="minorEastAsia"/>
                <w:szCs w:val="21"/>
                <w:lang w:val="en-US" w:eastAsia="zh-CN"/>
              </w:rPr>
            </w:pPr>
            <w:r>
              <w:rPr>
                <w:rFonts w:hint="eastAsia" w:ascii="宋体" w:hAnsi="宋体" w:eastAsia="宋体" w:cs="宋体"/>
                <w:sz w:val="24"/>
                <w:szCs w:val="24"/>
              </w:rPr>
              <w:t>履约担保的有效期应大于本项目竣工验收合格之日后的180个自然日。</w:t>
            </w:r>
          </w:p>
        </w:tc>
      </w:tr>
    </w:tbl>
    <w:p w14:paraId="2102EB40">
      <w:pPr>
        <w:rPr>
          <w:b/>
          <w:color w:val="000000" w:themeColor="text1"/>
          <w14:textFill>
            <w14:solidFill>
              <w14:schemeClr w14:val="tx1"/>
            </w14:solidFill>
          </w14:textFill>
        </w:rPr>
      </w:pPr>
      <w:r>
        <w:rPr>
          <w:rFonts w:hint="eastAsia"/>
          <w:color w:val="000000" w:themeColor="text1"/>
          <w:szCs w:val="21"/>
          <w14:textFill>
            <w14:solidFill>
              <w14:schemeClr w14:val="tx1"/>
            </w14:solidFill>
          </w14:textFill>
        </w:rPr>
        <w:t>备注：本表是通用条款相关条款的补充和明确，如与通用条款内容相冲突的，以本表为准。</w:t>
      </w:r>
      <w:r>
        <w:rPr>
          <w:rFonts w:hint="eastAsia"/>
          <w:b/>
          <w:bCs/>
          <w:color w:val="FF0000"/>
          <w:szCs w:val="21"/>
        </w:rPr>
        <w:t>本项目使用深圳政府采购智慧平台进行操作，通用条款中如有与深圳政府采购智慧平台操作流程不一致的内容，请以深圳政府采购智慧平台</w:t>
      </w:r>
      <w:r>
        <w:rPr>
          <w:b/>
          <w:bCs/>
          <w:color w:val="FF0000"/>
          <w:szCs w:val="21"/>
        </w:rPr>
        <w:t>zfcg.szggzy.com:8081</w:t>
      </w:r>
      <w:r>
        <w:rPr>
          <w:rFonts w:hint="eastAsia"/>
          <w:b/>
          <w:bCs/>
          <w:color w:val="FF0000"/>
          <w:szCs w:val="21"/>
        </w:rPr>
        <w:t>公布的操作手册内容为准。</w:t>
      </w:r>
    </w:p>
    <w:p w14:paraId="686E39C8">
      <w:pPr>
        <w:rPr>
          <w:b/>
          <w:color w:val="000000" w:themeColor="text1"/>
          <w14:textFill>
            <w14:solidFill>
              <w14:schemeClr w14:val="tx1"/>
            </w14:solidFill>
          </w14:textFill>
        </w:rPr>
      </w:pPr>
    </w:p>
    <w:p w14:paraId="4E7DB5FB">
      <w:pPr>
        <w:jc w:val="center"/>
        <w:outlineLvl w:val="2"/>
        <w:rPr>
          <w:rFonts w:ascii="宋体" w:hAnsi="宋体" w:eastAsia="宋体" w:cs="宋体"/>
          <w:b/>
          <w:bCs/>
          <w:sz w:val="28"/>
          <w:szCs w:val="28"/>
        </w:rPr>
      </w:pPr>
      <w:r>
        <w:rPr>
          <w:rFonts w:hint="eastAsia" w:ascii="宋体" w:hAnsi="宋体" w:eastAsia="宋体" w:cs="宋体"/>
          <w:b/>
          <w:bCs/>
          <w:sz w:val="28"/>
          <w:szCs w:val="28"/>
        </w:rPr>
        <w:t>二、其他关键信息</w:t>
      </w:r>
    </w:p>
    <w:p w14:paraId="5FE68220">
      <w:pPr>
        <w:ind w:firstLine="480" w:firstLineChars="200"/>
        <w:rPr>
          <w:rFonts w:hint="eastAsia" w:ascii="仿宋" w:hAnsi="仿宋" w:eastAsia="仿宋" w:cs="仿宋"/>
          <w:b/>
          <w:color w:val="FF0000"/>
          <w:sz w:val="24"/>
        </w:rPr>
      </w:pPr>
      <w:r>
        <w:rPr>
          <w:rFonts w:hint="eastAsia"/>
          <w:b/>
          <w:bCs/>
        </w:rPr>
        <w:t>（一）评标定标信息</w:t>
      </w:r>
    </w:p>
    <w:p w14:paraId="7B90519B">
      <w:pPr>
        <w:ind w:firstLine="480" w:firstLineChars="200"/>
        <w:rPr>
          <w:rFonts w:hint="eastAsia" w:ascii="仿宋" w:hAnsi="仿宋" w:eastAsia="仿宋" w:cs="仿宋"/>
          <w:color w:val="4F81BD" w:themeColor="accent1"/>
          <w:sz w:val="24"/>
          <w14:textFill>
            <w14:solidFill>
              <w14:schemeClr w14:val="accent1"/>
            </w14:solidFill>
          </w14:textFill>
        </w:rPr>
      </w:pPr>
      <w:r>
        <w:rPr>
          <w:rFonts w:hint="eastAsia" w:ascii="仿宋" w:hAnsi="仿宋" w:eastAsia="仿宋" w:cs="仿宋"/>
          <w:color w:val="4F81BD" w:themeColor="accent1"/>
          <w:sz w:val="24"/>
          <w14:textFill>
            <w14:solidFill>
              <w14:schemeClr w14:val="accent1"/>
            </w14:solidFill>
          </w14:textFill>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tbl>
      <w:tblPr>
        <w:tblStyle w:val="18"/>
        <w:tblpPr w:leftFromText="180" w:rightFromText="180" w:vertAnchor="text" w:horzAnchor="page" w:tblpX="1989" w:tblpY="141"/>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4065"/>
      </w:tblGrid>
      <w:tr w14:paraId="41FB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4F42B548">
            <w:pPr>
              <w:keepNext w:val="0"/>
              <w:keepLines w:val="0"/>
              <w:widowControl w:val="0"/>
              <w:suppressLineNumbers w:val="0"/>
              <w:spacing w:before="0" w:beforeAutospacing="0" w:after="0" w:afterAutospacing="0"/>
              <w:ind w:left="0" w:right="0"/>
              <w:jc w:val="center"/>
              <w:rPr>
                <w:rFonts w:hint="default"/>
              </w:rPr>
            </w:pPr>
            <w:bookmarkStart w:id="29" w:name="_Hlk74239733"/>
            <w:r>
              <w:rPr>
                <w:rFonts w:hint="eastAsia"/>
              </w:rPr>
              <w:t>评标方法</w:t>
            </w:r>
          </w:p>
        </w:tc>
        <w:tc>
          <w:tcPr>
            <w:tcW w:w="4065" w:type="dxa"/>
            <w:vAlign w:val="top"/>
          </w:tcPr>
          <w:p w14:paraId="3B21F1F2">
            <w:pPr>
              <w:keepNext w:val="0"/>
              <w:keepLines w:val="0"/>
              <w:widowControl w:val="0"/>
              <w:suppressLineNumbers w:val="0"/>
              <w:spacing w:before="0" w:beforeAutospacing="0" w:after="0" w:afterAutospacing="0"/>
              <w:ind w:left="0" w:right="0"/>
              <w:jc w:val="center"/>
              <w:rPr>
                <w:rFonts w:hint="default"/>
              </w:rPr>
            </w:pPr>
            <w:r>
              <w:rPr>
                <w:rFonts w:hint="eastAsia"/>
              </w:rPr>
              <w:t>综合评分法</w:t>
            </w:r>
          </w:p>
        </w:tc>
      </w:tr>
      <w:tr w14:paraId="429A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33BF5F80">
            <w:pPr>
              <w:keepNext w:val="0"/>
              <w:keepLines w:val="0"/>
              <w:widowControl w:val="0"/>
              <w:suppressLineNumbers w:val="0"/>
              <w:spacing w:before="0" w:beforeAutospacing="0" w:after="0" w:afterAutospacing="0"/>
              <w:ind w:left="0" w:right="0"/>
              <w:jc w:val="center"/>
              <w:rPr>
                <w:rFonts w:hint="default"/>
              </w:rPr>
            </w:pPr>
            <w:r>
              <w:rPr>
                <w:rFonts w:hint="eastAsia"/>
              </w:rPr>
              <w:t>候选中标供应商家数</w:t>
            </w:r>
          </w:p>
        </w:tc>
        <w:tc>
          <w:tcPr>
            <w:tcW w:w="4065" w:type="dxa"/>
            <w:vAlign w:val="top"/>
          </w:tcPr>
          <w:p w14:paraId="2C85D450">
            <w:pPr>
              <w:keepNext w:val="0"/>
              <w:keepLines w:val="0"/>
              <w:widowControl w:val="0"/>
              <w:suppressLineNumbers w:val="0"/>
              <w:spacing w:before="0" w:beforeAutospacing="0" w:after="0" w:afterAutospacing="0"/>
              <w:ind w:left="0" w:right="0"/>
              <w:jc w:val="center"/>
              <w:rPr>
                <w:rFonts w:hint="default"/>
              </w:rPr>
            </w:pPr>
            <w:r>
              <w:rPr>
                <w:rFonts w:hint="eastAsia"/>
              </w:rPr>
              <w:t>3</w:t>
            </w:r>
          </w:p>
        </w:tc>
      </w:tr>
      <w:tr w14:paraId="3AF8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0" w:type="dxa"/>
            <w:vAlign w:val="top"/>
          </w:tcPr>
          <w:p w14:paraId="75967984">
            <w:pPr>
              <w:keepNext w:val="0"/>
              <w:keepLines w:val="0"/>
              <w:widowControl w:val="0"/>
              <w:suppressLineNumbers w:val="0"/>
              <w:spacing w:before="0" w:beforeAutospacing="0" w:after="0" w:afterAutospacing="0"/>
              <w:ind w:left="0" w:right="0"/>
              <w:jc w:val="center"/>
              <w:rPr>
                <w:rFonts w:hint="default"/>
              </w:rPr>
            </w:pPr>
            <w:r>
              <w:rPr>
                <w:rFonts w:hint="eastAsia"/>
              </w:rPr>
              <w:t>中标供应商家数</w:t>
            </w:r>
          </w:p>
        </w:tc>
        <w:tc>
          <w:tcPr>
            <w:tcW w:w="4065" w:type="dxa"/>
            <w:vAlign w:val="top"/>
          </w:tcPr>
          <w:p w14:paraId="482B6932">
            <w:pPr>
              <w:keepNext w:val="0"/>
              <w:keepLines w:val="0"/>
              <w:widowControl w:val="0"/>
              <w:suppressLineNumbers w:val="0"/>
              <w:spacing w:before="0" w:beforeAutospacing="0" w:after="0" w:afterAutospacing="0"/>
              <w:ind w:left="0" w:right="0"/>
              <w:jc w:val="center"/>
              <w:rPr>
                <w:rFonts w:hint="default"/>
              </w:rPr>
            </w:pPr>
            <w:r>
              <w:rPr>
                <w:rFonts w:hint="eastAsia"/>
              </w:rPr>
              <w:t>1</w:t>
            </w:r>
          </w:p>
        </w:tc>
      </w:tr>
      <w:bookmarkEnd w:id="29"/>
    </w:tbl>
    <w:p w14:paraId="31D8C38F">
      <w:pPr>
        <w:pStyle w:val="8"/>
      </w:pPr>
    </w:p>
    <w:p w14:paraId="3EAD7C4B">
      <w:pPr>
        <w:ind w:firstLine="480" w:firstLineChars="200"/>
        <w:rPr>
          <w:rFonts w:ascii="仿宋" w:hAnsi="仿宋" w:eastAsia="仿宋" w:cs="仿宋"/>
          <w:color w:val="4F81BD" w:themeColor="accent1"/>
          <w:sz w:val="24"/>
          <w14:textFill>
            <w14:solidFill>
              <w14:schemeClr w14:val="accent1"/>
            </w14:solidFill>
          </w14:textFill>
        </w:rPr>
      </w:pPr>
      <w:r>
        <w:rPr>
          <w:rFonts w:hint="eastAsia" w:ascii="仿宋" w:hAnsi="仿宋" w:eastAsia="仿宋" w:cs="仿宋"/>
          <w:color w:val="4F81BD" w:themeColor="accent1"/>
          <w:sz w:val="24"/>
          <w14:textFill>
            <w14:solidFill>
              <w14:schemeClr w14:val="accent1"/>
            </w14:solidFill>
          </w14:textFill>
        </w:rPr>
        <w:t>评审委员会对每个通过资格性检查和符合性检查且报价不超过最高限价的投标人进行评审、打分，然后汇总每个投标人每项</w:t>
      </w:r>
      <w:r>
        <w:rPr>
          <w:rFonts w:hint="eastAsia" w:ascii="仿宋" w:hAnsi="仿宋" w:eastAsia="仿宋" w:cs="仿宋"/>
          <w:color w:val="4F81BD" w:themeColor="accent1"/>
          <w:sz w:val="24"/>
          <w:lang w:eastAsia="zh-CN"/>
          <w14:textFill>
            <w14:solidFill>
              <w14:schemeClr w14:val="accent1"/>
            </w14:solidFill>
          </w14:textFill>
        </w:rPr>
        <w:t>评审因素</w:t>
      </w:r>
      <w:r>
        <w:rPr>
          <w:rFonts w:hint="eastAsia" w:ascii="仿宋" w:hAnsi="仿宋" w:eastAsia="仿宋" w:cs="仿宋"/>
          <w:color w:val="4F81BD" w:themeColor="accent1"/>
          <w:sz w:val="24"/>
          <w14:textFill>
            <w14:solidFill>
              <w14:schemeClr w14:val="accent1"/>
            </w14:solidFill>
          </w14:textFill>
        </w:rPr>
        <w:t>的评分。</w:t>
      </w:r>
    </w:p>
    <w:p w14:paraId="693F3161">
      <w:pPr>
        <w:ind w:firstLine="480" w:firstLineChars="200"/>
        <w:rPr>
          <w:rFonts w:hint="eastAsia" w:ascii="仿宋" w:hAnsi="仿宋" w:eastAsia="仿宋" w:cs="仿宋"/>
          <w:color w:val="4F81BD" w:themeColor="accent1"/>
          <w:sz w:val="24"/>
          <w:lang w:eastAsia="zh-CN"/>
          <w14:textFill>
            <w14:solidFill>
              <w14:schemeClr w14:val="accent1"/>
            </w14:solidFill>
          </w14:textFill>
        </w:rPr>
      </w:pPr>
      <w:r>
        <w:rPr>
          <w:rFonts w:hint="eastAsia" w:ascii="仿宋" w:hAnsi="仿宋" w:eastAsia="仿宋" w:cs="仿宋"/>
          <w:color w:val="4F81BD" w:themeColor="accent1"/>
          <w:sz w:val="24"/>
          <w14:textFill>
            <w14:solidFill>
              <w14:schemeClr w14:val="accent1"/>
            </w14:solidFill>
          </w14:textFill>
        </w:rPr>
        <w:t>评委会在评审时，按照</w:t>
      </w:r>
      <w:r>
        <w:rPr>
          <w:rFonts w:hint="eastAsia" w:ascii="仿宋" w:hAnsi="仿宋" w:eastAsia="仿宋" w:cs="仿宋"/>
          <w:color w:val="4F81BD" w:themeColor="accent1"/>
          <w:sz w:val="24"/>
          <w:lang w:eastAsia="zh-CN"/>
          <w14:textFill>
            <w14:solidFill>
              <w14:schemeClr w14:val="accent1"/>
            </w14:solidFill>
          </w14:textFill>
        </w:rPr>
        <w:t>《评标信息》中</w:t>
      </w:r>
      <w:r>
        <w:rPr>
          <w:rFonts w:hint="eastAsia" w:ascii="仿宋" w:hAnsi="仿宋" w:eastAsia="仿宋" w:cs="仿宋"/>
          <w:color w:val="4F81BD" w:themeColor="accent1"/>
          <w:sz w:val="24"/>
          <w14:textFill>
            <w14:solidFill>
              <w14:schemeClr w14:val="accent1"/>
            </w14:solidFill>
          </w14:textFill>
        </w:rPr>
        <w:t>的评审因素，对进入该阶段评审的各投标文件进行分析和比较</w:t>
      </w:r>
      <w:r>
        <w:rPr>
          <w:rFonts w:hint="eastAsia" w:ascii="仿宋" w:hAnsi="仿宋" w:eastAsia="仿宋" w:cs="仿宋"/>
          <w:color w:val="4F81BD" w:themeColor="accent1"/>
          <w:sz w:val="24"/>
          <w:lang w:eastAsia="zh-CN"/>
          <w14:textFill>
            <w14:solidFill>
              <w14:schemeClr w14:val="accent1"/>
            </w14:solidFill>
          </w14:textFill>
        </w:rPr>
        <w:t>。</w:t>
      </w:r>
    </w:p>
    <w:p w14:paraId="415018AD">
      <w:pPr>
        <w:spacing w:line="360" w:lineRule="auto"/>
        <w:ind w:firstLine="480" w:firstLineChars="200"/>
        <w:rPr>
          <w:b/>
          <w:bCs/>
          <w:color w:val="000000" w:themeColor="text1"/>
          <w14:textFill>
            <w14:solidFill>
              <w14:schemeClr w14:val="tx1"/>
            </w14:solidFill>
          </w14:textFill>
        </w:rPr>
      </w:pPr>
      <w:r>
        <w:rPr>
          <w:rFonts w:hint="eastAsia"/>
          <w:b/>
          <w:color w:val="000000" w:themeColor="text1"/>
          <w14:textFill>
            <w14:solidFill>
              <w14:schemeClr w14:val="tx1"/>
            </w14:solidFill>
          </w14:textFill>
        </w:rPr>
        <w:t>（二）其他事项</w:t>
      </w:r>
    </w:p>
    <w:p w14:paraId="0B6F2D7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eastAsia="宋体"/>
          <w:b/>
          <w:bCs/>
          <w:color w:val="000000" w:themeColor="text1"/>
          <w:lang w:val="en-US" w:eastAsia="zh-CN"/>
          <w14:textFill>
            <w14:solidFill>
              <w14:schemeClr w14:val="tx1"/>
            </w14:solidFill>
          </w14:textFill>
        </w:rPr>
        <w:t>.</w:t>
      </w:r>
      <w:r>
        <w:rPr>
          <w:rFonts w:hint="eastAsia"/>
          <w:b/>
          <w:bCs/>
          <w:color w:val="000000" w:themeColor="text1"/>
          <w14:textFill>
            <w14:solidFill>
              <w14:schemeClr w14:val="tx1"/>
            </w14:solidFill>
          </w14:textFill>
        </w:rPr>
        <w:t>关于享受优惠政策的主体及价格扣除比例</w:t>
      </w:r>
    </w:p>
    <w:p w14:paraId="0FA22A54">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（1）投标人提供的服务</w:t>
      </w:r>
      <w:r>
        <w:rPr>
          <w:rFonts w:hint="eastAsia" w:ascii="宋体" w:hAnsi="宋体" w:eastAsia="宋体" w:cs="宋体"/>
          <w:color w:val="000000" w:themeColor="text1"/>
          <w14:textFill>
            <w14:solidFill>
              <w14:schemeClr w14:val="tx1"/>
            </w14:solidFill>
          </w14:textFill>
        </w:rPr>
        <w:t>全部</w:t>
      </w:r>
      <w:r>
        <w:rPr>
          <w:rFonts w:hint="eastAsia"/>
          <w:color w:val="000000" w:themeColor="text1"/>
          <w14:textFill>
            <w14:solidFill>
              <w14:schemeClr w14:val="tx1"/>
            </w14:solidFill>
          </w14:textFill>
        </w:rPr>
        <w:t>均由优惠主体承接，则对其投标总价给予</w:t>
      </w:r>
      <w:r>
        <w:rPr>
          <w:color w:val="000000" w:themeColor="text1"/>
          <w14:textFill>
            <w14:solidFill>
              <w14:schemeClr w14:val="tx1"/>
            </w14:solidFill>
          </w14:textFill>
        </w:rPr>
        <w:t xml:space="preserve"> </w:t>
      </w:r>
      <w:r>
        <w:rPr>
          <w:color w:val="FF0000"/>
        </w:rPr>
        <w:t>10</w:t>
      </w:r>
      <w:r>
        <w:rPr>
          <w:rFonts w:hint="eastAsia"/>
          <w:color w:val="FF0000"/>
        </w:rPr>
        <w:t>%</w:t>
      </w:r>
      <w:r>
        <w:rPr>
          <w:rFonts w:hint="eastAsia"/>
          <w:color w:val="000000" w:themeColor="text1"/>
          <w14:textFill>
            <w14:solidFill>
              <w14:schemeClr w14:val="tx1"/>
            </w14:solidFill>
          </w14:textFill>
        </w:rPr>
        <w:t>的扣除，用扣除后的价格参与评审。</w:t>
      </w:r>
    </w:p>
    <w:p w14:paraId="4FFAB6F8">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）【本项目不适用】</w:t>
      </w:r>
      <w:r>
        <w:rPr>
          <w:rFonts w:hint="eastAsia"/>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color w:val="FF0000"/>
          <w:lang w:val="en-US" w:eastAsia="zh-CN"/>
        </w:rPr>
        <w:t>4</w:t>
      </w:r>
      <w:r>
        <w:rPr>
          <w:rFonts w:hint="eastAsia"/>
          <w:color w:val="FF0000"/>
        </w:rPr>
        <w:t>%</w:t>
      </w:r>
      <w:r>
        <w:rPr>
          <w:rFonts w:hint="eastAsia"/>
          <w:color w:val="000000" w:themeColor="text1"/>
          <w14:textFill>
            <w14:solidFill>
              <w14:schemeClr w14:val="tx1"/>
            </w14:solidFill>
          </w14:textFill>
        </w:rPr>
        <w:t>的扣除。</w:t>
      </w:r>
    </w:p>
    <w:p w14:paraId="42CD9849">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color w:val="FF0000"/>
        </w:rPr>
      </w:pP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3</w:t>
      </w:r>
      <w:r>
        <w:rPr>
          <w:rFonts w:hint="eastAsia" w:eastAsia="宋体"/>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满足多项优惠政策的企业，不重复享受多项价格扣除政策。</w:t>
      </w:r>
      <w:r>
        <w:rPr>
          <w:rFonts w:hint="eastAsia" w:ascii="宋体" w:hAnsi="宋体" w:eastAsia="宋体" w:cs="宋体"/>
          <w:b/>
          <w:bCs/>
          <w:color w:val="FF0000"/>
        </w:rPr>
        <w:t>政策调整后价格仅作为评审依据，不作为中标价格。享受价格扣除获得政府采购合同的，小微企业不得将合同分包给大中型企业。</w:t>
      </w:r>
    </w:p>
    <w:p w14:paraId="4711F3F8">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ascii="宋体" w:hAnsi="宋体"/>
          <w:bCs/>
        </w:rPr>
      </w:pPr>
      <w:r>
        <w:rPr>
          <w:rFonts w:hint="eastAsia"/>
          <w:color w:val="000000" w:themeColor="text1"/>
          <w14:textFill>
            <w14:solidFill>
              <w14:schemeClr w14:val="tx1"/>
            </w14:solidFill>
          </w14:textFill>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优惠主体承接是指提供服务的人员为中小企业依照《中华人民共和国劳动合同法》订立劳动合同的从业人员。(</w:t>
      </w:r>
      <w:r>
        <w:rPr>
          <w:color w:val="000000" w:themeColor="text1"/>
          <w14:textFill>
            <w14:solidFill>
              <w14:schemeClr w14:val="tx1"/>
            </w14:solidFill>
          </w14:textFill>
        </w:rPr>
        <w:t>c)</w:t>
      </w:r>
      <w:r>
        <w:rPr>
          <w:rFonts w:hint="eastAsia" w:ascii="宋体" w:hAnsi="宋体"/>
          <w:bCs/>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14:paraId="4259BC28">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bCs/>
        </w:rPr>
      </w:pPr>
      <w:r>
        <w:rPr>
          <w:rFonts w:hint="eastAsia" w:ascii="宋体" w:hAnsi="宋体"/>
          <w:bCs/>
        </w:rPr>
        <w:t>本项目采购标的对应的中小企业划分标准所属行业，根据《中小企业划型标准规定》（工信部联企业〔2011〕300号）、《</w:t>
      </w:r>
      <w:r>
        <w:rPr>
          <w:rFonts w:ascii="宋体" w:hAnsi="宋体"/>
          <w:bCs/>
        </w:rPr>
        <w:t>统计上大中小微型企业划分办法（2017）</w:t>
      </w:r>
      <w:r>
        <w:rPr>
          <w:rFonts w:hint="eastAsia" w:ascii="宋体" w:hAnsi="宋体"/>
          <w:bCs/>
        </w:rPr>
        <w:t>》（国统字〔2017〕213号）或国务院批准的其他中小企业划分标准文件确定。</w:t>
      </w:r>
    </w:p>
    <w:p w14:paraId="72E95CA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2.关于落实政府绿色采购有关事项</w:t>
      </w:r>
    </w:p>
    <w:p w14:paraId="73CC8722">
      <w:pPr>
        <w:keepNext w:val="0"/>
        <w:keepLines w:val="0"/>
        <w:pageBreakBefore w:val="0"/>
        <w:widowControl/>
        <w:tabs>
          <w:tab w:val="left" w:pos="720"/>
        </w:tabs>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bCs/>
          <w:lang w:val="en-US" w:eastAsia="zh-CN"/>
        </w:rPr>
      </w:pPr>
      <w:r>
        <w:rPr>
          <w:rFonts w:hint="eastAsia" w:ascii="宋体" w:hAnsi="宋体"/>
          <w:bCs/>
          <w:lang w:val="en-US" w:eastAsia="zh-CN"/>
        </w:rPr>
        <w:t>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p>
    <w:p w14:paraId="5BF4757F">
      <w:pPr>
        <w:spacing w:line="360" w:lineRule="auto"/>
        <w:jc w:val="center"/>
        <w:rPr>
          <w:rFonts w:hint="eastAsia" w:cs="宋体"/>
          <w:b/>
          <w:bCs/>
          <w:color w:val="000000" w:themeColor="text1"/>
          <w:sz w:val="28"/>
          <w:szCs w:val="28"/>
          <w14:textFill>
            <w14:solidFill>
              <w14:schemeClr w14:val="tx1"/>
            </w14:solidFill>
          </w14:textFill>
        </w:rPr>
      </w:pPr>
      <w:bookmarkStart w:id="30" w:name="_Toc128884461"/>
    </w:p>
    <w:p w14:paraId="090ACA97">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b/>
          <w:bCs/>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第三章</w:t>
      </w:r>
      <w:r>
        <w:rPr>
          <w:rFonts w:hint="eastAsia"/>
          <w:b/>
          <w:bCs/>
          <w:color w:val="000000" w:themeColor="text1"/>
          <w:sz w:val="28"/>
          <w:szCs w:val="28"/>
          <w14:textFill>
            <w14:solidFill>
              <w14:schemeClr w14:val="tx1"/>
            </w14:solidFill>
          </w14:textFill>
        </w:rPr>
        <w:t xml:space="preserve"> </w:t>
      </w:r>
      <w:r>
        <w:rPr>
          <w:rFonts w:hint="eastAsia" w:cs="宋体"/>
          <w:b/>
          <w:bCs/>
          <w:color w:val="000000" w:themeColor="text1"/>
          <w:sz w:val="28"/>
          <w:szCs w:val="28"/>
          <w14:textFill>
            <w14:solidFill>
              <w14:schemeClr w14:val="tx1"/>
            </w14:solidFill>
          </w14:textFill>
        </w:rPr>
        <w:t>用户需求书</w:t>
      </w:r>
    </w:p>
    <w:bookmarkEnd w:id="30"/>
    <w:p w14:paraId="021BBBB1">
      <w:pPr>
        <w:spacing w:line="360" w:lineRule="auto"/>
        <w:jc w:val="center"/>
        <w:outlineLvl w:val="2"/>
        <w:rPr>
          <w:rFonts w:hint="default" w:ascii="Times New Roman" w:hAnsi="Times New Roman" w:eastAsia="Times New Roman" w:cs="Times New Roman"/>
          <w:lang w:val="en-US" w:eastAsia="zh-CN"/>
        </w:rPr>
      </w:pPr>
      <w:bookmarkStart w:id="31" w:name="_Toc11426270"/>
      <w:r>
        <w:rPr>
          <w:rFonts w:hint="eastAsia" w:ascii="宋体" w:hAnsi="宋体" w:eastAsia="宋体" w:cs="宋体"/>
          <w:b/>
          <w:bCs/>
        </w:rPr>
        <w:t>一、项目基本信息</w:t>
      </w:r>
    </w:p>
    <w:tbl>
      <w:tblPr>
        <w:tblStyle w:val="17"/>
        <w:tblpPr w:leftFromText="180" w:rightFromText="180" w:vertAnchor="text" w:horzAnchor="margin" w:tblpXSpec="center" w:tblpY="17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2166"/>
        <w:gridCol w:w="2175"/>
        <w:gridCol w:w="2205"/>
        <w:gridCol w:w="1224"/>
      </w:tblGrid>
      <w:tr w14:paraId="73A5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8" w:type="dxa"/>
            <w:shd w:val="clear" w:color="auto" w:fill="C6D9F0" w:themeFill="text2" w:themeFillTint="33"/>
            <w:vAlign w:val="center"/>
          </w:tcPr>
          <w:p w14:paraId="111A35C5">
            <w:pPr>
              <w:keepNext w:val="0"/>
              <w:keepLines w:val="0"/>
              <w:widowControl/>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w:t>
            </w:r>
            <w:r>
              <w:rPr>
                <w:rFonts w:hint="eastAsia"/>
                <w:b/>
                <w:color w:val="000000" w:themeColor="text1"/>
                <w:szCs w:val="21"/>
                <w14:textFill>
                  <w14:solidFill>
                    <w14:schemeClr w14:val="tx1"/>
                  </w14:solidFill>
                </w14:textFill>
              </w:rPr>
              <w:t>号</w:t>
            </w:r>
          </w:p>
        </w:tc>
        <w:tc>
          <w:tcPr>
            <w:tcW w:w="2166" w:type="dxa"/>
            <w:shd w:val="clear" w:color="auto" w:fill="C6D9F0" w:themeFill="text2" w:themeFillTint="33"/>
            <w:vAlign w:val="center"/>
          </w:tcPr>
          <w:p w14:paraId="761181DA">
            <w:pPr>
              <w:keepNext w:val="0"/>
              <w:keepLines w:val="0"/>
              <w:widowControl/>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采购项目名称</w:t>
            </w:r>
          </w:p>
        </w:tc>
        <w:tc>
          <w:tcPr>
            <w:tcW w:w="2175" w:type="dxa"/>
            <w:shd w:val="clear" w:color="auto" w:fill="C6D9F0" w:themeFill="text2" w:themeFillTint="33"/>
            <w:vAlign w:val="center"/>
          </w:tcPr>
          <w:p w14:paraId="50A29440">
            <w:pPr>
              <w:keepNext w:val="0"/>
              <w:keepLines w:val="0"/>
              <w:widowControl/>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财政预算限额（元）</w:t>
            </w:r>
          </w:p>
        </w:tc>
        <w:tc>
          <w:tcPr>
            <w:tcW w:w="2205" w:type="dxa"/>
            <w:shd w:val="clear" w:color="auto" w:fill="C6D9F0" w:themeFill="text2" w:themeFillTint="33"/>
            <w:vAlign w:val="center"/>
          </w:tcPr>
          <w:p w14:paraId="1A1FB4FC">
            <w:pPr>
              <w:keepNext w:val="0"/>
              <w:keepLines w:val="0"/>
              <w:widowControl/>
              <w:suppressLineNumbers w:val="0"/>
              <w:spacing w:before="0" w:beforeAutospacing="0" w:after="0" w:afterAutospacing="0"/>
              <w:ind w:left="0" w:right="0"/>
              <w:jc w:val="center"/>
              <w:rPr>
                <w:rFonts w:hint="default"/>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最高限价（元）</w:t>
            </w:r>
          </w:p>
        </w:tc>
        <w:tc>
          <w:tcPr>
            <w:tcW w:w="1224" w:type="dxa"/>
            <w:shd w:val="clear" w:color="auto" w:fill="C6D9F0" w:themeFill="text2" w:themeFillTint="33"/>
            <w:vAlign w:val="center"/>
          </w:tcPr>
          <w:p w14:paraId="7F61FEB6">
            <w:pPr>
              <w:keepNext w:val="0"/>
              <w:keepLines w:val="0"/>
              <w:widowControl/>
              <w:suppressLineNumbers w:val="0"/>
              <w:spacing w:before="0" w:beforeAutospacing="0" w:after="0" w:afterAutospacing="0"/>
              <w:ind w:left="0" w:right="0"/>
              <w:jc w:val="center"/>
              <w:rPr>
                <w:rFonts w:hint="eastAsia" w:eastAsiaTheme="minorEastAsia"/>
                <w:b/>
                <w:color w:val="000000" w:themeColor="text1"/>
                <w:szCs w:val="21"/>
                <w:lang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备注</w:t>
            </w:r>
          </w:p>
        </w:tc>
      </w:tr>
      <w:tr w14:paraId="7A3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38" w:type="dxa"/>
            <w:vAlign w:val="center"/>
          </w:tcPr>
          <w:p w14:paraId="679B887D">
            <w:pPr>
              <w:keepNext w:val="0"/>
              <w:keepLines w:val="0"/>
              <w:widowControl/>
              <w:suppressLineNumbers w:val="0"/>
              <w:spacing w:before="0" w:beforeAutospacing="0" w:after="0" w:afterAutospacing="0"/>
              <w:ind w:left="0" w:right="0"/>
              <w:jc w:val="center"/>
              <w:rPr>
                <w:rFonts w:hint="default"/>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p>
        </w:tc>
        <w:tc>
          <w:tcPr>
            <w:tcW w:w="2166" w:type="dxa"/>
            <w:vAlign w:val="center"/>
          </w:tcPr>
          <w:p w14:paraId="0C7841FC">
            <w:pPr>
              <w:keepNext w:val="0"/>
              <w:keepLines w:val="0"/>
              <w:widowControl/>
              <w:suppressLineNumbers w:val="0"/>
              <w:spacing w:before="0" w:beforeAutospacing="0" w:after="0" w:afterAutospacing="0"/>
              <w:ind w:left="0" w:right="0"/>
              <w:jc w:val="center"/>
              <w:rPr>
                <w:rFonts w:hint="eastAsia" w:ascii="宋体" w:hAnsi="宋体" w:eastAsia="宋体" w:cs="宋体"/>
                <w:bCs/>
                <w:color w:val="FF0000"/>
                <w:szCs w:val="21"/>
                <w:lang w:eastAsia="zh-CN"/>
              </w:rPr>
            </w:pPr>
            <w:r>
              <w:rPr>
                <w:rFonts w:hint="eastAsia" w:ascii="宋体" w:hAnsi="宋体" w:eastAsia="宋体" w:cs="宋体"/>
                <w:bCs/>
                <w:color w:val="auto"/>
                <w:szCs w:val="21"/>
                <w:lang w:eastAsia="zh-CN"/>
              </w:rPr>
              <w:t>2025年交通监控设施维护D包</w:t>
            </w:r>
          </w:p>
        </w:tc>
        <w:tc>
          <w:tcPr>
            <w:tcW w:w="2175" w:type="dxa"/>
            <w:vAlign w:val="center"/>
          </w:tcPr>
          <w:p w14:paraId="1F8FAD81">
            <w:pPr>
              <w:keepNext w:val="0"/>
              <w:keepLines w:val="0"/>
              <w:widowControl/>
              <w:suppressLineNumbers w:val="0"/>
              <w:spacing w:before="0" w:beforeAutospacing="0" w:after="0" w:afterAutospacing="0"/>
              <w:ind w:left="0" w:right="0"/>
              <w:jc w:val="center"/>
              <w:rPr>
                <w:rFonts w:hint="eastAsia" w:eastAsiaTheme="minorEastAsia"/>
                <w:b/>
                <w:bCs/>
                <w:color w:val="000000" w:themeColor="text1"/>
                <w:szCs w:val="21"/>
                <w:lang w:eastAsia="zh-CN"/>
                <w14:textFill>
                  <w14:solidFill>
                    <w14:schemeClr w14:val="tx1"/>
                  </w14:solidFill>
                </w14:textFill>
              </w:rPr>
            </w:pPr>
            <w:r>
              <w:rPr>
                <w:rFonts w:hint="eastAsia" w:eastAsiaTheme="minorEastAsia"/>
                <w:b/>
                <w:bCs/>
                <w:color w:val="000000" w:themeColor="text1"/>
                <w:szCs w:val="21"/>
                <w:lang w:eastAsia="zh-CN"/>
                <w14:textFill>
                  <w14:solidFill>
                    <w14:schemeClr w14:val="tx1"/>
                  </w14:solidFill>
                </w14:textFill>
              </w:rPr>
              <w:t>5,627,430.62</w:t>
            </w:r>
          </w:p>
        </w:tc>
        <w:tc>
          <w:tcPr>
            <w:tcW w:w="2205" w:type="dxa"/>
            <w:vAlign w:val="center"/>
          </w:tcPr>
          <w:p w14:paraId="07C5BC36">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eastAsia="zh-CN"/>
                <w14:textFill>
                  <w14:solidFill>
                    <w14:schemeClr w14:val="tx1"/>
                  </w14:solidFill>
                </w14:textFill>
              </w:rPr>
              <w:t>5,627,430.62</w:t>
            </w:r>
          </w:p>
        </w:tc>
        <w:tc>
          <w:tcPr>
            <w:tcW w:w="1224" w:type="dxa"/>
            <w:vAlign w:val="center"/>
          </w:tcPr>
          <w:p w14:paraId="61C1B925">
            <w:pPr>
              <w:keepNext w:val="0"/>
              <w:keepLines w:val="0"/>
              <w:widowControl/>
              <w:suppressLineNumbers w:val="0"/>
              <w:spacing w:before="0" w:beforeAutospacing="0" w:after="0" w:afterAutospacing="0"/>
              <w:ind w:left="0" w:right="0"/>
              <w:jc w:val="center"/>
              <w:rPr>
                <w:rFonts w:hint="eastAsia" w:ascii="宋体" w:hAnsi="宋体" w:eastAsia="宋体" w:cs="宋体"/>
                <w:bCs/>
                <w:color w:val="000000" w:themeColor="text1"/>
                <w:szCs w:val="21"/>
                <w:lang w:eastAsia="zh-CN"/>
                <w14:textFill>
                  <w14:solidFill>
                    <w14:schemeClr w14:val="tx1"/>
                  </w14:solidFill>
                </w14:textFill>
              </w:rPr>
            </w:pPr>
          </w:p>
        </w:tc>
      </w:tr>
    </w:tbl>
    <w:p w14:paraId="47DFAF6B">
      <w:pPr>
        <w:ind w:firstLine="480" w:firstLineChars="200"/>
        <w:rPr>
          <w:rFonts w:ascii="宋体" w:hAnsi="宋体" w:eastAsia="Times New Roman" w:cs="Times New Roman"/>
          <w:b/>
          <w:color w:val="FF0000"/>
          <w:szCs w:val="21"/>
        </w:rPr>
      </w:pPr>
      <w:r>
        <w:rPr>
          <w:rFonts w:hint="eastAsia" w:ascii="宋体" w:hAnsi="宋体" w:eastAsia="Times New Roman" w:cs="Times New Roman"/>
          <w:b/>
          <w:color w:val="FF0000"/>
          <w:szCs w:val="21"/>
        </w:rPr>
        <w:t>本项目在财政预算金额下设定最高限价，如投标人的投标报价超过最高限价，将按照符合性审查要求作投标无效处理</w:t>
      </w:r>
    </w:p>
    <w:p w14:paraId="1430C34D">
      <w:pPr>
        <w:spacing w:line="360" w:lineRule="auto"/>
        <w:jc w:val="center"/>
        <w:outlineLvl w:val="9"/>
        <w:rPr>
          <w:rFonts w:hint="eastAsia" w:ascii="宋体" w:hAnsi="宋体" w:eastAsia="宋体" w:cs="宋体"/>
          <w:b/>
          <w:bCs/>
          <w:lang w:eastAsia="zh-CN"/>
        </w:rPr>
      </w:pPr>
    </w:p>
    <w:p w14:paraId="29924BC9">
      <w:pPr>
        <w:numPr>
          <w:ilvl w:val="0"/>
          <w:numId w:val="1"/>
        </w:numPr>
        <w:spacing w:line="360" w:lineRule="auto"/>
        <w:jc w:val="center"/>
        <w:outlineLvl w:val="2"/>
        <w:rPr>
          <w:rFonts w:hint="eastAsia" w:ascii="宋体" w:hAnsi="宋体" w:eastAsia="宋体" w:cs="宋体"/>
          <w:b/>
          <w:bCs/>
          <w:lang w:eastAsia="zh-CN"/>
        </w:rPr>
      </w:pPr>
      <w:r>
        <w:rPr>
          <w:rFonts w:hint="eastAsia" w:ascii="宋体" w:hAnsi="宋体" w:eastAsia="宋体" w:cs="宋体"/>
          <w:b/>
          <w:bCs/>
          <w:lang w:eastAsia="zh-CN"/>
        </w:rPr>
        <w:t>用户需求明细</w:t>
      </w:r>
    </w:p>
    <w:tbl>
      <w:tblPr>
        <w:tblStyle w:val="17"/>
        <w:tblW w:w="5067" w:type="pct"/>
        <w:jc w:val="center"/>
        <w:tblLayout w:type="autofit"/>
        <w:tblCellMar>
          <w:top w:w="0" w:type="dxa"/>
          <w:left w:w="108" w:type="dxa"/>
          <w:bottom w:w="0" w:type="dxa"/>
          <w:right w:w="108" w:type="dxa"/>
        </w:tblCellMar>
      </w:tblPr>
      <w:tblGrid>
        <w:gridCol w:w="761"/>
        <w:gridCol w:w="3712"/>
        <w:gridCol w:w="810"/>
        <w:gridCol w:w="793"/>
        <w:gridCol w:w="1439"/>
        <w:gridCol w:w="1028"/>
      </w:tblGrid>
      <w:tr w14:paraId="4313F703">
        <w:tblPrEx>
          <w:tblCellMar>
            <w:top w:w="0" w:type="dxa"/>
            <w:left w:w="108" w:type="dxa"/>
            <w:bottom w:w="0" w:type="dxa"/>
            <w:right w:w="108" w:type="dxa"/>
          </w:tblCellMar>
        </w:tblPrEx>
        <w:trPr>
          <w:trHeight w:val="552" w:hRule="atLeast"/>
          <w:jc w:val="center"/>
        </w:trPr>
        <w:tc>
          <w:tcPr>
            <w:tcW w:w="445" w:type="pct"/>
            <w:tcBorders>
              <w:top w:val="single" w:color="000000" w:sz="4" w:space="0"/>
              <w:left w:val="single" w:color="000000" w:sz="4" w:space="0"/>
              <w:bottom w:val="single" w:color="000000" w:sz="4" w:space="0"/>
              <w:right w:val="single" w:color="auto" w:sz="4" w:space="0"/>
            </w:tcBorders>
            <w:shd w:val="clear" w:color="auto" w:fill="C6D9F1"/>
            <w:tcMar>
              <w:top w:w="15" w:type="dxa"/>
              <w:left w:w="15" w:type="dxa"/>
              <w:bottom w:w="15" w:type="dxa"/>
              <w:right w:w="15" w:type="dxa"/>
            </w:tcMar>
            <w:vAlign w:val="center"/>
          </w:tcPr>
          <w:p w14:paraId="12BB91A4">
            <w:pPr>
              <w:keepNext w:val="0"/>
              <w:keepLines w:val="0"/>
              <w:widowControl/>
              <w:suppressLineNumbers w:val="0"/>
              <w:spacing w:before="0" w:beforeAutospacing="0" w:after="0" w:afterAutospacing="0"/>
              <w:ind w:left="0" w:right="0"/>
              <w:jc w:val="center"/>
              <w:rPr>
                <w:rFonts w:hint="default"/>
                <w:b/>
                <w:bCs/>
              </w:rPr>
            </w:pPr>
            <w:r>
              <w:rPr>
                <w:rFonts w:hint="eastAsia" w:ascii="宋体" w:hAnsi="宋体" w:eastAsia="宋体" w:cs="宋体"/>
                <w:b/>
                <w:bCs/>
              </w:rPr>
              <w:t>序号</w:t>
            </w:r>
          </w:p>
        </w:tc>
        <w:tc>
          <w:tcPr>
            <w:tcW w:w="2171" w:type="pct"/>
            <w:tcBorders>
              <w:top w:val="single" w:color="000000" w:sz="4" w:space="0"/>
              <w:left w:val="single" w:color="auto"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46980F3E">
            <w:pPr>
              <w:keepNext w:val="0"/>
              <w:keepLines w:val="0"/>
              <w:widowControl/>
              <w:suppressLineNumbers w:val="0"/>
              <w:spacing w:before="0" w:beforeAutospacing="0" w:after="0" w:afterAutospacing="0"/>
              <w:ind w:left="0" w:right="0"/>
              <w:jc w:val="center"/>
              <w:rPr>
                <w:rFonts w:hint="default"/>
                <w:b/>
                <w:bCs/>
              </w:rPr>
            </w:pPr>
            <w:r>
              <w:rPr>
                <w:rFonts w:hint="eastAsia" w:ascii="宋体" w:hAnsi="宋体" w:eastAsia="宋体" w:cs="宋体"/>
                <w:b/>
                <w:bCs/>
              </w:rPr>
              <w:t>服务名称（标的名称）</w:t>
            </w:r>
          </w:p>
        </w:tc>
        <w:tc>
          <w:tcPr>
            <w:tcW w:w="474" w:type="pct"/>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4EF5845F">
            <w:pPr>
              <w:keepNext w:val="0"/>
              <w:keepLines w:val="0"/>
              <w:widowControl/>
              <w:suppressLineNumbers w:val="0"/>
              <w:spacing w:before="0" w:beforeAutospacing="0" w:after="0" w:afterAutospacing="0"/>
              <w:ind w:left="0" w:right="0"/>
              <w:jc w:val="center"/>
              <w:rPr>
                <w:rFonts w:hint="default"/>
                <w:b/>
                <w:bCs/>
              </w:rPr>
            </w:pPr>
            <w:r>
              <w:rPr>
                <w:rFonts w:hint="eastAsia" w:ascii="宋体" w:hAnsi="宋体" w:eastAsia="宋体" w:cs="宋体"/>
                <w:b/>
                <w:bCs/>
              </w:rPr>
              <w:t>单位</w:t>
            </w:r>
          </w:p>
        </w:tc>
        <w:tc>
          <w:tcPr>
            <w:tcW w:w="464" w:type="pct"/>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10D74316">
            <w:pPr>
              <w:keepNext w:val="0"/>
              <w:keepLines w:val="0"/>
              <w:widowControl/>
              <w:suppressLineNumbers w:val="0"/>
              <w:spacing w:before="0" w:beforeAutospacing="0" w:after="0" w:afterAutospacing="0"/>
              <w:ind w:left="0" w:right="0"/>
              <w:jc w:val="center"/>
              <w:rPr>
                <w:rFonts w:hint="default"/>
                <w:b/>
                <w:bCs/>
              </w:rPr>
            </w:pPr>
            <w:r>
              <w:rPr>
                <w:rFonts w:hint="eastAsia" w:ascii="宋体" w:hAnsi="宋体" w:eastAsia="宋体" w:cs="宋体"/>
                <w:b/>
                <w:bCs/>
              </w:rPr>
              <w:t>数量</w:t>
            </w:r>
          </w:p>
        </w:tc>
        <w:tc>
          <w:tcPr>
            <w:tcW w:w="842" w:type="pct"/>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6BA26812">
            <w:pPr>
              <w:keepNext w:val="0"/>
              <w:keepLines w:val="0"/>
              <w:widowControl/>
              <w:suppressLineNumbers w:val="0"/>
              <w:spacing w:before="0" w:beforeAutospacing="0" w:after="0" w:afterAutospacing="0"/>
              <w:ind w:left="0" w:right="0"/>
              <w:jc w:val="center"/>
              <w:rPr>
                <w:rFonts w:hint="default"/>
                <w:b/>
                <w:bCs/>
                <w:highlight w:val="green"/>
              </w:rPr>
            </w:pPr>
            <w:r>
              <w:rPr>
                <w:rFonts w:hint="eastAsia" w:ascii="宋体" w:hAnsi="宋体" w:eastAsia="宋体" w:cs="宋体"/>
                <w:b/>
                <w:bCs/>
              </w:rPr>
              <w:t>所属行业</w:t>
            </w:r>
          </w:p>
        </w:tc>
        <w:tc>
          <w:tcPr>
            <w:tcW w:w="601" w:type="pct"/>
            <w:tcBorders>
              <w:top w:val="single" w:color="000000" w:sz="4" w:space="0"/>
              <w:left w:val="single" w:color="000000" w:sz="4" w:space="0"/>
              <w:bottom w:val="single" w:color="000000" w:sz="4" w:space="0"/>
              <w:right w:val="single" w:color="000000" w:sz="4" w:space="0"/>
            </w:tcBorders>
            <w:shd w:val="clear" w:color="auto" w:fill="C6D9F1"/>
            <w:tcMar>
              <w:top w:w="15" w:type="dxa"/>
              <w:left w:w="15" w:type="dxa"/>
              <w:bottom w:w="15" w:type="dxa"/>
              <w:right w:w="15" w:type="dxa"/>
            </w:tcMar>
            <w:vAlign w:val="center"/>
          </w:tcPr>
          <w:p w14:paraId="6AE13021">
            <w:pPr>
              <w:keepNext w:val="0"/>
              <w:keepLines w:val="0"/>
              <w:widowControl/>
              <w:suppressLineNumbers w:val="0"/>
              <w:spacing w:before="0" w:beforeAutospacing="0" w:after="0" w:afterAutospacing="0"/>
              <w:ind w:left="0" w:right="0"/>
              <w:jc w:val="center"/>
              <w:rPr>
                <w:rFonts w:hint="default"/>
                <w:b/>
                <w:bCs/>
                <w:highlight w:val="green"/>
              </w:rPr>
            </w:pPr>
            <w:r>
              <w:rPr>
                <w:rFonts w:hint="eastAsia" w:ascii="宋体" w:hAnsi="宋体" w:eastAsia="宋体" w:cs="宋体"/>
                <w:b/>
                <w:bCs/>
              </w:rPr>
              <w:t>备注</w:t>
            </w:r>
          </w:p>
        </w:tc>
      </w:tr>
      <w:tr w14:paraId="4BD74888">
        <w:tblPrEx>
          <w:tblCellMar>
            <w:top w:w="0" w:type="dxa"/>
            <w:left w:w="108" w:type="dxa"/>
            <w:bottom w:w="0" w:type="dxa"/>
            <w:right w:w="108" w:type="dxa"/>
          </w:tblCellMar>
        </w:tblPrEx>
        <w:trPr>
          <w:trHeight w:val="841" w:hRule="atLeast"/>
          <w:jc w:val="center"/>
        </w:trPr>
        <w:tc>
          <w:tcPr>
            <w:tcW w:w="445"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2ADA2FF3">
            <w:pPr>
              <w:keepNext w:val="0"/>
              <w:keepLines w:val="0"/>
              <w:widowControl/>
              <w:suppressLineNumbers w:val="0"/>
              <w:spacing w:before="0" w:beforeAutospacing="0" w:after="0" w:afterAutospacing="0"/>
              <w:ind w:left="0" w:right="0"/>
              <w:jc w:val="center"/>
              <w:rPr>
                <w:rFonts w:hint="default"/>
              </w:rPr>
            </w:pPr>
            <w:r>
              <w:rPr>
                <w:rFonts w:hint="eastAsia"/>
              </w:rPr>
              <w:t>1</w:t>
            </w:r>
          </w:p>
        </w:tc>
        <w:tc>
          <w:tcPr>
            <w:tcW w:w="2171"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14:paraId="73D5F69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b/>
                <w:bCs/>
                <w:highlight w:val="green"/>
                <w:lang w:eastAsia="zh-CN"/>
              </w:rPr>
            </w:pPr>
            <w:r>
              <w:rPr>
                <w:rFonts w:hint="eastAsia" w:asciiTheme="minorEastAsia" w:hAnsiTheme="minorEastAsia" w:eastAsiaTheme="minorEastAsia"/>
                <w:b/>
                <w:bCs/>
                <w:highlight w:val="none"/>
                <w:lang w:eastAsia="zh-CN"/>
              </w:rPr>
              <w:t>2025年交通监控设施维护D包</w:t>
            </w:r>
          </w:p>
        </w:tc>
        <w:tc>
          <w:tcPr>
            <w:tcW w:w="47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D067F0">
            <w:pPr>
              <w:keepNext w:val="0"/>
              <w:keepLines w:val="0"/>
              <w:widowControl/>
              <w:suppressLineNumbers w:val="0"/>
              <w:spacing w:before="0" w:beforeAutospacing="0" w:after="0" w:afterAutospacing="0"/>
              <w:ind w:left="0" w:right="0"/>
              <w:jc w:val="center"/>
              <w:rPr>
                <w:rFonts w:hint="default"/>
                <w:bCs/>
              </w:rPr>
            </w:pPr>
            <w:r>
              <w:rPr>
                <w:rFonts w:hint="eastAsia" w:ascii="宋体" w:hAnsi="宋体" w:eastAsia="宋体" w:cs="宋体"/>
                <w:bCs/>
              </w:rPr>
              <w:t>项</w:t>
            </w:r>
          </w:p>
        </w:tc>
        <w:tc>
          <w:tcPr>
            <w:tcW w:w="4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7AB62C">
            <w:pPr>
              <w:keepNext w:val="0"/>
              <w:keepLines w:val="0"/>
              <w:widowControl/>
              <w:suppressLineNumbers w:val="0"/>
              <w:spacing w:before="0" w:beforeAutospacing="0" w:after="0" w:afterAutospacing="0"/>
              <w:ind w:left="0" w:right="0"/>
              <w:jc w:val="center"/>
              <w:rPr>
                <w:rFonts w:hint="default"/>
                <w:bCs/>
              </w:rPr>
            </w:pPr>
            <w:r>
              <w:rPr>
                <w:rFonts w:hint="default"/>
                <w:bCs/>
              </w:rPr>
              <w:t>1</w:t>
            </w:r>
          </w:p>
        </w:tc>
        <w:tc>
          <w:tcPr>
            <w:tcW w:w="8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2F1BF86">
            <w:pPr>
              <w:keepNext w:val="0"/>
              <w:keepLines w:val="0"/>
              <w:widowControl/>
              <w:suppressLineNumbers w:val="0"/>
              <w:spacing w:before="0" w:beforeAutospacing="0" w:after="0" w:afterAutospacing="0"/>
              <w:ind w:left="0" w:right="0"/>
              <w:jc w:val="center"/>
              <w:rPr>
                <w:rFonts w:hint="default" w:ascii="宋体" w:hAnsi="宋体" w:eastAsia="宋体" w:cs="宋体"/>
                <w:bCs/>
              </w:rPr>
            </w:pPr>
            <w:r>
              <w:rPr>
                <w:rFonts w:hint="eastAsia" w:ascii="宋体" w:hAnsi="宋体" w:eastAsia="宋体" w:cs="宋体"/>
                <w:bCs/>
              </w:rPr>
              <w:t>其他未列明行业</w:t>
            </w:r>
          </w:p>
        </w:tc>
        <w:tc>
          <w:tcPr>
            <w:tcW w:w="60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2726A71">
            <w:pPr>
              <w:keepNext w:val="0"/>
              <w:keepLines w:val="0"/>
              <w:widowControl/>
              <w:suppressLineNumbers w:val="0"/>
              <w:spacing w:before="0" w:beforeAutospacing="0" w:after="0" w:afterAutospacing="0"/>
              <w:ind w:left="0" w:right="0"/>
              <w:jc w:val="center"/>
              <w:rPr>
                <w:rFonts w:hint="default"/>
                <w:bCs/>
                <w:highlight w:val="green"/>
              </w:rPr>
            </w:pPr>
          </w:p>
        </w:tc>
      </w:tr>
    </w:tbl>
    <w:tbl>
      <w:tblPr>
        <w:tblStyle w:val="17"/>
        <w:tblpPr w:leftFromText="180" w:rightFromText="180" w:vertAnchor="text" w:horzAnchor="margin" w:tblpY="17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137"/>
        <w:gridCol w:w="1323"/>
        <w:gridCol w:w="1938"/>
        <w:gridCol w:w="2545"/>
      </w:tblGrid>
      <w:tr w14:paraId="1BD7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5" w:type="dxa"/>
            <w:shd w:val="clear" w:color="auto" w:fill="C6D9F0"/>
            <w:vAlign w:val="center"/>
          </w:tcPr>
          <w:p w14:paraId="5BA440D6">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序号</w:t>
            </w:r>
          </w:p>
        </w:tc>
        <w:tc>
          <w:tcPr>
            <w:tcW w:w="2137" w:type="dxa"/>
            <w:shd w:val="clear" w:color="auto" w:fill="C6D9F0"/>
            <w:vAlign w:val="center"/>
          </w:tcPr>
          <w:p w14:paraId="6CEE7E3B">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服务需求名称（标的名称）</w:t>
            </w:r>
          </w:p>
        </w:tc>
        <w:tc>
          <w:tcPr>
            <w:tcW w:w="1323" w:type="dxa"/>
            <w:shd w:val="clear" w:color="auto" w:fill="C6D9F0"/>
            <w:vAlign w:val="center"/>
          </w:tcPr>
          <w:p w14:paraId="44A8A4D2">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服务内容</w:t>
            </w:r>
          </w:p>
        </w:tc>
        <w:tc>
          <w:tcPr>
            <w:tcW w:w="1938" w:type="dxa"/>
            <w:shd w:val="clear" w:color="auto" w:fill="C6D9F0"/>
            <w:vAlign w:val="center"/>
          </w:tcPr>
          <w:p w14:paraId="49E190EA">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分项预算金额（元）</w:t>
            </w:r>
          </w:p>
        </w:tc>
        <w:tc>
          <w:tcPr>
            <w:tcW w:w="2545" w:type="dxa"/>
            <w:shd w:val="clear" w:color="auto" w:fill="C6D9F0"/>
            <w:vAlign w:val="center"/>
          </w:tcPr>
          <w:p w14:paraId="26B8CE0F">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备注</w:t>
            </w:r>
          </w:p>
        </w:tc>
      </w:tr>
      <w:tr w14:paraId="550E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15" w:type="dxa"/>
            <w:vAlign w:val="center"/>
          </w:tcPr>
          <w:p w14:paraId="12077E8F">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eastAsia" w:ascii="Times New Roman" w:hAnsi="Times New Roman" w:eastAsia="Times New Roman" w:cs="Times New Roman"/>
                <w:bCs/>
                <w:color w:val="000000" w:themeColor="text1"/>
                <w:szCs w:val="21"/>
                <w:lang w:val="en-US" w:eastAsia="zh-CN"/>
                <w14:textFill>
                  <w14:solidFill>
                    <w14:schemeClr w14:val="tx1"/>
                  </w14:solidFill>
                </w14:textFill>
              </w:rPr>
              <w:t>1</w:t>
            </w:r>
          </w:p>
        </w:tc>
        <w:tc>
          <w:tcPr>
            <w:tcW w:w="2137" w:type="dxa"/>
            <w:vMerge w:val="restart"/>
            <w:vAlign w:val="center"/>
          </w:tcPr>
          <w:p w14:paraId="7C214BC4">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eastAsia" w:cs="Times New Roman"/>
                <w:bCs/>
                <w:color w:val="000000" w:themeColor="text1"/>
                <w:szCs w:val="21"/>
                <w:lang w:val="en-US" w:eastAsia="zh-CN"/>
                <w14:textFill>
                  <w14:solidFill>
                    <w14:schemeClr w14:val="tx1"/>
                  </w14:solidFill>
                </w14:textFill>
              </w:rPr>
              <w:t>2025年交通监控设施维护D包</w:t>
            </w:r>
          </w:p>
        </w:tc>
        <w:tc>
          <w:tcPr>
            <w:tcW w:w="1323" w:type="dxa"/>
            <w:vAlign w:val="center"/>
          </w:tcPr>
          <w:p w14:paraId="69285211">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default" w:ascii="Times New Roman" w:hAnsi="Times New Roman" w:eastAsia="Times New Roman" w:cs="Times New Roman"/>
                <w:bCs/>
                <w:kern w:val="0"/>
                <w:sz w:val="24"/>
                <w:szCs w:val="24"/>
                <w:lang w:val="en-US" w:eastAsia="zh-CN" w:bidi="ar"/>
              </w:rPr>
              <w:t>维护服务</w:t>
            </w:r>
          </w:p>
        </w:tc>
        <w:tc>
          <w:tcPr>
            <w:tcW w:w="1938" w:type="dxa"/>
            <w:vAlign w:val="center"/>
          </w:tcPr>
          <w:p w14:paraId="4D6512D1">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eastAsia" w:eastAsia="宋体" w:cs="Times New Roman"/>
                <w:b/>
                <w:bCs/>
                <w:color w:val="000000"/>
                <w:kern w:val="0"/>
                <w:sz w:val="24"/>
                <w:szCs w:val="24"/>
                <w:lang w:val="en-US" w:eastAsia="zh-CN" w:bidi="ar"/>
              </w:rPr>
              <w:t>5,127,430.62</w:t>
            </w:r>
          </w:p>
        </w:tc>
        <w:tc>
          <w:tcPr>
            <w:tcW w:w="2545" w:type="dxa"/>
            <w:vAlign w:val="center"/>
          </w:tcPr>
          <w:p w14:paraId="60B777A4">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eastAsia" w:ascii="Times New Roman" w:hAnsi="Times New Roman" w:eastAsia="Times New Roman" w:cs="Times New Roman"/>
                <w:bCs/>
                <w:color w:val="000000" w:themeColor="text1"/>
                <w:szCs w:val="21"/>
                <w:lang w:val="en-US" w:eastAsia="zh-CN"/>
                <w14:textFill>
                  <w14:solidFill>
                    <w14:schemeClr w14:val="tx1"/>
                  </w14:solidFill>
                </w14:textFill>
              </w:rPr>
              <w:t>如投标人的投标报价超过分项预算金额，将按照符合性审查要求作投标无效处理</w:t>
            </w:r>
          </w:p>
        </w:tc>
      </w:tr>
      <w:tr w14:paraId="4A27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15" w:type="dxa"/>
            <w:vAlign w:val="center"/>
          </w:tcPr>
          <w:p w14:paraId="3FBAF5C9">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eastAsia" w:ascii="Times New Roman" w:hAnsi="Times New Roman" w:eastAsia="Times New Roman" w:cs="Times New Roman"/>
                <w:bCs/>
                <w:color w:val="000000" w:themeColor="text1"/>
                <w:szCs w:val="21"/>
                <w:lang w:val="en-US" w:eastAsia="zh-CN"/>
                <w14:textFill>
                  <w14:solidFill>
                    <w14:schemeClr w14:val="tx1"/>
                  </w14:solidFill>
                </w14:textFill>
              </w:rPr>
              <w:t>2</w:t>
            </w:r>
          </w:p>
        </w:tc>
        <w:tc>
          <w:tcPr>
            <w:tcW w:w="2137" w:type="dxa"/>
            <w:vMerge w:val="continue"/>
            <w:vAlign w:val="center"/>
          </w:tcPr>
          <w:p w14:paraId="6C026091">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p>
        </w:tc>
        <w:tc>
          <w:tcPr>
            <w:tcW w:w="1323" w:type="dxa"/>
            <w:vAlign w:val="center"/>
          </w:tcPr>
          <w:p w14:paraId="07EAF676">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default" w:ascii="Times New Roman" w:hAnsi="Times New Roman" w:eastAsia="Times New Roman" w:cs="Times New Roman"/>
                <w:bCs/>
                <w:kern w:val="0"/>
                <w:sz w:val="24"/>
                <w:szCs w:val="24"/>
                <w:lang w:val="en-US" w:eastAsia="zh-CN" w:bidi="ar"/>
              </w:rPr>
              <w:t>设备更新采购</w:t>
            </w:r>
          </w:p>
        </w:tc>
        <w:tc>
          <w:tcPr>
            <w:tcW w:w="1938" w:type="dxa"/>
            <w:vAlign w:val="center"/>
          </w:tcPr>
          <w:p w14:paraId="786ED33E">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eastAsia" w:eastAsia="宋体" w:cs="Times New Roman"/>
                <w:b/>
                <w:bCs/>
                <w:color w:val="000000"/>
                <w:kern w:val="0"/>
                <w:sz w:val="24"/>
                <w:szCs w:val="24"/>
                <w:lang w:val="en-US" w:eastAsia="zh-CN" w:bidi="ar"/>
              </w:rPr>
              <w:t>500,000.00</w:t>
            </w:r>
          </w:p>
        </w:tc>
        <w:tc>
          <w:tcPr>
            <w:tcW w:w="2545" w:type="dxa"/>
            <w:vAlign w:val="center"/>
          </w:tcPr>
          <w:p w14:paraId="2AA67239">
            <w:pPr>
              <w:keepNext w:val="0"/>
              <w:keepLines w:val="0"/>
              <w:widowControl/>
              <w:suppressLineNumbers w:val="0"/>
              <w:spacing w:before="0" w:beforeAutospacing="0" w:after="0" w:afterAutospacing="0"/>
              <w:ind w:left="0" w:right="0"/>
              <w:jc w:val="center"/>
              <w:rPr>
                <w:rFonts w:hint="eastAsia" w:ascii="Times New Roman" w:hAnsi="Times New Roman" w:eastAsia="Times New Roman" w:cs="Times New Roman"/>
                <w:bCs/>
                <w:color w:val="000000" w:themeColor="text1"/>
                <w:szCs w:val="21"/>
                <w:lang w:val="en-US" w:eastAsia="zh-CN"/>
                <w14:textFill>
                  <w14:solidFill>
                    <w14:schemeClr w14:val="tx1"/>
                  </w14:solidFill>
                </w14:textFill>
              </w:rPr>
            </w:pPr>
            <w:r>
              <w:rPr>
                <w:rFonts w:hint="eastAsia" w:ascii="Times New Roman" w:hAnsi="Times New Roman" w:eastAsia="Times New Roman" w:cs="Times New Roman"/>
                <w:bCs/>
                <w:color w:val="000000" w:themeColor="text1"/>
                <w:szCs w:val="21"/>
                <w:lang w:val="en-US" w:eastAsia="zh-CN"/>
                <w14:textFill>
                  <w14:solidFill>
                    <w14:schemeClr w14:val="tx1"/>
                  </w14:solidFill>
                </w14:textFill>
              </w:rPr>
              <w:t>如投标人的投标报价超过分项预算金额，将按照符合性审查要求作投标无效处理</w:t>
            </w:r>
          </w:p>
        </w:tc>
      </w:tr>
    </w:tbl>
    <w:p w14:paraId="1ADFCAFC">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b w:val="0"/>
          <w:bCs w:val="0"/>
          <w:lang w:val="en-US" w:eastAsia="zh-CN"/>
        </w:rPr>
      </w:pPr>
      <w:r>
        <w:rPr>
          <w:rFonts w:hint="eastAsia"/>
          <w:b w:val="0"/>
          <w:bCs w:val="0"/>
          <w:lang w:val="en-US" w:eastAsia="zh-CN"/>
        </w:rPr>
        <w:t>费用说明：</w:t>
      </w:r>
    </w:p>
    <w:p w14:paraId="61A4DEE5">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b w:val="0"/>
          <w:bCs w:val="0"/>
          <w:lang w:val="en-US" w:eastAsia="zh-CN"/>
        </w:rPr>
      </w:pPr>
      <w:r>
        <w:rPr>
          <w:rFonts w:hint="eastAsia"/>
          <w:b w:val="0"/>
          <w:bCs w:val="0"/>
          <w:lang w:val="en-US" w:eastAsia="zh-CN"/>
        </w:rPr>
        <w:t>1. 维护服务费用按实际维护数量*单价（投标人投标文件中维护服务报价表综合单价）进行结算，设备用电费用以开具发票（含税价）金额结算，区间测速检定代缴费以实际结算为准。维护服务最终结算金额不超维护服务费用的分项预算金额。</w:t>
      </w:r>
    </w:p>
    <w:p w14:paraId="20EBB0E5">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b w:val="0"/>
          <w:bCs w:val="0"/>
          <w:lang w:val="en-US" w:eastAsia="zh-CN"/>
        </w:rPr>
      </w:pPr>
      <w:r>
        <w:rPr>
          <w:rFonts w:hint="eastAsia"/>
          <w:b w:val="0"/>
          <w:bCs w:val="0"/>
          <w:lang w:val="en-US" w:eastAsia="zh-CN"/>
        </w:rPr>
        <w:t>2. 设备更新采购费用按实际维护数量*单价（投标人投标文件中设备更新采购表综合单价）进行结算，最终结算金额不超设备更新采购报价的分项预算金额。</w:t>
      </w:r>
    </w:p>
    <w:p w14:paraId="505F6914">
      <w:pPr>
        <w:pStyle w:val="8"/>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cs="仿宋" w:asciiTheme="minorEastAsia" w:hAnsiTheme="minorEastAsia"/>
          <w:b w:val="0"/>
          <w:bCs w:val="0"/>
          <w:sz w:val="21"/>
          <w:szCs w:val="21"/>
        </w:rPr>
      </w:pPr>
      <w:r>
        <w:rPr>
          <w:rFonts w:hint="eastAsia"/>
          <w:b w:val="0"/>
          <w:bCs w:val="0"/>
          <w:lang w:val="en-US" w:eastAsia="zh-CN"/>
        </w:rPr>
        <w:t>3.上述两项费用的最终结算金额合计不得超过投标人本项目投标报价。</w:t>
      </w:r>
      <w:bookmarkEnd w:id="31"/>
      <w:bookmarkStart w:id="32" w:name="_Toc320311558"/>
      <w:bookmarkEnd w:id="32"/>
      <w:bookmarkStart w:id="33" w:name="_Toc11426271"/>
    </w:p>
    <w:p w14:paraId="32EA8311">
      <w:pPr>
        <w:ind w:left="547" w:leftChars="228" w:firstLine="420" w:firstLineChars="200"/>
        <w:rPr>
          <w:rFonts w:cs="仿宋" w:asciiTheme="minorEastAsia" w:hAnsiTheme="minorEastAsia"/>
          <w:sz w:val="21"/>
          <w:szCs w:val="21"/>
        </w:rPr>
      </w:pPr>
    </w:p>
    <w:p w14:paraId="3C55B696">
      <w:pPr>
        <w:spacing w:line="360" w:lineRule="auto"/>
        <w:jc w:val="center"/>
        <w:outlineLvl w:val="2"/>
        <w:rPr>
          <w:rFonts w:ascii="宋体" w:hAnsi="宋体" w:eastAsia="宋体" w:cs="宋体"/>
          <w:b/>
          <w:bCs/>
        </w:rPr>
      </w:pPr>
      <w:r>
        <w:rPr>
          <w:rFonts w:hint="eastAsia" w:ascii="宋体" w:hAnsi="宋体" w:eastAsia="宋体" w:cs="宋体"/>
          <w:b/>
          <w:bCs/>
        </w:rPr>
        <w:t>三</w:t>
      </w:r>
      <w:r>
        <w:rPr>
          <w:rFonts w:ascii="宋体" w:hAnsi="宋体" w:eastAsia="宋体" w:cs="宋体"/>
          <w:b/>
          <w:bCs/>
        </w:rPr>
        <w:t>、</w:t>
      </w:r>
      <w:r>
        <w:rPr>
          <w:rFonts w:hint="eastAsia" w:ascii="宋体" w:hAnsi="宋体" w:eastAsia="宋体" w:cs="宋体"/>
          <w:b/>
          <w:bCs/>
        </w:rPr>
        <w:t>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7C30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C32A026">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sz w:val="21"/>
                <w:szCs w:val="21"/>
              </w:rPr>
            </w:pPr>
            <w:r>
              <w:rPr>
                <w:rFonts w:hint="eastAsia" w:asciiTheme="minorEastAsia" w:hAnsiTheme="minorEastAsia"/>
                <w:sz w:val="21"/>
                <w:szCs w:val="21"/>
              </w:rPr>
              <w:t>序号</w:t>
            </w:r>
          </w:p>
        </w:tc>
        <w:tc>
          <w:tcPr>
            <w:tcW w:w="7483" w:type="dxa"/>
          </w:tcPr>
          <w:p w14:paraId="40195668">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sz w:val="21"/>
                <w:szCs w:val="21"/>
              </w:rPr>
            </w:pPr>
            <w:r>
              <w:rPr>
                <w:rFonts w:hint="eastAsia" w:asciiTheme="minorEastAsia" w:hAnsiTheme="minorEastAsia"/>
                <w:sz w:val="21"/>
                <w:szCs w:val="21"/>
              </w:rPr>
              <w:t>实质性条款具体内容</w:t>
            </w:r>
          </w:p>
        </w:tc>
      </w:tr>
      <w:tr w14:paraId="239F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top"/>
          </w:tcPr>
          <w:p w14:paraId="3C18F76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7483" w:type="dxa"/>
            <w:vAlign w:val="top"/>
          </w:tcPr>
          <w:p w14:paraId="70EF9109">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满足本项目标★的条款要求</w:t>
            </w:r>
          </w:p>
        </w:tc>
      </w:tr>
      <w:tr w14:paraId="1BB2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top"/>
          </w:tcPr>
          <w:p w14:paraId="21BC6F23">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7483" w:type="dxa"/>
            <w:vAlign w:val="top"/>
          </w:tcPr>
          <w:p w14:paraId="6A05377B">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4.★团队人员要求</w:t>
            </w:r>
          </w:p>
          <w:p w14:paraId="48581862">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团队成员中至少13人具有政府部门颁发的特种作业操作证（电工作业），至少3人具有政府部门颁发的特种作业操作证（高处作业），员工须为投标单位自有员工。</w:t>
            </w:r>
          </w:p>
          <w:p w14:paraId="538C3A45">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要求提供：</w:t>
            </w:r>
          </w:p>
          <w:p w14:paraId="1D3498E6">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1.社保证明。社保证明具体要求：投标人缴纳的近三个月的任意一个月的社保证明；若供应商成立不足三个月的，需提供成立情况说明函（格式自拟），无需提供相关人员社保；若为退休返聘人员，需提供说明函，格式自拟）</w:t>
            </w:r>
          </w:p>
          <w:p w14:paraId="2C01C116">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2.相关证书及官网查询截图。</w:t>
            </w:r>
          </w:p>
        </w:tc>
      </w:tr>
      <w:tr w14:paraId="0C9D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top"/>
          </w:tcPr>
          <w:p w14:paraId="1ED1D32D">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7483" w:type="dxa"/>
            <w:vAlign w:val="top"/>
          </w:tcPr>
          <w:p w14:paraId="37D394ED">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★2.1 投标人须向具有相关设备、设施供货资格的供应商购置材料、设备，并保证按时、按质、按量提供采购器材，其型号、技术规格等须与采购人当前使用的设备型号、技术规格相同或采购人认同的可向上兼容的设备，不得使用低配置的设备。具体供货数量及型号以采购人下达的采购通知为准，采购完成到货验收合格后即安排安装更换，并做好更换记录及相关清单台账（具体参数以采购文件提供的设备技术参数表中《详细功能参数要求》为准，</w:t>
            </w:r>
            <w:r>
              <w:rPr>
                <w:rFonts w:hint="eastAsia" w:eastAsia="宋体"/>
                <w:b/>
                <w:bCs/>
                <w:lang w:eastAsia="zh-CN"/>
              </w:rPr>
              <w:t>提供承诺函，格式自拟）</w:t>
            </w:r>
          </w:p>
        </w:tc>
      </w:tr>
      <w:tr w14:paraId="75D1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top"/>
          </w:tcPr>
          <w:p w14:paraId="6BCBFD4C">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cs="Times New Roman" w:asciiTheme="minorEastAsia" w:hAnsiTheme="minorEastAsia"/>
                <w:sz w:val="21"/>
                <w:szCs w:val="21"/>
                <w:lang w:eastAsia="zh-CN"/>
              </w:rPr>
            </w:pPr>
            <w:r>
              <w:rPr>
                <w:rFonts w:hint="eastAsia" w:ascii="宋体" w:hAnsi="宋体" w:eastAsia="宋体"/>
                <w:szCs w:val="21"/>
                <w:lang w:val="en-US" w:eastAsia="zh-CN"/>
              </w:rPr>
              <w:t>4</w:t>
            </w:r>
          </w:p>
        </w:tc>
        <w:tc>
          <w:tcPr>
            <w:tcW w:w="7483" w:type="dxa"/>
            <w:vAlign w:val="top"/>
          </w:tcPr>
          <w:p w14:paraId="1BCBCA14">
            <w:pPr>
              <w:keepNext w:val="0"/>
              <w:keepLines w:val="0"/>
              <w:widowControl/>
              <w:suppressLineNumbers w:val="0"/>
              <w:adjustRightInd w:val="0"/>
              <w:snapToGrid w:val="0"/>
              <w:spacing w:before="0" w:beforeAutospacing="0" w:after="0" w:afterAutospacing="0" w:line="360" w:lineRule="auto"/>
              <w:ind w:left="0" w:right="0"/>
              <w:rPr>
                <w:rFonts w:hint="eastAsia" w:eastAsia="宋体"/>
                <w:b/>
                <w:bCs/>
                <w:lang w:eastAsia="zh-CN"/>
              </w:rPr>
            </w:pPr>
            <w:r>
              <w:rPr>
                <w:rFonts w:hint="eastAsia" w:eastAsia="宋体"/>
                <w:lang w:eastAsia="zh-CN"/>
              </w:rPr>
              <w:t>完全满足本项目服务期限的要求。</w:t>
            </w:r>
            <w:r>
              <w:rPr>
                <w:rFonts w:hint="eastAsia" w:eastAsia="宋体"/>
                <w:b/>
                <w:bCs/>
                <w:lang w:eastAsia="zh-CN"/>
              </w:rPr>
              <w:t>（提供承诺函，格式自拟）</w:t>
            </w:r>
          </w:p>
          <w:p w14:paraId="1DCC357D">
            <w:pPr>
              <w:keepNext w:val="0"/>
              <w:keepLines w:val="0"/>
              <w:widowControl/>
              <w:suppressLineNumbers w:val="0"/>
              <w:adjustRightInd w:val="0"/>
              <w:snapToGrid w:val="0"/>
              <w:spacing w:before="0" w:beforeAutospacing="0" w:after="0" w:afterAutospacing="0" w:line="360" w:lineRule="auto"/>
              <w:ind w:left="0" w:right="0"/>
              <w:rPr>
                <w:rFonts w:hint="eastAsia" w:eastAsia="宋体"/>
                <w:lang w:eastAsia="zh-CN"/>
              </w:rPr>
            </w:pPr>
            <w:r>
              <w:rPr>
                <w:rFonts w:hint="eastAsia" w:eastAsia="宋体"/>
                <w:lang w:eastAsia="zh-CN"/>
              </w:rPr>
              <w:t>★（一）项目服务期限</w:t>
            </w:r>
          </w:p>
          <w:p w14:paraId="5A908B5A">
            <w:pPr>
              <w:keepNext w:val="0"/>
              <w:keepLines w:val="0"/>
              <w:widowControl/>
              <w:suppressLineNumbers w:val="0"/>
              <w:adjustRightInd w:val="0"/>
              <w:snapToGrid w:val="0"/>
              <w:spacing w:before="0" w:beforeAutospacing="0" w:after="0" w:afterAutospacing="0" w:line="360" w:lineRule="auto"/>
              <w:ind w:left="0" w:right="0"/>
              <w:rPr>
                <w:rFonts w:hint="eastAsia" w:cs="Times New Roman" w:asciiTheme="minorEastAsia" w:hAnsiTheme="minorEastAsia"/>
                <w:sz w:val="21"/>
                <w:szCs w:val="21"/>
              </w:rPr>
            </w:pPr>
            <w:r>
              <w:rPr>
                <w:rFonts w:hint="eastAsia" w:eastAsia="宋体"/>
                <w:lang w:eastAsia="zh-CN"/>
              </w:rPr>
              <w:t>本项目为长期服务类项目，第一年为本次招标的中标服务期限，采购单位可根据项目需要和中标供应商的履约情况确定合同期限是否延长，但最长不超过三十六个月。若政府采购主管部门发现项目有异常情况，以主管部门意见为准。</w:t>
            </w:r>
          </w:p>
        </w:tc>
      </w:tr>
      <w:tr w14:paraId="450D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78A188A">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cs="Times New Roman" w:asciiTheme="minorEastAsia" w:hAnsiTheme="minorEastAsia"/>
                <w:sz w:val="21"/>
                <w:szCs w:val="21"/>
                <w:lang w:val="en-US" w:eastAsia="zh-CN"/>
              </w:rPr>
            </w:pPr>
            <w:r>
              <w:rPr>
                <w:rFonts w:hint="eastAsia" w:eastAsia="宋体" w:cs="Times New Roman" w:asciiTheme="minorEastAsia" w:hAnsiTheme="minorEastAsia"/>
                <w:sz w:val="21"/>
                <w:szCs w:val="21"/>
                <w:lang w:val="en-US" w:eastAsia="zh-CN"/>
              </w:rPr>
              <w:t>5</w:t>
            </w:r>
          </w:p>
        </w:tc>
        <w:tc>
          <w:tcPr>
            <w:tcW w:w="7483" w:type="dxa"/>
            <w:vAlign w:val="top"/>
          </w:tcPr>
          <w:p w14:paraId="3683C789">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eastAsia" w:ascii="Times New Roman" w:hAnsi="Times New Roman" w:eastAsia="宋体" w:cs="Times New Roman"/>
                <w:lang w:eastAsia="zh-CN"/>
              </w:rPr>
            </w:pPr>
            <w:r>
              <w:rPr>
                <w:rFonts w:hint="eastAsia" w:ascii="宋体" w:hAnsi="宋体" w:eastAsia="宋体" w:cs="宋体"/>
                <w:kern w:val="0"/>
                <w:sz w:val="24"/>
                <w:szCs w:val="24"/>
                <w:lang w:val="en-US" w:eastAsia="zh-CN" w:bidi="ar"/>
              </w:rPr>
              <w:t>投标人在服务期间不得因欠缴电费而导致交通信号设施、电子警察、车牌识别、视频监控、诱导屏等设施中断运行。（提供承诺函，格式自拟）</w:t>
            </w:r>
          </w:p>
        </w:tc>
      </w:tr>
      <w:tr w14:paraId="575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1D458E9">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cs="Times New Roman" w:asciiTheme="minorEastAsia" w:hAnsiTheme="minorEastAsia"/>
                <w:sz w:val="21"/>
                <w:szCs w:val="21"/>
                <w:lang w:val="en-US" w:eastAsia="zh-CN"/>
              </w:rPr>
            </w:pPr>
            <w:r>
              <w:rPr>
                <w:rFonts w:hint="eastAsia" w:eastAsia="宋体" w:cs="Times New Roman" w:asciiTheme="minorEastAsia" w:hAnsiTheme="minorEastAsia"/>
                <w:sz w:val="21"/>
                <w:szCs w:val="21"/>
                <w:lang w:val="en-US" w:eastAsia="zh-CN"/>
              </w:rPr>
              <w:t>6</w:t>
            </w:r>
          </w:p>
        </w:tc>
        <w:tc>
          <w:tcPr>
            <w:tcW w:w="7483" w:type="dxa"/>
            <w:vAlign w:val="top"/>
          </w:tcPr>
          <w:p w14:paraId="6F5B7B1C">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eastAsia" w:ascii="Times New Roman" w:hAnsi="Times New Roman" w:eastAsia="宋体" w:cs="Times New Roman"/>
                <w:lang w:eastAsia="zh-CN"/>
              </w:rPr>
            </w:pPr>
            <w:r>
              <w:rPr>
                <w:rFonts w:hint="eastAsia" w:ascii="宋体" w:hAnsi="宋体" w:eastAsia="宋体" w:cs="宋体"/>
                <w:kern w:val="0"/>
                <w:sz w:val="24"/>
                <w:szCs w:val="24"/>
                <w:lang w:val="en-US" w:eastAsia="zh-CN" w:bidi="ar"/>
              </w:rPr>
              <w:t>公司经营状况良好，自</w:t>
            </w:r>
            <w:r>
              <w:rPr>
                <w:rFonts w:hint="default" w:ascii="Times New Roman" w:hAnsi="Times New Roman" w:eastAsia="宋体" w:cs="Times New Roman"/>
                <w:kern w:val="0"/>
                <w:sz w:val="24"/>
                <w:szCs w:val="24"/>
                <w:lang w:val="en-US" w:eastAsia="zh-CN" w:bidi="ar"/>
              </w:rPr>
              <w:t>2023</w:t>
            </w:r>
            <w:r>
              <w:rPr>
                <w:rFonts w:hint="eastAsia" w:ascii="宋体" w:hAnsi="宋体"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日至今未出现因拖欠员工工资而造成社会不良影响的情形。（提供承诺函，格式自拟）</w:t>
            </w:r>
          </w:p>
        </w:tc>
      </w:tr>
      <w:tr w14:paraId="4D60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445A065">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cs="Times New Roman" w:asciiTheme="minorEastAsia" w:hAnsiTheme="minorEastAsia"/>
                <w:sz w:val="21"/>
                <w:szCs w:val="21"/>
                <w:lang w:val="en-US" w:eastAsia="zh-CN"/>
              </w:rPr>
            </w:pPr>
            <w:r>
              <w:rPr>
                <w:rFonts w:hint="eastAsia" w:eastAsia="宋体" w:cs="Times New Roman" w:asciiTheme="minorEastAsia" w:hAnsiTheme="minorEastAsia"/>
                <w:sz w:val="21"/>
                <w:szCs w:val="21"/>
                <w:lang w:val="en-US" w:eastAsia="zh-CN"/>
              </w:rPr>
              <w:t>7</w:t>
            </w:r>
          </w:p>
        </w:tc>
        <w:tc>
          <w:tcPr>
            <w:tcW w:w="7483" w:type="dxa"/>
            <w:vAlign w:val="top"/>
          </w:tcPr>
          <w:p w14:paraId="1DE62B35">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eastAsia" w:ascii="Times New Roman" w:hAnsi="Times New Roman" w:eastAsia="宋体" w:cs="Times New Roman"/>
                <w:lang w:eastAsia="zh-CN"/>
              </w:rPr>
            </w:pPr>
            <w:r>
              <w:rPr>
                <w:rFonts w:hint="eastAsia" w:ascii="宋体" w:hAnsi="宋体" w:eastAsia="宋体" w:cs="宋体"/>
                <w:kern w:val="0"/>
                <w:sz w:val="24"/>
                <w:szCs w:val="24"/>
                <w:lang w:val="en-US" w:eastAsia="zh-CN" w:bidi="ar"/>
              </w:rPr>
              <w:t>项目资金专款专用，投标人服务期间不得拖欠项目团队员工工资。（提供承诺函，格式自拟）</w:t>
            </w:r>
          </w:p>
        </w:tc>
      </w:tr>
      <w:tr w14:paraId="09D1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920DAB5">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cs="Times New Roman" w:asciiTheme="minorEastAsia" w:hAnsiTheme="minorEastAsia"/>
                <w:sz w:val="21"/>
                <w:szCs w:val="21"/>
                <w:lang w:val="en-US" w:eastAsia="zh-CN"/>
              </w:rPr>
            </w:pPr>
            <w:r>
              <w:rPr>
                <w:rFonts w:hint="eastAsia" w:eastAsia="宋体" w:cs="Times New Roman" w:asciiTheme="minorEastAsia" w:hAnsiTheme="minorEastAsia"/>
                <w:sz w:val="21"/>
                <w:szCs w:val="21"/>
                <w:lang w:val="en-US" w:eastAsia="zh-CN"/>
              </w:rPr>
              <w:t>8</w:t>
            </w:r>
          </w:p>
        </w:tc>
        <w:tc>
          <w:tcPr>
            <w:tcW w:w="7483" w:type="dxa"/>
            <w:vAlign w:val="top"/>
          </w:tcPr>
          <w:p w14:paraId="4C60930A">
            <w:pPr>
              <w:keepNext w:val="0"/>
              <w:keepLines w:val="0"/>
              <w:widowControl/>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lang w:eastAsia="zh-CN"/>
              </w:rPr>
            </w:pPr>
            <w:r>
              <w:rPr>
                <w:rFonts w:hint="eastAsia" w:ascii="Times New Roman" w:hAnsi="Times New Roman" w:eastAsia="宋体" w:cs="Times New Roman"/>
                <w:lang w:eastAsia="zh-CN"/>
              </w:rPr>
              <w:t>承诺在未经采购人书面同意前，须保持实际服务团队成员与投标服务团队成员须保持一致，否则视为主动放弃中标资格。（提供承诺函，格式自拟）</w:t>
            </w:r>
          </w:p>
        </w:tc>
      </w:tr>
    </w:tbl>
    <w:p w14:paraId="67D288D8">
      <w:pPr>
        <w:rPr>
          <w:sz w:val="21"/>
        </w:rPr>
      </w:pPr>
      <w:r>
        <w:rPr>
          <w:rFonts w:hint="eastAsia"/>
          <w:sz w:val="21"/>
        </w:rPr>
        <w:t>注：上表所列内容为不可负偏离条款，负偏离将视为未实质性满足招标文件要求作投标无效处理。</w:t>
      </w:r>
    </w:p>
    <w:p w14:paraId="2FFF1695">
      <w:pPr>
        <w:rPr>
          <w:rFonts w:hint="eastAsia" w:asciiTheme="minorEastAsia" w:hAnsiTheme="minorEastAsia" w:eastAsiaTheme="minorEastAsia"/>
          <w:szCs w:val="21"/>
        </w:rPr>
      </w:pPr>
      <w:r>
        <w:rPr>
          <w:rFonts w:hint="eastAsia" w:asciiTheme="minorEastAsia" w:hAnsiTheme="minorEastAsia" w:eastAsiaTheme="minorEastAsia"/>
          <w:szCs w:val="21"/>
        </w:rPr>
        <w:br w:type="page"/>
      </w:r>
    </w:p>
    <w:p w14:paraId="4C0C6663">
      <w:pPr>
        <w:pStyle w:val="3"/>
        <w:jc w:val="center"/>
        <w:rPr>
          <w:rFonts w:asciiTheme="minorEastAsia" w:hAnsiTheme="minorEastAsia" w:eastAsiaTheme="minorEastAsia"/>
          <w:szCs w:val="21"/>
        </w:rPr>
      </w:pPr>
      <w:r>
        <w:rPr>
          <w:rFonts w:hint="eastAsia" w:asciiTheme="minorEastAsia" w:hAnsiTheme="minorEastAsia" w:eastAsiaTheme="minorEastAsia"/>
          <w:szCs w:val="21"/>
        </w:rPr>
        <w:t>四、项目服务要求</w:t>
      </w:r>
    </w:p>
    <w:p w14:paraId="5658F5A7">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lang w:eastAsia="zh-CN"/>
        </w:rPr>
      </w:pPr>
      <w:bookmarkStart w:id="34" w:name="_Toc26199253"/>
      <w:r>
        <w:rPr>
          <w:rFonts w:hint="eastAsia" w:ascii="宋体" w:hAnsi="宋体" w:eastAsia="宋体" w:cs="宋体"/>
          <w:b/>
          <w:color w:val="auto"/>
          <w:sz w:val="24"/>
          <w:szCs w:val="24"/>
        </w:rPr>
        <w:t>（一）项目</w:t>
      </w:r>
      <w:bookmarkEnd w:id="34"/>
      <w:bookmarkStart w:id="35" w:name="_Toc26199254"/>
      <w:r>
        <w:rPr>
          <w:rFonts w:hint="eastAsia" w:ascii="宋体" w:hAnsi="宋体" w:eastAsia="宋体" w:cs="宋体"/>
          <w:b/>
          <w:color w:val="auto"/>
          <w:sz w:val="24"/>
          <w:szCs w:val="24"/>
          <w:lang w:eastAsia="zh-CN"/>
        </w:rPr>
        <w:t>背景</w:t>
      </w:r>
    </w:p>
    <w:p w14:paraId="38839EA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为保证深圳市公安局交通警察局管理和维护的交通信号设施、电子警察、车牌识别、视频监控、诱导屏等设施正常、稳定的运行，需专业队伍进行应急抢修、维护保养、升级、更新等服务工作，特对上述设施维护进行采购。维护区域为福田区、罗湖区、盐田区、大鹏区及深汕合作区，在应急情况下可延伸至全市范围开展工作。</w:t>
      </w:r>
    </w:p>
    <w:p w14:paraId="5CE5352B">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（二）</w:t>
      </w:r>
      <w:bookmarkEnd w:id="35"/>
      <w:r>
        <w:rPr>
          <w:rFonts w:hint="eastAsia" w:ascii="宋体" w:hAnsi="宋体" w:eastAsia="宋体" w:cs="宋体"/>
          <w:b/>
          <w:color w:val="auto"/>
          <w:sz w:val="24"/>
          <w:szCs w:val="24"/>
          <w:lang w:eastAsia="zh-CN"/>
        </w:rPr>
        <w:t>服务技术要求</w:t>
      </w:r>
    </w:p>
    <w:p w14:paraId="53B7E0D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eastAsia="zh-CN"/>
        </w:rPr>
      </w:pPr>
      <w:r>
        <w:rPr>
          <w:rFonts w:hint="eastAsia"/>
          <w:lang w:val="en-US" w:eastAsia="zh-CN"/>
        </w:rPr>
        <w:t xml:space="preserve">1. </w:t>
      </w:r>
      <w:r>
        <w:rPr>
          <w:rFonts w:hint="eastAsia"/>
          <w:lang w:eastAsia="zh-CN"/>
        </w:rPr>
        <w:t>交通监控设施维护</w:t>
      </w:r>
    </w:p>
    <w:p w14:paraId="3B04E37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lang w:eastAsia="zh-CN"/>
        </w:rPr>
      </w:pPr>
      <w:r>
        <w:rPr>
          <w:rFonts w:hint="eastAsia"/>
          <w:lang w:eastAsia="zh-CN"/>
        </w:rPr>
        <w:t>交通监控设施维护工作，具体维护内容详见下表：</w:t>
      </w:r>
    </w:p>
    <w:tbl>
      <w:tblPr>
        <w:tblStyle w:val="17"/>
        <w:tblW w:w="4998" w:type="pct"/>
        <w:tblInd w:w="0" w:type="dxa"/>
        <w:tblLayout w:type="autofit"/>
        <w:tblCellMar>
          <w:top w:w="0" w:type="dxa"/>
          <w:left w:w="108" w:type="dxa"/>
          <w:bottom w:w="0" w:type="dxa"/>
          <w:right w:w="108" w:type="dxa"/>
        </w:tblCellMar>
      </w:tblPr>
      <w:tblGrid>
        <w:gridCol w:w="883"/>
        <w:gridCol w:w="1261"/>
        <w:gridCol w:w="656"/>
        <w:gridCol w:w="643"/>
        <w:gridCol w:w="2163"/>
        <w:gridCol w:w="3007"/>
      </w:tblGrid>
      <w:tr w14:paraId="4BC052E1">
        <w:tblPrEx>
          <w:tblCellMar>
            <w:top w:w="0" w:type="dxa"/>
            <w:left w:w="108" w:type="dxa"/>
            <w:bottom w:w="0" w:type="dxa"/>
            <w:right w:w="108" w:type="dxa"/>
          </w:tblCellMar>
        </w:tblPrEx>
        <w:trPr>
          <w:trHeight w:val="555" w:hRule="atLeast"/>
        </w:trPr>
        <w:tc>
          <w:tcPr>
            <w:tcW w:w="514" w:type="pct"/>
            <w:tcBorders>
              <w:top w:val="single" w:color="000000" w:sz="4" w:space="0"/>
              <w:left w:val="single" w:color="000000" w:sz="4" w:space="0"/>
              <w:right w:val="single" w:color="000000" w:sz="4" w:space="0"/>
            </w:tcBorders>
            <w:noWrap w:val="0"/>
            <w:vAlign w:val="center"/>
          </w:tcPr>
          <w:p w14:paraId="33BD353F">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维护类型</w:t>
            </w:r>
          </w:p>
        </w:tc>
        <w:tc>
          <w:tcPr>
            <w:tcW w:w="733" w:type="pct"/>
            <w:tcBorders>
              <w:top w:val="single" w:color="000000" w:sz="4" w:space="0"/>
              <w:left w:val="single" w:color="000000" w:sz="4" w:space="0"/>
              <w:right w:val="single" w:color="000000" w:sz="4" w:space="0"/>
            </w:tcBorders>
            <w:noWrap w:val="0"/>
            <w:vAlign w:val="center"/>
          </w:tcPr>
          <w:p w14:paraId="1CC895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维护内容</w:t>
            </w:r>
          </w:p>
        </w:tc>
        <w:tc>
          <w:tcPr>
            <w:tcW w:w="374" w:type="pct"/>
            <w:tcBorders>
              <w:top w:val="single" w:color="000000" w:sz="4" w:space="0"/>
              <w:left w:val="single" w:color="000000" w:sz="4" w:space="0"/>
              <w:right w:val="single" w:color="000000" w:sz="4" w:space="0"/>
            </w:tcBorders>
            <w:noWrap w:val="0"/>
            <w:vAlign w:val="center"/>
          </w:tcPr>
          <w:p w14:paraId="0B67AF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数量</w:t>
            </w:r>
          </w:p>
        </w:tc>
        <w:tc>
          <w:tcPr>
            <w:tcW w:w="374" w:type="pct"/>
            <w:tcBorders>
              <w:top w:val="single" w:color="000000" w:sz="4" w:space="0"/>
              <w:left w:val="single" w:color="000000" w:sz="4" w:space="0"/>
              <w:right w:val="single" w:color="000000" w:sz="4" w:space="0"/>
            </w:tcBorders>
            <w:noWrap w:val="0"/>
            <w:vAlign w:val="center"/>
          </w:tcPr>
          <w:p w14:paraId="418FE7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单位</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7B93DF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维护数量</w:t>
            </w:r>
          </w:p>
        </w:tc>
        <w:tc>
          <w:tcPr>
            <w:tcW w:w="1746" w:type="pct"/>
            <w:tcBorders>
              <w:top w:val="single" w:color="000000" w:sz="4" w:space="0"/>
              <w:left w:val="single" w:color="000000" w:sz="4" w:space="0"/>
              <w:right w:val="single" w:color="000000" w:sz="4" w:space="0"/>
            </w:tcBorders>
            <w:noWrap w:val="0"/>
            <w:vAlign w:val="center"/>
          </w:tcPr>
          <w:p w14:paraId="769F71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具体内容</w:t>
            </w:r>
          </w:p>
        </w:tc>
      </w:tr>
      <w:tr w14:paraId="23C61001">
        <w:tblPrEx>
          <w:tblCellMar>
            <w:top w:w="0" w:type="dxa"/>
            <w:left w:w="108" w:type="dxa"/>
            <w:bottom w:w="0" w:type="dxa"/>
            <w:right w:w="108" w:type="dxa"/>
          </w:tblCellMar>
        </w:tblPrEx>
        <w:trPr>
          <w:trHeight w:val="1635" w:hRule="atLeast"/>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70689B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设备维护</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69EEAA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交通信号设备维护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BCED3F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383</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01AAD6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路口</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7F9FB3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677E1F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交通信号灯、光传输设备（如ONU、光纤收发器等终端设备）以及交通信号辅助设备，行人过街设备、地磁、雷达、可变车道、待转、潮汐车道等设施的日常维护、软件硬件调试（含漏洞修复、软件升级等）、故障维修、定期检修及清洁保养等。</w:t>
            </w:r>
          </w:p>
        </w:tc>
      </w:tr>
      <w:tr w14:paraId="2D335772">
        <w:tblPrEx>
          <w:tblCellMar>
            <w:top w:w="0" w:type="dxa"/>
            <w:left w:w="108" w:type="dxa"/>
            <w:bottom w:w="0" w:type="dxa"/>
            <w:right w:w="108" w:type="dxa"/>
          </w:tblCellMar>
        </w:tblPrEx>
        <w:trPr>
          <w:trHeight w:val="322"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1F89A">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62871A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电子警察设备维护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2EA11A5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870</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410DAA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断面</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4F1CD8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74926D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高清电子警察设备，含正、反向电警、测速、不礼让行人、逆行、压线、行人闯红灯等设备以及电子警察配套辅助设备补光装置、光传输设备（如ONU、光纤收发器等终端设备）等设备的日常维护、软件硬件调试（含漏洞修复、软件升级等）、故障维修、定期检修及清洁保养等（注：如果前端与机房不在同一个区域的，机房端维护同样隶属于前端对应区域）。</w:t>
            </w:r>
          </w:p>
        </w:tc>
      </w:tr>
      <w:tr w14:paraId="75AFBB09">
        <w:tblPrEx>
          <w:tblCellMar>
            <w:top w:w="0" w:type="dxa"/>
            <w:left w:w="108" w:type="dxa"/>
            <w:bottom w:w="0" w:type="dxa"/>
            <w:right w:w="108" w:type="dxa"/>
          </w:tblCellMar>
        </w:tblPrEx>
        <w:trPr>
          <w:trHeight w:val="168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7845B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3EB1E8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视频监控设备维护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7B5A75C0">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1070</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15387A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套</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3AD7C4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320025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视频监控设备，含光传输设备（如ONU、光纤收发器、机房内视频矩阵等终端设备）、网络高清摄像机、无线布控球、高中低空视频监控、智能球机、事件检测监控等设备的日常维护、软件硬件调试（含漏洞修复、软件升级等）、故障维修、定期检修及清洁保养等（注：如果前端与机房不在同一个区域的，机房端维护同样隶属于前端对应区域）</w:t>
            </w:r>
          </w:p>
        </w:tc>
      </w:tr>
      <w:tr w14:paraId="33F39A69">
        <w:tblPrEx>
          <w:tblCellMar>
            <w:top w:w="0" w:type="dxa"/>
            <w:left w:w="108" w:type="dxa"/>
            <w:bottom w:w="0" w:type="dxa"/>
            <w:right w:w="108" w:type="dxa"/>
          </w:tblCellMar>
        </w:tblPrEx>
        <w:trPr>
          <w:trHeight w:val="168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41E0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5DD2A5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交通诱导屏设备维护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35EF124B">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71</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226410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块</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0B4329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6C1D7D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双基色屏、全彩色屏、复合屏、条形LED屏以及诱导屏配套辅助设备信息发布加密模块、光传输设备（如ONU、光纤收发器等终端设备）等设备的日常维护、软件硬件调试（含漏洞修复、软件升级等）、故障维修、定期检修及清洁保养等（注：如果前端与机房不在同一个区域的，机房端维护同样隶属于前端对应区域）。</w:t>
            </w:r>
          </w:p>
        </w:tc>
      </w:tr>
      <w:tr w14:paraId="6E7FC64C">
        <w:tblPrEx>
          <w:tblCellMar>
            <w:top w:w="0" w:type="dxa"/>
            <w:left w:w="108" w:type="dxa"/>
            <w:bottom w:w="0" w:type="dxa"/>
            <w:right w:w="108" w:type="dxa"/>
          </w:tblCellMar>
        </w:tblPrEx>
        <w:trPr>
          <w:trHeight w:val="96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146447">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419B8F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车牌识别设备维护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B255BFA">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276</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5EB1B3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断面</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4F4ABF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3360FC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车牌识别设备（含电动车RFID）以及车牌识别配套辅助设备补光装置、光传输设备（如ONU、光纤收发器等终端设备）等设备的日常维护、软件硬件调试（含漏洞修复、软件升级等）、故障维修、定期检修及清洁保养等（配合测速检定的保障工作）</w:t>
            </w:r>
          </w:p>
        </w:tc>
      </w:tr>
      <w:tr w14:paraId="17D8146A">
        <w:tblPrEx>
          <w:tblCellMar>
            <w:top w:w="0" w:type="dxa"/>
            <w:left w:w="108" w:type="dxa"/>
            <w:bottom w:w="0" w:type="dxa"/>
            <w:right w:w="108" w:type="dxa"/>
          </w:tblCellMar>
        </w:tblPrEx>
        <w:trPr>
          <w:trHeight w:val="665" w:hRule="atLeast"/>
        </w:trPr>
        <w:tc>
          <w:tcPr>
            <w:tcW w:w="514" w:type="pct"/>
            <w:vMerge w:val="restart"/>
            <w:tcBorders>
              <w:top w:val="single" w:color="000000" w:sz="4" w:space="0"/>
              <w:left w:val="single" w:color="000000" w:sz="4" w:space="0"/>
              <w:bottom w:val="single" w:color="000000" w:sz="4" w:space="0"/>
              <w:right w:val="single" w:color="000000" w:sz="4" w:space="0"/>
            </w:tcBorders>
            <w:noWrap w:val="0"/>
            <w:vAlign w:val="center"/>
          </w:tcPr>
          <w:p w14:paraId="31EB1E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工程维护</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3950C0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交通信号工程维护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11FF1748">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387</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BA9CA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路口</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41CFED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1B783A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交通信号灯以及交通信号附属配套的杆件、支架、基础、机箱、沙井、管道（含疏通、修复、更换等）、线缆、防雷接地等设施的日常维护、检查、检修、更换、清洁、除锈、刷漆以及机箱内各种接线的整理等，以及上述维护内容需配套的开挖、恢复等全部内容</w:t>
            </w:r>
          </w:p>
        </w:tc>
      </w:tr>
      <w:tr w14:paraId="5A5A3FAD">
        <w:tblPrEx>
          <w:tblCellMar>
            <w:top w:w="0" w:type="dxa"/>
            <w:left w:w="108" w:type="dxa"/>
            <w:bottom w:w="0" w:type="dxa"/>
            <w:right w:w="108" w:type="dxa"/>
          </w:tblCellMar>
        </w:tblPrEx>
        <w:trPr>
          <w:trHeight w:val="96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92D504">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0E621C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电子警察工程维护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617D78CC">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872</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704C9E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断面</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28198C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2D0A2D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电子警察设备以及电子警察附属配套的杆件、支架、基础、机箱、沙井、管道（含疏通、修复、更换等）、线缆、防雷接地等设施的日常维护、检查、检修、更换、清洁、除锈、刷漆以及机箱内各种接线的整理等，以及上述维护内容需配套的开挖、恢复等全部内容</w:t>
            </w:r>
          </w:p>
        </w:tc>
      </w:tr>
      <w:tr w14:paraId="58DAC232">
        <w:tblPrEx>
          <w:tblCellMar>
            <w:top w:w="0" w:type="dxa"/>
            <w:left w:w="108" w:type="dxa"/>
            <w:bottom w:w="0" w:type="dxa"/>
            <w:right w:w="108" w:type="dxa"/>
          </w:tblCellMar>
        </w:tblPrEx>
        <w:trPr>
          <w:trHeight w:val="9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6C636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286F3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视频监控工程维护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5AE0AEF8">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1077</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6BE87A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套</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44FCAA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6F5163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视频监控设备，含网络高清摄像机、无线布控球、高中低空视频监控、智能球机、事件检测监控等设备附属配套的杆件、支架、基础、机箱、沙井、管道（含疏通、修复、更换等）、线缆、防雷接地等设施的日常维护、检查、检修、更换、清洁、除锈、刷漆以及机箱内各种接线的整理等，以及上述维护内容需配套的开挖、恢复等全部内容</w:t>
            </w:r>
          </w:p>
        </w:tc>
      </w:tr>
      <w:tr w14:paraId="42BEBAAA">
        <w:tblPrEx>
          <w:tblCellMar>
            <w:top w:w="0" w:type="dxa"/>
            <w:left w:w="108" w:type="dxa"/>
            <w:bottom w:w="0" w:type="dxa"/>
            <w:right w:w="108" w:type="dxa"/>
          </w:tblCellMar>
        </w:tblPrEx>
        <w:trPr>
          <w:trHeight w:val="1200" w:hRule="atLeast"/>
        </w:trPr>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F42673">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1A653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交通诱导屏工程维护</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071FCDA">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71</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37321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块</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3E14EF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0D3355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双基色屏、全彩色屏、复合屏、条形LED屏（放路口或路段配套设备）以及诱导屏附属配套的杆件、支架、基础、机箱、沙井、管道（含疏通、修复、更换等）、线缆、防雷接地等设施的日常维护、检查、检修、更换、清洁、除锈、刷漆以及机箱内各种接线的整理等，以及上述维护内容需配套的开挖、恢复等全部内容</w:t>
            </w:r>
          </w:p>
        </w:tc>
      </w:tr>
      <w:tr w14:paraId="4F001909">
        <w:tblPrEx>
          <w:tblCellMar>
            <w:top w:w="0" w:type="dxa"/>
            <w:left w:w="108" w:type="dxa"/>
            <w:bottom w:w="0" w:type="dxa"/>
            <w:right w:w="108" w:type="dxa"/>
          </w:tblCellMar>
        </w:tblPrEx>
        <w:trPr>
          <w:trHeight w:val="930" w:hRule="atLeast"/>
        </w:trPr>
        <w:tc>
          <w:tcPr>
            <w:tcW w:w="514" w:type="pct"/>
            <w:vMerge w:val="continue"/>
            <w:tcBorders>
              <w:top w:val="single" w:color="000000" w:sz="4" w:space="0"/>
              <w:left w:val="single" w:color="000000" w:sz="4" w:space="0"/>
              <w:bottom w:val="single" w:color="auto" w:sz="4" w:space="0"/>
              <w:right w:val="single" w:color="000000" w:sz="4" w:space="0"/>
            </w:tcBorders>
            <w:noWrap w:val="0"/>
            <w:vAlign w:val="center"/>
          </w:tcPr>
          <w:p w14:paraId="051C9FF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auto" w:sz="4" w:space="0"/>
              <w:right w:val="single" w:color="000000" w:sz="4" w:space="0"/>
            </w:tcBorders>
            <w:noWrap w:val="0"/>
            <w:vAlign w:val="center"/>
          </w:tcPr>
          <w:p w14:paraId="61702B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车牌识别工程维护</w:t>
            </w:r>
          </w:p>
        </w:tc>
        <w:tc>
          <w:tcPr>
            <w:tcW w:w="645" w:type="dxa"/>
            <w:tcBorders>
              <w:top w:val="single" w:color="000000" w:sz="4" w:space="0"/>
              <w:left w:val="single" w:color="000000" w:sz="4" w:space="0"/>
              <w:bottom w:val="single" w:color="auto" w:sz="4" w:space="0"/>
              <w:right w:val="single" w:color="000000" w:sz="4" w:space="0"/>
            </w:tcBorders>
            <w:noWrap w:val="0"/>
            <w:vAlign w:val="center"/>
          </w:tcPr>
          <w:p w14:paraId="28A0437B">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2"/>
                <w:szCs w:val="24"/>
              </w:rPr>
              <w:t>280</w:t>
            </w:r>
          </w:p>
        </w:tc>
        <w:tc>
          <w:tcPr>
            <w:tcW w:w="374" w:type="pct"/>
            <w:tcBorders>
              <w:top w:val="single" w:color="000000" w:sz="4" w:space="0"/>
              <w:left w:val="single" w:color="000000" w:sz="4" w:space="0"/>
              <w:bottom w:val="single" w:color="auto" w:sz="4" w:space="0"/>
              <w:right w:val="single" w:color="000000" w:sz="4" w:space="0"/>
            </w:tcBorders>
            <w:noWrap w:val="0"/>
            <w:vAlign w:val="center"/>
          </w:tcPr>
          <w:p w14:paraId="5C5021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断面</w:t>
            </w:r>
          </w:p>
        </w:tc>
        <w:tc>
          <w:tcPr>
            <w:tcW w:w="1256" w:type="pct"/>
            <w:tcBorders>
              <w:top w:val="single" w:color="000000" w:sz="4" w:space="0"/>
              <w:left w:val="single" w:color="000000" w:sz="4" w:space="0"/>
              <w:bottom w:val="single" w:color="auto" w:sz="4" w:space="0"/>
              <w:right w:val="single" w:color="000000" w:sz="4" w:space="0"/>
            </w:tcBorders>
            <w:noWrap w:val="0"/>
            <w:vAlign w:val="center"/>
          </w:tcPr>
          <w:p w14:paraId="564377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报价表</w:t>
            </w:r>
            <w:r>
              <w:rPr>
                <w:rFonts w:hint="default" w:ascii="宋体" w:hAnsi="宋体" w:eastAsia="宋体" w:cs="宋体"/>
                <w:color w:val="000000"/>
                <w:kern w:val="0"/>
                <w:sz w:val="21"/>
                <w:szCs w:val="21"/>
                <w:lang w:val="en-US" w:eastAsia="zh-CN" w:bidi="ar-SA"/>
              </w:rPr>
              <w:t>为预估数量，以实际下达任务为准</w:t>
            </w:r>
          </w:p>
        </w:tc>
        <w:tc>
          <w:tcPr>
            <w:tcW w:w="1746" w:type="pct"/>
            <w:tcBorders>
              <w:top w:val="single" w:color="000000" w:sz="4" w:space="0"/>
              <w:left w:val="single" w:color="000000" w:sz="4" w:space="0"/>
              <w:bottom w:val="single" w:color="auto" w:sz="4" w:space="0"/>
              <w:right w:val="single" w:color="000000" w:sz="4" w:space="0"/>
            </w:tcBorders>
            <w:noWrap w:val="0"/>
            <w:vAlign w:val="center"/>
          </w:tcPr>
          <w:p w14:paraId="20DD18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车牌识别设备（含电动车RFID）以及车牌识别附属配套的杆件、支架、基础、机箱、沙井、管道（含疏通、修复、更换等）、线缆、防雷接地等设施的日常维护、检查、检修、更换、清洁、除锈、刷漆以及机箱内各种接线的整理等，以及上述维护内容需配套的开挖、恢复等全部内容</w:t>
            </w:r>
          </w:p>
        </w:tc>
      </w:tr>
      <w:tr w14:paraId="3B40A226">
        <w:tblPrEx>
          <w:tblCellMar>
            <w:top w:w="0" w:type="dxa"/>
            <w:left w:w="108" w:type="dxa"/>
            <w:bottom w:w="0" w:type="dxa"/>
            <w:right w:w="108" w:type="dxa"/>
          </w:tblCellMar>
        </w:tblPrEx>
        <w:trPr>
          <w:trHeight w:val="960" w:hRule="atLeast"/>
        </w:trPr>
        <w:tc>
          <w:tcPr>
            <w:tcW w:w="514" w:type="pct"/>
            <w:vMerge w:val="restart"/>
            <w:tcBorders>
              <w:top w:val="single" w:color="auto" w:sz="4" w:space="0"/>
              <w:left w:val="single" w:color="auto" w:sz="4" w:space="0"/>
              <w:bottom w:val="single" w:color="auto" w:sz="4" w:space="0"/>
              <w:right w:val="single" w:color="000000" w:sz="4" w:space="0"/>
            </w:tcBorders>
            <w:noWrap w:val="0"/>
            <w:vAlign w:val="center"/>
          </w:tcPr>
          <w:p w14:paraId="32E8E4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其他代缴费用（不可竞争费）</w:t>
            </w:r>
          </w:p>
        </w:tc>
        <w:tc>
          <w:tcPr>
            <w:tcW w:w="733" w:type="pct"/>
            <w:tcBorders>
              <w:top w:val="single" w:color="auto" w:sz="4" w:space="0"/>
              <w:left w:val="single" w:color="000000" w:sz="4" w:space="0"/>
              <w:bottom w:val="single" w:color="auto" w:sz="4" w:space="0"/>
              <w:right w:val="single" w:color="000000" w:sz="4" w:space="0"/>
            </w:tcBorders>
            <w:noWrap w:val="0"/>
            <w:vAlign w:val="center"/>
          </w:tcPr>
          <w:p w14:paraId="3050AE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设备用电费代缴费（</w:t>
            </w:r>
            <w:r>
              <w:rPr>
                <w:rFonts w:hint="eastAsia" w:ascii="宋体" w:hAnsi="宋体" w:eastAsia="宋体" w:cs="宋体"/>
                <w:i w:val="0"/>
                <w:iCs w:val="0"/>
                <w:caps w:val="0"/>
                <w:spacing w:val="0"/>
                <w:kern w:val="2"/>
                <w:sz w:val="21"/>
                <w:szCs w:val="21"/>
                <w:highlight w:val="none"/>
                <w:shd w:val="clear" w:color="auto" w:fill="FFFFFF"/>
                <w:lang w:val="en-US" w:eastAsia="zh-CN" w:bidi="ar-SA"/>
              </w:rPr>
              <w:t>包括但不限于合同期内</w:t>
            </w:r>
            <w:r>
              <w:rPr>
                <w:rFonts w:hint="eastAsia" w:ascii="宋体" w:hAnsi="宋体" w:eastAsia="宋体" w:cs="宋体"/>
                <w:color w:val="000000"/>
                <w:kern w:val="0"/>
                <w:sz w:val="21"/>
                <w:szCs w:val="21"/>
                <w:highlight w:val="none"/>
                <w:lang w:val="en-US" w:eastAsia="zh-CN" w:bidi="ar-SA"/>
              </w:rPr>
              <w:t>）</w:t>
            </w:r>
          </w:p>
        </w:tc>
        <w:tc>
          <w:tcPr>
            <w:tcW w:w="645" w:type="dxa"/>
            <w:tcBorders>
              <w:top w:val="single" w:color="auto" w:sz="4" w:space="0"/>
              <w:left w:val="single" w:color="000000" w:sz="4" w:space="0"/>
              <w:bottom w:val="single" w:color="auto" w:sz="4" w:space="0"/>
              <w:right w:val="single" w:color="000000" w:sz="4" w:space="0"/>
            </w:tcBorders>
            <w:noWrap w:val="0"/>
            <w:vAlign w:val="center"/>
          </w:tcPr>
          <w:p w14:paraId="7AF4B834">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color w:val="000000"/>
                <w:sz w:val="21"/>
                <w:szCs w:val="24"/>
              </w:rPr>
              <w:t>1</w:t>
            </w:r>
          </w:p>
        </w:tc>
        <w:tc>
          <w:tcPr>
            <w:tcW w:w="374" w:type="pct"/>
            <w:tcBorders>
              <w:top w:val="single" w:color="auto" w:sz="4" w:space="0"/>
              <w:left w:val="single" w:color="000000" w:sz="4" w:space="0"/>
              <w:bottom w:val="single" w:color="auto" w:sz="4" w:space="0"/>
              <w:right w:val="single" w:color="000000" w:sz="4" w:space="0"/>
            </w:tcBorders>
            <w:noWrap w:val="0"/>
            <w:vAlign w:val="center"/>
          </w:tcPr>
          <w:p w14:paraId="1282E5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项</w:t>
            </w:r>
          </w:p>
        </w:tc>
        <w:tc>
          <w:tcPr>
            <w:tcW w:w="1256" w:type="pct"/>
            <w:tcBorders>
              <w:top w:val="single" w:color="auto" w:sz="4" w:space="0"/>
              <w:left w:val="single" w:color="000000" w:sz="4" w:space="0"/>
              <w:bottom w:val="single" w:color="auto" w:sz="4" w:space="0"/>
              <w:right w:val="single" w:color="000000" w:sz="4" w:space="0"/>
            </w:tcBorders>
            <w:noWrap w:val="0"/>
            <w:vAlign w:val="center"/>
          </w:tcPr>
          <w:p w14:paraId="1D0EDDB6">
            <w:pPr>
              <w:keepNext w:val="0"/>
              <w:keepLines w:val="0"/>
              <w:widowControl/>
              <w:suppressLineNumbers w:val="0"/>
              <w:spacing w:before="0" w:beforeAutospacing="0" w:after="0" w:afterAutospacing="0"/>
              <w:ind w:left="0" w:right="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bidi="ar-SA"/>
              </w:rPr>
              <w:t>★</w:t>
            </w:r>
            <w:r>
              <w:rPr>
                <w:rFonts w:hint="eastAsia" w:ascii="Times New Roman" w:hAnsi="Times New Roman" w:eastAsia="宋体" w:cs="Times New Roman"/>
                <w:b/>
                <w:bCs/>
                <w:color w:val="FF0000"/>
                <w:kern w:val="2"/>
                <w:sz w:val="21"/>
                <w:szCs w:val="21"/>
                <w:highlight w:val="none"/>
                <w:lang w:val="en-US" w:eastAsia="zh-CN" w:bidi="ar-SA"/>
              </w:rPr>
              <w:t>根据现有设备耗电量估算</w:t>
            </w:r>
            <w:r>
              <w:rPr>
                <w:rFonts w:hint="eastAsia" w:ascii="宋体" w:hAnsi="宋体" w:eastAsia="宋体" w:cs="宋体"/>
                <w:b/>
                <w:bCs/>
                <w:color w:val="FF0000"/>
                <w:kern w:val="0"/>
                <w:sz w:val="21"/>
                <w:szCs w:val="21"/>
                <w:highlight w:val="none"/>
                <w:lang w:val="en-US" w:eastAsia="zh-CN" w:bidi="ar-SA"/>
              </w:rPr>
              <w:t>此项电费金额为800,000.00元，按实际结算。属于不可竞争费用的部分，未按以上金额要求固定报价的，作投标无效处理。</w:t>
            </w:r>
          </w:p>
        </w:tc>
        <w:tc>
          <w:tcPr>
            <w:tcW w:w="1746" w:type="pct"/>
            <w:tcBorders>
              <w:top w:val="single" w:color="auto" w:sz="4" w:space="0"/>
              <w:left w:val="single" w:color="000000" w:sz="4" w:space="0"/>
              <w:bottom w:val="single" w:color="auto" w:sz="4" w:space="0"/>
              <w:right w:val="single" w:color="auto" w:sz="4" w:space="0"/>
            </w:tcBorders>
            <w:noWrap w:val="0"/>
            <w:vAlign w:val="center"/>
          </w:tcPr>
          <w:p w14:paraId="67CF8D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因各种客观因素影响而不能办理托收手续的，需协议缴费用电的交通监控设施产生的电费，具体费用由用电协议单价及实际用电量确定，</w:t>
            </w:r>
            <w:r>
              <w:rPr>
                <w:rFonts w:hint="eastAsia" w:ascii="宋体" w:hAnsi="宋体" w:eastAsia="宋体" w:cs="宋体"/>
                <w:color w:val="auto"/>
                <w:kern w:val="0"/>
                <w:sz w:val="21"/>
                <w:szCs w:val="21"/>
                <w:highlight w:val="none"/>
                <w:lang w:val="en-US" w:eastAsia="zh-CN" w:bidi="ar-SA"/>
              </w:rPr>
              <w:t>该费用</w:t>
            </w:r>
            <w:r>
              <w:rPr>
                <w:rFonts w:hint="eastAsia" w:ascii="Times New Roman" w:hAnsi="Times New Roman" w:eastAsia="宋体" w:cs="Times New Roman"/>
                <w:kern w:val="2"/>
                <w:sz w:val="21"/>
                <w:highlight w:val="none"/>
                <w:lang w:val="en-US" w:eastAsia="zh-CN" w:bidi="ar-SA"/>
              </w:rPr>
              <w:t>以开具发票（含税价）金额结算</w:t>
            </w:r>
          </w:p>
        </w:tc>
      </w:tr>
      <w:tr w14:paraId="411B461E">
        <w:tblPrEx>
          <w:tblCellMar>
            <w:top w:w="0" w:type="dxa"/>
            <w:left w:w="108" w:type="dxa"/>
            <w:bottom w:w="0" w:type="dxa"/>
            <w:right w:w="108" w:type="dxa"/>
          </w:tblCellMar>
        </w:tblPrEx>
        <w:trPr>
          <w:trHeight w:val="960" w:hRule="atLeast"/>
        </w:trPr>
        <w:tc>
          <w:tcPr>
            <w:tcW w:w="514" w:type="pct"/>
            <w:vMerge w:val="continue"/>
            <w:tcBorders>
              <w:left w:val="single" w:color="auto" w:sz="4" w:space="0"/>
              <w:bottom w:val="single" w:color="auto" w:sz="4" w:space="0"/>
              <w:right w:val="single" w:color="000000" w:sz="4" w:space="0"/>
            </w:tcBorders>
            <w:noWrap w:val="0"/>
            <w:vAlign w:val="center"/>
          </w:tcPr>
          <w:p w14:paraId="2AA43E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p>
        </w:tc>
        <w:tc>
          <w:tcPr>
            <w:tcW w:w="733" w:type="pct"/>
            <w:tcBorders>
              <w:top w:val="single" w:color="000000" w:sz="4" w:space="0"/>
              <w:left w:val="single" w:color="000000" w:sz="4" w:space="0"/>
              <w:bottom w:val="single" w:color="auto" w:sz="4" w:space="0"/>
              <w:right w:val="single" w:color="000000" w:sz="4" w:space="0"/>
            </w:tcBorders>
            <w:noWrap w:val="0"/>
            <w:vAlign w:val="center"/>
          </w:tcPr>
          <w:p w14:paraId="7269F8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区间测速检定代缴费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4A92F592">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color w:val="000000"/>
                <w:sz w:val="21"/>
                <w:szCs w:val="24"/>
              </w:rPr>
              <w:t>1</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6C4A22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14:paraId="3CA6C461">
            <w:pPr>
              <w:keepNext w:val="0"/>
              <w:keepLines w:val="0"/>
              <w:widowControl/>
              <w:suppressLineNumbers w:val="0"/>
              <w:spacing w:before="0" w:beforeAutospacing="0" w:after="0" w:afterAutospacing="0"/>
              <w:ind w:left="0" w:right="0"/>
              <w:jc w:val="center"/>
              <w:rPr>
                <w:rFonts w:hint="eastAsia" w:ascii="宋体" w:hAnsi="宋体" w:eastAsia="宋体" w:cs="宋体"/>
                <w:b/>
                <w:bCs/>
                <w:color w:val="FF0000"/>
                <w:kern w:val="0"/>
                <w:sz w:val="21"/>
                <w:szCs w:val="21"/>
                <w:lang w:val="en-US" w:eastAsia="zh-CN" w:bidi="ar-SA"/>
              </w:rPr>
            </w:pPr>
            <w:r>
              <w:rPr>
                <w:rFonts w:hint="eastAsia" w:ascii="宋体" w:hAnsi="宋体" w:eastAsia="宋体" w:cs="宋体"/>
                <w:b/>
                <w:bCs/>
                <w:color w:val="FF0000"/>
                <w:kern w:val="0"/>
                <w:sz w:val="21"/>
                <w:szCs w:val="21"/>
                <w:lang w:val="en-US" w:eastAsia="zh-CN" w:bidi="ar-SA"/>
              </w:rPr>
              <w:t>★此项预算金额为11,000.00元，按实际结算。属于不可竞争费用的部分，未按以上金额要求固定报价的，作投标无效处理。</w:t>
            </w:r>
          </w:p>
        </w:tc>
        <w:tc>
          <w:tcPr>
            <w:tcW w:w="1746" w:type="pct"/>
            <w:tcBorders>
              <w:top w:val="single" w:color="000000" w:sz="4" w:space="0"/>
              <w:left w:val="single" w:color="000000" w:sz="4" w:space="0"/>
              <w:bottom w:val="single" w:color="000000" w:sz="4" w:space="0"/>
              <w:right w:val="single" w:color="000000" w:sz="4" w:space="0"/>
            </w:tcBorders>
            <w:noWrap w:val="0"/>
            <w:vAlign w:val="center"/>
          </w:tcPr>
          <w:p w14:paraId="5C5885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对辖区内的测速执法设备委托具备资质的检定机构进行检定的费用，该费用根据实际结算</w:t>
            </w:r>
          </w:p>
        </w:tc>
      </w:tr>
    </w:tbl>
    <w:p w14:paraId="5FF44EE7">
      <w:pPr>
        <w:pStyle w:val="6"/>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b/>
          <w:bCs/>
          <w:lang w:eastAsia="zh-CN"/>
        </w:rPr>
      </w:pPr>
      <w:r>
        <w:rPr>
          <w:rFonts w:hint="eastAsia"/>
          <w:b/>
          <w:bCs/>
          <w:lang w:eastAsia="zh-CN"/>
        </w:rPr>
        <w:t>注：以上数量为暂估量，以实际下达任务数量为准。</w:t>
      </w:r>
    </w:p>
    <w:p w14:paraId="35428952">
      <w:pPr>
        <w:pStyle w:val="6"/>
        <w:keepNext w:val="0"/>
        <w:keepLines w:val="0"/>
        <w:pageBreakBefore w:val="0"/>
        <w:widowControl/>
        <w:numPr>
          <w:ilvl w:val="0"/>
          <w:numId w:val="2"/>
        </w:numPr>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设备更新采购及安装</w:t>
      </w:r>
    </w:p>
    <w:p w14:paraId="69302C18">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b/>
          <w:bCs/>
          <w:color w:val="FF0000"/>
          <w:lang w:val="en-US" w:eastAsia="zh-CN"/>
        </w:rPr>
      </w:pPr>
      <w:r>
        <w:rPr>
          <w:rFonts w:hint="eastAsia" w:ascii="Times New Roman" w:hAnsi="Times New Roman" w:eastAsia="Times New Roman" w:cs="Times New Roman"/>
          <w:b/>
          <w:bCs/>
          <w:color w:val="FF0000"/>
          <w:lang w:val="en-US" w:eastAsia="zh-CN"/>
        </w:rPr>
        <w:t>★2.1 投标人须向具有相关设备、设施供货资格的供应商购置材料、设备，并保证按时、按质、按量提供采购器材，其型号、技术规格等须与采购人当前使用的设备型号、技术规格相同或采购人认同的可向上兼容的设备，不得使用低配置的设备。具体供货数量及型号以采购人下达的采购通知为准，采购完成到货验收合格后即安排安装更换，并做好更换记录及相关清单台账。</w:t>
      </w:r>
    </w:p>
    <w:p w14:paraId="60648E42">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2.2 设备参数要求:详见下表。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1397"/>
        <w:gridCol w:w="549"/>
        <w:gridCol w:w="627"/>
        <w:gridCol w:w="5120"/>
        <w:gridCol w:w="464"/>
      </w:tblGrid>
      <w:tr w14:paraId="6A48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6"/>
            <w:tcBorders>
              <w:top w:val="nil"/>
              <w:left w:val="single" w:color="000000" w:sz="4" w:space="0"/>
              <w:bottom w:val="nil"/>
              <w:right w:val="nil"/>
            </w:tcBorders>
            <w:shd w:val="clear" w:color="auto" w:fill="auto"/>
            <w:noWrap/>
            <w:vAlign w:val="center"/>
          </w:tcPr>
          <w:p w14:paraId="2FF58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设备技术参数表</w:t>
            </w:r>
          </w:p>
        </w:tc>
      </w:tr>
      <w:tr w14:paraId="0ED8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E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05E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lang w:val="en-US" w:eastAsia="zh-CN"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04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lang w:val="en-US" w:eastAsia="zh-CN" w:bidi="ar"/>
              </w:rPr>
              <w:t>项</w:t>
            </w:r>
          </w:p>
        </w:tc>
        <w:tc>
          <w:tcPr>
            <w:tcW w:w="2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D8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详细功能参数要求</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4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6A7D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1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71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LED机动灯具(含灯芯、400MM）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A73A">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92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组</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169AFE1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1、灯具的性能要求</w:t>
            </w:r>
          </w:p>
          <w:p w14:paraId="3312896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（1）灯具采用镁铝合金外壳，整套灯寿命十年以上。</w:t>
            </w:r>
          </w:p>
          <w:p w14:paraId="7BC750E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（2）信号灯透光片采用抗紫外线的聚碳酸酯（PC）为原材料制造，且在寿命期内不会褪色。同时，灯片要求采用由特殊晶粒排列的散射单元组成，使灯色更均匀，光效更高。</w:t>
            </w:r>
          </w:p>
          <w:p w14:paraId="1EC7F6F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（3）灯具内所有密封元件应采用硅橡胶材料。使其在长期的高温和低温环境下不至于出现硬化。确保灯具有优良的防水防尘性能。</w:t>
            </w:r>
          </w:p>
          <w:p w14:paraId="748D414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灯具内灯头的电极触头和螺丝触片应采用镀镍的铍青铜制成。电线及接线端子绝缘部份应采用耐高温材料制造。要求即使在长期的高温，高湿环境下使用也不会出现短路、断路，氧化或老化而失去应有的绝缘特性和机械强度。</w:t>
            </w:r>
          </w:p>
          <w:p w14:paraId="55007FB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（5）电缆出线孔应设置在灯壳的背面，以利于安装和维修。并具有可靠的防水防尘措施，确保灯具不低于应有防护等级。</w:t>
            </w:r>
          </w:p>
          <w:p w14:paraId="096CC7D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（6）灯具和安装支架之间设置齿形安装部件，灯具可围绕安装支架的螺丝作50°范围的旋转，以适应灯具不同安装角度的需要。</w:t>
            </w:r>
          </w:p>
          <w:p w14:paraId="6BCA5AD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（7）灯具需留有足够的接线端子座，以便连接到其他需要的设备上去。</w:t>
            </w:r>
          </w:p>
          <w:p w14:paraId="2E10EFE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2、灯具的技术规格</w:t>
            </w:r>
          </w:p>
          <w:p w14:paraId="44C9DBA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（1）全屏灯LED管数量：全屏红、黄、绿≥168只。</w:t>
            </w:r>
          </w:p>
          <w:p w14:paraId="11F9946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（2）图案信号灯必须用LED填满图案内部，不得采用线框图案。</w:t>
            </w:r>
          </w:p>
          <w:p w14:paraId="7AE91B0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（3）透光镜规格：直径400mm±10％内 。</w:t>
            </w:r>
          </w:p>
          <w:p w14:paraId="41472B3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（4）灯芯整体厚度≤105mm，灯芯密封圈安装孔规格：Ø410mm。</w:t>
            </w:r>
          </w:p>
          <w:p w14:paraId="0A7CF5D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（5）图案信号：符合附录要求，箭头灯采用≥3排LED排列组成图案。</w:t>
            </w:r>
          </w:p>
          <w:p w14:paraId="34D4DE8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（6）图案显示结构：LED管顶端与透镜的距离≤12mm，防止图案信号产生虚影显示。</w:t>
            </w:r>
          </w:p>
          <w:p w14:paraId="369C7C1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（7）单灯外形规格：450mmX450mm～480mmX480mm。整灯厚度≤190mm（遮沿除外），遮沿长度≥290mm 。</w:t>
            </w:r>
          </w:p>
          <w:p w14:paraId="0716084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（8）LED管材料：满足国标要求。</w:t>
            </w:r>
          </w:p>
          <w:p w14:paraId="1AF84A0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（9）LED管亮度：绿管≥6000mcd，红、黄管≥3000mcd。</w:t>
            </w:r>
          </w:p>
          <w:p w14:paraId="677BC0A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（10）LED灯芯使用寿命不少于5年，5年内LED管光衰减≤30％。</w:t>
            </w:r>
          </w:p>
          <w:p w14:paraId="6316D88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（11）LED管波长：红管619～628nm，黄管586～592nm，绿管500～504nm。</w:t>
            </w:r>
          </w:p>
          <w:p w14:paraId="04D8CB7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（12）功率：不超过20VA。</w:t>
            </w:r>
          </w:p>
          <w:p w14:paraId="7906E81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（13）功率因素：不小于0.85。</w:t>
            </w:r>
          </w:p>
          <w:p w14:paraId="57734C6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（14）电源适应性：在176V～264V 50Hz±2Hz范围内，光强范围：400cd≤I≤1000cd。</w:t>
            </w:r>
          </w:p>
          <w:p w14:paraId="7F3C1E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（15）所有PCB板采用厚度≥1.6mm环氧玻璃布板。</w:t>
            </w:r>
          </w:p>
          <w:p w14:paraId="41BF4B7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（16）使用含功率因素补偿的变压器线性恒流供电电源，不能采用阻容式降压电源。</w:t>
            </w:r>
          </w:p>
          <w:p w14:paraId="7BF9D34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（17）防触电保护：打开信号灯前盖更换灯芯时带电器件不可触及，且使用3.2mm的金属丝不能插入灯芯内部触及电路任何部分。</w:t>
            </w:r>
          </w:p>
          <w:p w14:paraId="5D4E994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（18）内部接线：采用额定电压300/500V，标称截面≥0.75mm2的RVV二芯电缆作为灯芯引出线连接至接线排。</w:t>
            </w:r>
          </w:p>
          <w:p w14:paraId="453C2D1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（19）单个灯具具有独立的模块结构并能任意组合成多灯结构。</w:t>
            </w:r>
          </w:p>
          <w:p w14:paraId="6EEDA3B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（20）前盖与后壳之间的连接销轴必须采用合金制造，不得采用塑料销轴形式而导致易老化断裂。</w:t>
            </w:r>
          </w:p>
          <w:p w14:paraId="7D40BD2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（21）安装背架、固定装置采用不锈钢材质结构或合金材质结构，牢固耐腐蚀，无脱落风险。</w:t>
            </w:r>
          </w:p>
          <w:p w14:paraId="60BB008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（22）所有标准紧固件、小五金件全部采用不锈钢或合金加工，不得采用钢板电镀加工。</w:t>
            </w:r>
          </w:p>
          <w:p w14:paraId="547925C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（23）灯芯密封系统采用前透镜及整体式后防护罩套密封圈组成，不得采用多片组合而不利于密封。</w:t>
            </w:r>
          </w:p>
          <w:p w14:paraId="475469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（24）灯具（包括灯芯）的任何结构缝隙均需有硅橡胶密封件防护。   </w:t>
            </w:r>
          </w:p>
          <w:p w14:paraId="1C50CD9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（25）灯前盖开启角度≥105°，开启顺畅无卡滞。</w:t>
            </w:r>
          </w:p>
          <w:p w14:paraId="6F209FE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（26）灯前盖可徒手快速拆卸并实现与后壳分离。</w:t>
            </w:r>
          </w:p>
          <w:p w14:paraId="5A9DC71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（27）灯壳出线孔能同时容纳4条外径12MM电缆出入并有可靠的防水防尘措施。</w:t>
            </w:r>
          </w:p>
          <w:p w14:paraId="2DF1321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（28）每个灯具应有前遮沿。表面喷涂户外型亚光黑塑</w:t>
            </w:r>
          </w:p>
          <w:p w14:paraId="016BAA0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（29）单个灯具具有独立的模块结构并能任意组合成多灯结构。</w:t>
            </w:r>
          </w:p>
          <w:p w14:paraId="4EA80C5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（30）接线排通过U形安装孔固定并实现快速装卸以方便工程安装。</w:t>
            </w:r>
          </w:p>
          <w:p w14:paraId="4D92D32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（31）外壳防护等级：IP53。</w:t>
            </w:r>
          </w:p>
          <w:p w14:paraId="33CB306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（32）风压试验：按国标做沙袋试验后不得产生大于1°的永久变形。</w:t>
            </w:r>
          </w:p>
          <w:p w14:paraId="0FAB875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（33）耐高温性能：80℃±2℃工作24h信号灯工作正常。</w:t>
            </w:r>
          </w:p>
          <w:p w14:paraId="779DF7D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（34）耐低温性能：-40℃±3℃工作24h信号灯工作正常。</w:t>
            </w:r>
          </w:p>
          <w:p w14:paraId="6DA3FE7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（35）湿热性能：40℃±1℃、湿度93％～97％，时间48h工作正常。</w:t>
            </w:r>
          </w:p>
          <w:p w14:paraId="71A1DAE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（36）绝缘电阻：大于500MΩ。</w:t>
            </w:r>
          </w:p>
          <w:p w14:paraId="64F5B97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（37）介电强度：1440V  1min无闪络击穿现象。</w:t>
            </w:r>
          </w:p>
          <w:p w14:paraId="0B1E61B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（38）抗振动：频率10～35Hz、振幅0.75mm，1倍频程20个周期，信号灯工作正常，无零件损坏松动。</w:t>
            </w:r>
          </w:p>
          <w:p w14:paraId="2D5F26A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（39）透镜强度：连续工作30分钟后，钢球250g±0.5g 40cm高度自由跌落透镜中央，透镜不得碎裂，封接处不得开裂。</w:t>
            </w:r>
          </w:p>
          <w:p w14:paraId="7E8FFD19">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需提供公安部下属权威检测机构检测，符合GB14887-2011《道路交通信号灯》标准要求。</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4815">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4CD7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3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28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LED机动多功能灯具(含灯芯、400MM）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A30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251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组</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7A98621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1、灯具的性能要求</w:t>
            </w:r>
          </w:p>
          <w:p w14:paraId="61994F4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（1）灯具采用镁铝合金外壳，整套灯寿命十年以上。</w:t>
            </w:r>
          </w:p>
          <w:p w14:paraId="099E7E0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（2）信号灯透光片采用抗紫外线的聚碳酸酯（PC）为原材料制造，且在寿命期内不会褪色。同时，灯片要求采用由特殊晶粒排列的散射单元组成，使灯色更均匀，光效更高。</w:t>
            </w:r>
          </w:p>
          <w:p w14:paraId="798CDFD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（3）灯具内所有密封元件应采用硅橡胶材料。使其在长期的高温和低温环境下不至于出现硬化。确保灯具有优良的防水防尘性能。</w:t>
            </w:r>
          </w:p>
          <w:p w14:paraId="37AE8CA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灯具内灯头的电极触头和螺丝触片应采用镀镍的铍青铜制成。电线及接线端子绝缘部份应采用耐高温材料制造。要求即使在长期的高温，高湿环境下使用也不会出现短路、断路，氧化或老化而失去应有的绝缘特性和机械强度。</w:t>
            </w:r>
          </w:p>
          <w:p w14:paraId="6B9AB23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（5）电缆出线孔应设置在灯壳的背面，以利于安装和维修。并具有可靠的防水防尘措施，确保灯具不低于应有防护等级。</w:t>
            </w:r>
          </w:p>
          <w:p w14:paraId="6C90CA3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（6）灯具和安装支架之间设置齿形安装部件，灯具可围绕安装支架的螺丝作50°范围的旋转，以适应灯具不同安装角度的需要。</w:t>
            </w:r>
          </w:p>
          <w:p w14:paraId="5B09B58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（7）灯具需留有足够的接线端子座，以便连接到其他需要的设备上去。</w:t>
            </w:r>
          </w:p>
          <w:p w14:paraId="289F7F5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2、灯具的技术规格</w:t>
            </w:r>
          </w:p>
          <w:p w14:paraId="47137A3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（1）LED管数量：全屏红、黄、绿≥177只。</w:t>
            </w:r>
          </w:p>
          <w:p w14:paraId="3211927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（2）图案信号灯必须用LED填满图案内部，不得采用线框图案。</w:t>
            </w:r>
          </w:p>
          <w:p w14:paraId="570E00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（3）透光镜规格：直径400mm±10％内 。</w:t>
            </w:r>
          </w:p>
          <w:p w14:paraId="23E4397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（4）灯芯整体厚度≤105mm，灯芯密封圈安装孔规格：Ø410mm。</w:t>
            </w:r>
          </w:p>
          <w:p w14:paraId="33A2B7B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（5）图案信号：符合附录要求，箭头灯采用≥3排LED排列组成图案。</w:t>
            </w:r>
          </w:p>
          <w:p w14:paraId="4AFEF43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（6）图案显示结构：LED管顶端与透镜的距离≤12mm，防止图案信号产生虚影显示。</w:t>
            </w:r>
          </w:p>
          <w:p w14:paraId="607A699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（7）单灯外形规格：450mmX450mm～480mmX480mm。整灯厚度≤190mm（遮沿除外），遮沿长度≥290mm 。</w:t>
            </w:r>
          </w:p>
          <w:p w14:paraId="2332D77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（8）LED管材料：满足国标要求。</w:t>
            </w:r>
          </w:p>
          <w:p w14:paraId="771B27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（9）LED管亮度：绿管≥6000mcd，红、黄管≥3000mcd。</w:t>
            </w:r>
          </w:p>
          <w:p w14:paraId="1757B85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（10）LED灯芯使用寿命不少于5年，5年内LED管光衰减≤30％。</w:t>
            </w:r>
          </w:p>
          <w:p w14:paraId="683E944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（11）LED管波长：红管619～628nm，黄管586～592nm，绿管500～504nm。</w:t>
            </w:r>
          </w:p>
          <w:p w14:paraId="2EE5EE4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（12）功率：不超过20VA。</w:t>
            </w:r>
          </w:p>
          <w:p w14:paraId="4481A5D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（13）功率因素：不小于0.85。</w:t>
            </w:r>
          </w:p>
          <w:p w14:paraId="1146832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（14）电源适应性：在176V～264V 50Hz±2Hz范围内，光强范围：400cd≤I≤1000cd。</w:t>
            </w:r>
          </w:p>
          <w:p w14:paraId="4E23468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（15）所有PCB板采用厚度≥1.6mm环氧玻璃布板。</w:t>
            </w:r>
          </w:p>
          <w:p w14:paraId="7739C1A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（16）使用含功率因素补偿的变压器线性恒流供电电源，不能采用阻容式降压电源。</w:t>
            </w:r>
          </w:p>
          <w:p w14:paraId="504CC17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（17）防触电保护：打开信号灯前盖更换灯芯时带电器件不可触及，且使用3.2mm的金属丝不能插入灯芯内部触及电路任何部分。</w:t>
            </w:r>
          </w:p>
          <w:p w14:paraId="331F547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（18）内部接线：采用额定电压300/500V，标称截面≥0.75mm2的RVV二芯电缆作为灯芯引出线连接至接线排。</w:t>
            </w:r>
          </w:p>
          <w:p w14:paraId="0C9B063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（19）单个灯具具有独立的模块结构并能任意组合成多灯结构。</w:t>
            </w:r>
          </w:p>
          <w:p w14:paraId="33AF2F4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（20）前盖与后壳之间的连接销轴必须采用合金制造，不得采用塑料销轴形式而导致易老化断裂。</w:t>
            </w:r>
          </w:p>
          <w:p w14:paraId="7D36034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（21）安装背架、固定装置采用不锈钢材质结构或合金材质结构，牢固耐腐蚀，无脱落风险。</w:t>
            </w:r>
          </w:p>
          <w:p w14:paraId="03CF074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（22）所有标准紧固件、小五金件全部采用不锈钢或合金加工，不得采用钢板电镀加工。</w:t>
            </w:r>
          </w:p>
          <w:p w14:paraId="7E0A51C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（23）灯芯密封系统采用前透镜及整体式后防护罩套密封圈组成，不得采用多片组合而不利于密封。</w:t>
            </w:r>
          </w:p>
          <w:p w14:paraId="7BFCFA8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（24）灯具（包括灯芯）的任何结构缝隙均需有硅橡胶密封件防护。   </w:t>
            </w:r>
          </w:p>
          <w:p w14:paraId="5E2C74D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（25）灯前盖开启角度≥105°，开启顺畅无卡滞。</w:t>
            </w:r>
          </w:p>
          <w:p w14:paraId="7CAF440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（26）灯前盖可徒手快速拆卸并实现与后壳分离。</w:t>
            </w:r>
          </w:p>
          <w:p w14:paraId="1407879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（27）灯壳出线孔能同时容纳4条外径12MM电缆出入并有可靠的防水防尘措施。</w:t>
            </w:r>
          </w:p>
          <w:p w14:paraId="30EE047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（28）每个灯具应有前遮沿。表面喷涂户外型亚光黑塑。</w:t>
            </w:r>
          </w:p>
          <w:p w14:paraId="6C6F93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（29）单个灯具具有独立的模块结构并能任意组合成多灯结构。</w:t>
            </w:r>
          </w:p>
          <w:p w14:paraId="7405F38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（30）接线排通过U形安装孔固定并实现快速装卸以方便工程安装。</w:t>
            </w:r>
          </w:p>
          <w:p w14:paraId="6528D7A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（31）外壳防护等级：IP53。</w:t>
            </w:r>
          </w:p>
          <w:p w14:paraId="48B9CD0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（32）风压试验：按国标做沙袋试验后不得产生大于1°的永久变形。</w:t>
            </w:r>
          </w:p>
          <w:p w14:paraId="10ED5FA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（33）耐高温性能：80℃±2℃工作24h信号灯工作正常。</w:t>
            </w:r>
          </w:p>
          <w:p w14:paraId="78A3184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（34）耐低温性能：-40℃±3℃工作24h信号灯工作正常。</w:t>
            </w:r>
          </w:p>
          <w:p w14:paraId="73E5D33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（35）湿热性能：40℃±1℃、湿度93％～97％，时间48h工作正常。</w:t>
            </w:r>
          </w:p>
          <w:p w14:paraId="30CE814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（36）绝缘电阻：大于500MΩ。</w:t>
            </w:r>
          </w:p>
          <w:p w14:paraId="1ADEFF1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（37）介电强度：1440V  1min无闪络击穿现象。</w:t>
            </w:r>
          </w:p>
          <w:p w14:paraId="46B794F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（38）抗振动：频率10～35Hz、振幅0.75mm，1倍频程20个周期，信号灯工作正常，无零件损坏松动。</w:t>
            </w:r>
          </w:p>
          <w:p w14:paraId="7C4C308F">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（39）透镜强度：连续工作30分钟后，钢球250g±0.5g 40cm高度自由跌落透镜中央，透镜不得碎裂，封接处不得开裂。</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0982">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465B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E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AE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LED人行灯具（300MM）</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C0DD">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EB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组</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0D3D9FE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 人行LED管数量：人行红灯≥90只，人行绿≥84只。</w:t>
            </w:r>
          </w:p>
          <w:p w14:paraId="07E4D24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 尺寸及图案：形状及尺寸符合附录要求，并能匹配深圳市现有信号灯具的尺寸。</w:t>
            </w:r>
          </w:p>
          <w:p w14:paraId="40D527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 信号灯透光片采用抗紫外线的聚碳酸酯（PC）为原材料制造，且在寿命期内不会褪色。</w:t>
            </w:r>
          </w:p>
          <w:p w14:paraId="0702BB3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 灯芯采用压爪固定与前盖安装孔内，灯芯固定孔规格：Ø300mm。</w:t>
            </w:r>
          </w:p>
          <w:p w14:paraId="415A587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 灯芯采用硅橡胶密封圈安装于前盖安装孔内且保持良好密封效果。</w:t>
            </w:r>
          </w:p>
          <w:p w14:paraId="1AD471C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 图案显示结构：LED管顶端与透镜的距离≤12mm，防止图案信号产生虚影显示。</w:t>
            </w:r>
          </w:p>
          <w:p w14:paraId="024482C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 LED管亮度：绿管≥6000mcd，红管≥3000mcd。</w:t>
            </w:r>
          </w:p>
          <w:p w14:paraId="3D3506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 LED灯芯无故障使用寿命不少于5年，5年内LED管光衰减≤30％。</w:t>
            </w:r>
          </w:p>
          <w:p w14:paraId="109965C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 LED管波长：红管619～628nm，绿管500～504nm。</w:t>
            </w:r>
          </w:p>
          <w:p w14:paraId="4D4090D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 功率：不超过20W。功率因素：不小于0.85。</w:t>
            </w:r>
          </w:p>
          <w:p w14:paraId="155837A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 启动瞬间电流：启动瞬间电流小于2A。</w:t>
            </w:r>
          </w:p>
          <w:p w14:paraId="1E7C848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 启动关闭响应时间：启动响应时间不大于100ms；关闭响应时间不大于100ms。</w:t>
            </w:r>
          </w:p>
          <w:p w14:paraId="35B3D6B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 使用含功率因素补偿的变压器线性恒流供电电源，不能采用开关电源或阻容式降压电源。</w:t>
            </w:r>
          </w:p>
          <w:p w14:paraId="3D15ABE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 显示屏LED电气连接方式：每个串联组≤3只，任意一个串联组损坏不能影响其他支路正常工作。</w:t>
            </w:r>
          </w:p>
          <w:p w14:paraId="7017F17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 所有PCB板采用厚度≥1.6mm环氧玻璃布基板。</w:t>
            </w:r>
          </w:p>
          <w:p w14:paraId="4418E5D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 防触电保护：打开信号灯时，任何带电部件不可触及。</w:t>
            </w:r>
          </w:p>
          <w:p w14:paraId="45332938">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(17) 需提供公安部下属权威检测机构检测，符合GB14887-2011《道路交通信号灯》标准要求。</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F464">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7AC3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8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C8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信号控制机（96通道）</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6C98">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8F64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3344083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1、时钟精度：黄闪信号频率为55次／分钟～65次／分钟可调、调整步长为1次。时钟精度在24小时内为±2秒。在控制模式转换、配时方案变化时，信号应实现平滑过渡。</w:t>
            </w:r>
          </w:p>
          <w:p w14:paraId="269819B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2、启动时序当信号机通电开始运行时信号机应先进行自检，在正常情况下，按正常时序启动。</w:t>
            </w:r>
          </w:p>
          <w:p w14:paraId="79D81C1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3、信号持续时间要求绿信号、红信号的持续时间及周期时间应根据路口实际情况设置，调整范围为0—255秒，调整步长为1秒。黄闪信号、绿闪信号持续时间可调，调整范围为0—99秒，调整步长为1秒。</w:t>
            </w:r>
          </w:p>
          <w:p w14:paraId="228C997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控制模式转换信号机从自动控制模式转入手动控制模式时，手动开关作用以后，应保持原有相位的最小安全时间，最小安全时间根据路口实际情况设定。从手动控制模式转入自动控制模式时，信号状态不能突变，各相位信号应保持转换时刻的状态，并从当前信号状态开始以自动控制模式开始运行。</w:t>
            </w:r>
          </w:p>
          <w:p w14:paraId="658DC5E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5、现场设置信号机应能通过外接设备进行控制模式的设置和信号参数的调整，并按设置的控制方式正常运行。</w:t>
            </w:r>
          </w:p>
          <w:p w14:paraId="262DAA6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信息采集：信号机具有至少支持16路，可扩展至32路检测器接口，可任意设定为系统检测器，自动采集交通数据，包括：流量、速度、占有率。在系统传输正常的情况下，通过通信接口，以设定的时间间隔上传统计数据，时间间隔以分为单位设定。当系统传输中断时，路口信号设备能存储检测器的信息，存储容量满足储存最近72小时每15分钟的检测器数据，系统传输恢复正常后，依据中心指令上传存储数据。</w:t>
            </w:r>
          </w:p>
          <w:p w14:paraId="4C3CDBA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7、输入/输出接口</w:t>
            </w:r>
          </w:p>
          <w:p w14:paraId="1CF4F9E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信号灯输出接口：至少具有32个独立信号组输出，最大具备32个独立信号组输出扩展能力，且可任意设置信号相位。</w:t>
            </w:r>
          </w:p>
          <w:p w14:paraId="482383F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交通数据采集接口：至少提供接入地埋式感应线圈检测器的数据接口，采集路口各方向的交通数据，接口标准为RS-485或RJ45。</w:t>
            </w:r>
          </w:p>
          <w:p w14:paraId="4980452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诱导数据发布接口：提供路口动态诱导标志的数据接口，中心系统可以通过信号机链路向路口动态诱导标志发布交通状态提示信息，接口标准为RS-485或RJ45。</w:t>
            </w:r>
          </w:p>
          <w:p w14:paraId="4D5D04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通讯型倒计时接口：提供机动车、行人通讯型倒计时接入的数据接口，接口标准为RS-485或RJ45。</w:t>
            </w:r>
          </w:p>
          <w:p w14:paraId="4D5ACBB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I/0接口：提供行人按钮等通用I/O或RJ45接口。</w:t>
            </w:r>
          </w:p>
          <w:p w14:paraId="280B41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输入接口：具备至少16个开关量输入接口；具有北斗定位模块、4G无线模块、1个百兆自适应网络接口；支持4G网络和有线网络同时联网，并在有线网络出现故障时无缝切换至4G网络回传及下发数据。</w:t>
            </w:r>
          </w:p>
          <w:p w14:paraId="1614937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信号机采用模块化设计：信号机采用模块化设计，更换电路板方便。信号机的主要单元分为：电源单元（含交流和直流电源）、控制器单元、故障检测单元、车辆行人检测器单元、灯控信号输出单元、通信接口单元、时钟单元、附加设施（照明装置、风扇系统等）。</w:t>
            </w:r>
          </w:p>
          <w:p w14:paraId="00C2BDE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9、标准插箱背板式结构设计：信号机采用插箱结构，各板卡支持热插拔。</w:t>
            </w:r>
          </w:p>
          <w:p w14:paraId="22F194C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10、中央微处理器（CPU）：需用32位以上微处理器，CPU主频≥500MHz。</w:t>
            </w:r>
          </w:p>
          <w:p w14:paraId="4A92C31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11、内存需求：SDRAM≥256MB。</w:t>
            </w:r>
          </w:p>
          <w:p w14:paraId="2B8EDB0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12、存储需求：存储容量≥512MB。</w:t>
            </w:r>
          </w:p>
          <w:p w14:paraId="0FE4B5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13、具有NTP校时功能。</w:t>
            </w:r>
          </w:p>
          <w:p w14:paraId="3DFFE2D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具有防撬结构：柜门嵌入到主体内，与主体外表面齐平，周边缝隙很小，只有很薄（小于3mm）的工具可以插入门缝，并且无法用力撬开，从而达到防撬作用。铰链采用专用快装式铰链，开启角度可达到≥120°；该铰链为合金材料，中轴直径达到Ф9mm，具有良好的强度。</w:t>
            </w:r>
          </w:p>
          <w:p w14:paraId="6078F97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15、交通信号控制机大门锁为摇把拉杆锁；小门门锁为旋转锁舌结构；大小门锁均防水，防盗，防撬。</w:t>
            </w:r>
          </w:p>
          <w:p w14:paraId="292FF1B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16、机箱宽度采用19英寸标准设计，机箱高度不小于1250mm。</w:t>
            </w:r>
          </w:p>
          <w:p w14:paraId="09F6EE7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机箱采用不锈钢或铝合金材料制作，板材厚度2毫米，外喷塑处理，进行防潮、防腐、防盐雾的三防处理。箱体内设备的摆放位置、安装方式、接线方式、线缆敷设方式等应进行设计；箱内应放置设备的系统图等相关技术文件。</w:t>
            </w:r>
          </w:p>
          <w:p w14:paraId="0EE1384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18、设备机箱内应设置专用接地铜排，接地铜排的截面不小于100mm2，并应设置接地标志。在熔断器和电源开关处应有警告标志。</w:t>
            </w:r>
          </w:p>
          <w:p w14:paraId="51F5DD7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19、预留部分应安装标准机柜用机架立柱，预装导轨槽，具体符合GB19520的要求。</w:t>
            </w:r>
          </w:p>
          <w:p w14:paraId="30D46CA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20、防护等级IP54以上。</w:t>
            </w:r>
          </w:p>
          <w:p w14:paraId="2A48F3F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21、机柜内设有存放用户手册、说明书、接线图、维修记录等资料的存储盒。</w:t>
            </w:r>
          </w:p>
          <w:p w14:paraId="0097F18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22、机柜内部应设有内部照明装置。</w:t>
            </w:r>
          </w:p>
          <w:p w14:paraId="79EF579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23、支持运维平台获取机柜开关门检测信号。</w:t>
            </w:r>
          </w:p>
          <w:p w14:paraId="44FA641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24、印刷电路板材料及部件应进行防潮、防腐、防盐雾的处理。</w:t>
            </w:r>
          </w:p>
          <w:p w14:paraId="14A8211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25、接口供电DC5V；与信号机主板通信及供电通过条形连接器与背板对接实现，采用CAN总线通信方式；外部线圈接入通过端子排转接到背板。</w:t>
            </w:r>
          </w:p>
          <w:p w14:paraId="4099064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26、人机交互：</w:t>
            </w:r>
          </w:p>
          <w:p w14:paraId="61D6FA2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操作面板上应配置LCD屏及视窗风格的中文菜单式操作界面，便于交通工程师设置参数。LCD屏应具备自动关屏保护和手动唤醒的能力。板卡上应提供信息指示灯，对设备的运行情况、故障状态进行提示。具有手动指定相位放行功能，并提供公安部交通安全产品质量监督检测中心的检测报告扫描件。</w:t>
            </w:r>
          </w:p>
          <w:p w14:paraId="7660E4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（2）备注：须提供手动指定相位放行功能的检测报告。</w:t>
            </w:r>
          </w:p>
          <w:p w14:paraId="54F8A5D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27、交通信号控制机特殊功能要求一</w:t>
            </w:r>
          </w:p>
          <w:p w14:paraId="61EEC3C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交通信号控制机的控制功能丰富，除了前面阐述的区域协调控制，无缆协调控制、单点优化控制、单点感应控制、单点多时段控制等，还具有如下控制功能：</w:t>
            </w:r>
          </w:p>
          <w:p w14:paraId="5DFDE9B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（1）感应式协调控制</w:t>
            </w:r>
          </w:p>
          <w:p w14:paraId="3433132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至少具有连接地埋式感应线圈检测器实现单点全感应、半感应功能，当传感器出现故障时自动进入多时段控制。</w:t>
            </w:r>
          </w:p>
          <w:p w14:paraId="6751708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（2）自适应协调控制</w:t>
            </w:r>
          </w:p>
          <w:p w14:paraId="6981476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控制中心与交通信号控制机联网正常的情况下，系统根据交通信号控制机采集交通信息，比如车流量和时间占有率，实时优化信号配时方案，包括信号周期、绿信比和相位差。实现协调路口与路口间的交通信号控制的目的，达到系统的合理控制。</w:t>
            </w:r>
          </w:p>
          <w:p w14:paraId="7B8F0A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（3）抑制排队的路口联动控制</w:t>
            </w:r>
          </w:p>
          <w:p w14:paraId="07B5DDA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信号机应能够支持高峰期抑制排队的自动控制功能。即在高峰时通过优化相位差，优先放行下游路口的绿灯，清空路段的排队后，上游路口再放绿灯使车辆进入，以此控制排队长度，保持路口排队长度稳定。</w:t>
            </w:r>
          </w:p>
          <w:p w14:paraId="60DFDF5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（4）瓶颈控制功能</w:t>
            </w:r>
          </w:p>
          <w:p w14:paraId="33DF6F5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机应能够通过路段上埋设的拥堵检测器检测路段拥堵情况，当排队到达路口即将溢出时，上游路口停止放行绿灯，避免排队溢出路口，造成路口拥堵。下游路口增加绿灯时间，尽快消散路段的排队，缓解路段交通压力。</w:t>
            </w:r>
          </w:p>
          <w:p w14:paraId="12312BC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（5）时间表控制功能</w:t>
            </w:r>
          </w:p>
          <w:p w14:paraId="7AA9506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交叉口的交通状况，设置不低于16个时段控制方式，每种时段控制方式可将每天划分为至少48个不同的时段，每个时段配置不同的控制方案。交通信号机支持不低于108种配时方案，调度方案表为至少40个，能够为周末、节假日配置不同的方案。</w:t>
            </w:r>
          </w:p>
          <w:p w14:paraId="4203C9A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交通信号控制机能够根据内置时钟选择各个时段的控制方案，实现交叉口的合理控制，以减少绿灯损失时间。</w:t>
            </w:r>
          </w:p>
          <w:p w14:paraId="2610AB5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（6）手动控制功能</w:t>
            </w:r>
          </w:p>
          <w:p w14:paraId="3C0B83C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具有手动控制功能，交警可以通过手动按钮完成手动控制功能，实现清空交叉口车辆的目的。信号机应具有手动控制功能，通过手动控制能够实现全红、黄闪、步进等功能，以及自动和手动切换按钮功能。</w:t>
            </w:r>
          </w:p>
          <w:p w14:paraId="1FEE714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（7）全红控制功能</w:t>
            </w:r>
          </w:p>
          <w:p w14:paraId="6811189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交通信号控制机能够根据时间表调用交通信号控制机的全红控制方案，实现对交叉口的全红控制功能。</w:t>
            </w:r>
          </w:p>
          <w:p w14:paraId="31838D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（8）关灯控制功能</w:t>
            </w:r>
          </w:p>
          <w:p w14:paraId="6E29AC9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交通信号控制机能够根据时间表调用交通信号控制机的关灯控制方案，实现对交叉口的关灯控制功能。</w:t>
            </w:r>
          </w:p>
          <w:p w14:paraId="76A2D1E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（9）行人过街功能</w:t>
            </w:r>
          </w:p>
          <w:p w14:paraId="0FBCE58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交通信号控制机支持行人按钮信号输入，可在路口和路段响应来自行人按钮的行人过街请求，实现一次过街和二次过街控制功能。</w:t>
            </w:r>
          </w:p>
          <w:p w14:paraId="240216A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（10）具备线圈短路、短路故障检测及报警功能</w:t>
            </w:r>
          </w:p>
          <w:p w14:paraId="608C090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（11）信号机通过对连接线圈和断开线圈状态的检测，实时检测并显示线圈的短路、断路故障，迅速判断定位线圈故障，提高维护效率。</w:t>
            </w:r>
          </w:p>
          <w:p w14:paraId="7511037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绿冲突检测：可区分“机动车与机动车”、“机动车与行人”之间的绿冲突，并向中心系统实时回报具体发生绿冲突的信号。</w:t>
            </w:r>
          </w:p>
          <w:p w14:paraId="14AAB03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（12）远程指令控制：建立中心系统后，信号主机可以接收中心系统的指令实现黄闪、灭灯、灯色保持、临时方案等中央特殊控制功能。</w:t>
            </w:r>
          </w:p>
          <w:p w14:paraId="2013781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（13）交通拥挤度发布：建立中心系统后，信号主机可以接收中心系统的数据，向动态诱导路牌发布相邻路口、路段的交通状态信息。</w:t>
            </w:r>
          </w:p>
          <w:p w14:paraId="56E1900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（14）变相位结构控制：控制机至少应支持通过时段设置实现相序、相数变化的变结构控制功能。</w:t>
            </w:r>
          </w:p>
          <w:p w14:paraId="5DA3576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（15）无电缆线控：支持根据时钟同步，通过设定相位差实现无电缆协调控制的功能，日时段不少于24个。</w:t>
            </w:r>
          </w:p>
          <w:p w14:paraId="2AA5506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（16）路段行人感应控制：具备不少于8路行人按钮输入接口。</w:t>
            </w:r>
          </w:p>
          <w:p w14:paraId="7A4B32C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（17）相位配时管理：至少可以配置16种不同的相位组合，每种相位组合至少可以配置16种绿信配时。</w:t>
            </w:r>
          </w:p>
          <w:p w14:paraId="56C6D62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28、系统兼容性</w:t>
            </w:r>
          </w:p>
          <w:p w14:paraId="4E6F306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投标人所投交通信号控制机能够无缝接入深圳市现有交通信号控制系统，数据接口全部免费开放，实现接入后，可以通过控制系统客户端实现本项目采购所要求的功能操作。</w:t>
            </w:r>
          </w:p>
          <w:p w14:paraId="1029FD3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通信兼容是指投标人所投信号机符合《GB 25280—2016道路交通信号控制机》国家标准和《GB/T20999-2017交通信号控制机与上位机间的数据通信协议》通信协议，实现信号机状态监控、故障上传、远程信号机方案下载、方案更新、信号机流量上传。</w:t>
            </w:r>
          </w:p>
          <w:p w14:paraId="23C3FCF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数据兼容是指本次新建信号系统所上传的状态数据、方案数据、流量数据、故障数据数据格式，需同原有信号平台的数据库数据格式相同，若新建信号系统的数据格式同原有系统有差异，需要承诺按照原有系统的数据库格式对接开发，保证数据的统一、完整。</w:t>
            </w:r>
          </w:p>
          <w:p w14:paraId="18EDF5B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29、性能及技术指标要求</w:t>
            </w:r>
          </w:p>
          <w:p w14:paraId="0768841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（1）应为自适应协调控制系统，信号机符合GB25280-2016国家标准；提供公安部交通安全产品质量监督检测中心的检测报告扫描件。</w:t>
            </w:r>
          </w:p>
          <w:p w14:paraId="0CA373B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（2）为保证代建信号机的标准性及开放性，信号机必须符合GB/T20999-2017标准。</w:t>
            </w:r>
          </w:p>
          <w:p w14:paraId="4CC63C7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（3）信号机必须为具有国内企业自主知识产权的产品，用户不承担任何侵权责任 须提供该检测报告扫描件。</w:t>
            </w:r>
          </w:p>
          <w:p w14:paraId="60820D4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30、启动顺序要求</w:t>
            </w:r>
          </w:p>
          <w:p w14:paraId="210EB5B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交通信号控制机开始运行时，进行自检，自检后按如下时序启动并且可以设置：</w:t>
            </w:r>
          </w:p>
          <w:p w14:paraId="5F7FB43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相位应先进入黄闪信号，持续时间至少10s； </w:t>
            </w:r>
          </w:p>
          <w:p w14:paraId="763925E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黄闪信号结束后应进入全红状态，持续时间至少5s； </w:t>
            </w:r>
          </w:p>
          <w:p w14:paraId="5C75B11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启动时序结束后，信号机按预设置的方式运行；</w:t>
            </w:r>
          </w:p>
          <w:p w14:paraId="449DB88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启动时序可保证交通信号控制机开启时让路口处于安全状态，即黄闪或四面全红状态，保证交叉路口中间的车辆尽快放空。</w:t>
            </w:r>
          </w:p>
          <w:p w14:paraId="2796DDB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31、信号转换要求</w:t>
            </w:r>
          </w:p>
          <w:p w14:paraId="0CF9CD0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交通信号控制机具备灵活的信号转换序列，可保证机动车和行人信号按设置的灯色显示。</w:t>
            </w:r>
          </w:p>
          <w:p w14:paraId="2CA8E85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机动车、非机动车信号转换序列：</w:t>
            </w:r>
          </w:p>
          <w:p w14:paraId="3B96477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机动车、非机动车、行人过街信号基本转换序列如下：</w:t>
            </w:r>
          </w:p>
          <w:p w14:paraId="20B158E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机动车信号：红→绿→黄→红；</w:t>
            </w:r>
          </w:p>
          <w:p w14:paraId="799F62A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非机动车信号：红→绿→黄→红；</w:t>
            </w:r>
          </w:p>
          <w:p w14:paraId="1A56438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行人过街信号：红→绿→红。</w:t>
            </w:r>
          </w:p>
          <w:p w14:paraId="5BD2798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32、交通信号控制机相位</w:t>
            </w:r>
          </w:p>
          <w:p w14:paraId="0807D9F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交通信号控制机标准配置为32相位，具有32个独立信号组输出，用户可以根据现场需要任意增减相位板卡，定义每个相位的输出，相位相序可以任意定义，每路输出均配置保险管。</w:t>
            </w:r>
          </w:p>
          <w:p w14:paraId="2D9717F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33、数据断电保存：交通信号控制机能够自动保存修改的各项控制参数，停电后数据不会丢失。</w:t>
            </w:r>
          </w:p>
          <w:p w14:paraId="7A48430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34、故障检测处理</w:t>
            </w:r>
          </w:p>
          <w:p w14:paraId="6ABA22B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交通信号控制机通过故障监测模块实现完备的故障监测和自诊断功能，发现故障后可给中央和现场终端发出故障警示信号。</w:t>
            </w:r>
          </w:p>
          <w:p w14:paraId="66B689A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交通信号控制机将故障记录在本地，并及时上传至控制中心。故障监测包括交通信号控制机的工作状态、信号灯的状态，如有故障发生，通过秒级监控实时向系统计算机发送故障信息及故障发生变化后的信息。</w:t>
            </w:r>
          </w:p>
          <w:p w14:paraId="2371CEF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当发生以下严重故障，交通信号控制机立即进入黄闪状态：</w:t>
            </w:r>
          </w:p>
          <w:p w14:paraId="161524C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（1）绿冲突故障</w:t>
            </w:r>
          </w:p>
          <w:p w14:paraId="5ECB29E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当预先设定的冲突相位（不应同时点亮绿灯的相位）在实际运行中发生同时点亮绿灯的情况时，会导致严重的撞车，交通信号控制机会检测到这类故障，交通信号控制机立即转入黄闪控制并将故障信息上传控制中心。</w:t>
            </w:r>
          </w:p>
          <w:p w14:paraId="006585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（2）连接在某一输出的所有信号灯组的红灯同时发生故障</w:t>
            </w:r>
          </w:p>
          <w:p w14:paraId="73C1178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若某一路输出所有信号灯的红灯均不能点亮，将导致该相位的机动车没有停止信号，交通信号控制机检测该故障，进入黄闪状态。</w:t>
            </w:r>
          </w:p>
          <w:p w14:paraId="6DD5B3C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（3）同一灯组红绿冲突故障</w:t>
            </w:r>
          </w:p>
          <w:p w14:paraId="3A69A56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当信号灯线发生搭线或其他短路现象时，可能会导致同一灯组的红绿信号同时点亮，这种情况的发生将使驾驶员无所适从。交通信号控制机检测此类故障，转入黄闪控制.</w:t>
            </w:r>
          </w:p>
          <w:p w14:paraId="4477FC9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35、信号机具有硬件双备份功能，当主控板运行出现故障时，热备份硬件自动切换接管当前信号机运行方案。</w:t>
            </w:r>
          </w:p>
          <w:p w14:paraId="0675827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36、防雷、安全性要求</w:t>
            </w:r>
          </w:p>
          <w:p w14:paraId="1BAC5BB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（1）有效的防雷措施：信号机电源输入端、灯控信号输出端、及数据接口端必须配备避雷装置或采取避雷措施。</w:t>
            </w:r>
          </w:p>
          <w:p w14:paraId="40AC9D8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电源输入端的防雷指标应满足：</w:t>
            </w:r>
          </w:p>
          <w:p w14:paraId="563714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标称工作电压Un：单相 220V；</w:t>
            </w:r>
          </w:p>
          <w:p w14:paraId="1CB2BBA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最大持续运行电压Uc：385V；</w:t>
            </w:r>
          </w:p>
          <w:p w14:paraId="6791EAB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标称放电电流In：20kA（8/20μs）；</w:t>
            </w:r>
          </w:p>
          <w:p w14:paraId="7941B11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最大放电电流Imax：40kA（8/20μs）；</w:t>
            </w:r>
          </w:p>
          <w:p w14:paraId="2421BCD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保护水平Up（8/20μs）≤1.5KV；</w:t>
            </w:r>
          </w:p>
          <w:p w14:paraId="784FDD4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响应时间：≤25ns。</w:t>
            </w:r>
          </w:p>
          <w:p w14:paraId="4BA58CC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数据接口端的防雷指标应满足：</w:t>
            </w:r>
          </w:p>
          <w:p w14:paraId="325C308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标称工作电压Un：DC 5V；</w:t>
            </w:r>
          </w:p>
          <w:p w14:paraId="66C29B3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标称放电电流In：3kA（8/20μs）；</w:t>
            </w:r>
          </w:p>
          <w:p w14:paraId="417E3DF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保护水平Up（8/20μs）≤20V；</w:t>
            </w:r>
          </w:p>
          <w:p w14:paraId="36B6CCA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响应时间：≤25ns；</w:t>
            </w:r>
          </w:p>
          <w:p w14:paraId="122C66A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安装方式：串接于线路端与设备端之间。</w:t>
            </w:r>
          </w:p>
          <w:p w14:paraId="0D63DF8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供应商必须提供信号主机的专项防雷测试报告，及与设备安装相配套的防雷接地工程规范。</w:t>
            </w:r>
          </w:p>
          <w:p w14:paraId="196C4A2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（2）信号防雷：在232、485、网络上采用DC/DC隔离设计，RS485采用模块化安装防止雷电通过信号线破坏设备同时可快速修复。</w:t>
            </w:r>
          </w:p>
          <w:p w14:paraId="054F60A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过载、短路保护措施：信号机应配置具备过载、短路保护功能的电源总空气开关、信号灯驱动输出回路空气开关、自身设备用电空气开关及外设用电空气开关，相关指标符合应用要求；至少在总供电回路、自身设备供电回路、每一个信号灯驱动输出回路中安装快速熔断器，相关指标符合应用要求。</w:t>
            </w:r>
          </w:p>
          <w:p w14:paraId="7998C7D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（4）操作安全措施：强电接线部与弱电接线部应物理分离，以提高操作的安全性；灯控信号组输出端的接线端子应符合220V 5A的最低容量要求。</w:t>
            </w:r>
          </w:p>
          <w:p w14:paraId="699466C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（5）临时供电安全措施：提供独立的临时供电插座，并具备临时电源与电网供电互斥机制，确保临时供电安全。</w:t>
            </w:r>
          </w:p>
          <w:p w14:paraId="514AB44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（6）电气安全：信号机应满足如下指标要求：</w:t>
            </w:r>
          </w:p>
          <w:p w14:paraId="6BBA7CA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电源适应性：AV 220V±44V，50Hz±2Hz，机柜内安装两个标准AC 220V电源备用插座。</w:t>
            </w:r>
          </w:p>
          <w:p w14:paraId="59493E6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绝缘：不小于10MΩ；</w:t>
            </w:r>
          </w:p>
          <w:p w14:paraId="2B158D0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耐压：1500V，50Hz；。</w:t>
            </w:r>
          </w:p>
          <w:p w14:paraId="393903C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（7）环境适应性：信号机应满足如下环境指标：</w:t>
            </w:r>
          </w:p>
          <w:p w14:paraId="51ED9CA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工作温度：-20~70℃；</w:t>
            </w:r>
          </w:p>
          <w:p w14:paraId="5C062AE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工作湿度：20~95%。</w:t>
            </w:r>
          </w:p>
          <w:p w14:paraId="1394FB6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（8）其他要求</w:t>
            </w:r>
          </w:p>
          <w:p w14:paraId="6847C32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信号机结构性能所涉及的项目内容要求，以《GB 25280—2016道路交通信号控制机》标准中“物理结构性能”要求为准；信号机文字、图形及标志符号要求所涉及的项目内容要求，以《GB 25280—2016道路交通信号控制机》标准中“文字、图形及标志符号要求”为准。</w:t>
            </w:r>
          </w:p>
          <w:p w14:paraId="538A743E">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（9）电磁抗扰度：交通信号控制机在一定的静电放电、电快速瞬变脉冲群 、浪涌、电压短时中断等电磁骚扰环境下不出现电气故障须提供信号主机的专项防雷测试报告。</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3DE3">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60FE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5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B78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信号控制机（60通道）</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01F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E8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73E79AC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1、时钟精度：黄闪信号频率为55次／分钟～65次／分钟可调、调整步长为1次。时钟精度在24小时内为±2秒。在控制模式转换、配时方案变化时，信号应实现平滑过渡。</w:t>
            </w:r>
          </w:p>
          <w:p w14:paraId="2853049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2、启动时序当信号机通电开始运行时信号机应先进行自检，在正常情况下，按正常时序启动。</w:t>
            </w:r>
          </w:p>
          <w:p w14:paraId="795DCE5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3、信号持续时间要求绿信号、红信号的持续时间及周期时间应根据路口实际情况设置，调整范围为0—255秒，调整步长为1秒。黄闪信号、绿闪信号持续时间可调，调整范围为0—99秒，调整步长为1秒。</w:t>
            </w:r>
          </w:p>
          <w:p w14:paraId="35AC819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控制模式转换信号机从自动控制模式转入手动控制模式时，手动开关作用以后，应保持原有相位的最小安全时间，最小安全时间根据路口实际情况设定。从手动控制模式转入自动控制模式时，信号状态不能突变，各相位信号应保持转换时刻的状态，并从当前信号状态开始以自动控制模式开始运行。</w:t>
            </w:r>
          </w:p>
          <w:p w14:paraId="149649F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5、现场设置信号机应能通过外接设备进行控制模式的设置和信号参数的调整，并按设置的控制方式正常运行。</w:t>
            </w:r>
          </w:p>
          <w:p w14:paraId="51E9DE0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信息采集：信号机具有至少支持16路，可扩展至32路检测器接口，可任意设定为系统检测器，自动采集交通数据，包括：流量、速度、占有率。在系统传输正常的情况下，通过通信接口，以设定的时间间隔上传统计数据，时间间隔以分为单位设定。当系统传输中断时，路口信号设备能存储检测器的信息，存储容量满足储存最近72小时每15分钟的检测器数据，系统传输恢复正常后，依据中心指令上传存储数据。</w:t>
            </w:r>
          </w:p>
          <w:p w14:paraId="5EB0218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7、输入/输出接口</w:t>
            </w:r>
          </w:p>
          <w:p w14:paraId="6CC2ADB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信号灯输出接口：至少具有20个独立信号组输出，最大具备32个独立信号组输出扩展能力，且可任意设置信号相位。</w:t>
            </w:r>
          </w:p>
          <w:p w14:paraId="033D447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交通数据采集接口：至少提供接入地埋式感应线圈检测器的数据接口，采集路口各方向的交通数据，接口标准为RS-485或RJ45。</w:t>
            </w:r>
          </w:p>
          <w:p w14:paraId="1F620FC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诱导数据发布接口：提供路口动态诱导标志的数据接口，中心系统可以通过信号机链路向路口动态诱导标志发布交通状态提示信息，接口标准为RS-485或RJ45。</w:t>
            </w:r>
          </w:p>
          <w:p w14:paraId="6B9D282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通讯型倒计时接口：提供机动车、行人通讯型倒计时接入的数据接口，接口标准为RS-485或RJ45。</w:t>
            </w:r>
          </w:p>
          <w:p w14:paraId="77FF78C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I/0接口：提供行人按钮等通用I/O或RJ45接口。</w:t>
            </w:r>
          </w:p>
          <w:p w14:paraId="76ADEAE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输入接口：具备至少16个开关量输入接口；具有北斗定位模块、4G无线模块、1个百兆自适应网络接口；支持4G网络和有线网络同时联网，并在有线网络出现故障时无缝切换至4G网络回传及下发数据。</w:t>
            </w:r>
          </w:p>
          <w:p w14:paraId="202C4B4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信号机采用模块化设计：信号机采用模块化设计，更换电路板方便。信号机的主要单元分为：电源单元（含交流和直流电源）、控制器单元、故障检测单元、车辆行人检测器单元、灯控信号输出单元、通信接口单元、时钟单元、附加设施（照明装置、风扇系统等）。</w:t>
            </w:r>
          </w:p>
          <w:p w14:paraId="41422B2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9、标准插箱背板式结构设计：信号机采用插箱结构，各板卡支持热插拔。</w:t>
            </w:r>
          </w:p>
          <w:p w14:paraId="6000FE4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10、中央微处理器（CPU）：需用32位以上微处理器，CPU主频≥500MHz。</w:t>
            </w:r>
          </w:p>
          <w:p w14:paraId="58CAA88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11、内存需求：SDRAM≥256MB。</w:t>
            </w:r>
          </w:p>
          <w:p w14:paraId="5E7AE0E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12、存储需求：存储容量≥512MB。</w:t>
            </w:r>
          </w:p>
          <w:p w14:paraId="323DBEF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13、具有NTP校时功能。</w:t>
            </w:r>
          </w:p>
          <w:p w14:paraId="711FCEF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具有防撬结构：柜门嵌入到主体内，与主体外表面齐平，周边缝隙很小，只有很薄（小于3mm）的工具可以插入门缝，并且无法用力撬开，从而达到防撬作用。铰链采用专用快装式铰链，开启角度可达到≥120°；该铰链为合金材料，中轴直径达到Ф9mm，具有良好的强度。</w:t>
            </w:r>
          </w:p>
          <w:p w14:paraId="0EF0F1D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15、交通信号控制机大门锁为摇把拉杆锁；小门门锁为旋转锁舌结构；大小门锁均防水，防盗，防撬。</w:t>
            </w:r>
          </w:p>
          <w:p w14:paraId="0F9EC15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16、机箱宽度采用19英寸标准设计，机箱高度不小于1250mm。</w:t>
            </w:r>
          </w:p>
          <w:p w14:paraId="7666DD9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机箱采用不锈钢或铝合金材料制作，板材厚度2毫米，外喷塑处理，进行防潮、防腐、防盐雾的三防处理。箱体内设备的摆放位置、安装方式、接线方式、线缆敷设方式等应进行设计；箱内应放置设备的系统图等相关技术文件。</w:t>
            </w:r>
          </w:p>
          <w:p w14:paraId="484E9BE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18、设备机箱内应设置专用接地铜排，接地铜排的截面不小于100mm2，并应设置接地标志。在熔断器和电源开关处应有警告标志。</w:t>
            </w:r>
          </w:p>
          <w:p w14:paraId="60FCAD7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19、预留部分应安装标准机柜用机架立柱，预装导轨槽，具体符合GB19520的要求。</w:t>
            </w:r>
          </w:p>
          <w:p w14:paraId="65021C7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20、防护等级IP54以上。</w:t>
            </w:r>
          </w:p>
          <w:p w14:paraId="1487D21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21、机柜内设有存放用户手册、说明书、接线图、维修记录等资料的存储盒。</w:t>
            </w:r>
          </w:p>
          <w:p w14:paraId="65F48EB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22、机柜内部应设有内部照明装置。</w:t>
            </w:r>
          </w:p>
          <w:p w14:paraId="7CDEBB6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23、支持运维平台获取机柜开关门检测信号。</w:t>
            </w:r>
          </w:p>
          <w:p w14:paraId="59E4865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24、印刷电路板材料及部件应进行防潮、防腐、防盐雾的处理。</w:t>
            </w:r>
          </w:p>
          <w:p w14:paraId="589A37B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25、接口供电DC5V；与信号机主板通信及供电通过条形连接器与背板对接实现，采用CAN总线通信方式；外部线圈接入通过端子排转接到背板。</w:t>
            </w:r>
          </w:p>
          <w:p w14:paraId="1416251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26、人机交互：</w:t>
            </w:r>
          </w:p>
          <w:p w14:paraId="50241AA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操作面板上应配置LCD屏及视窗风格的中文菜单式操作界面，便于交通工程师设置参数。LCD屏应具备自动关屏保护和手动唤醒的能力。板卡上应提供信息指示灯，对设备的运行情况、故障状态进行提示。具有手动指定相位放行功能，并提供公安部交通安全产品质量监督检测中心的检测报告扫描件。</w:t>
            </w:r>
          </w:p>
          <w:p w14:paraId="22BFB3D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（2）备注：须提供手动指定相位放行功能的检测报告。</w:t>
            </w:r>
          </w:p>
          <w:p w14:paraId="584122F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27、交通信号控制机特殊功能要求一</w:t>
            </w:r>
          </w:p>
          <w:p w14:paraId="6C7DD29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交通信号控制机的控制功能丰富，除了前面阐述的区域协调控制，无缆协调控制、单点优化控制、单点感应控制、单点多时段控制等，还具有如下控制功能：</w:t>
            </w:r>
          </w:p>
          <w:p w14:paraId="62840BF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（1）感应式协调控制</w:t>
            </w:r>
          </w:p>
          <w:p w14:paraId="7C85187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至少具有连接地埋式感应线圈检测器实现单点全感应、半感应功能，当传感器出现故障时自动进入多时段控制。</w:t>
            </w:r>
          </w:p>
          <w:p w14:paraId="48D7FB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（2）自适应协调控制</w:t>
            </w:r>
          </w:p>
          <w:p w14:paraId="6F6FAEC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控制中心与交通信号控制机联网正常的情况下，系统根据交通信号控制机采集交通信息，比如车流量和时间占有率，实时优化信号配时方案，包括信号周期、绿信比和相位差。实现协调路口与路口间的交通信号控制的目的，达到系统的合理控制。</w:t>
            </w:r>
          </w:p>
          <w:p w14:paraId="1310CBC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（3）抑制排队的路口联动控制</w:t>
            </w:r>
          </w:p>
          <w:p w14:paraId="1D154F7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信号机应能够支持高峰期抑制排队的自动控制功能。即在高峰时通过优化相位差，优先放行下游路口的绿灯，清空路段的排队后，上游路口再放绿灯使车辆进入，以此控制排队长度，保持路口排队长度稳定。</w:t>
            </w:r>
          </w:p>
          <w:p w14:paraId="7B67E1E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（4）瓶颈控制功能</w:t>
            </w:r>
          </w:p>
          <w:p w14:paraId="5D3B55F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机应能够通过路段上埋设的拥堵检测器检测路段拥堵情况，当排队到达路口即将溢出时，上游路口停止放行绿灯，避免排队溢出路口，造成路口拥堵。下游路口增加绿灯时间，尽快消散路段的排队，缓解路段交通压力。</w:t>
            </w:r>
          </w:p>
          <w:p w14:paraId="5EEB96D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（5）时间表控制功能</w:t>
            </w:r>
          </w:p>
          <w:p w14:paraId="1076F68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交叉口的交通状况，设置不低于16个时段控制方式，每种时段控制方式可将每天划分为至少48个不同的时段，每个时段配置不同的控制方案。交通信号机支持不低于108种配时方案，调度方案表为至少40个，能够为周末、节假日配置不同的方案。</w:t>
            </w:r>
          </w:p>
          <w:p w14:paraId="48733A0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交通信号控制机能够根据内置时钟选择各个时段的控制方案，实现交叉口的合理控制，以减少绿灯损失时间。</w:t>
            </w:r>
          </w:p>
          <w:p w14:paraId="401EA39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（6）手动控制功能</w:t>
            </w:r>
          </w:p>
          <w:p w14:paraId="1045B0F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具有手动控制功能，交警可以通过手动按钮完成手动控制功能，实现清空交叉口车辆的目的。信号机应具有手动控制功能，通过手动控制能够实现全红、黄闪、步进等功能，以及自动和手动切换按钮功能。</w:t>
            </w:r>
          </w:p>
          <w:p w14:paraId="6831206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（7）全红控制功能</w:t>
            </w:r>
          </w:p>
          <w:p w14:paraId="4232BDD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交通信号控制机能够根据时间表调用交通信号控制机的全红控制方案，实现对交叉口的全红控制功能。</w:t>
            </w:r>
          </w:p>
          <w:p w14:paraId="6A045BE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（8）关灯控制功能</w:t>
            </w:r>
          </w:p>
          <w:p w14:paraId="372CA9E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交通信号控制机能够根据时间表调用交通信号控制机的关灯控制方案，实现对交叉口的关灯控制功能。</w:t>
            </w:r>
          </w:p>
          <w:p w14:paraId="3EE3A34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（9）行人过街功能</w:t>
            </w:r>
          </w:p>
          <w:p w14:paraId="678F833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交通信号控制机支持行人按钮信号输入，可在路口和路段响应来自行人按钮的行人过街请求，实现一次过街和二次过街控制功能。</w:t>
            </w:r>
          </w:p>
          <w:p w14:paraId="608022C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（10）具备线圈短路、短路故障检测及报警功能</w:t>
            </w:r>
          </w:p>
          <w:p w14:paraId="17C3590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（11）信号机通过对连接线圈和断开线圈状态的检测，实时检测并显示线圈的短路、断路故障，迅速判断定位线圈故障，提高维护效率。</w:t>
            </w:r>
          </w:p>
          <w:p w14:paraId="6C1DA94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绿冲突检测：可区分“机动车与机动车”、“机动车与行人”之间的绿冲突，并向中心系统实时回报具体发生绿冲突的信号。</w:t>
            </w:r>
          </w:p>
          <w:p w14:paraId="7D76722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（12）远程指令控制：建立中心系统后，信号主机可以接收中心系统的指令实现黄闪、灭灯、灯色保持、临时方案等中央特殊控制功能。</w:t>
            </w:r>
          </w:p>
          <w:p w14:paraId="7CC6930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（13）交通拥挤度发布：建立中心系统后，信号主机可以接收中心系统的数据，向动态诱导路牌发布相邻路口、路段的交通状态信息。</w:t>
            </w:r>
          </w:p>
          <w:p w14:paraId="4699B66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（14）变相位结构控制：控制机至少应支持通过时段设置实现相序、相数变化的变结构控制功能。</w:t>
            </w:r>
          </w:p>
          <w:p w14:paraId="21A0DDA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（15）无电缆线控：支持根据时钟同步，通过设定相位差实现无电缆协调控制的功能，日时段不少于24个。</w:t>
            </w:r>
          </w:p>
          <w:p w14:paraId="3EF3F4F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（16）路段行人感应控制：具备不少于8路行人按钮输入接口。</w:t>
            </w:r>
          </w:p>
          <w:p w14:paraId="61474E9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（17）相位配时管理：至少可以配置16种不同的相位组合，每种相位组合至少可以配置16种绿信配时。</w:t>
            </w:r>
          </w:p>
          <w:p w14:paraId="1DEAB26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28、系统兼容性</w:t>
            </w:r>
          </w:p>
          <w:p w14:paraId="7C6892C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投标人所投交通信号控制机能够无缝接入深圳市现有交通信号控制系统，数据接口全部免费开放，实现接入后，可以通过控制系统客户端实现本项目采购所要求的功能操作。</w:t>
            </w:r>
          </w:p>
          <w:p w14:paraId="1A51D06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通信兼容是指投标人所投信号机符合《GB 25280—2016道路交通信号控制机》国家标准和《GB/T20999-2017交通信号控制机与上位机间的数据通信协议》通信协议，实现信号机状态监控、故障上传、远程信号机方案下载、方案更新、信号机流量上传。</w:t>
            </w:r>
          </w:p>
          <w:p w14:paraId="6A967E1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数据兼容是指本次新建信号系统所上传的状态数据、方案数据、流量数据、故障数据数据格式，需同原有信号平台的数据库数据格式相同，若新建信号系统的数据格式同原有系统有差异，需要承诺按照原有系统的数据库格式对接开发，保证数据的统一、完整。</w:t>
            </w:r>
          </w:p>
          <w:p w14:paraId="1C50D9F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29、性能及技术指标要求</w:t>
            </w:r>
          </w:p>
          <w:p w14:paraId="5E37542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（1）应为自适应协调控制系统，信号机符合GB25280-2016国家标准；提供公安部交通安全产品质量监督检测中心的检测报告扫描件。</w:t>
            </w:r>
          </w:p>
          <w:p w14:paraId="31AAF65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（2）为保证代建信号机的标准性及开放性，信号机必须符合GB/T20999-2017标准。</w:t>
            </w:r>
          </w:p>
          <w:p w14:paraId="515E49D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（3）信号机必须为具有国内企业自主知识产权的产品，用户不承担任何侵权责任 须提供该检测报告扫描件。</w:t>
            </w:r>
          </w:p>
          <w:p w14:paraId="12B4524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30、启动顺序要求</w:t>
            </w:r>
          </w:p>
          <w:p w14:paraId="2E7B94A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交通信号控制机开始运行时，进行自检，自检后按如下时序启动并且可以设置：</w:t>
            </w:r>
          </w:p>
          <w:p w14:paraId="075A159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相位应先进入黄闪信号，持续时间至少10s； </w:t>
            </w:r>
          </w:p>
          <w:p w14:paraId="11DDCDC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黄闪信号结束后应进入全红状态，持续时间至少5s； </w:t>
            </w:r>
          </w:p>
          <w:p w14:paraId="52CEE1A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启动时序结束后，信号机按预设置的方式运行；</w:t>
            </w:r>
          </w:p>
          <w:p w14:paraId="060E8B1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启动时序可保证交通信号控制机开启时让路口处于安全状态，即黄闪或四面全红状态，保证交叉路口中间的车辆尽快放空。</w:t>
            </w:r>
          </w:p>
          <w:p w14:paraId="6F3792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31、信号转换要求</w:t>
            </w:r>
          </w:p>
          <w:p w14:paraId="5DBF9B7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交通信号控制机具备灵活的信号转换序列，可保证机动车和行人信号按设置的灯色显示。</w:t>
            </w:r>
          </w:p>
          <w:p w14:paraId="78C4D17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机动车、非机动车信号转换序列：</w:t>
            </w:r>
          </w:p>
          <w:p w14:paraId="39CDE03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机动车、非机动车、行人过街信号基本转换序列如下：</w:t>
            </w:r>
          </w:p>
          <w:p w14:paraId="5EF19E6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机动车信号：红→绿→黄→红；</w:t>
            </w:r>
          </w:p>
          <w:p w14:paraId="4251D9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非机动车信号：红→绿→黄→红；</w:t>
            </w:r>
          </w:p>
          <w:p w14:paraId="44D4224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行人过街信号：红→绿→红。</w:t>
            </w:r>
          </w:p>
          <w:p w14:paraId="73EA2B1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32、交通信号控制机相位</w:t>
            </w:r>
          </w:p>
          <w:p w14:paraId="31A8C00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标准配置为20相位，最大能够扩展到32相位，具有20个独立信号组输出，最大支持32个独立信号组输出扩展能力，用户可以根据现场需要任意增减相位板卡，定义每个相位的输出，相位相序可以任意定义，每路输出均配置保险管。</w:t>
            </w:r>
          </w:p>
          <w:p w14:paraId="750D25D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33、数据断电保存：交通信号控制机能够自动保存修改的各项控制参数，停电后数据不会丢失。</w:t>
            </w:r>
          </w:p>
          <w:p w14:paraId="2EE2822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34、故障检测处理</w:t>
            </w:r>
          </w:p>
          <w:p w14:paraId="6B31F88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交通信号控制机通过故障监测模块实现完备的故障监测和自诊断功能，发现故障后可给中央和现场终端发出故障警示信号。</w:t>
            </w:r>
          </w:p>
          <w:p w14:paraId="4FD8422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交通信号控制机将故障记录在本地，并及时上传至控制中心。故障监测包括交通信号控制机的工作状态、信号灯的状态，如有故障发生，通过秒级监控实时向系统计算机发送故障信息及故障发生变化后的信息。</w:t>
            </w:r>
          </w:p>
          <w:p w14:paraId="3AD4548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当发生以下严重故障，交通信号控制机立即进入黄闪状态：</w:t>
            </w:r>
          </w:p>
          <w:p w14:paraId="35E74B7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（1）绿冲突故障</w:t>
            </w:r>
          </w:p>
          <w:p w14:paraId="3C13279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当预先设定的冲突相位（不应同时点亮绿灯的相位）在实际运行中发生同时点亮绿灯的情况时，会导致严重的撞车，交通信号控制机会检测到这类故障，交通信号控制机立即转入黄闪控制并将故障信息上传控制中心。</w:t>
            </w:r>
          </w:p>
          <w:p w14:paraId="78C1573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（2）连接在某一输出的所有信号灯组的红灯同时发生故障</w:t>
            </w:r>
          </w:p>
          <w:p w14:paraId="043E389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若某一路输出所有信号灯的红灯均不能点亮，将导致该相位的机动车没有停止信号，交通信号控制机检测该故障，进入黄闪状态。</w:t>
            </w:r>
          </w:p>
          <w:p w14:paraId="2FE8FD4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（3）同一灯组红绿冲突故障</w:t>
            </w:r>
          </w:p>
          <w:p w14:paraId="4B4CF19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当信号灯线发生搭线或其他短路现象时，可能会导致同一灯组的红绿信号同时点亮，这种情况的发生将使驾驶员无所适从。交通信号控制机检测此类故障，转入黄闪控制.</w:t>
            </w:r>
          </w:p>
          <w:p w14:paraId="641E819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35、信号机具有硬件双备份功能，当主控板运行出现故障时，热备份硬件自动切换接管当前信号机运行方案。</w:t>
            </w:r>
          </w:p>
          <w:p w14:paraId="08C007B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36、防雷、安全性要求</w:t>
            </w:r>
          </w:p>
          <w:p w14:paraId="2D342D0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（1）有效的防雷措施：信号机电源输入端、灯控信号输出端、及数据接口端必须配备避雷装置或采取避雷措施。</w:t>
            </w:r>
          </w:p>
          <w:p w14:paraId="2AFF543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电源输入端的防雷指标应满足：</w:t>
            </w:r>
          </w:p>
          <w:p w14:paraId="6B4307D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标称工作电压Un：单相 220V；</w:t>
            </w:r>
          </w:p>
          <w:p w14:paraId="41753F7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最大持续运行电压Uc：385V；</w:t>
            </w:r>
          </w:p>
          <w:p w14:paraId="267BF04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标称放电电流In：20kA（8/20μs）；</w:t>
            </w:r>
          </w:p>
          <w:p w14:paraId="41027CF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最大放电电流Imax：40kA（8/20μs）；</w:t>
            </w:r>
          </w:p>
          <w:p w14:paraId="0DD5893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保护水平Up（8/20μs）≤1.5KV；</w:t>
            </w:r>
          </w:p>
          <w:p w14:paraId="2B338B6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响应时间：≤25ns。</w:t>
            </w:r>
          </w:p>
          <w:p w14:paraId="023D288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数据接口端的防雷指标应满足：</w:t>
            </w:r>
          </w:p>
          <w:p w14:paraId="7C12972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标称工作电压Un：DC 5V；</w:t>
            </w:r>
          </w:p>
          <w:p w14:paraId="628C7E0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标称放电电流In：3kA（8/20μs）；</w:t>
            </w:r>
          </w:p>
          <w:p w14:paraId="30CE572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保护水平Up（8/20μs）≤20V；</w:t>
            </w:r>
          </w:p>
          <w:p w14:paraId="7CAAEE7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响应时间：≤25ns；</w:t>
            </w:r>
          </w:p>
          <w:p w14:paraId="110CC8F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安装方式：串接于线路端与设备端之间。</w:t>
            </w:r>
          </w:p>
          <w:p w14:paraId="2A3546D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供应商必须提供信号主机的专项防雷测试报告，及与设备安装相配套的防雷接地工程规范。</w:t>
            </w:r>
          </w:p>
          <w:p w14:paraId="170D7ED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（2）信号防雷：在232、485、网络上采用DC/DC隔离设计，RS485采用模块化安装防止雷电通过信号线破坏设备同时可快速修复。</w:t>
            </w:r>
          </w:p>
          <w:p w14:paraId="74121CC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过载、短路保护措施：信号机应配置具备过载、短路保护功能的电源总空气开关、信号灯驱动输出回路空气开关、自身设备用电空气开关及外设用电空气开关，相关指标符合应用要求；至少在总供电回路、自身设备供电回路、每一个信号灯驱动输出回路中安装快速熔断器，相关指标符合应用要求。</w:t>
            </w:r>
          </w:p>
          <w:p w14:paraId="209D5E8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（4）操作安全措施：强电接线部与弱电接线部应物理分离，以提高操作的安全性；灯控信号组输出端的接线端子应符合220V 5A的最低容量要求。</w:t>
            </w:r>
          </w:p>
          <w:p w14:paraId="3515D01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（5）临时供电安全措施：提供独立的临时供电插座，并具备临时电源与电网供电互斥机制，确保临时供电安全。</w:t>
            </w:r>
          </w:p>
          <w:p w14:paraId="55B6690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（6）电气安全：信号机应满足如下指标要求：</w:t>
            </w:r>
          </w:p>
          <w:p w14:paraId="28D7B0C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电源适应性：AV 220V±44V，50Hz±2Hz，机柜内安装两个标准AC 220V电源备用插座。</w:t>
            </w:r>
          </w:p>
          <w:p w14:paraId="4B92DD9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绝缘：不小于10MΩ；</w:t>
            </w:r>
          </w:p>
          <w:p w14:paraId="51373C9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耐压：1500V，50Hz；。</w:t>
            </w:r>
          </w:p>
          <w:p w14:paraId="5C23AF8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（7）环境适应性：信号机应满足如下环境指标：</w:t>
            </w:r>
          </w:p>
          <w:p w14:paraId="307FCD4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工作温度：-20~70℃；</w:t>
            </w:r>
          </w:p>
          <w:p w14:paraId="0C92735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    工作湿度：20~95%。</w:t>
            </w:r>
          </w:p>
          <w:p w14:paraId="4EBB630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（8）其他要求</w:t>
            </w:r>
          </w:p>
          <w:p w14:paraId="327FEE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信号机结构性能所涉及的项目内容要求，以《GB 25280—2016道路交通信号控制机》标准中“物理结构性能”要求为准；信号机文字、图形及标志符号要求所涉及的项目内容要求，以《GB 25280—2016道路交通信号控制机》标准中“文字、图形及标志符号要求”为准。</w:t>
            </w:r>
          </w:p>
          <w:p w14:paraId="57067896">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（9）电磁抗扰度：交通信号控制机在一定的静电放电、电快速瞬变脉冲群 、浪涌、电压短时中断等电磁骚扰环境下不出现电气故障须提供信号主机的专项防雷测试报告。</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8B3F">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5EAE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70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环保型补光灯：车牌识别环保补光灯设备（可见光型）</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F7DE">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AE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个</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CFC89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1、不少于24颗原装高亮度LED芯片，寿命长，稳定性好，发光效率高；</w:t>
            </w:r>
          </w:p>
          <w:p w14:paraId="6D32EE2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2、LED控制采用先进的恒流驱动技术，电流控制准确、稳定，产品稳定性好、可靠性高，有效减少光衰；</w:t>
            </w:r>
          </w:p>
          <w:p w14:paraId="4CE5EDF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3、气体灯管采用高性能氙气灯管，质量可靠，寿命长；</w:t>
            </w:r>
          </w:p>
          <w:p w14:paraId="5F4FFC2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4、气体光源回电时间小于67ms，支持超速连拍；</w:t>
            </w:r>
          </w:p>
          <w:p w14:paraId="71CA6D3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5、气体补光控制具有峰值抑制功能；</w:t>
            </w:r>
          </w:p>
          <w:p w14:paraId="1E3F981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6、支持LED频闪，LED爆闪及气体爆闪；</w:t>
            </w:r>
          </w:p>
          <w:p w14:paraId="488616D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7、支持相机误触发保护功能，触发信号输入异常时自动保护、且自动恢复；</w:t>
            </w:r>
          </w:p>
          <w:p w14:paraId="4B99569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8、结构采用IP65设计，增加透气孔，保持内外压强均衡，可靠防水、防尘；</w:t>
            </w:r>
          </w:p>
          <w:p w14:paraId="69C5CC1E">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9、距离补光装置20m处，可见光的有效光照度小于20lx，设备收到触发信号后的第一个频闪周期内的有效光照度小于80lx（补光装置在环境光照度小于500lx时自动关闭），符合GA/T 1202—2022《交通技术监控成像补光装置通用技术条件》一级补光装置要求；</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5E8E">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3F1E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9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32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环保型补光灯：车牌识别环保补光灯设备（红外型）</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A4B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3A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个</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610A251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1、采用≥24颗原装高亮度LED芯片，寿命长，稳定性好，发光效率高；</w:t>
            </w:r>
          </w:p>
          <w:p w14:paraId="6A1A65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2、气体光源回电时间小于67ms，支持超速连拍；</w:t>
            </w:r>
          </w:p>
          <w:p w14:paraId="41CED7C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3、防护等级IP66；</w:t>
            </w:r>
          </w:p>
          <w:p w14:paraId="265EEA9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4、支持可通过软件记录记录闪光灯闪光次数；</w:t>
            </w:r>
          </w:p>
          <w:p w14:paraId="5EACBF0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5、支持可通过RS485进行远程升级；</w:t>
            </w:r>
          </w:p>
          <w:p w14:paraId="73D04F2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6、最大功耗小于等于48W（补光灯在频闪模式下，亮度等级设置为255）；</w:t>
            </w:r>
          </w:p>
          <w:p w14:paraId="01052DA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7、闪光指数GN≥64m；</w:t>
            </w:r>
          </w:p>
          <w:p w14:paraId="6539FDA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8、支持通过485接口对补光灯亮度进行调节，可设置为1－255级；</w:t>
            </w:r>
          </w:p>
          <w:p w14:paraId="6D930AC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9、最小回电时间小于等于50ms；</w:t>
            </w:r>
          </w:p>
          <w:p w14:paraId="6B36168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10、支持气体脉冲补光、LED频闪补光闪方式，可通过远程控制切换补光方式；</w:t>
            </w:r>
          </w:p>
          <w:p w14:paraId="02A72CB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11、具有LED和气体灯管两种光源，支持可见光补光、红外补光；</w:t>
            </w:r>
          </w:p>
          <w:p w14:paraId="177B8C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12、支持1路RS485接口、1路爆闪输入接口，一路光源切换接口，1路频闪输入接口；</w:t>
            </w:r>
          </w:p>
          <w:p w14:paraId="35291DA4">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13、距离补光装置20m处，可见光的有效光照度小于20lx；设备收到触发信号后的第一个频闪周期内的有效光照度小于80lx（补光装置在环境光照度小于500lx时自动关闭），符合GA/T 1202—2022《交通技术监控成像补光装置通用技术条件》一级补光装置要求；</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1F8F">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5BF7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6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C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高清电警补光灯</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7093">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5C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个</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26E1A29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1、不少于16颗原装大功率LED频闪灯；</w:t>
            </w:r>
          </w:p>
          <w:p w14:paraId="4CA366D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2、最佳补光距离16m～25m，支持5V电平量触发(可选开关量)，平均功率36W（不超过40w)；</w:t>
            </w:r>
          </w:p>
          <w:p w14:paraId="4937589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3、支持外部摄像机触发自动频闪模式；</w:t>
            </w:r>
          </w:p>
          <w:p w14:paraId="7D498D4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4、频率大于等于75Hz可调；支持通过调整占空比1%~39%进行亮度调节；</w:t>
            </w:r>
          </w:p>
          <w:p w14:paraId="12E0A8F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5、支持频率及占空比保护功能；</w:t>
            </w:r>
          </w:p>
          <w:p w14:paraId="377EAEA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6、支持通过RS485远程控制补光灯的亮度、开启/关闭；</w:t>
            </w:r>
          </w:p>
          <w:p w14:paraId="53F889B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7、支持通过RS485对补光灯升级程序；</w:t>
            </w:r>
          </w:p>
          <w:p w14:paraId="42812F5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8、支持远程显示补光灯故障、正常、开启、关闭等工作状态；</w:t>
            </w:r>
          </w:p>
          <w:p w14:paraId="01AF9C1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9、工作环境-40℃~70℃；</w:t>
            </w:r>
          </w:p>
          <w:p w14:paraId="482493EA">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10、距离补光装置20m处，可见光的有效光照度小于200lx，符合GA/T 1202—2022《交通技术监控成像补光装置通用技术条件》二级补光装置要求；</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C36E">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4C35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D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6F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车牌识别主机（16T）</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E83">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1C7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1BFBC0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1、设备类型 无风扇低功耗嵌入式主机；</w:t>
            </w:r>
          </w:p>
          <w:p w14:paraId="3F852C7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2、操作系统 Linux嵌入式操作系统；</w:t>
            </w:r>
          </w:p>
          <w:p w14:paraId="122D753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3、处理芯片：≥4核处理器，主频≥1.2GHz；</w:t>
            </w:r>
          </w:p>
          <w:p w14:paraId="6298D3E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4、内存≥8G；</w:t>
            </w:r>
          </w:p>
          <w:p w14:paraId="75B7AA0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5、网络接口：符合工业级环境要求，≥18个RJ45接口，上联口1000M；</w:t>
            </w:r>
          </w:p>
          <w:p w14:paraId="360ABF3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6、支持实时录像基于H.265编码格式，编码后图像分辨率应达到1920*1080或以上，每秒至少25帧；</w:t>
            </w:r>
          </w:p>
          <w:p w14:paraId="597093B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7、单台主机具备16T的SATA接口硬盘；</w:t>
            </w:r>
          </w:p>
          <w:p w14:paraId="329B483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8、输入电源 AC 220V±10%/48～52Hz；</w:t>
            </w:r>
          </w:p>
          <w:p w14:paraId="16CD032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9、校时功能：NTP校时；</w:t>
            </w:r>
          </w:p>
          <w:p w14:paraId="3F04D69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10、定位系统：具备单北斗定位模块；</w:t>
            </w:r>
          </w:p>
          <w:p w14:paraId="20D651F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11、支持机动车、非机动车数据融合，支持非机动车前后拍合成图片传输至深圳交警平台；</w:t>
            </w:r>
          </w:p>
          <w:p w14:paraId="21B9CC2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12、数据上传能力≥8线程；</w:t>
            </w:r>
          </w:p>
          <w:p w14:paraId="361D13D6">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13、支持违法视频上传。</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0865">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5A73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3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C5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高清电警主机（需与高清视频电子警察前端摄像头配套）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29B2">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2C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54495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1、设备类型 无风扇低功耗嵌入式主机；</w:t>
            </w:r>
          </w:p>
          <w:p w14:paraId="6669189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2、操作系统 Linux嵌入式操作系统；</w:t>
            </w:r>
          </w:p>
          <w:p w14:paraId="6A036E8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3、处理芯片：≥4核处理器，主频≥1.2GHz；</w:t>
            </w:r>
          </w:p>
          <w:p w14:paraId="3088729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4、内存≥8G；</w:t>
            </w:r>
          </w:p>
          <w:p w14:paraId="60F301B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5、网络接口：符合工业级环境要求，≥18个RJ45接口，上联口1000M；</w:t>
            </w:r>
          </w:p>
          <w:p w14:paraId="614DC5C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6、支持实时录像基于H.265编码格式，编码后图像分辨率应达到1920*1080或以上，每秒至少25帧；</w:t>
            </w:r>
          </w:p>
          <w:p w14:paraId="7328C5B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7、单台主机具备16T的SATA接口硬盘；</w:t>
            </w:r>
          </w:p>
          <w:p w14:paraId="6C578FD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8、输入电源 AC 220V±10%/48～52Hz；</w:t>
            </w:r>
          </w:p>
          <w:p w14:paraId="410BD9C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9、校时功能：NTP校时；</w:t>
            </w:r>
          </w:p>
          <w:p w14:paraId="3AFF558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10、定位系统：具备单北斗定位模块；</w:t>
            </w:r>
          </w:p>
          <w:p w14:paraId="50BDCB7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11、支持机动车、非机动车数据融合，支持非机动车前后拍合成图片传输至深圳交警平台；</w:t>
            </w:r>
          </w:p>
          <w:p w14:paraId="6A15033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12、数据上传能力≥8线程；</w:t>
            </w:r>
          </w:p>
          <w:p w14:paraId="62F5E6BD">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13、支持违法视频上传。</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64F66">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6639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B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78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监控摄像机：车牌识别前端摄像头（一体化900万高清摄像机、与红外补光灯同品牌配套）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56B5">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CE5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651061D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1、图像传感器：不少于2个≥1英寸的全局曝光CMOS；</w:t>
            </w:r>
          </w:p>
          <w:p w14:paraId="5ACB470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2、分辨率≥4096(H)×2160(V)；</w:t>
            </w:r>
          </w:p>
          <w:p w14:paraId="3AE142E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3、最低照度彩色≤0.002lux；</w:t>
            </w:r>
          </w:p>
          <w:p w14:paraId="61788AE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4、镜头接口：C/CS；</w:t>
            </w:r>
          </w:p>
          <w:p w14:paraId="56AB677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5、白平衡：手动、自动；</w:t>
            </w:r>
          </w:p>
          <w:p w14:paraId="19D2864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6、具有强光抑制功能；</w:t>
            </w:r>
          </w:p>
          <w:p w14:paraId="51A1C73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7、具有背光补偿功能；</w:t>
            </w:r>
          </w:p>
          <w:p w14:paraId="7373065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8、曝光控制：快门速度1/25秒至1/100,000秒；</w:t>
            </w:r>
          </w:p>
          <w:p w14:paraId="03F330C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9、支持曝光补偿；</w:t>
            </w:r>
          </w:p>
          <w:p w14:paraId="7C299EC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10、帧率 ≥25fps（全分辨率）；</w:t>
            </w:r>
          </w:p>
          <w:p w14:paraId="40F58BC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11、功能模块</w:t>
            </w:r>
          </w:p>
          <w:p w14:paraId="644E597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（1）车辆捕获：支持外部触发方式及视频触发模式；</w:t>
            </w:r>
          </w:p>
          <w:p w14:paraId="4DA637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（2）快门自适应控制：具有快门自动实时逐帧连续调节功能；</w:t>
            </w:r>
          </w:p>
          <w:p w14:paraId="1131852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（3）具备车牌识别功能，支持同时识别并输出港澳车牌，针对双牌车辆，能够同时识别并输出粤Z车牌和港澳车牌，支持识别普通摩托车号牌、警用摩托车号牌；</w:t>
            </w:r>
          </w:p>
          <w:p w14:paraId="10EA248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（4）具有车身颜色识别功能，支持不少于14种车身颜色识别，包括黑、白、灰、红、绿、蓝、黄、粉、紫、棕、青、金、橙、银灰；</w:t>
            </w:r>
          </w:p>
          <w:p w14:paraId="33E4261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（5）具有车型识别功能，支持识别大客车、小客车、大货车、小货车、面包车/轻型客车、皮卡、轿车及SUV/MPV等车型；</w:t>
            </w:r>
          </w:p>
          <w:p w14:paraId="00DC579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（6）具有车辆子品牌识别功能，通过车头可识别7100种，通过车尾可识别3800种，全天识别准确率不低于99%；</w:t>
            </w:r>
          </w:p>
          <w:p w14:paraId="29774AB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（7）具有车牌识别功能，在天气晴朗无雾，号牌无遮挡、无污损，白天环境光照度不低于200lx，晚上辅助光照度不高于30lx的条件下测试，白天和晚上的识别准确率均≥99%；</w:t>
            </w:r>
          </w:p>
          <w:p w14:paraId="49DB051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（8）具有车辆机动车品牌标志识别功能，支持识别351种机动车品牌标志，白天识别准确率≥99%，夜晚识别准确率≥99%；</w:t>
            </w:r>
          </w:p>
          <w:p w14:paraId="0E0B5E7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（9）具有交通违法检测功能，包括压实线、车辆逆行、违法停车、行驶应急车道（路肩）、冲禁令等；</w:t>
            </w:r>
          </w:p>
          <w:p w14:paraId="3071F22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（10）视频监控功能：采用H.265和MJPEG双码流，视频流支持OSD叠加；</w:t>
            </w:r>
          </w:p>
          <w:p w14:paraId="52F05CA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12、设备在夜间支持使用红外爆闪方式进行补光，内置两个图像传感器，可分别输出黑白及彩色图像，可对视频图像和抓拍图片进行融合输出；</w:t>
            </w:r>
          </w:p>
          <w:p w14:paraId="12577FF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13、设备抓拍支持输出三张同时刻目标图片，包括可见光路图片（全彩），红外路图片（黑白）和融合图片（全彩），三张图片抓拍时间为同一时刻，抓拍运动目标，三张图片中目标位置相同无位移；</w:t>
            </w:r>
          </w:p>
          <w:p w14:paraId="2391839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14、具有驾驶人脸抓拍功能，人脸部特征信息大于50×50个像素点、夜间环境照度在10lx~30lx范围的情况下，配合LED频闪补光与红外爆闪补光，输出高清人脸抠图；</w:t>
            </w:r>
          </w:p>
          <w:p w14:paraId="5AE0F41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15、网络功能：协议支持TCP/IP,HTTP,DHCP,DNS,RTP/RTSP等协议,支持FTP上传图片，支持GB/T28181协议，支持标准Onvif协议；通用功能：具有心跳，密码保护，NTP校时；</w:t>
            </w:r>
          </w:p>
          <w:p w14:paraId="696B6A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16、定位模块：具有单北斗卫星定位模块；</w:t>
            </w:r>
          </w:p>
          <w:p w14:paraId="4607AB4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17、镜头类型 根据场景可选择25mm、35mm、50mm等规格镜头；</w:t>
            </w:r>
          </w:p>
          <w:p w14:paraId="42C4BA1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18、防护罩应可满足室外全天候工作要求，防护等级IP66以上；</w:t>
            </w:r>
          </w:p>
          <w:p w14:paraId="393BA82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19、防护罩环境温度、湿度 温度范围：-40℃～+70℃；湿度范围：10%～90%；</w:t>
            </w:r>
          </w:p>
          <w:p w14:paraId="1C006EFF">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20、必须提供该投标品牌公安部检测单位官网（http://www.tmri.cn）的查询截图</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69BF">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58ED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E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2E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监控摄像机：车牌识别前端摄像头（一体化900万高清摄像机、与可见光环保型补光灯配套）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CEA0">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87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1525FCB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1、传感器：不小于1英寸的全局曝光CMOS；</w:t>
            </w:r>
          </w:p>
          <w:p w14:paraId="6B9A82E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2、有效像素≥880万；</w:t>
            </w:r>
          </w:p>
          <w:p w14:paraId="02EF800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3、分辨率≥4096(H)×2160(V)；</w:t>
            </w:r>
          </w:p>
          <w:p w14:paraId="5A2A1AE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4、信噪比≥55db；</w:t>
            </w:r>
          </w:p>
          <w:p w14:paraId="35FE13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5、最低照度：彩色≤0.002lux；</w:t>
            </w:r>
          </w:p>
          <w:p w14:paraId="70E0524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6、具有强光抑制功能；</w:t>
            </w:r>
          </w:p>
          <w:p w14:paraId="3DFAB57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7、具有背光补偿功能；</w:t>
            </w:r>
          </w:p>
          <w:p w14:paraId="7C6E790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8、帧率 ≥25fps（全分辨率）；</w:t>
            </w:r>
          </w:p>
          <w:p w14:paraId="5BFD345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9、码流：H.265/MJEPG双码流；</w:t>
            </w:r>
          </w:p>
          <w:p w14:paraId="537A315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10、功能模块</w:t>
            </w:r>
          </w:p>
          <w:p w14:paraId="40A70B8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（1）车辆捕获：支持外部触发方式及视频触发模式；</w:t>
            </w:r>
          </w:p>
          <w:p w14:paraId="65E17C3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（2）快门自适应控制：具有快门自动实时逐帧连续调节功能；</w:t>
            </w:r>
          </w:p>
          <w:p w14:paraId="0C6AB1F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（3）具备车牌识别功能，支持同时识别并输出港澳车牌，针对双牌车辆，能够同时识别并输出粤Z车牌和港澳车牌，支持识别普通摩托车号牌、警用摩托车号牌；</w:t>
            </w:r>
          </w:p>
          <w:p w14:paraId="1E2572F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（4）具有车身颜色识别功能，支持不少于14种车身颜色识别，包括黑、白、灰、红、绿、蓝、黄、粉、紫、棕、青、金、橙、银灰；</w:t>
            </w:r>
          </w:p>
          <w:p w14:paraId="5142881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（5）具有车型识别功能，支持识别大客车、小客车、大货车、小货车、面包车/轻型客车、皮卡、轿车及SUV/MPV等车型；</w:t>
            </w:r>
          </w:p>
          <w:p w14:paraId="0570EE8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（6）具有车辆子品牌识别功能，全天识别准确率不低于99%</w:t>
            </w:r>
          </w:p>
          <w:p w14:paraId="4600A4F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（7）具有车牌识别功能，在天气晴朗无雾，号牌无遮挡、无污损，白天环境光照度不低于200lx，晚上辅助光照度不高于30lx的条件下测试，白天和晚上的识别准确率均≥99%；</w:t>
            </w:r>
          </w:p>
          <w:p w14:paraId="63AF637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（8）具有交通违法检测功能，包括压实线、车辆逆行、违法停车、行驶应急车道（路肩）、冲禁令等；</w:t>
            </w:r>
          </w:p>
          <w:p w14:paraId="49B37C0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（9）视频监控功能：采用H.265和MJPEG双码流，视频流支持OSD叠加；</w:t>
            </w:r>
          </w:p>
          <w:p w14:paraId="5A1B43E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11、设备在夜间支持使用LED频闪方式进行补光；</w:t>
            </w:r>
          </w:p>
          <w:p w14:paraId="2AA751C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12、网络功能：协议支持TCP/IP,HTTP,DHCP,DNS,RTP/RTSP等协议,支持FTP上传图片，支持GB/T28181协议，支持标准Onvif协议；通用功能：具有心跳，密码保护，NTP校时；</w:t>
            </w:r>
          </w:p>
          <w:p w14:paraId="273FFB6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13、定位模块：具有单北斗卫星定位模块；</w:t>
            </w:r>
          </w:p>
          <w:p w14:paraId="00AD7ED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14、具有驾驶人脸抓拍功能，人脸部特征信息大于50×50个像素点、夜间环境照度在10lx~30lx范围的情况下，配合LED频闪补光与气体补光，输出高清人脸抠图；</w:t>
            </w:r>
          </w:p>
          <w:p w14:paraId="26B2B22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15、镜头类型根据场景可选择50mm、70mm等规格镜头；</w:t>
            </w:r>
          </w:p>
          <w:p w14:paraId="2C5081E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16、防护罩应可满足室外全天候工作要求，防护等级IP66以上；</w:t>
            </w:r>
          </w:p>
          <w:p w14:paraId="5AFC1F6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17、支持与配套的可见光环保型补光灯兼容使用（符合GA/T 1202—2022《交通技术监控成像补光装置通用技术条件》一级补光装置要求）；</w:t>
            </w:r>
          </w:p>
          <w:p w14:paraId="7F84F66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18、环境温度、湿度 温度范围：-40℃～+70℃；湿度范围：10%～90%；</w:t>
            </w:r>
          </w:p>
          <w:p w14:paraId="39CA41E3">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19、必须提供该投标品牌公安部检测单位官网（http://www.tmri.cn）的查询截图</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FA0B">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6746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1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C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红灯检测器（需与高清视频电子警察前端摄像头配套）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824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5CF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97133C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1、具有6路RS485、16路AC220V信号灯输入接口、16路信号状态指示灯，1路RS485数据收发状态指示灯；</w:t>
            </w:r>
          </w:p>
          <w:p w14:paraId="6F17DA4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2、检测信号灯电压范围AC110V~274V；信号灯输入端口有信号输入时；RS485端口会上传该端口的状态信息；</w:t>
            </w:r>
          </w:p>
          <w:p w14:paraId="50ACF63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3、当有电压信号输入时，对应通道的状态指示灯点亮；</w:t>
            </w:r>
          </w:p>
          <w:p w14:paraId="730AE05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4、设备功耗＜5W；</w:t>
            </w:r>
          </w:p>
          <w:p w14:paraId="57D4F539">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5、工作温度－10℃～70℃。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87A6">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0061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A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AA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RFID读写器天线</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021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53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334CD6C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1、频率范围：920MHz～925MHz；</w:t>
            </w:r>
          </w:p>
          <w:p w14:paraId="5578930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2、增益：≥8dBi；</w:t>
            </w:r>
          </w:p>
          <w:p w14:paraId="0905857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3、输入阻抗：50Ω；</w:t>
            </w:r>
          </w:p>
          <w:p w14:paraId="144D950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4、驻波比：≤1.3；</w:t>
            </w:r>
          </w:p>
          <w:p w14:paraId="0EEDAF53">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5、防护等级：IP66及以上。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E38A">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3224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5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5C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RFID读写器射频主机</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9B3B">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77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2122712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1、支持公安部制定的非机动车电子标识相关标准；</w:t>
            </w:r>
          </w:p>
          <w:p w14:paraId="7BAFC8C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2、内含安全模块，采用SM7加密技术实现双向认证和加、解密功能；</w:t>
            </w:r>
          </w:p>
          <w:p w14:paraId="1B08465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3、射频频率：920-925Mhz；</w:t>
            </w:r>
          </w:p>
          <w:p w14:paraId="76B2AA9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4、通讯接口：≥1个RS-485接口, ≥1个RJ45 10M/100M自适应以太网口；</w:t>
            </w:r>
          </w:p>
          <w:p w14:paraId="15DAECE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5、支持接入≥4个天线。</w:t>
            </w:r>
          </w:p>
          <w:p w14:paraId="6BFCE08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6、单台主机具备16T的SATA接口硬盘；</w:t>
            </w:r>
          </w:p>
          <w:p w14:paraId="3D8287A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7、处理芯片：≥4核处理器，主频≥1.2GHz；</w:t>
            </w:r>
          </w:p>
          <w:p w14:paraId="3031341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8、内存≥8G；</w:t>
            </w:r>
          </w:p>
          <w:p w14:paraId="57C1EBB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9、校时功能：NTP校时；</w:t>
            </w:r>
          </w:p>
          <w:p w14:paraId="5626D27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10、定位系统：具备单北斗定位模块；</w:t>
            </w:r>
          </w:p>
          <w:p w14:paraId="4AEA123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11、支持机动车、非机动车数据融合，支持非机动车前后拍合成图片传输至深圳交警平台；</w:t>
            </w:r>
          </w:p>
          <w:p w14:paraId="493087E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12、数据上传能力≥8线程；</w:t>
            </w:r>
          </w:p>
          <w:p w14:paraId="355E7213">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13、支持违法视频上传。</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BA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p>
        </w:tc>
      </w:tr>
      <w:tr w14:paraId="77C0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3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7ED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RFID一体化抓拍摄像机</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FD7A">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24A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FBBCAC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1、分辨率：≥4096*3064；</w:t>
            </w:r>
          </w:p>
          <w:p w14:paraId="10E2853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2、外部接口：≥1个RJ45接口，≥2个RS485接口，≥1个RS232接口，≥4个TTL电平接口，≥7个IO输出接口；</w:t>
            </w:r>
          </w:p>
          <w:p w14:paraId="34438F5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3、定位系统：具备单北斗定位系统功能；</w:t>
            </w:r>
          </w:p>
          <w:p w14:paraId="26D4491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4、最低照度：彩色≤0.002lx；</w:t>
            </w:r>
          </w:p>
          <w:p w14:paraId="7697260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5、校时功能：支持NTP校时；</w:t>
            </w:r>
          </w:p>
          <w:p w14:paraId="3A4FF22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6、帧率≥25fps，可调；</w:t>
            </w:r>
          </w:p>
          <w:p w14:paraId="391EAD8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7、射频工作频段：可调920MHz～925MHz，定频、跳频可配置；</w:t>
            </w:r>
          </w:p>
          <w:p w14:paraId="175E0C1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8、天线接口：≥ 4路MMCX天线接口；</w:t>
            </w:r>
          </w:p>
          <w:p w14:paraId="2D6E99F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9、可实现非机动车占用机动车道、不戴头盔、非机动车逆向行驶、非机动车不按照交通信号规定通行等功能的抓拍；同时支持机动车车牌识别和闯禁行、闯红灯违法抓拍；</w:t>
            </w:r>
          </w:p>
          <w:p w14:paraId="3E8F81A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10、红绿灯信号检测方式支持：红绿灯检测器，视频检测；</w:t>
            </w:r>
          </w:p>
          <w:p w14:paraId="286BCBF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11、防护等级：IP66；</w:t>
            </w:r>
          </w:p>
          <w:p w14:paraId="4E4E390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12、设备通过射频单元识读电子车牌中的信息，识读正确率100%；</w:t>
            </w:r>
          </w:p>
          <w:p w14:paraId="538554C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13、支持视频流、过车图片、违法图片的叠加字符可独立配置；</w:t>
            </w:r>
          </w:p>
          <w:p w14:paraId="22974EF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14、设备在支持识别输出民用车辆车牌、新能源车牌的基础上，同时支持识别并输出回传港澳三地车牌，另外，针对双牌车辆，能够同时识别并输出粤Z车牌和港澳车牌；并支持对港澳车辆的违法抓拍。</w:t>
            </w:r>
          </w:p>
          <w:p w14:paraId="5D099FDC">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15、必须提供该投标品牌公安部检测单位官网（http://www.tmri.cn）的查询截图</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F9AE">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494A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B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8C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高清视频电子警察前端摄像头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（一体化900万或以上高清摄像机与电子警察补光灯同品牌配套）</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EF1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101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501B9CF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1、传感器：≥1英寸的全局曝光CMOS；</w:t>
            </w:r>
          </w:p>
          <w:p w14:paraId="70BD30E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2、分辨率支持4096H×2160V与2160H×4096V画面切换；</w:t>
            </w:r>
          </w:p>
          <w:p w14:paraId="0D0BA23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3、最低照度：彩色≤0.004lx，黑白≤0.002l；</w:t>
            </w:r>
          </w:p>
          <w:p w14:paraId="4D6A789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4、镜头接口：C接口；</w:t>
            </w:r>
          </w:p>
          <w:p w14:paraId="26BC2B4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5、曝光控制：快门速度1/25秒至1/100,000秒；</w:t>
            </w:r>
          </w:p>
          <w:p w14:paraId="681F6BF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6、支持曝光补偿；</w:t>
            </w:r>
          </w:p>
          <w:p w14:paraId="1AE7548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7、帧率≥25fps，可调；</w:t>
            </w:r>
          </w:p>
          <w:p w14:paraId="397F048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8、抓拍触发方式：支持纯视频触发；</w:t>
            </w:r>
          </w:p>
          <w:p w14:paraId="1320718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9、校时功能：NTP校时；</w:t>
            </w:r>
          </w:p>
          <w:p w14:paraId="1D3565A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10、定位系统：具备单北斗定位模块；</w:t>
            </w:r>
          </w:p>
          <w:p w14:paraId="235F43D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11、设备对车辆车牌白天识别准确率≥99%，晚上识别准确率≥97%，设备对车辆车牌捕获率≥99%；</w:t>
            </w:r>
          </w:p>
          <w:p w14:paraId="294121F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12、设备在支持识别输出民用车辆车牌、新能源车牌的基础上，同时支持识别并输出回传港澳三地车牌，另外，针对双牌车辆，能够同时识别并输出粤Z车牌和港澳车牌；并支持对港澳车辆的违法抓拍；</w:t>
            </w:r>
          </w:p>
          <w:p w14:paraId="3324C19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13、设备支持识别普通摩托车号牌、警用摩托车号牌，支持摩托车闯红灯、不按导向、闯禁令等违法行为抓拍；</w:t>
            </w:r>
          </w:p>
          <w:p w14:paraId="1B961B7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14、设备必须具备支持闯红灯、压线(包括实线、单黄线、双黄线）、逆行、斑马线不礼让行人、占用应急车道、黄网格违停等违章检测，支持禁左、禁右、禁止掉头违章抓拍；</w:t>
            </w:r>
          </w:p>
          <w:p w14:paraId="5053511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15、设备支持非机动车不戴头盔，载人，逆行，闯红灯等检测抓拍；</w:t>
            </w:r>
          </w:p>
          <w:p w14:paraId="6F66E0A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16、镜头类型 根据场景可选择12mm、16mm、25mm等规格镜头；</w:t>
            </w:r>
          </w:p>
          <w:p w14:paraId="5E807F4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17、防护罩应可满足室外全天候工作要求，防护等级IP66以上；</w:t>
            </w:r>
          </w:p>
          <w:p w14:paraId="3523D79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18、支持视频流、过车图片、违法图片的叠加字符可独立配置。</w:t>
            </w:r>
          </w:p>
          <w:p w14:paraId="1C6E8B2C">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19、必须提供该投标品牌公安部检测单位官网（http://www.tmri.cn）的查询截图</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FA47">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69CF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5"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C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4B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监控摄像机：高清网络一体化系统（网络高清球型摄像机低空监控）（40倍以上，800万像素）</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1C3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CE1E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29BE4F9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1、图像传感器为1/1.8”CMOS图像传感器；</w:t>
            </w:r>
          </w:p>
          <w:p w14:paraId="37DFD73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2、有效像素≥800万；</w:t>
            </w:r>
          </w:p>
          <w:p w14:paraId="7606A78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3、分辨率≥3840(H)×2160(V)；</w:t>
            </w:r>
          </w:p>
          <w:p w14:paraId="1620B44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4、帧率≥25fps（全分辨率）；</w:t>
            </w:r>
          </w:p>
          <w:p w14:paraId="013B785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5、光学变焦≥40倍；</w:t>
            </w:r>
          </w:p>
          <w:p w14:paraId="6B1B342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6、焦距最小焦距≤7mm，最大焦距≥180mm；</w:t>
            </w:r>
          </w:p>
          <w:p w14:paraId="6C62FB0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7、信噪比≥50dB；</w:t>
            </w:r>
          </w:p>
          <w:p w14:paraId="0F139A7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8、最低照度0.005Lux（彩色）；</w:t>
            </w:r>
          </w:p>
          <w:p w14:paraId="40BD65C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9、旋转范围水平：0° ～360°连续旋转 ，垂直：-20° -90°，手动控制速度；水平：0.1° ～400°/秒 ，垂直：0.1° ～150°/秒；</w:t>
            </w:r>
          </w:p>
          <w:p w14:paraId="1357D92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10、编码格式：支持视频编码格式设置为H.265、H.264、MMJPEG；音频编码支持G.711ulaw、G.711alaw、G.726、G.722.1、G.729、G.723、AAC及PCM；</w:t>
            </w:r>
          </w:p>
          <w:p w14:paraId="53C3082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11、接口：具有2路报警输入接口，2路报警输出接口，支持1路音频输入和输出接口；</w:t>
            </w:r>
          </w:p>
          <w:p w14:paraId="1BD2F7A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功能模块：具有透雾、电子防抖、强光抑制、宽动态功能、远程控制、云台复位、断电记功能；具有国标GB28181字符叠加模式；设备支持300个预置位，可按照所设置的预置位完成不小于8条巡航路径，每条巡航路径可设置不小于32个预置点；</w:t>
            </w:r>
          </w:p>
          <w:p w14:paraId="0E8CD52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13、网络功能 内置RJ45网口，支持10M/100M网络数据； 支持NTP校时；</w:t>
            </w:r>
          </w:p>
          <w:p w14:paraId="34C11C2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14、协议：支持GB/T28181协议，支持GB35114 A级标准；</w:t>
            </w:r>
          </w:p>
          <w:p w14:paraId="166B3E8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15、定位模块 具有单北斗卫星定位模块；</w:t>
            </w:r>
          </w:p>
          <w:p w14:paraId="2377FB3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16、工作温度：-40℃～+70℃；湿度小于95%；</w:t>
            </w:r>
          </w:p>
          <w:p w14:paraId="20C0CA9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17、防护等级 防水性能须达IP66；6KV防浪涌，符合GB/T17626.5 四级标准；</w:t>
            </w:r>
          </w:p>
          <w:p w14:paraId="5716267A">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18、具备较好的环境适应性，电压在AC24V±20%范围内变化时，设备可正常工作；</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1A26">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32C5B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0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01D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三目球机</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C3D3">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AB8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72C3B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1、图像传感器：≥3个1/1.8”CMOS图像传感器；</w:t>
            </w:r>
          </w:p>
          <w:p w14:paraId="15C9B21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2、设备内置≥3个变焦镜头,单镜头的抓拍图像分辨率均不低于2560×1440；帧率≥25fps全分辨率；</w:t>
            </w:r>
          </w:p>
          <w:p w14:paraId="3AB1BC8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3、最低照度≤0.001Lux彩色，0.0001Lux黑白；</w:t>
            </w:r>
          </w:p>
          <w:p w14:paraId="1940946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4、镜头焦距：全景1：5.4mm~135mm 全景2：5.4mm~135mm 细节： 5.5mm~220mm；全景1相机支持25倍光学变焦，全景2相机支持25倍光学变焦，细节相机支持40倍光学变焦；</w:t>
            </w:r>
          </w:p>
          <w:p w14:paraId="4A3F5A3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5、校时功能：支持NTP校时；</w:t>
            </w:r>
          </w:p>
          <w:p w14:paraId="21B6AF7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6、定位系统：具备单北斗定位系统功能；</w:t>
            </w:r>
          </w:p>
          <w:p w14:paraId="4A73B24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7、设备在支持识别输出民用车辆车牌、新能源车牌的基础上，同时支持识别并抓拍回传港澳三地车牌，另外，针对双牌车辆，能够同时识别并输出粤Z车牌和港澳车牌；并支持对港澳车辆的违法抓拍；</w:t>
            </w:r>
          </w:p>
          <w:p w14:paraId="4493BC6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8、设备支持违停、逆行、压线、变道、机占非、掉头等违章抓拍并输出；</w:t>
            </w:r>
          </w:p>
          <w:p w14:paraId="498CA8B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9、设备支持抛洒物检测、行人检测、拥堵检测、路障检测、施工检测等交通事件检测；</w:t>
            </w:r>
          </w:p>
          <w:p w14:paraId="695C8E4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10、防护等级：IP67；</w:t>
            </w:r>
          </w:p>
          <w:p w14:paraId="4BE6CF4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11、内置Micro SD卡插槽，配备≥256G内存卡。</w:t>
            </w:r>
          </w:p>
          <w:p w14:paraId="2043F89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12、必须提供该投标品牌公安部检测单位官网（http://www.tmri.cn）的查询截图</w:t>
            </w:r>
          </w:p>
          <w:p w14:paraId="423AA483">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13、协议：支持GB/T28181协议，支持GB35114 A级标准；</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5F20">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106B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C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6E6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监控摄像机：高清网络一体化系统（网络高清云台摄像机低空监控）（40倍以上,400万像素）</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049A">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BD7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2BD9C28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1、图像传感器为1/1.8”CMOS图像传感器；</w:t>
            </w:r>
          </w:p>
          <w:p w14:paraId="505C0BA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2、有效像素≥400万；</w:t>
            </w:r>
          </w:p>
          <w:p w14:paraId="5453F14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3、分辨率≥2560(H)×1440(V)；</w:t>
            </w:r>
          </w:p>
          <w:p w14:paraId="080BAAB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4、帧率≥25fps（全分辨率）；</w:t>
            </w:r>
          </w:p>
          <w:p w14:paraId="53CF90E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5、光学变焦≥40倍；</w:t>
            </w:r>
          </w:p>
          <w:p w14:paraId="5612F94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6、焦距最小焦距≤7mm，最大焦距≥180mm；</w:t>
            </w:r>
          </w:p>
          <w:p w14:paraId="68E7AE9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7、信噪比≥50dB；</w:t>
            </w:r>
          </w:p>
          <w:p w14:paraId="7B52A12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8、最低照度≤0.005Lux（彩色）；</w:t>
            </w:r>
          </w:p>
          <w:p w14:paraId="5AF7CF8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9、旋转范围水平：0° ～360°连续旋转，垂直方向+20°～-90°；手动控制速度水平为0.1°～100°/s,垂直速度为0.1°～40°/s；</w:t>
            </w:r>
          </w:p>
          <w:p w14:paraId="269CFA6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10、编码格式：具有视频编码格式设置为H.265、H.264、MJPEG；</w:t>
            </w:r>
          </w:p>
          <w:p w14:paraId="1287723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11、接口：具有2路报警输入接口，2路报警输出接口，支持1路音频输入和输出接口；</w:t>
            </w:r>
          </w:p>
          <w:p w14:paraId="3079788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功能模块：具有透雾、电子防抖、强光抑制、宽动态功能、远程控制、云台复位、断电记功能；具有国标GB28181字符叠加模式；设备支持300个预置位，可按照所设置的预置位完成不小于8条巡航路径，每条巡航路径可设置不小于32个预置点；</w:t>
            </w:r>
          </w:p>
          <w:p w14:paraId="58DDCA9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13、网络功能：内置RJ45网口，具有10M/100M网络数据；具有NTP校时功能；</w:t>
            </w:r>
          </w:p>
          <w:p w14:paraId="23BB384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14、协议：支持GB/T28181协议，支持GB35114 A级标准；</w:t>
            </w:r>
          </w:p>
          <w:p w14:paraId="252D2C4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15、定位模块：具有单北斗卫星定位模块；</w:t>
            </w:r>
          </w:p>
          <w:p w14:paraId="256C8CD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16、工作温度：-40℃～+70℃；湿度小于95%；</w:t>
            </w:r>
          </w:p>
          <w:p w14:paraId="0694716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17、防水性能须达IP66；6KV防浪涌；</w:t>
            </w:r>
          </w:p>
          <w:p w14:paraId="7E10B57D">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18、具备较好的环境适应性，电压在AC24V±20%范围内变化时，设备可正常工作；</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8B9A">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3248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9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81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高空瞭望一体化云台摄像机</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FEBC">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7B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7B5D210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1、图像传感器为1/1.8”CMOS图像传感器；</w:t>
            </w:r>
          </w:p>
          <w:p w14:paraId="1E27018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2、有效像素≥200万；</w:t>
            </w:r>
          </w:p>
          <w:p w14:paraId="2743BEC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3、分辨率≥1920(H)×1080(V)；</w:t>
            </w:r>
          </w:p>
          <w:p w14:paraId="0BB4527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4、帧率≥25fps（全分辨率）；</w:t>
            </w:r>
          </w:p>
          <w:p w14:paraId="3F4F7B8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5、光学变焦≥60倍；</w:t>
            </w:r>
          </w:p>
          <w:p w14:paraId="03D8D4E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6、焦距最小焦距≤14mm，最大焦距≥700mm；</w:t>
            </w:r>
          </w:p>
          <w:p w14:paraId="69B33EB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7、信噪比≥50dB；</w:t>
            </w:r>
          </w:p>
          <w:p w14:paraId="0371A88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8、最低照度彩色：0.0003Lux（彩色）；</w:t>
            </w:r>
          </w:p>
          <w:p w14:paraId="3F6DE81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9、旋转范围支持水平、垂直手控速度不小于30°/S，云台定位精度为±0.1°，水平旋转范围为360°连续旋转，垂直旋转范围为﹢45°~-45°；</w:t>
            </w:r>
          </w:p>
          <w:p w14:paraId="3BAC2E2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10、编码格式：支持视频编码格式设置为H.264、MPEG-4、MJPEG；可将H.264格式设置为Baseline/Main/High Profile；</w:t>
            </w:r>
          </w:p>
          <w:p w14:paraId="0FC033A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11、接口：支持1个RJ45网络接口，1个BNC模拟视频输出接口，1个RS-485接口，支持2路报警输入接口、2路报警输出接口，支持预置位功能；</w:t>
            </w:r>
          </w:p>
          <w:p w14:paraId="3A82201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12、功能模块：具有透雾、电子防抖、强光抑制、宽动态功能、远程镜头、云台复位、断电记功能、支持帧率动态控制，当触发报警时视频录像帧率应自动调整至设定值；</w:t>
            </w:r>
          </w:p>
          <w:p w14:paraId="21E5AE2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13、支持自动跟踪、手动跟踪、混合跟踪功能，在辅视频图像中跟踪目标的灵敏度及时间可设；</w:t>
            </w:r>
          </w:p>
          <w:p w14:paraId="6109731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14、具有国标GB28181字符叠加模式；</w:t>
            </w:r>
          </w:p>
          <w:p w14:paraId="5655935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15、具有前端SD卡存储功能，标配256G SD卡；</w:t>
            </w:r>
          </w:p>
          <w:p w14:paraId="19A79C3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16、网络功能 支持100M/1000M自适应网络接口；</w:t>
            </w:r>
          </w:p>
          <w:p w14:paraId="37FF97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17、支持NTP校时；</w:t>
            </w:r>
          </w:p>
          <w:p w14:paraId="43B8846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18、协议：支持GB/T28181协议，支持GB35114 A级标准；</w:t>
            </w:r>
          </w:p>
          <w:p w14:paraId="1919413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19、定位模块 具有单北斗卫星定位模块；</w:t>
            </w:r>
          </w:p>
          <w:p w14:paraId="53AF8A4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20、环境温度、湿度 温度范围可达-30℃-80℃，湿度范围：10%～90%；</w:t>
            </w:r>
          </w:p>
          <w:p w14:paraId="604AF1E2">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21、防护等级 防水性能须达IP66；TVS 6000V防雷、防浪涌、防突波，符合GB/T17626.5 四级标准；</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B622">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4277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C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F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ONU设备</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19B8">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C6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DCB4AE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1.PON接口要求：1个，支持20/40KM，支持手拉手保护；</w:t>
            </w:r>
          </w:p>
          <w:p w14:paraId="4094B47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2.业务接口要求：支持不少于8个自适应千兆电口接口；需与全市交警交通监控网兼容接入纳入统一管理；</w:t>
            </w:r>
          </w:p>
          <w:p w14:paraId="0D78DAD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3.电源要求：支持直流/交流两种选配，直流 12V-48V，2A，交流 100~240 V，50/60 Hz，0.5 A；</w:t>
            </w:r>
          </w:p>
          <w:p w14:paraId="2DDE456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4.工作环境要求：工作环境支持温度范围-40℃～70℃，湿度范围5%～95%（非凝结），并提供产品彩页证明；</w:t>
            </w:r>
          </w:p>
          <w:p w14:paraId="4DC7752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5.防雷要求：电源模块、各业务接口需采用防雷设计，网口：共模6kV，差模1.5kV；直流电源口：共模4kV，差模2kV；交流电源口：共模6kV，差模6kV；</w:t>
            </w:r>
          </w:p>
          <w:p w14:paraId="024D327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6.复位开关要求：具有复位开关；</w:t>
            </w:r>
          </w:p>
          <w:p w14:paraId="76D4FEE4">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7.光链路诊断：支持光链路诊断功能。</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0C55">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05E4E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4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C4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诱导屏背包智能机箱（主材价，具有智能联网功能，含安装及调试）</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99FA">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C7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11974E8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1.箱体尺寸：360(深)*448(宽)*650(高)mm，材质采用优质不锈钢，分离式雨帽，颜色71B01，箱体内设置照明系统一套支持开门自动开启，支持抱杆式（包含五金及相关配件）</w:t>
            </w:r>
          </w:p>
          <w:p w14:paraId="538D922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2.外壳防护等级：IP55，盐雾测试≥96小时；</w:t>
            </w:r>
          </w:p>
          <w:p w14:paraId="4D83635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3.智能机箱支持接入深圳交警运维管理平台，支持平台获取告警、设备信息，远程管控升级等；支持温湿度监测；支持柜门、防雷器检测；支持电流、电压、电量检测；支持10/100M有线和4G无线传输模块；</w:t>
            </w:r>
          </w:p>
          <w:p w14:paraId="43C97DC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4.外部接口：1个交流75A输入；2个检修交流输出的五孔导轨插座；6路交流输出接线端子，1个RJ45接口；</w:t>
            </w:r>
          </w:p>
          <w:p w14:paraId="3380093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5.自动重合闸：最大工作电流100A，支持短路、过流、漏电、过压、欠压保护功能。</w:t>
            </w:r>
          </w:p>
          <w:p w14:paraId="48A2569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6.电源防雷支持放电电流20KA-40KA；最大额定功率: 2.5KW；</w:t>
            </w:r>
          </w:p>
          <w:p w14:paraId="5507ACF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7.支持远程开门、刷卡开门、磁卡可修改管理权限及开门上传告警，防止随意打开；</w:t>
            </w:r>
          </w:p>
          <w:p w14:paraId="7BA1EA9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8.具有3个直流风扇、支持风扇散热除尘功能；</w:t>
            </w:r>
          </w:p>
          <w:p w14:paraId="5B10AEE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9.具有智能电表，实现市电电压、电流、电量测量和远程抄表，自动计量消耗电量，并主动上报深圳交警运维管理平台信息；</w:t>
            </w:r>
          </w:p>
          <w:p w14:paraId="0A43A68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10.电子锁：支持远程开门、刷卡开门、磁卡可修改管理权限；</w:t>
            </w:r>
          </w:p>
          <w:p w14:paraId="2FD522D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11.工作温度：-40℃±2℃～+85℃±2℃；</w:t>
            </w:r>
          </w:p>
          <w:p w14:paraId="3517382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12.工作湿度：≤90%RH（无凝露）；</w:t>
            </w:r>
          </w:p>
          <w:p w14:paraId="2DB1CC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13.定位系统：采用北斗自动定位模块；</w:t>
            </w:r>
          </w:p>
          <w:p w14:paraId="343B28C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14.机箱有单独的用电管理界面和环境监控界面；用电管理界面能显示当前电流、电压，并能统计每个月的用电量；</w:t>
            </w:r>
          </w:p>
          <w:p w14:paraId="7875C6C9">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15.在无后备电源的情况下，可实现实时设备掉电主动告警至深圳交警运维管理平台；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8DB9">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784B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B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48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电子警察智能机箱（主材价，具有智能联网功能，含安装及调试）</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640C">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03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13199E3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1.箱体尺寸：360(深)*448(宽)*650(高)mm，材质采用优质不锈钢，分离式雨帽，颜色71B01，箱体内设置照明系统一套支持开门自动开启，支持抱杆、落地两用（包含五金及相关配件）</w:t>
            </w:r>
          </w:p>
          <w:p w14:paraId="0041D58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2.外壳防护等级：IP55，盐雾测试≥96小时；</w:t>
            </w:r>
          </w:p>
          <w:p w14:paraId="4F79B1A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3.智能机箱支持接入深圳交警运维管理平台，支持平台获取告警、设备信息，远程管控升级等；支持温湿度监测；支持柜门、防雷器检测；支持电压、电流、电量检测；支持10/100M有线和4G无线传输模块；</w:t>
            </w:r>
          </w:p>
          <w:p w14:paraId="6232B90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4.外部接口：1个交流63A输入；8个交流输出的五孔导轨插座；1个RJ45接口，1个RS485接口；</w:t>
            </w:r>
          </w:p>
          <w:p w14:paraId="38C2689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5.自动重合闸：最大工作电流100A，支持短路、过流、漏电、过压、欠压保护功能。</w:t>
            </w:r>
          </w:p>
          <w:p w14:paraId="5E42DE1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6.电源防雷支持放电电流20KA-40KA；最大额定功率: 2.5KW；</w:t>
            </w:r>
          </w:p>
          <w:p w14:paraId="04A0107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7.支持远程开门、刷卡开门、磁卡可修改管理权限及开门上传告警，防止随意打开；</w:t>
            </w:r>
          </w:p>
          <w:p w14:paraId="6EA9518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8.具有3个直流风扇、支持风扇散热除尘功能；</w:t>
            </w:r>
          </w:p>
          <w:p w14:paraId="74E757D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9.具有智能电表，实现市电电压、电流、电量测量和远程抄表，自动计量消耗电量，并主动上报深圳交警运维管理平台信息；</w:t>
            </w:r>
          </w:p>
          <w:p w14:paraId="59C1A91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10.电子锁：支持远程开门、刷卡开门、磁卡可修改管理权限；</w:t>
            </w:r>
          </w:p>
          <w:p w14:paraId="0C800F5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11.工作温度：-40℃±2℃～+85℃±2℃；</w:t>
            </w:r>
          </w:p>
          <w:p w14:paraId="29C82E9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12.工作湿度：≤90%RH（无凝露）；</w:t>
            </w:r>
          </w:p>
          <w:p w14:paraId="5D0DEE0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13.定位系统：采用北斗自动定位模块；</w:t>
            </w:r>
          </w:p>
          <w:p w14:paraId="0620D91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14.机箱有单独的用电管理界面和环境监控界面；用电管理界面能显示当前电流、电压，并能统计每个月的用电量；</w:t>
            </w:r>
          </w:p>
          <w:p w14:paraId="4FA26838">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15.在无后备电源的情况下，可实现实时设备掉电主动告警至深圳交警运维管理平台；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E13B">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2003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8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55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闭路电视背包智能机箱（主材价，具有智能联网功能，含安装及调试）</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BF1B">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E9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6BA31BD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1.箱体尺寸：300(深)*400(宽)*520(高)mm，材质采用优质不锈钢，分离式雨帽，颜色71B01，箱体内设置照明系统一套支持开门自动开启，支持抱杆、壁挂可选（包含五金及相关配件）</w:t>
            </w:r>
          </w:p>
          <w:p w14:paraId="44DD7FC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2.外壳防护等级：IP55，盐雾测试≥96小时；</w:t>
            </w:r>
          </w:p>
          <w:p w14:paraId="14F1074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3.智能机箱支持接入深圳交警运维管理平台，支持平台获取告警、设备信息，远程管控升级等；支持温湿度监测；支持柜门、防雷器检测；支持6路电压、电流、电能检测；支持10/100M有线和4G无线传输模块；</w:t>
            </w:r>
          </w:p>
          <w:p w14:paraId="1A242C6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4.外部接口：1个交流32A输入；3个交流输出的五孔导轨插座；4路交流输出接线端子，1个RJ45接口，1个RS485接口；</w:t>
            </w:r>
          </w:p>
          <w:p w14:paraId="741163F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5.自动重合闸：最大工作电流63A，支持短路、过流、漏电、过压、欠压保护功能。</w:t>
            </w:r>
          </w:p>
          <w:p w14:paraId="07F8388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6.电源防雷支持放电电流20KA-40KA；最大额定功率: 2.5KW；</w:t>
            </w:r>
          </w:p>
          <w:p w14:paraId="1C8B6CD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7.支持远程开门、刷卡开门、磁卡可修改管理权限及开门上传告警，防止随意打开；</w:t>
            </w:r>
          </w:p>
          <w:p w14:paraId="5304765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8.具有3个直流风扇、支持风扇散热除尘功能；</w:t>
            </w:r>
          </w:p>
          <w:p w14:paraId="4C3E6A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9.具有智能电表，实现市电电压、电流、电量测量和远程抄表，自动计量消耗电量，并主动上报深圳交警运维管理平台信息；</w:t>
            </w:r>
          </w:p>
          <w:p w14:paraId="7A3F240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10.电子锁：支持远程开门、刷卡开门、磁卡可修改管理权限；</w:t>
            </w:r>
          </w:p>
          <w:p w14:paraId="3F93E93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11.工作温度：-40℃±2℃～+85℃±2℃；</w:t>
            </w:r>
          </w:p>
          <w:p w14:paraId="4FC27EE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12.工作湿度：≤90%RH（无凝露）；</w:t>
            </w:r>
          </w:p>
          <w:p w14:paraId="1C64851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13.定位系统：采用北斗自动定位模块；</w:t>
            </w:r>
          </w:p>
          <w:p w14:paraId="1782467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14.机箱有单独的用电管理界面和环境监控界面；用电管理界面能显示当前电流、电压，并能统计每个月的用电量；</w:t>
            </w:r>
          </w:p>
          <w:p w14:paraId="41614B80">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15.在无后备电源的情况下，可实现实时设备掉电主动告警至深圳交警运维管理平台；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7BE5">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40FF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5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70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车牌识别落地智能机箱（主材价，具有智能联网功能，含安装及调试）</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D61E">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24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940FC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1.箱体尺寸：360(深)*448(宽)*1250(高)mm，材质采用优质不锈钢，分离式雨帽，颜色71B01，箱体内设置照明系统一套支持开门自动开启，支持落地式（包含五金及相关配件）</w:t>
            </w:r>
          </w:p>
          <w:p w14:paraId="3440ED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2.外壳防护等级：IP55，盐雾测试≥96小时；</w:t>
            </w:r>
          </w:p>
          <w:p w14:paraId="33041A4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3.智能机箱支持接入深圳交警运维管理平台，支持平台获取告警、设备信息，远程管控升级等；支持温湿度监测；支持柜门、防雷器检测；支持6路电压、电流、电能检测；支持10/100M有线和4G无线传输模块；</w:t>
            </w:r>
          </w:p>
          <w:p w14:paraId="066EE1C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4.外部接口：1个交流63A输入；8个交流输出的五孔导轨插座；1个RJ45接口，1个RS485接口，1个发电机口；</w:t>
            </w:r>
          </w:p>
          <w:p w14:paraId="0F3E69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5.自动重合闸：最大工作电流100A，支持短路、过流、漏电、过压、欠压保护功能。</w:t>
            </w:r>
          </w:p>
          <w:p w14:paraId="1C37F3E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6.电源防雷支持放电电流20KA-40KA；最大额定功率: 2.5KW；</w:t>
            </w:r>
          </w:p>
          <w:p w14:paraId="083670F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7.支持远程开门、刷卡开门、磁卡可修改管理权限及开门上传告警，防止随意打开；</w:t>
            </w:r>
          </w:p>
          <w:p w14:paraId="4A24EA9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8.具有3个直流风扇、支持风扇散热除尘功能；</w:t>
            </w:r>
          </w:p>
          <w:p w14:paraId="01F98FA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9.具有智能电表，实现市电电压、电流、电量测量和远程抄表，自动计量消耗电量，并主动上报深圳交警运维管理平台信息；</w:t>
            </w:r>
          </w:p>
          <w:p w14:paraId="797B246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10.电子锁：支持远程开门、刷卡开门、磁卡可修改管理权限；</w:t>
            </w:r>
          </w:p>
          <w:p w14:paraId="67B638E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11.工作温度：-40℃±2℃～+85℃±2℃；</w:t>
            </w:r>
          </w:p>
          <w:p w14:paraId="15E9868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12.工作湿度：≤90%RH（无凝露）；</w:t>
            </w:r>
          </w:p>
          <w:p w14:paraId="7B6D860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13.定位系统：采用北斗自动定位模块；</w:t>
            </w:r>
          </w:p>
          <w:p w14:paraId="2AA3E6A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14.机箱有单独的用电管理界面和环境监控界面；用电管理界面能显示当前电流、电压，并能统计每个月的用电量；</w:t>
            </w:r>
          </w:p>
          <w:p w14:paraId="73972AE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15.在无后备电源的情况下，可实现实时设备掉电主动告警至深圳交警运维管理平台；</w:t>
            </w:r>
          </w:p>
          <w:p w14:paraId="502CBDDC">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84C4">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1F76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D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7C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两相智能配电机箱（主材价，具有智能联网功能，含安装及调试）</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66F1">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09E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5EE75A9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1.箱体尺寸：370(深)*470(宽)*800(高)mm，材质采用优质不锈钢，分离式雨帽，颜色71B01，箱体内设置照明系统一套支持开门自动开启，支持落地式（包含五金及相关配件）</w:t>
            </w:r>
          </w:p>
          <w:p w14:paraId="44EE8B7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2.外壳防护等级：IP55，盐雾测试≥96小时；</w:t>
            </w:r>
          </w:p>
          <w:p w14:paraId="6607BA7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3.智能机箱支持接入深圳交警运维管理平台，支持平台获取告警、设备信息，远程管控升级等；支持温湿度监测；支持柜门、防雷器检测；支持电压、电流、电量检测；支持10/100M有线和4G无线传输模块；</w:t>
            </w:r>
          </w:p>
          <w:p w14:paraId="53DD07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4.外部接口：1个交流250A输入；3路交流输出（100A）；4个63A空开;一个发电机口63A;1个RJ45接口，1个RS485接口，1个发电机口；</w:t>
            </w:r>
          </w:p>
          <w:p w14:paraId="6FE7F69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5.可通过远程管理交流输出开关，实现对3路交流输出单独控制开启或关闭；</w:t>
            </w:r>
          </w:p>
          <w:p w14:paraId="14446DA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6.电源防雷支持放电电流20KA-40KA；最大额定功率: 2.5KW；</w:t>
            </w:r>
          </w:p>
          <w:p w14:paraId="4976D71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7.支持远程开门、刷卡开门、磁卡可修改管理权限及开门上传告警，防止随意打开；</w:t>
            </w:r>
          </w:p>
          <w:p w14:paraId="5F9722B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8.具有3个直流风扇、支持风扇散热除尘功能；</w:t>
            </w:r>
          </w:p>
          <w:p w14:paraId="7DFD147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9.具有智能电表，实现市电电压、电流、电量测量和远程抄表，自动计量消耗电量，并主动上报深圳交警运维管理平台信息；</w:t>
            </w:r>
          </w:p>
          <w:p w14:paraId="4C3FF9A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10.电子锁：支持远程开门、刷卡开门、磁卡可修改管理权限；</w:t>
            </w:r>
          </w:p>
          <w:p w14:paraId="4CEA2E2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11.工作温度：-40℃±2℃～+85℃±2℃；</w:t>
            </w:r>
          </w:p>
          <w:p w14:paraId="486D035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12.工作湿度：≤90%RH（无凝露）；</w:t>
            </w:r>
          </w:p>
          <w:p w14:paraId="3E32702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13.定位系统：采用北斗自动定位模块；</w:t>
            </w:r>
          </w:p>
          <w:p w14:paraId="3698F39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14.机箱有单独的用电管理界面和环境监控界面；用电管理界面能显示当前电流、电压，并能统计每个月的用电量；</w:t>
            </w:r>
          </w:p>
          <w:p w14:paraId="25EB6169">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15.在无后备电源的情况下，可实现实时设备掉电主动告警至深圳交警运维管理平台；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DE67">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73BA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4"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6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12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三相智能配电机箱（主材价，具有智能联网功能，含安装及调试）</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490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C5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314BC01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1.箱体尺寸：450(深)*600(宽)*1250(高)mm，材质采用优质不锈钢，分离式雨帽，颜色71B01，箱体内设置照明系统一套支持开门自动开启，支持落地式（包含五金及相关配件）</w:t>
            </w:r>
          </w:p>
          <w:p w14:paraId="5226403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2.外壳防护等级：IP55，盐雾测试≥96小时；</w:t>
            </w:r>
          </w:p>
          <w:p w14:paraId="2C98438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3.智能机箱支持接入深圳交警运维管理平台，支持平台获取告警、设备信息，远程管控升级等；支持温湿度监测；支持柜门、防雷器检测；支持6路电压、电流、电能检测；支持10/100M有线和4G无线传输模块；</w:t>
            </w:r>
          </w:p>
          <w:p w14:paraId="2FBF936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4.外部接口：1个交流250A输入；4个交流输出100A；4个63A空开，1个发电机接口63A;1个RJ45接口，1个RS485接口，1个发电机口；</w:t>
            </w:r>
          </w:p>
          <w:p w14:paraId="0432580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5.可通过远程管理交流输出开关，实现对4路交流输出单独控制开启或关闭；</w:t>
            </w:r>
          </w:p>
          <w:p w14:paraId="32F290F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6.电源防雷支持放电电流20KA-40KA；最大额定功率: 2.5KW；</w:t>
            </w:r>
          </w:p>
          <w:p w14:paraId="5BFBF33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7.支持远程开门、刷卡开门、磁卡可修改管理权限及开门上传告警，防止随意打开；</w:t>
            </w:r>
          </w:p>
          <w:p w14:paraId="1B00760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8.3个直流风扇、支持风扇散热除尘功能；</w:t>
            </w:r>
          </w:p>
          <w:p w14:paraId="30DD99F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9.具有智能电表，实现市电电压、电流、电量测量和远程抄表，自动计量消耗电量，并主动上报深圳交警运维管理平台信息；</w:t>
            </w:r>
          </w:p>
          <w:p w14:paraId="2F82D3B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10.电子锁：支持远程开门、刷卡开门、磁卡可修改管理权限；</w:t>
            </w:r>
          </w:p>
          <w:p w14:paraId="634A997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11.工作温度：-40℃±2℃～+85℃±2℃；</w:t>
            </w:r>
          </w:p>
          <w:p w14:paraId="205ECD7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12.工作湿度：≤90%RH（无凝露）；</w:t>
            </w:r>
          </w:p>
          <w:p w14:paraId="3A4E468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13.定位系统：采用北斗自动定位模块；</w:t>
            </w:r>
          </w:p>
          <w:p w14:paraId="7E5FC81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14.机箱有单独的用电管理界面和环境监控界面；用电管理界面能显示当前电流、电压，并能统计每个月的用电量；</w:t>
            </w:r>
          </w:p>
          <w:p w14:paraId="4E089A5B">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15.在无后备电源的情况下，可实现实时设备掉电主动告警至深圳交警运维管理平台；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DC7B">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4EAF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5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6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应急布控摄像机安装调试（含主材）</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BC4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E9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044948D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1、传感器：400W像素，1/1.8" CMOS</w:t>
            </w:r>
          </w:p>
          <w:p w14:paraId="0D97842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2、最小照度：彩色：0.05Lux @ (F1.6，AGC ON)，黑白：0.01Lux @(F1.6，AGC ON)</w:t>
            </w:r>
          </w:p>
          <w:p w14:paraId="29FB88C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3、焦距：4.5-135mm</w:t>
            </w:r>
          </w:p>
          <w:p w14:paraId="64D0AC1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4、电子快门：1/1秒 ~ 1/30,000秒</w:t>
            </w:r>
          </w:p>
          <w:p w14:paraId="2AA6B4A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5、变倍≥光学变倍37倍</w:t>
            </w:r>
          </w:p>
          <w:p w14:paraId="4C940FD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6、水平旋转角度：360°</w:t>
            </w:r>
          </w:p>
          <w:p w14:paraId="7C3FD8B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7、垂直旋转角度：-20°~90°</w:t>
            </w:r>
          </w:p>
          <w:p w14:paraId="3C94E2B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 xml:space="preserve">8、存储：具有TF卡存储，单卡最大支持256GB； </w:t>
            </w:r>
          </w:p>
          <w:p w14:paraId="649F7D0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9、支持自动彩转黑功能，实现昼夜监控；</w:t>
            </w:r>
          </w:p>
          <w:p w14:paraId="2510297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10、支持背光补偿功能；</w:t>
            </w:r>
          </w:p>
          <w:p w14:paraId="30B08FA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11、标配支持4G模块或5G模块；</w:t>
            </w:r>
          </w:p>
          <w:p w14:paraId="4ABFE81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15、支持MIC、扬声器，可选配支持LINE IN\LINE OUT；</w:t>
            </w:r>
          </w:p>
          <w:p w14:paraId="2781D66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16、车辆抓拍：支持；</w:t>
            </w:r>
          </w:p>
          <w:p w14:paraId="0FF24D1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17、车辆特征识别： 支持车型、车身颜色、车辆品牌、车辆子品牌识别；</w:t>
            </w:r>
          </w:p>
          <w:p w14:paraId="6453C00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18、区域入侵：支持，最大可支持4个区域；</w:t>
            </w:r>
          </w:p>
          <w:p w14:paraId="4E0EBAD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19、车辆黑名单：支持车辆黑名单布控；</w:t>
            </w:r>
          </w:p>
          <w:p w14:paraId="18E9D66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20、车牌识别：支持蓝牌、黄牌、新能源车牌等车牌类型识别；</w:t>
            </w:r>
          </w:p>
          <w:p w14:paraId="7705CB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21、违章类型：支持城市道路卡口、压线、逆行、机占非、占用专有车道、限行抓拍；</w:t>
            </w:r>
          </w:p>
          <w:p w14:paraId="305CE01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22、支持高速道路卡口、大车占道、压硬路肩抓拍；</w:t>
            </w:r>
          </w:p>
          <w:p w14:paraId="58127C1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23、工作温度：-10℃~55℃；</w:t>
            </w:r>
          </w:p>
          <w:p w14:paraId="59DD876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24、供电方式：电池供电;外接电源；</w:t>
            </w:r>
          </w:p>
          <w:p w14:paraId="6DFE9FC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25、工作湿度：＜95%；</w:t>
            </w:r>
          </w:p>
          <w:p w14:paraId="72ECF15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26、防护等级：IP67；</w:t>
            </w:r>
          </w:p>
          <w:p w14:paraId="3AA597C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27、状态显示屏： 支持当前电池电量、GPS状态、4G状态、录像状态、剩余存储时间、蓝牙状态、平台连接状态、WiFi状态；</w:t>
            </w:r>
          </w:p>
          <w:p w14:paraId="15B32D2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28、关机充电时间：＜4小时；</w:t>
            </w:r>
          </w:p>
          <w:p w14:paraId="00B65F0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29、电池类型：锂离子电池；</w:t>
            </w:r>
          </w:p>
          <w:p w14:paraId="4C5D2F4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30、录像续航时间：室温20℃，仅录像的续航时间为9小时；</w:t>
            </w:r>
          </w:p>
          <w:p w14:paraId="46718BE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31、电池容量≥10000mAh；</w:t>
            </w:r>
          </w:p>
          <w:p w14:paraId="14B76F92">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32、定位：具有单北斗定位；</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F918">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712C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B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9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窄波雷达</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DA3D">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ED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1EF79F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1、中心频率 24.15GHz</w:t>
            </w:r>
          </w:p>
          <w:p w14:paraId="490396B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2、检测距离：18-28m</w:t>
            </w:r>
          </w:p>
          <w:p w14:paraId="39E0705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3、测速范围 10km/h-250km/h</w:t>
            </w:r>
          </w:p>
          <w:p w14:paraId="6122263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4、测速误差：车速20km/h-180km/h，误差-0.5km/h-0km/h；车速180km/h-400km/h，误差-1km/h-0km/h</w:t>
            </w:r>
          </w:p>
          <w:p w14:paraId="0B7DCB1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5、温度范围 -40℃～70℃（工业级）</w:t>
            </w:r>
          </w:p>
          <w:p w14:paraId="63A0193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6、湿度范围 0-95%RH</w:t>
            </w:r>
          </w:p>
          <w:p w14:paraId="34ECD66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7、供电方式 12VDC</w:t>
            </w:r>
          </w:p>
          <w:p w14:paraId="0B1AE9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8、实际功耗 ≤2.5W</w:t>
            </w:r>
          </w:p>
          <w:p w14:paraId="3307FA8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9、通信接口 光电隔离的RS485串行数据接口，波特率为9600～115200bps可调</w:t>
            </w:r>
          </w:p>
          <w:p w14:paraId="4C7F538C">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10、防护等级 不低于IP66</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BA46">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7BF1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2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C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太阳能信号灯</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5395">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47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套</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35391D7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1、模块化快拆式设计，可根据使用场景灵活选择太阳能电池板和电池组；</w:t>
            </w:r>
          </w:p>
          <w:p w14:paraId="3FC9AA4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2、柱体四面可固定Φ300信号灯，信号灯发光单元采用交通专用管芯，其LED 色度坐标符合国标色品坐标范围，左右上下视角：30°；</w:t>
            </w:r>
          </w:p>
          <w:p w14:paraId="509BAB0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3、具备扩展连接人行信号灯，通过无线方式接入主控机进行统一调控的功能；</w:t>
            </w:r>
          </w:p>
          <w:p w14:paraId="720C9C9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4、主机结构框预留流量检测设备、监控设备、警示设备安装位置;</w:t>
            </w:r>
          </w:p>
          <w:p w14:paraId="128F713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5、具备实时监控充放电状态和内部各个设备工作状态，包括供电电流、电压、温湿度、剩余工作时长，支持交流供电，具备发电机电源接口；</w:t>
            </w:r>
          </w:p>
          <w:p w14:paraId="6F56383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6、支持主机舱安装密码锁,防止舱门被随意打开;</w:t>
            </w:r>
          </w:p>
          <w:p w14:paraId="0B6C115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7、具备灯盘亮灭状态检测和自动亮度调节、碰撞检测、移位检测功能;</w:t>
            </w:r>
          </w:p>
          <w:p w14:paraId="4224A05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8、支持接入深圳交警运维管理平台，支持平台获取灯芯故障、信号机倾斜、信号机被水浸、电池电量状态、太阳能板状态等状态信息；</w:t>
            </w:r>
          </w:p>
          <w:p w14:paraId="24E5B4D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9、外壳材质：冷镀锌板，厚度≥1.5mm，黄色喷塑支持定制颜色；</w:t>
            </w:r>
          </w:p>
          <w:p w14:paraId="72BDEEC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10、设备安装后最大净空高度：≥1900mm；</w:t>
            </w:r>
          </w:p>
          <w:p w14:paraId="3B336EB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11、工作电压：DC12V，额定功率：≤30W；</w:t>
            </w:r>
          </w:p>
          <w:p w14:paraId="7FC21F7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12、工作温度：-10℃～80℃；</w:t>
            </w:r>
          </w:p>
          <w:p w14:paraId="45F5625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13、外部接口：≥1个RJ45接口，1个RS485接口；</w:t>
            </w:r>
          </w:p>
          <w:p w14:paraId="054132A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14、定位系统：具备单北斗定位系统功能；</w:t>
            </w:r>
          </w:p>
          <w:p w14:paraId="4E3D53DE">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15、防护等级：≥IP54。</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8F71">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24F7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5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15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无线地磁车辆检测器</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EC12">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A4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lang w:val="en-US" w:eastAsia="zh-CN" w:bidi="ar"/>
              </w:rPr>
              <w:t>个</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09EDB94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1、无线频道：2.4GHz；</w:t>
            </w:r>
          </w:p>
          <w:p w14:paraId="5A28C4F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2、通道带宽：2MHz；</w:t>
            </w:r>
          </w:p>
          <w:p w14:paraId="0A27CC7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3、通道：16；</w:t>
            </w:r>
          </w:p>
          <w:p w14:paraId="104406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4、接收/传输速率：250kbps；</w:t>
            </w:r>
          </w:p>
          <w:p w14:paraId="5A54276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5、天线类型：块状微带天线；</w:t>
            </w:r>
          </w:p>
          <w:p w14:paraId="5F4E1C8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6、天线范围：120°（±60°）；</w:t>
            </w:r>
          </w:p>
          <w:p w14:paraId="111F086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7、接收灵敏度：-100dBm；</w:t>
            </w:r>
          </w:p>
          <w:p w14:paraId="053B7B1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8、检测模式：存在/通过；</w:t>
            </w:r>
          </w:p>
          <w:p w14:paraId="5D2A862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9、检测灵敏度：0～15级；</w:t>
            </w:r>
          </w:p>
          <w:p w14:paraId="0D6A6B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10、背景磁场范围：±6Gs；</w:t>
            </w:r>
          </w:p>
          <w:p w14:paraId="48B11FC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11、检测方式：地球磁场三轴检测, 临界值可调,背景磁场变动自动校准；</w:t>
            </w:r>
          </w:p>
          <w:p w14:paraId="57D7591B">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12、检测范围：0至3米可调；</w:t>
            </w:r>
          </w:p>
          <w:p w14:paraId="196991F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13、主频：25MHZ；</w:t>
            </w:r>
          </w:p>
          <w:p w14:paraId="1189DA3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14、闪存：128KB；</w:t>
            </w:r>
          </w:p>
          <w:p w14:paraId="0988BB1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15、随机存储器（RAM）：16KB；</w:t>
            </w:r>
          </w:p>
          <w:p w14:paraId="207D68B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16、唤醒时间：3.5μS；</w:t>
            </w:r>
          </w:p>
          <w:p w14:paraId="5396E22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17、流量准确率≥99%；</w:t>
            </w:r>
          </w:p>
          <w:p w14:paraId="779BE9D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18、速度准确率：≥98%；</w:t>
            </w:r>
          </w:p>
          <w:p w14:paraId="144F141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19、占有时间准确率：≥98%；</w:t>
            </w:r>
          </w:p>
          <w:p w14:paraId="1181C5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20、车头时距准确率：≥98%；</w:t>
            </w:r>
          </w:p>
          <w:p w14:paraId="5193F62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21、检测速度范围0～180km/h；</w:t>
            </w:r>
          </w:p>
          <w:p w14:paraId="7A1D74D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22、车速相对误差±2km/h；</w:t>
            </w:r>
          </w:p>
          <w:p w14:paraId="6BC8CD0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23、平均功耗小于 10dBm；</w:t>
            </w:r>
          </w:p>
          <w:p w14:paraId="419CC38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24、使用寿命：单车道日均流量2万次计算，持续工作时间5年；</w:t>
            </w:r>
          </w:p>
          <w:p w14:paraId="01BF8B1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25、电源：Li-SOCI2 3.6V电池，18Ah；</w:t>
            </w:r>
          </w:p>
          <w:p w14:paraId="2A3A655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26、防护等级：IP68；</w:t>
            </w:r>
          </w:p>
          <w:p w14:paraId="733ACD4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27、防护结构设计：双层壳体结构设计，双重抗冲击；</w:t>
            </w:r>
          </w:p>
          <w:p w14:paraId="330857C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28、防护密封工艺：双层超声波焊接密封，双层防水；</w:t>
            </w:r>
          </w:p>
          <w:p w14:paraId="75E8722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29、环境温度：-45±2℃～＋85±2℃；</w:t>
            </w:r>
          </w:p>
          <w:p w14:paraId="05F1E160">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30、湿度：≤95%非结露；</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DF86">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6695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F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C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无线车辆检测通信中继器</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AFEF">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A2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33A67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1、无线频道：2.4GHz；</w:t>
            </w:r>
          </w:p>
          <w:p w14:paraId="1D36F7E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2、通道带宽：2MHz；</w:t>
            </w:r>
          </w:p>
          <w:p w14:paraId="3C15B25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3、通道：16；</w:t>
            </w:r>
          </w:p>
          <w:p w14:paraId="0B68352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4、接收/传输速率：250kbps；</w:t>
            </w:r>
          </w:p>
          <w:p w14:paraId="764534F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5、天线类型：块状微带天线；</w:t>
            </w:r>
          </w:p>
          <w:p w14:paraId="09F3B61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6、天线范围：120°（±60°）；</w:t>
            </w:r>
          </w:p>
          <w:p w14:paraId="048BE94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7、接收灵敏度：-100dBm;</w:t>
            </w:r>
          </w:p>
          <w:p w14:paraId="480AF86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8、电源：Li-SOCI2 3.6V电池，太阳能供电；</w:t>
            </w:r>
          </w:p>
          <w:p w14:paraId="06D3641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9、电池使用时长：5年；</w:t>
            </w:r>
          </w:p>
          <w:p w14:paraId="20C0BB5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10、防护等级：IP67；</w:t>
            </w:r>
          </w:p>
          <w:p w14:paraId="22166FE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11、环境温度：-45±2℃～＋85±2℃；</w:t>
            </w:r>
          </w:p>
          <w:p w14:paraId="397816FE">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12、湿度：≤95%非结露。</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313C">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745E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9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AC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雷视磁检测器</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331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6C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1EF3323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1、流量检测精度：＞98%</w:t>
            </w:r>
          </w:p>
          <w:p w14:paraId="35D481D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2、车速检测范围：0 km/h - 250km/h</w:t>
            </w:r>
          </w:p>
          <w:p w14:paraId="11BCA62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3、车速检测误差：＞98%</w:t>
            </w:r>
          </w:p>
          <w:p w14:paraId="3182F88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4、车辆长度检测精度：＞90%</w:t>
            </w:r>
          </w:p>
          <w:p w14:paraId="3FFC0CD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5、排队长度检测精度：＞90%</w:t>
            </w:r>
          </w:p>
          <w:p w14:paraId="77421E3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6、区间车辆数检测精度：＞90%</w:t>
            </w:r>
          </w:p>
          <w:p w14:paraId="3FEFF5E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7、排队车辆数检测精度：＞90%</w:t>
            </w:r>
          </w:p>
          <w:p w14:paraId="41940A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8、头车距停止线距离检测精度：＞90%</w:t>
            </w:r>
          </w:p>
          <w:p w14:paraId="6161AED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9、纵向最大作用距离：260m</w:t>
            </w:r>
          </w:p>
          <w:p w14:paraId="1EE2FCA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10、横向检测范围：1-12个车道</w:t>
            </w:r>
          </w:p>
          <w:p w14:paraId="4D70D12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11、同时跟踪目标数：≤128</w:t>
            </w:r>
          </w:p>
          <w:p w14:paraId="66F1C82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12、摄像头分辨率：500W，星光级</w:t>
            </w:r>
          </w:p>
          <w:p w14:paraId="5DB7E75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13、焦距：16mm</w:t>
            </w:r>
          </w:p>
          <w:p w14:paraId="3647A41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14、视频同时监控车道数：≤8</w:t>
            </w:r>
          </w:p>
          <w:p w14:paraId="701B503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15、可识别低速及静态目标：≤256</w:t>
            </w:r>
          </w:p>
          <w:p w14:paraId="2D383F2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16、车型识别种类：≤6</w:t>
            </w:r>
          </w:p>
          <w:p w14:paraId="43226A2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17、供电方式：POE/12～24VDC</w:t>
            </w:r>
          </w:p>
          <w:p w14:paraId="5C339AC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18、整机平均功率：≤9W</w:t>
            </w:r>
          </w:p>
          <w:p w14:paraId="411DDD1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19、接口：IO开关量（需配合转换器）、RJ45网口、RS485（选配）、无线传输（选配）</w:t>
            </w:r>
          </w:p>
          <w:p w14:paraId="69E1C59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20、工作温度范围：-40℃ - +85℃</w:t>
            </w:r>
          </w:p>
          <w:p w14:paraId="569DF21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21、工作湿度范围：≤93%RH</w:t>
            </w:r>
          </w:p>
          <w:p w14:paraId="75823AB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22、外壳防护等级：IP65</w:t>
            </w:r>
          </w:p>
          <w:p w14:paraId="23EFAFF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23、尺寸：282mm×212mm×150mm（不含支架）</w:t>
            </w:r>
          </w:p>
          <w:p w14:paraId="19C05BF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24、电磁兼容性：符合GB/T 17618《信息技术设备抗扰度限值和测量方法》</w:t>
            </w:r>
          </w:p>
          <w:p w14:paraId="7DC42983">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25、工作寿命MTBF：≥100000h</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1691">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r w14:paraId="7F93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F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B8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数据处理器中心</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C633">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olor w:val="000000"/>
                <w:sz w:val="20"/>
                <w:szCs w:val="24"/>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09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lang w:val="en-US" w:eastAsia="zh-CN" w:bidi="ar"/>
              </w:rPr>
              <w:t>台</w:t>
            </w:r>
          </w:p>
        </w:tc>
        <w:tc>
          <w:tcPr>
            <w:tcW w:w="5120" w:type="dxa"/>
            <w:tcBorders>
              <w:top w:val="single" w:color="000000" w:sz="4" w:space="0"/>
              <w:left w:val="single" w:color="000000" w:sz="4" w:space="0"/>
              <w:bottom w:val="single" w:color="000000" w:sz="4" w:space="0"/>
              <w:right w:val="single" w:color="000000" w:sz="4" w:space="0"/>
            </w:tcBorders>
            <w:shd w:val="clear" w:color="auto" w:fill="auto"/>
            <w:vAlign w:val="top"/>
          </w:tcPr>
          <w:p w14:paraId="53ED319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1、周期流量准确率≥98%；</w:t>
            </w:r>
          </w:p>
          <w:p w14:paraId="50C104B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2、绿灯流量准确率≥98%；</w:t>
            </w:r>
          </w:p>
          <w:p w14:paraId="5AD4D7D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3、周期平均速度，相对误差±2km/h，检测速度范围 0～180km/h；</w:t>
            </w:r>
          </w:p>
          <w:p w14:paraId="08617FA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4、最大排队长度，准确率≥85%；</w:t>
            </w:r>
          </w:p>
          <w:p w14:paraId="5DD88FF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5、饱和流率（车道），准确率≥90%；</w:t>
            </w:r>
          </w:p>
          <w:p w14:paraId="3D267F5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6、实时饱和流率（车道），准确率≥90%；</w:t>
            </w:r>
          </w:p>
          <w:p w14:paraId="4DE9AFB3">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7、最大饱和流率（车道），准确率≥90%；</w:t>
            </w:r>
          </w:p>
          <w:p w14:paraId="6417704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8、绿灯损失时间（车道），准确率≥95%；</w:t>
            </w:r>
          </w:p>
          <w:p w14:paraId="12EDEBB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9、绿末损失时间（车道），准确率≥95%；</w:t>
            </w:r>
          </w:p>
          <w:p w14:paraId="41742A8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10、车头时距（车道），准确率≥95%；</w:t>
            </w:r>
          </w:p>
          <w:p w14:paraId="781DE44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11、饱和度（车道），准确率≥90%；</w:t>
            </w:r>
          </w:p>
          <w:p w14:paraId="0807A10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12、通行能力（车道），准确率≥90%；</w:t>
            </w:r>
          </w:p>
          <w:p w14:paraId="5EB241D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13、绿灯时长，相对误差±1秒；</w:t>
            </w:r>
          </w:p>
          <w:p w14:paraId="56FFEA2C">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14、有效绿灯时长，相对误差±1秒；</w:t>
            </w:r>
          </w:p>
          <w:p w14:paraId="394277D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15、周期时长，相对误差±1秒。</w:t>
            </w:r>
          </w:p>
          <w:p w14:paraId="5EA66B39">
            <w:pPr>
              <w:keepNext w:val="0"/>
              <w:keepLines w:val="0"/>
              <w:widowControl/>
              <w:suppressLineNumbers w:val="0"/>
              <w:spacing w:before="0" w:beforeLines="0" w:beforeAutospacing="0" w:after="0" w:afterLines="0" w:afterAutospacing="0"/>
              <w:ind w:left="0" w:right="0"/>
              <w:jc w:val="left"/>
              <w:rPr>
                <w:rFonts w:hint="eastAsia" w:ascii="宋体" w:hAnsi="宋体" w:eastAsia="宋体" w:cs="宋体"/>
                <w:i w:val="0"/>
                <w:iCs w:val="0"/>
                <w:color w:val="000000"/>
                <w:sz w:val="20"/>
                <w:szCs w:val="20"/>
                <w:u w:val="none"/>
              </w:rPr>
            </w:pPr>
            <w:r>
              <w:rPr>
                <w:rFonts w:hint="eastAsia" w:ascii="宋体" w:hAnsi="宋体"/>
                <w:color w:val="000000"/>
                <w:sz w:val="20"/>
                <w:szCs w:val="24"/>
              </w:rPr>
              <w:t>16、占有率，准确率≥95%。</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339F">
            <w:pPr>
              <w:keepNext w:val="0"/>
              <w:keepLines w:val="0"/>
              <w:widowControl/>
              <w:suppressLineNumbers w:val="0"/>
              <w:spacing w:before="0" w:beforeAutospacing="0" w:after="0" w:afterAutospacing="0"/>
              <w:ind w:left="0" w:right="0"/>
              <w:rPr>
                <w:rFonts w:hint="eastAsia" w:ascii="宋体" w:hAnsi="宋体" w:eastAsia="宋体" w:cs="宋体"/>
                <w:i w:val="0"/>
                <w:iCs w:val="0"/>
                <w:color w:val="000000"/>
                <w:sz w:val="20"/>
                <w:szCs w:val="20"/>
                <w:u w:val="none"/>
              </w:rPr>
            </w:pPr>
          </w:p>
        </w:tc>
      </w:tr>
    </w:tbl>
    <w:p w14:paraId="172B69F6">
      <w:pPr>
        <w:pStyle w:val="6"/>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Times New Roman" w:cs="Times New Roman"/>
          <w:lang w:val="en-US" w:eastAsia="zh-CN"/>
        </w:rPr>
      </w:pPr>
    </w:p>
    <w:p w14:paraId="551C13AA">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注:设备采购数量仅供参考，最终以实际采购量为准。</w:t>
      </w:r>
    </w:p>
    <w:p w14:paraId="3500BE8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lang w:val="en-US" w:eastAsia="zh-CN"/>
        </w:rPr>
      </w:pPr>
    </w:p>
    <w:p w14:paraId="20086D85">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rPr>
      </w:pPr>
      <w:bookmarkStart w:id="36" w:name="_Toc26199255"/>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管理</w:t>
      </w:r>
      <w:r>
        <w:rPr>
          <w:rFonts w:hint="eastAsia" w:ascii="宋体" w:hAnsi="宋体" w:eastAsia="宋体" w:cs="宋体"/>
          <w:b/>
          <w:color w:val="auto"/>
          <w:sz w:val="24"/>
          <w:szCs w:val="24"/>
        </w:rPr>
        <w:t>服务要求</w:t>
      </w:r>
      <w:bookmarkEnd w:id="36"/>
    </w:p>
    <w:p w14:paraId="734E4EBB">
      <w:pPr>
        <w:pStyle w:val="6"/>
        <w:keepNext w:val="0"/>
        <w:keepLines w:val="0"/>
        <w:pageBreakBefore w:val="0"/>
        <w:widowControl/>
        <w:numPr>
          <w:ilvl w:val="0"/>
          <w:numId w:val="3"/>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Times New Roman" w:cs="Times New Roman"/>
          <w:b/>
          <w:bCs/>
        </w:rPr>
      </w:pPr>
      <w:r>
        <w:rPr>
          <w:rFonts w:hint="eastAsia" w:ascii="Times New Roman" w:hAnsi="Times New Roman" w:eastAsia="Times New Roman" w:cs="Times New Roman"/>
          <w:b/>
          <w:bCs/>
        </w:rPr>
        <w:t>维护工作要求</w:t>
      </w:r>
    </w:p>
    <w:p w14:paraId="1F444EAC">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w:t>
      </w:r>
      <w:r>
        <w:rPr>
          <w:rFonts w:hint="eastAsia" w:eastAsia="宋体"/>
          <w:lang w:val="en-US" w:eastAsia="zh-CN"/>
        </w:rPr>
        <w:t xml:space="preserve">1 </w:t>
      </w:r>
      <w:r>
        <w:rPr>
          <w:rFonts w:hint="eastAsia"/>
        </w:rPr>
        <w:t>熟悉业务系统及工作流程</w:t>
      </w:r>
    </w:p>
    <w:p w14:paraId="4E6E222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（1）投标人须具备交通信号系统、电子警察、智能球机、车牌识别、视频监控、诱导屏等相关配套设施工程相关专业知识和经验；维护人员需熟悉高清平台、信息发布平台、视综平台、设备管理平台等系统；</w:t>
      </w:r>
    </w:p>
    <w:p w14:paraId="01E87F4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投标人须对交通信号系统、电子警察、智能球机、车牌识别、视频监控、诱导屏等相关设施系统整体架构、业务流程、内部处理流程熟悉；有外建交通信号系统、电子警察、智能球机、车牌识别、视频监控、诱导屏等设备接入时，投标人须按采购人要求做好相关工作。</w:t>
      </w:r>
    </w:p>
    <w:p w14:paraId="58BB642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Times New Roman" w:cs="Times New Roman"/>
          <w:lang w:val="en-US" w:eastAsia="zh-CN"/>
        </w:rPr>
        <w:t xml:space="preserve">1.2 </w:t>
      </w:r>
      <w:r>
        <w:rPr>
          <w:rFonts w:hint="eastAsia" w:ascii="Times New Roman" w:hAnsi="Times New Roman" w:eastAsia="Times New Roman" w:cs="Times New Roman"/>
        </w:rPr>
        <w:t>提供硬件技术支持服务</w:t>
      </w:r>
    </w:p>
    <w:p w14:paraId="2CDA761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（1）投标人须协助采购人组织协调涉及交通科技设施技术性问题的调研分析及专项改善工作，并按采购人要求提供调研分析及改善报告；</w:t>
      </w:r>
    </w:p>
    <w:p w14:paraId="370CF73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（2）投标人须协助采购人核实交通科技设施的漏洞情况、协助采购人对接相关厂家开发相应的补丁程序及测试设备厂商提供的补丁程序适配性等，并按采购人要求提供漏洞修复测试报告；</w:t>
      </w:r>
    </w:p>
    <w:p w14:paraId="1C9788D3">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（3）投标人须协助采购人开展新型设备的应用测试，并按采购人要求提供测试报告；</w:t>
      </w:r>
    </w:p>
    <w:p w14:paraId="1CBA39E3">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（4）投标人须解答采购人有关交通科技设施故障疑难问题的咨询。</w:t>
      </w:r>
    </w:p>
    <w:p w14:paraId="08AC408A">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Times New Roman" w:cs="Times New Roman"/>
          <w:lang w:val="en-US" w:eastAsia="zh-CN"/>
        </w:rPr>
        <w:t xml:space="preserve">1.3 </w:t>
      </w:r>
      <w:r>
        <w:rPr>
          <w:rFonts w:hint="eastAsia" w:ascii="Times New Roman" w:hAnsi="Times New Roman" w:eastAsia="Times New Roman" w:cs="Times New Roman"/>
        </w:rPr>
        <w:t>熟悉设备范围</w:t>
      </w:r>
    </w:p>
    <w:p w14:paraId="73CDF17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投标人在维护期内必须掌握全部交通监控设施（交通信号系统、电子警察、智能球机、车牌识别、视频监控、诱导屏等相关设备，含疏解及在建中设备）的数量、状况、取电位置及周围的环境。对采购人产权内（以采购人每月提供的清单为准）的所有设施的数量、完好以及安全状况负有全部责任，并承担设备、杆件及线路被盗、损坏的先行修复责任，有权向责任人追偿的权利。</w:t>
      </w:r>
    </w:p>
    <w:p w14:paraId="3DFFBC9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1.4 </w:t>
      </w:r>
      <w:r>
        <w:rPr>
          <w:rFonts w:hint="eastAsia" w:ascii="Times New Roman" w:hAnsi="Times New Roman" w:eastAsia="Times New Roman" w:cs="Times New Roman"/>
        </w:rPr>
        <w:t>落实安全责任</w:t>
      </w:r>
    </w:p>
    <w:p w14:paraId="7080934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投标人在日常保障、检修、维修，设施运输存放等全部合同约定的工作中须严格按照《中华人民共和国道路交通安全法》、《中华人民共和国公共安全行业标准》规定，安全生产文明施工，承担维护过程中的设备备品、备件、仪器、工具、车辆、通讯工具、工程材料、软件升级及人工的全部费用(包括前端设备、机房设备等)；应当承担由于全市交通监控设施维护工作中产生的所有安全责任，如设备、线缆漏电或设备、零件松动、脱落等（包括由不可抗力引起的设备、线缆的漏电、松动或脱落）引起的事故责任或在维护工作中涉及自身和第三方的人身和财产安全责任及由此发生的一切费用。</w:t>
      </w:r>
    </w:p>
    <w:p w14:paraId="2B3F7FE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在日常保障、检修、维修时作业人员必须穿着统一规范的工程作业服装和反光衣（服装不得体现采购人单位元素），并配带工作证，作业完毕后须做好清除障碍物和善后工作，完善道路相关交通设施及标志标线，按道路安全通行技术要求和标准恢复路面，并及时报告采购人。</w:t>
      </w:r>
    </w:p>
    <w:p w14:paraId="33E96D7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（3）安全防护要求：施工占道作业时，须按照《深圳市交通运输局占道施工公示牌设置技术指引（试行）》做好安全防护。</w:t>
      </w:r>
    </w:p>
    <w:p w14:paraId="3A924DB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1.</w:t>
      </w:r>
      <w:r>
        <w:rPr>
          <w:rFonts w:hint="eastAsia" w:ascii="Times New Roman" w:hAnsi="Times New Roman" w:eastAsia="Times New Roman" w:cs="Times New Roman"/>
        </w:rPr>
        <w:t>5</w:t>
      </w:r>
      <w:r>
        <w:rPr>
          <w:rFonts w:hint="eastAsia" w:ascii="Times New Roman" w:hAnsi="Times New Roman" w:eastAsia="宋体" w:cs="Times New Roman"/>
          <w:lang w:val="en-US" w:eastAsia="zh-CN"/>
        </w:rPr>
        <w:t xml:space="preserve"> </w:t>
      </w:r>
      <w:r>
        <w:rPr>
          <w:rFonts w:hint="eastAsia" w:ascii="Times New Roman" w:hAnsi="Times New Roman" w:eastAsia="Times New Roman" w:cs="Times New Roman"/>
        </w:rPr>
        <w:t>建立基本台帐</w:t>
      </w:r>
    </w:p>
    <w:p w14:paraId="75FB128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（1）投标人应在合同签订之日起30个日历日内完成维护区域内所有工程、设施台账清理和核对工作，完善并提供相应的电子台账，超期限未完成，采购人有权追究相应的违约责任。</w:t>
      </w:r>
    </w:p>
    <w:p w14:paraId="7BA08E3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（2）在维护期内设备和工程发生改变的，应在采购人规定的时间内更新相应资料，以及根据采购人的要求完成指定管理系统的录入更新工作。</w:t>
      </w:r>
    </w:p>
    <w:p w14:paraId="1F92B3A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投标人应在开始维护工作的45个日历日内完成维护区域内的交通监控设备的管线、沙井、杆件或灯具等存在的问题进行全面排查，并提交电子档和纸质档。逾期未提交视为不存在问题，并由投标人承担全部责任。</w:t>
      </w:r>
    </w:p>
    <w:p w14:paraId="03CDCC1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（4）根据采购人的要求，完成维护区域内所有交通监控设施的经纬度、设备状态、设备型号等相关信息的采集。</w:t>
      </w:r>
    </w:p>
    <w:p w14:paraId="6437395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5）投标人应按照采购人要求建立完善的协议用电设备的电费基本台账，并每月向采购人提供电子台账。台账内容应包括但不限于设备类型、设备点位、日均功率及用电量、月均用电量、用电协议、电费单价、电表历史读数、缴费情况、历史欠费情况、供电方联系方式等。</w:t>
      </w:r>
    </w:p>
    <w:p w14:paraId="65669E30">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1.</w:t>
      </w:r>
      <w:r>
        <w:rPr>
          <w:rFonts w:hint="eastAsia" w:ascii="Times New Roman" w:hAnsi="Times New Roman" w:eastAsia="Times New Roman" w:cs="Times New Roman"/>
        </w:rPr>
        <w:t>6</w:t>
      </w:r>
      <w:r>
        <w:rPr>
          <w:rFonts w:hint="eastAsia" w:ascii="Times New Roman" w:hAnsi="Times New Roman" w:eastAsia="宋体" w:cs="Times New Roman"/>
          <w:lang w:val="en-US" w:eastAsia="zh-CN"/>
        </w:rPr>
        <w:t xml:space="preserve"> </w:t>
      </w:r>
      <w:r>
        <w:rPr>
          <w:rFonts w:hint="eastAsia" w:ascii="Times New Roman" w:hAnsi="Times New Roman" w:eastAsia="Times New Roman" w:cs="Times New Roman"/>
        </w:rPr>
        <w:t>工作交接要求</w:t>
      </w:r>
    </w:p>
    <w:p w14:paraId="094732D0">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投标人须在维护工作开始之日起全权负责维护周期内的交通监控设施的维护管养工作，并一个月内完成设备交接工作和上报与上年度合同中标人的交接报告（加盖交接双方单位公章），并通过采购人及监理单位确认，超期限未完成，采购人有权追究相应的违约责任。</w:t>
      </w:r>
    </w:p>
    <w:p w14:paraId="6F6EA4F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投标人须在维护周期结束前一个月内对所有涉及设备完成排查修复,并按照采购人要求完成移交工作（所有移交的交通信号系统、电子警察、智能球机等相关设备不得低于接手维护时并经采购人认可的状态（以交接报告为准），否则在结算时扣除该设备的年度维护费用），若因投标人原因不能移交进入新的维护周期维护管理的，由投标人承担全部维护管理责任和费用，并承担由此造成的一切后果。</w:t>
      </w:r>
    </w:p>
    <w:p w14:paraId="3FB7598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1.7 </w:t>
      </w:r>
      <w:r>
        <w:rPr>
          <w:rFonts w:hint="eastAsia" w:ascii="Times New Roman" w:hAnsi="Times New Roman" w:eastAsia="Times New Roman" w:cs="Times New Roman"/>
        </w:rPr>
        <w:t>日常维护要求</w:t>
      </w:r>
    </w:p>
    <w:p w14:paraId="51C4FF3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（1）到场时限要求：原则上信号系统异常时15分钟内到场处置，其他监控设备异常时30分钟内到场处置。</w:t>
      </w:r>
    </w:p>
    <w:p w14:paraId="44D83CE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投标人每月必须安排不少于投标团队人数及资质的专业人员对本项目范围内交通信号系统、电子警察、智能球机、车牌识别、视频监控、诱导屏等相关设备进行日常维修、保养及清洁工作，发生故障应当及时抢修。每一个维护月周期为一个设备检修周期（特殊规定的除外），日常维护、保养及清洁工作须严格依照“深圳交警设施运维考核办法”（附件3）予以执行。</w:t>
      </w:r>
    </w:p>
    <w:p w14:paraId="3A2CF4AC">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投标人应及时（一个设备检修周期内）发现交通信号系统、电子警察、智能球机、车牌识别、视频监控、诱导屏等相关设备的异常情况，及时处置并上报。投标人须定期对包括但不限于图像单元、补光单元、机柜设备单元等各类交通监控设施进行清洁、检修、保养，保证监控镜头表面干净和拍摄质量，保证控制机箱、杆件等设施表面整洁。以及对沙井进行清淤，对破损井盖更换，对所有接头、接线、接地、引线进行检查，保证支撑牢固可靠。</w:t>
      </w:r>
    </w:p>
    <w:p w14:paraId="4F9EB5AA">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（4）投标人应每日对合同区域内的交通监控设施进行巡查，遇有异常及时上报和处置。同时投标人须建立激励机制，对及时发现并上报设施故障的个人及单位采用现金或其他方式进行奖励。</w:t>
      </w:r>
    </w:p>
    <w:p w14:paraId="1EC483E8">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（5）投标人应及时（一个设备检修周期内）对维护范围内的各类交通监控设施的配套管道进行疏通，确保发生故障时能够及时更换线缆、保障设施正常运行。</w:t>
      </w:r>
    </w:p>
    <w:p w14:paraId="0DEC836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6）投标人需依照采购人要求配备相应的专用设备，并能够按照采购人需求实现定位和实时上传维护现场视频（或图片）的功能，落实重要工作过程拍照留档，以便采购人进行检查。若路面出现非采购人产权的交通信号系统、电子警察、智能球机、车牌识别、视频监控、诱导屏等相关设备，投标人须及时发现，了解相关情况并立刻向采购人报告。对于非采购人产权的信号灯及纳入采购人工作考核的设备运行异常的（含停电），立即组织应急处置；对于其他设施存在安全风险的，立即开展隐患临时处置；占道施工管养单位确需投标人提供技术支持的，投标人应积极配合开展抢修工作。</w:t>
      </w:r>
    </w:p>
    <w:p w14:paraId="7A91CEA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7）投标人须设立全天维护专用值班电话，并保证24小时通讯畅通，发现故障或接到故障需及时响应。维护人员值班表必须提前报采购人，人员变动需以书面形式提前告知。按维护工作质量评价要求快速响应，立即实施维护抢修，必须在采购人规定时间内完成维修任务，每次维修工作完成后依照采购人规定的时间内提交故障处理记录表，报表中必须真实地反映出故障现象、故障原因、处理措施、故障接报和处理完毕时间等。</w:t>
      </w:r>
    </w:p>
    <w:p w14:paraId="761E403D">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（8）交通监控设施数据质量要求：</w:t>
      </w:r>
    </w:p>
    <w:p w14:paraId="25B4A0E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①电子警察的执法效能须符合GA/T995—2020《道路交通安全违法行为视频取证设备技术规范》、GA/T832-2014《道路交通安全违法行为图像取证技术规范》、GA/T496-2014《闯红灯自动记录系统通用技术条件》等标准。</w:t>
      </w:r>
    </w:p>
    <w:p w14:paraId="27C3C3F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②车牌识别卡口识别效果须符合GA/T 833-2016《机动车号牌图像自动识别技术规范》、GA/T497-2016《道路车辆智能监测记录系统通用技术条件》等标准。</w:t>
      </w:r>
    </w:p>
    <w:p w14:paraId="0B4B81A2">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③视频监控设备图像回传须符合GA/T751-2008《视频图像文字标注规范》等标准。</w:t>
      </w:r>
    </w:p>
    <w:p w14:paraId="75D6D8F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④电子警察、卡口、视频监控等设备在7天内因设备原因无执法数据产生（包括保修期的设备），投标人须检测设备是否正常。故障设备应在规定时间内修复，如实填写并提交故障处理记录表；保修期内的故障设备应立即上报采购人。</w:t>
      </w:r>
    </w:p>
    <w:p w14:paraId="455092B0">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⑤投标人每月最后一个工作日须对所有设备运行情况进行分析，并出具月度分析报告，报告内须对采购人提供的正常运行天数低于23天的设备分析具体原因及制定和采取相应的解决方案，在次月的维护工作中落实，并纳入履约评价。</w:t>
      </w:r>
    </w:p>
    <w:p w14:paraId="00AEF33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（9）投标人应协助采购人至现场对外建交通监控设施进行清点、检查，督促承建单位按照规范流程提交外建移交设备的相关资料，并及时按照采购人要求登记和录入设备信息。</w:t>
      </w:r>
    </w:p>
    <w:p w14:paraId="3CDE30F8">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（10）机房端的视频矩阵等设备如发生故障，由机房所在辖区的投标人负责维护。</w:t>
      </w:r>
    </w:p>
    <w:p w14:paraId="1D57B10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（11）投标人须在维护周期内完成采购人委托的全部测速设备检定工作。</w:t>
      </w:r>
    </w:p>
    <w:p w14:paraId="5269C95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（12）当采购人有改造、改建、迁移交通监控设备等工作安排时，投标人应全力配合，根据合同约定的工作内容做好维护工作。</w:t>
      </w:r>
    </w:p>
    <w:p w14:paraId="54033802">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（13）投标人须接受采购人安排的相关普查工作，不得因该项工作而影响日常维护任务。</w:t>
      </w:r>
    </w:p>
    <w:p w14:paraId="5D00081D">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（14）设备、配件等使用期限过长，老化破损严重，达到使用年限条件，投标人可以向采购人提出建议，在采购人未改造前，投标人负有维护维修责任，不得推诿。</w:t>
      </w:r>
    </w:p>
    <w:p w14:paraId="21E6DD8F">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1.8 </w:t>
      </w:r>
      <w:r>
        <w:rPr>
          <w:rFonts w:hint="eastAsia" w:ascii="Times New Roman" w:hAnsi="Times New Roman" w:eastAsia="Times New Roman" w:cs="Times New Roman"/>
        </w:rPr>
        <w:t>人员配备要求</w:t>
      </w:r>
    </w:p>
    <w:p w14:paraId="5A46ADD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投标人在中标后一周内应完成人员的配备，提交采购人审核，具体要求如下：</w:t>
      </w:r>
    </w:p>
    <w:p w14:paraId="2C0E15B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（1）投标人须按采购人要求合理设置不少于</w:t>
      </w:r>
      <w:r>
        <w:rPr>
          <w:rFonts w:hint="eastAsia" w:eastAsia="宋体"/>
          <w:lang w:val="en-US" w:eastAsia="zh-CN"/>
        </w:rPr>
        <w:t>8</w:t>
      </w:r>
      <w:r>
        <w:rPr>
          <w:rFonts w:hint="eastAsia"/>
        </w:rPr>
        <w:t>个24小时值守点，确保满足第七点第一条中的到场时限要求。</w:t>
      </w:r>
    </w:p>
    <w:p w14:paraId="64B2BC1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为配合处理各种突发应急工作，投标人需根据采购人要求安排人员提供现场服务，并按相关法律法规支付加班劳动报酬。工程技术人员必须具备交通信号系统、电子警察、智能球机、车牌识别、视频监控、诱导屏等相关设备维护专业知识，具有较好的文字表达和电脑操作能力，并负责协调本项目维护工作、应急抢修中的各项业务。</w:t>
      </w:r>
    </w:p>
    <w:p w14:paraId="62DC3B0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（3）项目经理需保证24小时通讯畅通，在合同期间原则上不允许更换。确因客观原因需要更换的，项目经理离职前，须提前45天向采购人提出书面申请并批准。接任的项目经理须提前 15天到岗，做好工作衔接。项目经理不服从采购人管理，或存在其他影响采购人项目管理行为的，投标人需根据采购人要求更换项目经理，相关人员纳入负面名单，不得再从事本项目任何工作。</w:t>
      </w:r>
    </w:p>
    <w:p w14:paraId="122B579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（4）团队人员离职前，须提前30天向采购人报备，团队人员离岗前7天，须立即安排满足合同要求的人员到岗，做好工作衔接。</w:t>
      </w:r>
    </w:p>
    <w:p w14:paraId="3BE2DCC0">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（5）中标方应当按采购人要求组建现场办公团队，须满足服务事项或岗位正常履行要求。</w:t>
      </w:r>
    </w:p>
    <w:p w14:paraId="6A1ABA4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（6）按照采购人要求，投标人派驻现场办公团队按照采购单位相关模板及管理规定办理工作证并统一着装，配合物业等人员做好出入登记、工牌核对、车辆停放等事宜，自觉维护好办公环境及内务秩序。</w:t>
      </w:r>
    </w:p>
    <w:p w14:paraId="65A11E92">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（7）办公室及网络环境由采购人提供，电脑、桌椅等办公设备及用品投标人自理，特殊岗位另行专门约定。</w:t>
      </w:r>
    </w:p>
    <w:p w14:paraId="64EF1712">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8）采购人为交通安保重点单位，投标人须做好现场办公人员的统筹调配，必要时还需提供车辆接送、餐饮食宿等后勤保障事宜，派驻或临时出入采购方营区人员须严格执行内部管理规定，出现人员非正常情况第一时间报告并更换其他合适人员，确保各项工作正常运作。</w:t>
      </w:r>
    </w:p>
    <w:p w14:paraId="6068AFE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1.9 </w:t>
      </w:r>
      <w:r>
        <w:rPr>
          <w:rFonts w:hint="eastAsia" w:ascii="Times New Roman" w:hAnsi="Times New Roman" w:eastAsia="Times New Roman" w:cs="Times New Roman"/>
        </w:rPr>
        <w:t>设备管理要求</w:t>
      </w:r>
    </w:p>
    <w:p w14:paraId="53D50CF0">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采购人可根据实际情况将部分设备停机（停止使用），投标人接书面停机通知书之日起停止日常维修工作，但需履行巡检、清洁保养义务，承担设备及隐蔽工程、配套设施的安全性、完好性相关责任。市政道路施工涉及交通信号系统、电子警察、智能球机、车牌识别、视频监控、诱导屏等相关设备需拆除时，投标人需配合采购人对拆除设备的数量和运行状态进行检查统计，经三方确认完好并办理相关手续后方可拆除。投标人在维护工作中更换或拆除的设备、材料，必须在采购人规定的时间内完整送达采购人指定的仓储地点，并办好入库手续；对板卡等零部件的更换、增加及采购人要求的调试和测试等工作，投标人在接到通知后立即执行。</w:t>
      </w:r>
    </w:p>
    <w:p w14:paraId="0A16112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维护工作备件要求。投标人在维护工作中需配备充足的抢修备件，其中，投标人须保障备品备件充足，应急供电、常用重要备件（发电机、太阳能信号灯、主机、镜头、B20板卡、传输设备、信号机板卡等）须满足日常维护应急抢修的数量、质量和修复时效要求。每台抢修车辆必须至少配备2台能够满足应急发电要求且运行正常的发电机、2块信号机主控板、2块分控板、2块通讯板。</w:t>
      </w:r>
    </w:p>
    <w:p w14:paraId="1534316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公司备件仓库长期存放如下全新备件:</w:t>
      </w:r>
    </w:p>
    <w:p w14:paraId="58E7D672">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①电警、卡口类设施</w:t>
      </w:r>
    </w:p>
    <w:p w14:paraId="7A623AFA">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一体化900万像素高清摄像机（电子警察）10台、电警主机2台，一体化900万像素高清摄像机（车牌识别）10台、车牌识别主机2台、RFID一体化抓拍摄像机5台、主流品牌窄波雷达各5台、主流品牌红灯检测器各4台。</w:t>
      </w:r>
    </w:p>
    <w:p w14:paraId="696727F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②视频监控类设施</w:t>
      </w:r>
    </w:p>
    <w:p w14:paraId="03FA354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三目球机5台、网络高清摄像机5台、网络高清球型摄像机5台、高空瞭望一体化云台摄像机2台、B20板卡2块。</w:t>
      </w:r>
    </w:p>
    <w:p w14:paraId="398CED4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③网络设施</w:t>
      </w:r>
    </w:p>
    <w:p w14:paraId="3023CF93">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主流品牌ONU设备各10台、光端机（千兆）10对。</w:t>
      </w:r>
    </w:p>
    <w:p w14:paraId="40E4B88C">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④信号系统及诱导屏类设施</w:t>
      </w:r>
    </w:p>
    <w:p w14:paraId="2C7B947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信号控制机2台（96路及以上）主流尺寸诱导屏模组12平米。</w:t>
      </w:r>
    </w:p>
    <w:p w14:paraId="5D441EC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所有备品备件须以实物照片及带序列号、MAC地址照片报采购人审核。采购人随时可对投标人的备件配备情况进行抽查，抽查不合格或因备件短缺延误修复时间的依照规定按“深圳交警设施运维考核办法”（附件3）进行考核。投标人提供的备件的型号、技术规格等必须与采购人当前使用的设备型号、技术规格相同或采购人认同的可向上兼容的备件，不得使用低配置的备件。 以上每一类备件若已全部使用，需在采购人规定的时限内按照采购人需求进行补充。</w:t>
      </w:r>
    </w:p>
    <w:p w14:paraId="08DC9A5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（3）质量技术要求。投标人配备的备件性能须不低于需更换设备的性能要求。</w:t>
      </w:r>
    </w:p>
    <w:p w14:paraId="3985F42F">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1.10 </w:t>
      </w:r>
      <w:r>
        <w:rPr>
          <w:rFonts w:hint="eastAsia" w:ascii="Times New Roman" w:hAnsi="Times New Roman" w:eastAsia="Times New Roman" w:cs="Times New Roman"/>
        </w:rPr>
        <w:t>取通电及电费缴纳要求</w:t>
      </w:r>
    </w:p>
    <w:p w14:paraId="6DB49C0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取电要求。投标人需负责办理前端设备取电手续等事宜，并完成前端点设备的电表报装及安装工作，提交书面资料。施工现场涉及到与城管、绿化、供电、电信、物业等部门联系的，由投标人协助采购人办理有关施工许可等事宜。</w:t>
      </w:r>
    </w:p>
    <w:p w14:paraId="09463A5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通电要求。投标人在日常维护工作中，必须保证前端设备供电正常，如因客观原因导致停电及供电故障，投标人应接报障后在规定的时限内（原则上信号系统15分钟、其他设备30分钟）到现场完成抢修供电，直至电力恢复正常。发电所产生的全部费用包含在维护费中，采购人不再另行支付费用。因发电不及时、发电不到位导致维护超时的均按“深圳交警设施运维考核办法”（附件3）进行考核。</w:t>
      </w:r>
    </w:p>
    <w:p w14:paraId="5639270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电费缴纳要求。投标人每月对交通信号系统、电子警察、智能球机、车牌识别、视频监控、诱导屏等相关设备的电费进行统计，提交电费基本台账，相关要求见二、（一）5.基本台账要求，并在合同结束前代缴已签署用电协议的电费，电费由采购人在维护费用中支付。</w:t>
      </w:r>
    </w:p>
    <w:p w14:paraId="471D085F">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4）其他要求。投标人应结清本项目合同期内的全部已签署用电协议的电费，追溯期截止至履约保函有效期，以履约保函的方式进行承诺。投标人必须对采购人产权内交通监控设施需要缴纳电费的金额、电表读数、用电功率、用电量进行核实，如未核实造成损失的，全部责任及损失由投标人承担，投标人在此中存在虚报费用、虚开票据等行为的，一经查实，立即解约并追究法律责任。投标人在最后一个维护月份内（合同结束前30个自然日内），应当告知供电方维护合同到期的实际情况，并督促供电方结清电费，如供电方放弃该笔费用的，投标人应会同供电方出具放弃费用说明，说明应盖投标人公司公章、供电方公章。</w:t>
      </w:r>
    </w:p>
    <w:p w14:paraId="21C475BD">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1.11 </w:t>
      </w:r>
      <w:r>
        <w:rPr>
          <w:rFonts w:hint="eastAsia" w:ascii="Times New Roman" w:hAnsi="Times New Roman" w:eastAsia="Times New Roman" w:cs="Times New Roman"/>
        </w:rPr>
        <w:t>值守要求</w:t>
      </w:r>
    </w:p>
    <w:p w14:paraId="607259D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重要活动、重大节日及保障任务，投标人必须提前安排维护人员值守，维护人员值班表必须提前送至采购人，并按采购人要求及时做好各项维护保障工作，做好巡检维修台账，需包括巡检清单、维修抢修清单、故障分析、到场照片（含人员及水印）、撤场照片（含人员及水印）、修复前后对比照片（含水印），供采购人随时检查。在遇到台风、暴雨、雷击等各种非正常情况，或根据采购人的特殊任务安排，投标人须立即启动应急保障预案，增派维修人员在维护区域内巡查或者待命，加强外场设备和工程的巡检，发现损坏情况时要立即实施抢修。在突发大面积故障时，投标人能够至少同时进行</w:t>
      </w:r>
      <w:r>
        <w:rPr>
          <w:rFonts w:hint="eastAsia" w:eastAsia="宋体"/>
          <w:lang w:val="en-US" w:eastAsia="zh-CN"/>
        </w:rPr>
        <w:t>8</w:t>
      </w:r>
      <w:r>
        <w:rPr>
          <w:rFonts w:hint="eastAsia"/>
        </w:rPr>
        <w:t>个以上工作点的维护抢修。确属不可抗力造成的大范围设备损坏，投标人须立刻将损坏情况统计报采购人，并在采购人规定的时限内修复。</w:t>
      </w:r>
    </w:p>
    <w:p w14:paraId="5C10EE3D">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1.12 </w:t>
      </w:r>
      <w:r>
        <w:rPr>
          <w:rFonts w:hint="eastAsia" w:ascii="Times New Roman" w:hAnsi="Times New Roman" w:eastAsia="Times New Roman" w:cs="Times New Roman"/>
        </w:rPr>
        <w:t>应急维护抢修要求</w:t>
      </w:r>
    </w:p>
    <w:p w14:paraId="1A4BCB1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采购人下达的维护任务清单内全部设施，当发生故障影响正常使用的，投标人必须无条件的进行应急抢修（信号系统故障15分钟内到场处置），涉及道路开挖、恢复以及相关物料费用由投标人解决。对采购人下达的维护任务清单外的信号系统发生异常时，应协助采购人开展应急处置。</w:t>
      </w:r>
    </w:p>
    <w:p w14:paraId="5CB2EA6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（2）全部应急抢修工作在完成后，采购人及监理单位进行现场验收，确保抢修后设备及配套设施功能健全、使用正常；采购人根据现场验收情况，对应急抢修情况进行考核，并纳入履约评价。</w:t>
      </w:r>
    </w:p>
    <w:p w14:paraId="521EDAF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（3）因道路交通组织改变、规范变化等，需调整设备、管线、灯杆、灯具、沙井、位置等，以及做好防护、消除隐患等，属于日常维护范围，投标人需按照采购人要求无条件落实。</w:t>
      </w:r>
    </w:p>
    <w:p w14:paraId="48E92C7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（4）由于周围客观环境改变，如供电线路调整、迁移、停用，取电箱迁移、拆除等原因，造成路口设备需进行调整、迁移、改造等，属于日常维护范围，投标人需按照采购人要求无条件落实。</w:t>
      </w:r>
    </w:p>
    <w:p w14:paraId="4C1F3D2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（5）发生不可抗力（以市三防办发布信息为准），造成维护范围内设施损坏需抢修的，属于日常维护范围，投标人需按照采购人要求无条件落实。</w:t>
      </w:r>
    </w:p>
    <w:p w14:paraId="194A0CD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6）因管道原因影响应急抢修的，投标人需根据实际情况对管道进行疏通、检修，必要的需进行更换，管道材质及埋深应符合现行标准。该部分工作属于日常维护范围，投标人需按照采购人要求无条件落实，此项为应急抢修考核重点内容。</w:t>
      </w:r>
    </w:p>
    <w:p w14:paraId="3C69EFA0">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7）因线缆原因影响应急抢修的，投标人需根据实际情况对线缆使用情况进行检查，影响正常使用的线缆需进行更换，线缆不允许接驳，线径应满足现行使用标准。该部分工作属于日常维护范围，投标人需按照采购人要求无条件落实，此项为应急抢修考核重点内容。</w:t>
      </w:r>
    </w:p>
    <w:p w14:paraId="5B10EC98">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8）投标人应及时上报使用期限过长、老化破损严重的设备、配件等情况，采购人根据实际情况安排备品备件，并由投标人负责进行更换。更新后，须保证设备运作效果不低于原设备正常运作的效果并满足国家相应标准。该部分工作属于日常维护范围，投标人需按照采购人要求无条件落实，此项为考核重点内容。</w:t>
      </w:r>
    </w:p>
    <w:p w14:paraId="29040D3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（9）如果涉及采购人要求监理旁站的应急抢修作业，抢修时须提前通知监理方到场旁站监督，并记录抢修过程。在抢修工作完成后提交相关现场图片或者录像资料报采购人后方可申请验收。</w:t>
      </w:r>
    </w:p>
    <w:p w14:paraId="34A100D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（10）应急抢修涉及的监控设施，在修复后技术参数须符合要求。（详见附件2: 设备技术参数表）</w:t>
      </w:r>
    </w:p>
    <w:p w14:paraId="54584AC3">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rPr>
      </w:pPr>
      <w:r>
        <w:rPr>
          <w:rFonts w:hint="eastAsia" w:ascii="Times New Roman" w:hAnsi="Times New Roman" w:eastAsia="宋体" w:cs="Times New Roman"/>
          <w:lang w:val="en-US" w:eastAsia="zh-CN"/>
        </w:rPr>
        <w:t xml:space="preserve">1.13 </w:t>
      </w:r>
      <w:r>
        <w:rPr>
          <w:rFonts w:hint="eastAsia" w:ascii="Times New Roman" w:hAnsi="Times New Roman" w:eastAsia="Times New Roman" w:cs="Times New Roman"/>
        </w:rPr>
        <w:t>其他要求</w:t>
      </w:r>
    </w:p>
    <w:p w14:paraId="2D27A85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rPr>
        <w:t>投标人须切实保障好项目维护服务团队工资发放事宜，具体可采取设置工资专用账户等模式，杜绝因欠薪引发纠纷等问题。</w:t>
      </w:r>
    </w:p>
    <w:p w14:paraId="63CCF69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p>
    <w:p w14:paraId="497A81A3">
      <w:pPr>
        <w:pStyle w:val="6"/>
        <w:keepNext w:val="0"/>
        <w:keepLines w:val="0"/>
        <w:pageBreakBefore w:val="0"/>
        <w:widowControl/>
        <w:numPr>
          <w:ilvl w:val="0"/>
          <w:numId w:val="3"/>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Times New Roman" w:cs="Times New Roman"/>
          <w:b/>
          <w:bCs/>
        </w:rPr>
      </w:pPr>
      <w:r>
        <w:rPr>
          <w:rFonts w:hint="eastAsia" w:ascii="Times New Roman" w:hAnsi="Times New Roman" w:eastAsia="Times New Roman" w:cs="Times New Roman"/>
          <w:b/>
          <w:bCs/>
        </w:rPr>
        <w:t>设备更新服务要求</w:t>
      </w:r>
    </w:p>
    <w:p w14:paraId="4C07956A">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val="en-US" w:eastAsia="zh-CN"/>
        </w:rPr>
        <w:t>（1）</w:t>
      </w:r>
      <w:r>
        <w:rPr>
          <w:rFonts w:hint="eastAsia"/>
        </w:rPr>
        <w:t>设备须满足国标，规格参数等须与采购人现使用的设备或零部件型号、技术规格和品质一致，不得使用低配置的设备(具体参数见采购文件附件2:设备技术参数表)。</w:t>
      </w:r>
    </w:p>
    <w:p w14:paraId="7F5C81DD">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eastAsia="zh-CN"/>
        </w:rPr>
        <w:t>（</w:t>
      </w:r>
      <w:r>
        <w:rPr>
          <w:rFonts w:hint="eastAsia" w:eastAsia="宋体"/>
          <w:lang w:val="en-US" w:eastAsia="zh-CN"/>
        </w:rPr>
        <w:t>2</w:t>
      </w:r>
      <w:r>
        <w:rPr>
          <w:rFonts w:hint="eastAsia" w:eastAsia="宋体"/>
          <w:lang w:eastAsia="zh-CN"/>
        </w:rPr>
        <w:t>）</w:t>
      </w:r>
      <w:r>
        <w:rPr>
          <w:rFonts w:hint="eastAsia"/>
        </w:rPr>
        <w:t>投标人对提供的设备须免费保修一年，并提供相关附件及资料等。</w:t>
      </w:r>
    </w:p>
    <w:p w14:paraId="2FDD3B7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eastAsia="zh-CN"/>
        </w:rPr>
        <w:t>（</w:t>
      </w:r>
      <w:r>
        <w:rPr>
          <w:rFonts w:hint="eastAsia" w:eastAsia="宋体"/>
          <w:lang w:val="en-US" w:eastAsia="zh-CN"/>
        </w:rPr>
        <w:t>3</w:t>
      </w:r>
      <w:r>
        <w:rPr>
          <w:rFonts w:hint="eastAsia" w:eastAsia="宋体"/>
          <w:lang w:eastAsia="zh-CN"/>
        </w:rPr>
        <w:t>）</w:t>
      </w:r>
      <w:r>
        <w:rPr>
          <w:rFonts w:hint="eastAsia"/>
        </w:rPr>
        <w:t>投标人须按照采购人要求在规定的时间内提供设备并完成安装。</w:t>
      </w:r>
    </w:p>
    <w:p w14:paraId="6384E16A">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p>
    <w:p w14:paraId="76EB6E04">
      <w:pPr>
        <w:pStyle w:val="6"/>
        <w:keepNext w:val="0"/>
        <w:keepLines w:val="0"/>
        <w:pageBreakBefore w:val="0"/>
        <w:widowControl/>
        <w:numPr>
          <w:ilvl w:val="0"/>
          <w:numId w:val="3"/>
        </w:numPr>
        <w:kinsoku/>
        <w:wordWrap/>
        <w:overflowPunct/>
        <w:topLinePunct w:val="0"/>
        <w:autoSpaceDE/>
        <w:autoSpaceDN/>
        <w:bidi w:val="0"/>
        <w:adjustRightInd/>
        <w:snapToGrid/>
        <w:ind w:left="0" w:leftChars="0" w:firstLine="480" w:firstLineChars="200"/>
        <w:textAlignment w:val="auto"/>
        <w:rPr>
          <w:rFonts w:hint="eastAsia" w:ascii="Times New Roman" w:hAnsi="Times New Roman" w:eastAsia="Times New Roman" w:cs="Times New Roman"/>
          <w:b/>
          <w:bCs/>
        </w:rPr>
      </w:pPr>
      <w:r>
        <w:rPr>
          <w:rFonts w:hint="eastAsia" w:ascii="Times New Roman" w:hAnsi="Times New Roman" w:eastAsia="Times New Roman" w:cs="Times New Roman"/>
          <w:b/>
          <w:bCs/>
        </w:rPr>
        <w:t>信息安全要求</w:t>
      </w:r>
    </w:p>
    <w:p w14:paraId="161B364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eastAsia="zh-CN"/>
        </w:rPr>
        <w:t>（</w:t>
      </w:r>
      <w:r>
        <w:rPr>
          <w:rFonts w:hint="eastAsia" w:eastAsia="宋体"/>
          <w:lang w:val="en-US" w:eastAsia="zh-CN"/>
        </w:rPr>
        <w:t>1</w:t>
      </w:r>
      <w:r>
        <w:rPr>
          <w:rFonts w:hint="eastAsia" w:eastAsia="宋体"/>
          <w:lang w:eastAsia="zh-CN"/>
        </w:rPr>
        <w:t>）</w:t>
      </w:r>
      <w:r>
        <w:rPr>
          <w:rFonts w:hint="eastAsia"/>
        </w:rPr>
        <w:t>投标人在开展本项目全部工作中，需严格按照采购人关于信息安全管理的要求开展工作。如投标人因自身管理原因未落实采购人信息安全管理要求的，采购人视后果严重程度可以进行处罚至解约，并保留追究相关责任的权利。</w:t>
      </w:r>
    </w:p>
    <w:p w14:paraId="25D3C58B">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eastAsia="zh-CN"/>
        </w:rPr>
        <w:t>（</w:t>
      </w:r>
      <w:r>
        <w:rPr>
          <w:rFonts w:hint="eastAsia" w:eastAsia="宋体"/>
          <w:lang w:val="en-US" w:eastAsia="zh-CN"/>
        </w:rPr>
        <w:t>2</w:t>
      </w:r>
      <w:r>
        <w:rPr>
          <w:rFonts w:hint="eastAsia" w:eastAsia="宋体"/>
          <w:lang w:eastAsia="zh-CN"/>
        </w:rPr>
        <w:t>）</w:t>
      </w:r>
      <w:r>
        <w:rPr>
          <w:rFonts w:hint="eastAsia"/>
        </w:rPr>
        <w:t>本项目长期现场办公人员参照采购人内部管理规定进行管理，不得违反采购人关于信息安全、保密安全的规定。如现场办公人员未落实相关规定的，采购人视后果严重程度可以对投标人进行处罚至解约，并保留追究相关责任的权利。</w:t>
      </w:r>
    </w:p>
    <w:p w14:paraId="2C9BB69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eastAsia="zh-CN"/>
        </w:rPr>
        <w:t>（</w:t>
      </w:r>
      <w:r>
        <w:rPr>
          <w:rFonts w:hint="eastAsia" w:eastAsia="宋体"/>
          <w:lang w:val="en-US" w:eastAsia="zh-CN"/>
        </w:rPr>
        <w:t>3</w:t>
      </w:r>
      <w:r>
        <w:rPr>
          <w:rFonts w:hint="eastAsia" w:eastAsia="宋体"/>
          <w:lang w:eastAsia="zh-CN"/>
        </w:rPr>
        <w:t>）</w:t>
      </w:r>
      <w:r>
        <w:rPr>
          <w:rFonts w:hint="eastAsia"/>
        </w:rPr>
        <w:t>采购人提供投标人现场办公人员的工作场所，该场所要求提供必要的网络环境、工作电脑，以便更好地满足采购人对服务响应时间的要求。投标人不得违反内部网络信息安全规范。</w:t>
      </w:r>
    </w:p>
    <w:p w14:paraId="4E57B0A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r>
        <w:rPr>
          <w:rFonts w:hint="eastAsia" w:eastAsia="宋体"/>
          <w:lang w:eastAsia="zh-CN"/>
        </w:rPr>
        <w:t>（</w:t>
      </w:r>
      <w:r>
        <w:rPr>
          <w:rFonts w:hint="eastAsia" w:eastAsia="宋体"/>
          <w:lang w:val="en-US" w:eastAsia="zh-CN"/>
        </w:rPr>
        <w:t>4</w:t>
      </w:r>
      <w:r>
        <w:rPr>
          <w:rFonts w:hint="eastAsia" w:eastAsia="宋体"/>
          <w:lang w:eastAsia="zh-CN"/>
        </w:rPr>
        <w:t>）</w:t>
      </w:r>
      <w:r>
        <w:rPr>
          <w:rFonts w:hint="eastAsia"/>
        </w:rPr>
        <w:t>投标人应严格遵守公安机关计算机保密技术防范系统管理有关规定，包括但不限于：一是严禁涉密信息外泄；二是杜绝违规使用“两用U盘”、“一机两用”等情况。</w:t>
      </w:r>
    </w:p>
    <w:p w14:paraId="69860269">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Times New Roman" w:cs="Times New Roman"/>
          <w:sz w:val="24"/>
          <w:szCs w:val="20"/>
        </w:rPr>
      </w:pPr>
    </w:p>
    <w:p w14:paraId="7743AFE8">
      <w:pPr>
        <w:keepNext w:val="0"/>
        <w:keepLines w:val="0"/>
        <w:pageBreakBefore w:val="0"/>
        <w:widowControl/>
        <w:numPr>
          <w:ilvl w:val="0"/>
          <w:numId w:val="3"/>
        </w:numPr>
        <w:kinsoku/>
        <w:wordWrap/>
        <w:overflowPunct/>
        <w:topLinePunct w:val="0"/>
        <w:autoSpaceDE/>
        <w:autoSpaceDN/>
        <w:bidi w:val="0"/>
        <w:adjustRightInd/>
        <w:snapToGrid/>
        <w:ind w:left="0" w:leftChars="0" w:firstLine="482" w:firstLineChars="200"/>
        <w:textAlignment w:val="auto"/>
        <w:rPr>
          <w:rFonts w:hint="eastAsia" w:ascii="Times New Roman" w:hAnsi="Times New Roman" w:eastAsia="Times New Roman" w:cs="Times New Roman"/>
          <w:b/>
          <w:bCs/>
          <w:color w:val="FF0000"/>
          <w:sz w:val="24"/>
          <w:szCs w:val="20"/>
        </w:rPr>
      </w:pPr>
      <w:r>
        <w:rPr>
          <w:rFonts w:hint="eastAsia" w:ascii="Times New Roman" w:hAnsi="Times New Roman" w:eastAsia="宋体" w:cs="Times New Roman"/>
          <w:b/>
          <w:bCs/>
          <w:color w:val="FF0000"/>
          <w:sz w:val="24"/>
          <w:szCs w:val="20"/>
          <w:lang w:eastAsia="zh-CN"/>
        </w:rPr>
        <w:t>★团队人员</w:t>
      </w:r>
      <w:r>
        <w:rPr>
          <w:rFonts w:hint="eastAsia" w:ascii="Times New Roman" w:hAnsi="Times New Roman" w:eastAsia="Times New Roman" w:cs="Times New Roman"/>
          <w:b/>
          <w:bCs/>
          <w:color w:val="FF0000"/>
          <w:sz w:val="24"/>
          <w:szCs w:val="20"/>
        </w:rPr>
        <w:t>要求</w:t>
      </w:r>
    </w:p>
    <w:p w14:paraId="6541B614">
      <w:pPr>
        <w:pStyle w:val="6"/>
        <w:keepNext w:val="0"/>
        <w:keepLines w:val="0"/>
        <w:pageBreakBefore w:val="0"/>
        <w:widowControl/>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color w:val="FF0000"/>
          <w:lang w:val="en-US" w:eastAsia="zh-CN"/>
        </w:rPr>
      </w:pPr>
      <w:r>
        <w:rPr>
          <w:rFonts w:hint="default" w:ascii="Times New Roman" w:hAnsi="Times New Roman" w:eastAsia="宋体" w:cs="Times New Roman"/>
          <w:b/>
          <w:bCs/>
          <w:color w:val="FF0000"/>
          <w:lang w:val="en-US" w:eastAsia="zh-CN"/>
        </w:rPr>
        <w:t>团队成员中至少13人具有政府部门颁发的特种作业操作证（电工作业），至少3人具有政府部门颁发的特种作业操作证（高处作业），员工须为投标单位自有员工。</w:t>
      </w:r>
    </w:p>
    <w:p w14:paraId="5CD7B047">
      <w:pPr>
        <w:pStyle w:val="6"/>
        <w:keepNext w:val="0"/>
        <w:keepLines w:val="0"/>
        <w:pageBreakBefore w:val="0"/>
        <w:widowControl/>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bCs/>
          <w:color w:val="FF0000"/>
          <w:lang w:val="en-US" w:eastAsia="zh-CN"/>
        </w:rPr>
      </w:pPr>
      <w:r>
        <w:rPr>
          <w:rFonts w:hint="default" w:ascii="Times New Roman" w:hAnsi="Times New Roman" w:eastAsia="宋体" w:cs="Times New Roman"/>
          <w:b/>
          <w:bCs/>
          <w:color w:val="FF0000"/>
          <w:lang w:val="en-US" w:eastAsia="zh-CN"/>
        </w:rPr>
        <w:t>要求提供</w:t>
      </w:r>
      <w:r>
        <w:rPr>
          <w:rFonts w:hint="eastAsia" w:ascii="Times New Roman" w:hAnsi="Times New Roman" w:eastAsia="宋体" w:cs="Times New Roman"/>
          <w:b/>
          <w:bCs/>
          <w:color w:val="FF0000"/>
          <w:lang w:val="en-US" w:eastAsia="zh-CN"/>
        </w:rPr>
        <w:t>：</w:t>
      </w:r>
    </w:p>
    <w:p w14:paraId="0659D743">
      <w:pPr>
        <w:pStyle w:val="6"/>
        <w:keepNext w:val="0"/>
        <w:keepLines w:val="0"/>
        <w:pageBreakBefore w:val="0"/>
        <w:widowControl/>
        <w:numPr>
          <w:ilvl w:val="0"/>
          <w:numId w:val="4"/>
        </w:numPr>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color w:val="FF0000"/>
          <w:lang w:val="en-US" w:eastAsia="zh-CN"/>
        </w:rPr>
      </w:pPr>
      <w:r>
        <w:rPr>
          <w:rFonts w:hint="default" w:ascii="Times New Roman" w:hAnsi="Times New Roman" w:eastAsia="宋体" w:cs="Times New Roman"/>
          <w:b/>
          <w:bCs/>
          <w:color w:val="FF0000"/>
          <w:lang w:val="en-US" w:eastAsia="zh-CN"/>
        </w:rPr>
        <w:t>社保证明。社保证明具体要求：投标人缴纳的近三个月的任意一个月的社保证明；若供应商成立不足三个月的，需提供成立情况说明函（格式自拟），无需提供相关人员社保；若为退休返聘人员，需提供说明函，格式自拟）</w:t>
      </w:r>
    </w:p>
    <w:p w14:paraId="2DA4BF76">
      <w:pPr>
        <w:pStyle w:val="6"/>
        <w:keepNext w:val="0"/>
        <w:keepLines w:val="0"/>
        <w:pageBreakBefore w:val="0"/>
        <w:widowControl/>
        <w:numPr>
          <w:ilvl w:val="0"/>
          <w:numId w:val="4"/>
        </w:numPr>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color w:val="FF0000"/>
          <w:lang w:val="en-US" w:eastAsia="zh-CN"/>
        </w:rPr>
      </w:pPr>
      <w:r>
        <w:rPr>
          <w:rFonts w:hint="eastAsia" w:ascii="Times New Roman" w:hAnsi="Times New Roman" w:eastAsia="宋体" w:cs="Times New Roman"/>
          <w:b/>
          <w:bCs/>
          <w:color w:val="FF0000"/>
          <w:lang w:val="en-US" w:eastAsia="zh-CN"/>
        </w:rPr>
        <w:t>相关证书及官网查询截图。</w:t>
      </w:r>
    </w:p>
    <w:p w14:paraId="51982E76">
      <w:pPr>
        <w:keepNext w:val="0"/>
        <w:keepLines w:val="0"/>
        <w:pageBreakBefore w:val="0"/>
        <w:widowControl/>
        <w:kinsoku/>
        <w:wordWrap/>
        <w:overflowPunct/>
        <w:topLinePunct w:val="0"/>
        <w:autoSpaceDE/>
        <w:autoSpaceDN/>
        <w:bidi w:val="0"/>
        <w:adjustRightInd/>
        <w:snapToGrid/>
        <w:rPr>
          <w:rFonts w:hint="eastAsia" w:ascii="宋体" w:hAnsi="宋体" w:eastAsia="宋体" w:cs="宋体"/>
          <w:sz w:val="21"/>
          <w:szCs w:val="21"/>
        </w:rPr>
      </w:pPr>
    </w:p>
    <w:p w14:paraId="58E5B5CE">
      <w:pPr>
        <w:keepNext w:val="0"/>
        <w:keepLines w:val="0"/>
        <w:pageBreakBefore w:val="0"/>
        <w:widowControl/>
        <w:kinsoku/>
        <w:wordWrap/>
        <w:overflowPunct/>
        <w:topLinePunct w:val="0"/>
        <w:autoSpaceDE/>
        <w:autoSpaceDN/>
        <w:bidi w:val="0"/>
        <w:adjustRightInd/>
        <w:snapToGrid/>
        <w:rPr>
          <w:rFonts w:hint="eastAsia" w:ascii="宋体" w:hAnsi="宋体" w:eastAsia="宋体" w:cs="宋体"/>
          <w:sz w:val="21"/>
          <w:szCs w:val="21"/>
        </w:rPr>
      </w:pPr>
    </w:p>
    <w:p w14:paraId="2BBF2F06"/>
    <w:p w14:paraId="55C0D1A5">
      <w:pPr>
        <w:rPr>
          <w:rFonts w:hint="eastAsia" w:asciiTheme="minorEastAsia" w:hAnsiTheme="minorEastAsia" w:eastAsiaTheme="minorEastAsia"/>
          <w:szCs w:val="21"/>
        </w:rPr>
      </w:pPr>
      <w:r>
        <w:rPr>
          <w:rFonts w:hint="eastAsia" w:asciiTheme="minorEastAsia" w:hAnsiTheme="minorEastAsia" w:eastAsiaTheme="minorEastAsia"/>
          <w:szCs w:val="21"/>
        </w:rPr>
        <w:br w:type="page"/>
      </w:r>
    </w:p>
    <w:p w14:paraId="4B934C5B">
      <w:pPr>
        <w:pStyle w:val="3"/>
        <w:jc w:val="center"/>
        <w:rPr>
          <w:rFonts w:asciiTheme="minorEastAsia" w:hAnsiTheme="minorEastAsia" w:eastAsiaTheme="minorEastAsia"/>
          <w:szCs w:val="21"/>
        </w:rPr>
      </w:pPr>
      <w:r>
        <w:rPr>
          <w:rFonts w:hint="eastAsia" w:asciiTheme="minorEastAsia" w:hAnsiTheme="minorEastAsia" w:eastAsiaTheme="minorEastAsia"/>
          <w:szCs w:val="21"/>
        </w:rPr>
        <w:t>五</w:t>
      </w:r>
      <w:r>
        <w:rPr>
          <w:rFonts w:asciiTheme="minorEastAsia" w:hAnsiTheme="minorEastAsia" w:eastAsiaTheme="minorEastAsia"/>
          <w:szCs w:val="21"/>
        </w:rPr>
        <w:t>、</w:t>
      </w:r>
      <w:r>
        <w:rPr>
          <w:rFonts w:hint="eastAsia" w:asciiTheme="minorEastAsia" w:hAnsiTheme="minorEastAsia" w:eastAsiaTheme="minorEastAsia"/>
          <w:szCs w:val="21"/>
        </w:rPr>
        <w:t>项目商务要求</w:t>
      </w:r>
    </w:p>
    <w:p w14:paraId="6D586823">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bCs w:val="0"/>
          <w:color w:val="FF0000"/>
          <w:sz w:val="24"/>
          <w:szCs w:val="24"/>
        </w:rPr>
      </w:pPr>
      <w:r>
        <w:rPr>
          <w:rFonts w:hint="eastAsia" w:ascii="宋体" w:hAnsi="宋体" w:eastAsia="宋体" w:cs="宋体"/>
          <w:b/>
          <w:bCs w:val="0"/>
          <w:color w:val="FF0000"/>
          <w:sz w:val="24"/>
          <w:szCs w:val="24"/>
          <w:lang w:val="en-US" w:eastAsia="zh-CN"/>
        </w:rPr>
        <w:t>★（一）</w:t>
      </w:r>
      <w:r>
        <w:rPr>
          <w:rFonts w:hint="eastAsia" w:ascii="宋体" w:hAnsi="宋体" w:eastAsia="宋体" w:cs="宋体"/>
          <w:b/>
          <w:bCs w:val="0"/>
          <w:color w:val="FF0000"/>
          <w:sz w:val="24"/>
          <w:szCs w:val="24"/>
        </w:rPr>
        <w:t>项目服务期限</w:t>
      </w:r>
    </w:p>
    <w:p w14:paraId="4215541E">
      <w:pPr>
        <w:pStyle w:val="6"/>
        <w:keepNext w:val="0"/>
        <w:keepLines w:val="0"/>
        <w:pageBreakBefore w:val="0"/>
        <w:widowControl/>
        <w:kinsoku/>
        <w:wordWrap/>
        <w:overflowPunct/>
        <w:topLinePunct w:val="0"/>
        <w:autoSpaceDE/>
        <w:autoSpaceDN/>
        <w:bidi w:val="0"/>
        <w:adjustRightInd/>
        <w:snapToGrid/>
        <w:ind w:firstLine="482" w:firstLineChars="200"/>
        <w:textAlignment w:val="auto"/>
        <w:rPr>
          <w:rFonts w:hint="eastAsia" w:ascii="Times New Roman" w:hAnsi="Times New Roman" w:eastAsia="宋体" w:cs="Times New Roman"/>
          <w:b/>
          <w:bCs w:val="0"/>
          <w:color w:val="FF0000"/>
          <w:lang w:eastAsia="zh-CN"/>
        </w:rPr>
      </w:pPr>
      <w:r>
        <w:rPr>
          <w:rFonts w:hint="eastAsia" w:ascii="Times New Roman" w:hAnsi="Times New Roman" w:eastAsia="宋体" w:cs="Times New Roman"/>
          <w:b/>
          <w:bCs w:val="0"/>
          <w:color w:val="FF0000"/>
          <w:lang w:eastAsia="zh-CN"/>
        </w:rPr>
        <w:t>本项目为长期服务类项目，第一年为本次招标的中标服务期限，采购单位可根据项目需要和中标供应商的履约情况确定合同期限是否延长，但最长不超过三十六个月。若政府采购主管部门发现项目有异常情况，以主管部门意见为准。</w:t>
      </w:r>
    </w:p>
    <w:p w14:paraId="72D39139">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投标报价</w:t>
      </w:r>
    </w:p>
    <w:p w14:paraId="041618A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0BEE0A63">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 投标人应根据本企业的成本自行决定报价，但不得以低于其企业成本的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14:paraId="7E7F04B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投标人的投标报价，应是本项目招标范围和招标文件及合同条款上所列的各项内容中所述的全部，不得以任何理由予以重复，并以投标人在投标文件中提出的综合单价或总价为依据。</w:t>
      </w:r>
    </w:p>
    <w:p w14:paraId="4EFBCA9C">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投标人应充分了解项目的位置、情况、道路及任何其他足以影响投标报价的情况，任何因忽视或误解项目情况而导致的索赔或服务期限延长申请将不获批准。</w:t>
      </w:r>
    </w:p>
    <w:p w14:paraId="5F82FC2A">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 投标人不得期望通过索赔等方式获取补偿，否则，除可能遭到拒绝外，还可能将被作为不良行为记录在案，并可能影响其以后参加政府采购的项目投标。各投标人在投标报价时，应充分考虑投标报价的风险。</w:t>
      </w:r>
    </w:p>
    <w:p w14:paraId="3213D48B">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付款方式</w:t>
      </w:r>
    </w:p>
    <w:p w14:paraId="55A49A9F">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付款原则:本项目支付上限为本项目预算金额（且不超出各子项报价上限），以实际工作量进行结算，具体根据市财政拨款情况分期付给（具体以市财政局相关规定和合同约定为准）。由于投标单位原因造成服务款不能支付，责任由投标单位承担。</w:t>
      </w:r>
    </w:p>
    <w:p w14:paraId="4F4FA27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 预付款的支付:本项目开工预付款以合同约定为准，合同预付款应不低于中标金额的30%。在本项目合同协议书签订生效且中标人提交履约保证金后，办理支付手续并提交给相关付款部门。</w:t>
      </w:r>
    </w:p>
    <w:p w14:paraId="692CA01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 合同实施过程中，按实际完成的工作量及政府财政实际下达资金支付进度款，累计支付总额不超过合同支付上限的90%;尾款结算在完成项目验收、履约担保有效期符合合同要求、固定资产录入有关工作后，根据考核结果一次性付清，尾款不超过合同支付上限的10%。(具体以市财政局相关规定和合同约定为准)。履约有效期到期后，投标人向采购人提出解除履约担保手续，采购人应在接到中标人申请后七个工作日办理解除履约担保手续。</w:t>
      </w:r>
    </w:p>
    <w:p w14:paraId="38F7D7C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如存在扣款的事项，采购人将在进度款或尾款中直接扣减。</w:t>
      </w:r>
    </w:p>
    <w:p w14:paraId="1BB67C01">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 本项目结算总价不得超过合同总价。</w:t>
      </w:r>
    </w:p>
    <w:p w14:paraId="347FD49D">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（四）履约评价金</w:t>
      </w:r>
    </w:p>
    <w:p w14:paraId="19DB2A4F">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采购人对投标人考核分阶段进行评价，项目根据每月中标人履约质量情况进行履约评价，每三个月进行考核，评分采用各月考核评价的平均分，根据实际情况支付。</w:t>
      </w:r>
    </w:p>
    <w:p w14:paraId="12BD21BC">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履约评价进占合同比例按下表：</w:t>
      </w:r>
    </w:p>
    <w:tbl>
      <w:tblPr>
        <w:tblStyle w:val="17"/>
        <w:tblW w:w="0" w:type="auto"/>
        <w:jc w:val="center"/>
        <w:tblLayout w:type="fixed"/>
        <w:tblCellMar>
          <w:top w:w="0" w:type="dxa"/>
          <w:left w:w="108" w:type="dxa"/>
          <w:bottom w:w="0" w:type="dxa"/>
          <w:right w:w="108" w:type="dxa"/>
        </w:tblCellMar>
      </w:tblPr>
      <w:tblGrid>
        <w:gridCol w:w="944"/>
        <w:gridCol w:w="2716"/>
        <w:gridCol w:w="3310"/>
      </w:tblGrid>
      <w:tr w14:paraId="54F6C696">
        <w:tblPrEx>
          <w:tblCellMar>
            <w:top w:w="0" w:type="dxa"/>
            <w:left w:w="108" w:type="dxa"/>
            <w:bottom w:w="0" w:type="dxa"/>
            <w:right w:w="108" w:type="dxa"/>
          </w:tblCellMar>
        </w:tblPrEx>
        <w:trPr>
          <w:trHeight w:val="113"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61E056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序号</w:t>
            </w:r>
          </w:p>
        </w:tc>
        <w:tc>
          <w:tcPr>
            <w:tcW w:w="2716" w:type="dxa"/>
            <w:tcBorders>
              <w:top w:val="single" w:color="auto" w:sz="4" w:space="0"/>
              <w:left w:val="nil"/>
              <w:bottom w:val="single" w:color="auto" w:sz="4" w:space="0"/>
              <w:right w:val="single" w:color="auto" w:sz="4" w:space="0"/>
            </w:tcBorders>
            <w:noWrap w:val="0"/>
            <w:vAlign w:val="center"/>
          </w:tcPr>
          <w:p w14:paraId="1CD919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履约评价考核阶段</w:t>
            </w:r>
          </w:p>
        </w:tc>
        <w:tc>
          <w:tcPr>
            <w:tcW w:w="3310" w:type="dxa"/>
            <w:tcBorders>
              <w:top w:val="single" w:color="auto" w:sz="4" w:space="0"/>
              <w:left w:val="nil"/>
              <w:bottom w:val="single" w:color="auto" w:sz="4" w:space="0"/>
              <w:right w:val="single" w:color="auto" w:sz="4" w:space="0"/>
            </w:tcBorders>
            <w:noWrap w:val="0"/>
            <w:vAlign w:val="center"/>
          </w:tcPr>
          <w:p w14:paraId="2D7CCE3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履约评价金占合同的比例</w:t>
            </w:r>
          </w:p>
        </w:tc>
      </w:tr>
      <w:tr w14:paraId="57D72B6B">
        <w:tblPrEx>
          <w:tblCellMar>
            <w:top w:w="0" w:type="dxa"/>
            <w:left w:w="108" w:type="dxa"/>
            <w:bottom w:w="0" w:type="dxa"/>
            <w:right w:w="108" w:type="dxa"/>
          </w:tblCellMar>
        </w:tblPrEx>
        <w:trPr>
          <w:trHeight w:val="113" w:hRule="atLeast"/>
          <w:jc w:val="center"/>
        </w:trPr>
        <w:tc>
          <w:tcPr>
            <w:tcW w:w="944" w:type="dxa"/>
            <w:tcBorders>
              <w:top w:val="nil"/>
              <w:left w:val="single" w:color="auto" w:sz="4" w:space="0"/>
              <w:bottom w:val="single" w:color="auto" w:sz="4" w:space="0"/>
              <w:right w:val="single" w:color="auto" w:sz="4" w:space="0"/>
            </w:tcBorders>
            <w:noWrap w:val="0"/>
            <w:vAlign w:val="center"/>
          </w:tcPr>
          <w:p w14:paraId="5B45175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p>
        </w:tc>
        <w:tc>
          <w:tcPr>
            <w:tcW w:w="2716" w:type="dxa"/>
            <w:tcBorders>
              <w:top w:val="nil"/>
              <w:left w:val="nil"/>
              <w:bottom w:val="single" w:color="auto" w:sz="4" w:space="0"/>
              <w:right w:val="single" w:color="auto" w:sz="4" w:space="0"/>
            </w:tcBorders>
            <w:noWrap w:val="0"/>
            <w:vAlign w:val="center"/>
          </w:tcPr>
          <w:p w14:paraId="0D46730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合同签订后1-3个月</w:t>
            </w:r>
          </w:p>
        </w:tc>
        <w:tc>
          <w:tcPr>
            <w:tcW w:w="3310" w:type="dxa"/>
            <w:tcBorders>
              <w:top w:val="nil"/>
              <w:left w:val="nil"/>
              <w:bottom w:val="single" w:color="auto" w:sz="4" w:space="0"/>
              <w:right w:val="single" w:color="auto" w:sz="4" w:space="0"/>
            </w:tcBorders>
            <w:noWrap w:val="0"/>
            <w:vAlign w:val="center"/>
          </w:tcPr>
          <w:p w14:paraId="7AD1BC6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r>
      <w:tr w14:paraId="2E5F873A">
        <w:tblPrEx>
          <w:tblCellMar>
            <w:top w:w="0" w:type="dxa"/>
            <w:left w:w="108" w:type="dxa"/>
            <w:bottom w:w="0" w:type="dxa"/>
            <w:right w:w="108" w:type="dxa"/>
          </w:tblCellMar>
        </w:tblPrEx>
        <w:trPr>
          <w:trHeight w:val="113" w:hRule="atLeast"/>
          <w:jc w:val="center"/>
        </w:trPr>
        <w:tc>
          <w:tcPr>
            <w:tcW w:w="944" w:type="dxa"/>
            <w:tcBorders>
              <w:top w:val="nil"/>
              <w:left w:val="single" w:color="auto" w:sz="4" w:space="0"/>
              <w:bottom w:val="single" w:color="auto" w:sz="4" w:space="0"/>
              <w:right w:val="single" w:color="auto" w:sz="4" w:space="0"/>
            </w:tcBorders>
            <w:noWrap w:val="0"/>
            <w:vAlign w:val="center"/>
          </w:tcPr>
          <w:p w14:paraId="1EC894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2716" w:type="dxa"/>
            <w:tcBorders>
              <w:top w:val="nil"/>
              <w:left w:val="nil"/>
              <w:bottom w:val="single" w:color="auto" w:sz="4" w:space="0"/>
              <w:right w:val="single" w:color="auto" w:sz="4" w:space="0"/>
            </w:tcBorders>
            <w:noWrap w:val="0"/>
            <w:vAlign w:val="center"/>
          </w:tcPr>
          <w:p w14:paraId="707BCD5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合同签订后4-6个月</w:t>
            </w:r>
          </w:p>
        </w:tc>
        <w:tc>
          <w:tcPr>
            <w:tcW w:w="3310" w:type="dxa"/>
            <w:tcBorders>
              <w:top w:val="nil"/>
              <w:left w:val="nil"/>
              <w:bottom w:val="single" w:color="auto" w:sz="4" w:space="0"/>
              <w:right w:val="single" w:color="auto" w:sz="4" w:space="0"/>
            </w:tcBorders>
            <w:noWrap w:val="0"/>
            <w:vAlign w:val="center"/>
          </w:tcPr>
          <w:p w14:paraId="58CD033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r>
      <w:tr w14:paraId="6836D7D7">
        <w:tblPrEx>
          <w:tblCellMar>
            <w:top w:w="0" w:type="dxa"/>
            <w:left w:w="108" w:type="dxa"/>
            <w:bottom w:w="0" w:type="dxa"/>
            <w:right w:w="108" w:type="dxa"/>
          </w:tblCellMar>
        </w:tblPrEx>
        <w:trPr>
          <w:trHeight w:val="113" w:hRule="atLeast"/>
          <w:jc w:val="center"/>
        </w:trPr>
        <w:tc>
          <w:tcPr>
            <w:tcW w:w="944" w:type="dxa"/>
            <w:tcBorders>
              <w:top w:val="nil"/>
              <w:left w:val="single" w:color="auto" w:sz="4" w:space="0"/>
              <w:bottom w:val="single" w:color="auto" w:sz="4" w:space="0"/>
              <w:right w:val="single" w:color="auto" w:sz="4" w:space="0"/>
            </w:tcBorders>
            <w:noWrap w:val="0"/>
            <w:vAlign w:val="center"/>
          </w:tcPr>
          <w:p w14:paraId="7D9C5E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2716" w:type="dxa"/>
            <w:tcBorders>
              <w:top w:val="nil"/>
              <w:left w:val="nil"/>
              <w:bottom w:val="single" w:color="auto" w:sz="4" w:space="0"/>
              <w:right w:val="single" w:color="auto" w:sz="4" w:space="0"/>
            </w:tcBorders>
            <w:noWrap w:val="0"/>
            <w:vAlign w:val="center"/>
          </w:tcPr>
          <w:p w14:paraId="5A41C7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合同签订后7-9个月</w:t>
            </w:r>
          </w:p>
        </w:tc>
        <w:tc>
          <w:tcPr>
            <w:tcW w:w="3310" w:type="dxa"/>
            <w:tcBorders>
              <w:top w:val="nil"/>
              <w:left w:val="nil"/>
              <w:bottom w:val="single" w:color="auto" w:sz="4" w:space="0"/>
              <w:right w:val="single" w:color="auto" w:sz="4" w:space="0"/>
            </w:tcBorders>
            <w:noWrap w:val="0"/>
            <w:vAlign w:val="center"/>
          </w:tcPr>
          <w:p w14:paraId="4DA1DF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r>
      <w:tr w14:paraId="0C267CA6">
        <w:tblPrEx>
          <w:tblCellMar>
            <w:top w:w="0" w:type="dxa"/>
            <w:left w:w="108" w:type="dxa"/>
            <w:bottom w:w="0" w:type="dxa"/>
            <w:right w:w="108" w:type="dxa"/>
          </w:tblCellMar>
        </w:tblPrEx>
        <w:trPr>
          <w:trHeight w:val="113" w:hRule="atLeast"/>
          <w:jc w:val="center"/>
        </w:trPr>
        <w:tc>
          <w:tcPr>
            <w:tcW w:w="944" w:type="dxa"/>
            <w:tcBorders>
              <w:top w:val="nil"/>
              <w:left w:val="single" w:color="auto" w:sz="4" w:space="0"/>
              <w:bottom w:val="single" w:color="auto" w:sz="4" w:space="0"/>
              <w:right w:val="single" w:color="auto" w:sz="4" w:space="0"/>
            </w:tcBorders>
            <w:noWrap w:val="0"/>
            <w:vAlign w:val="center"/>
          </w:tcPr>
          <w:p w14:paraId="481374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w:t>
            </w:r>
          </w:p>
        </w:tc>
        <w:tc>
          <w:tcPr>
            <w:tcW w:w="2716" w:type="dxa"/>
            <w:tcBorders>
              <w:top w:val="nil"/>
              <w:left w:val="nil"/>
              <w:bottom w:val="single" w:color="auto" w:sz="4" w:space="0"/>
              <w:right w:val="single" w:color="auto" w:sz="4" w:space="0"/>
            </w:tcBorders>
            <w:noWrap w:val="0"/>
            <w:vAlign w:val="center"/>
          </w:tcPr>
          <w:p w14:paraId="54AA5D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合同签订后10-12个月</w:t>
            </w:r>
          </w:p>
        </w:tc>
        <w:tc>
          <w:tcPr>
            <w:tcW w:w="3310" w:type="dxa"/>
            <w:tcBorders>
              <w:top w:val="nil"/>
              <w:left w:val="nil"/>
              <w:bottom w:val="single" w:color="auto" w:sz="4" w:space="0"/>
              <w:right w:val="single" w:color="auto" w:sz="4" w:space="0"/>
            </w:tcBorders>
            <w:noWrap w:val="0"/>
            <w:vAlign w:val="center"/>
          </w:tcPr>
          <w:p w14:paraId="2A38785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r>
      <w:tr w14:paraId="07409427">
        <w:tblPrEx>
          <w:tblCellMar>
            <w:top w:w="0" w:type="dxa"/>
            <w:left w:w="108" w:type="dxa"/>
            <w:bottom w:w="0" w:type="dxa"/>
            <w:right w:w="108" w:type="dxa"/>
          </w:tblCellMar>
        </w:tblPrEx>
        <w:trPr>
          <w:trHeight w:val="113" w:hRule="atLeast"/>
          <w:jc w:val="center"/>
        </w:trPr>
        <w:tc>
          <w:tcPr>
            <w:tcW w:w="944" w:type="dxa"/>
            <w:tcBorders>
              <w:top w:val="nil"/>
              <w:left w:val="single" w:color="auto" w:sz="4" w:space="0"/>
              <w:bottom w:val="single" w:color="auto" w:sz="4" w:space="0"/>
              <w:right w:val="single" w:color="auto" w:sz="4" w:space="0"/>
            </w:tcBorders>
            <w:noWrap w:val="0"/>
            <w:vAlign w:val="center"/>
          </w:tcPr>
          <w:p w14:paraId="0B56FF9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2716" w:type="dxa"/>
            <w:tcBorders>
              <w:top w:val="nil"/>
              <w:left w:val="nil"/>
              <w:bottom w:val="single" w:color="auto" w:sz="4" w:space="0"/>
              <w:right w:val="single" w:color="auto" w:sz="4" w:space="0"/>
            </w:tcBorders>
            <w:noWrap w:val="0"/>
            <w:vAlign w:val="center"/>
          </w:tcPr>
          <w:p w14:paraId="2A73D7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总计</w:t>
            </w:r>
          </w:p>
        </w:tc>
        <w:tc>
          <w:tcPr>
            <w:tcW w:w="3310" w:type="dxa"/>
            <w:tcBorders>
              <w:top w:val="nil"/>
              <w:left w:val="nil"/>
              <w:bottom w:val="single" w:color="auto" w:sz="4" w:space="0"/>
              <w:right w:val="single" w:color="auto" w:sz="4" w:space="0"/>
            </w:tcBorders>
            <w:noWrap w:val="0"/>
            <w:vAlign w:val="center"/>
          </w:tcPr>
          <w:p w14:paraId="7A2AAA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60%</w:t>
            </w:r>
          </w:p>
        </w:tc>
      </w:tr>
    </w:tbl>
    <w:p w14:paraId="44FF641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履约评价考核分五级：S、A、B、C、D。</w:t>
      </w:r>
    </w:p>
    <w:p w14:paraId="3B83B75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考核评分≥97分，评价等级为“S”；97分＞考核评分≥90分，评价等级为“A”；90分&gt;考核评分≥80分，评价等级为“B”；80分＞考核评分≥60分，评价等级为“C”；考核评分＜60分，评价等级为“D”；</w:t>
      </w:r>
    </w:p>
    <w:p w14:paraId="52C81700">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履约评价考核结果与评价费用支付比例关联，具体如下：</w:t>
      </w:r>
    </w:p>
    <w:p w14:paraId="50F560B6">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S：支付比例=当季履约评价金</w:t>
      </w:r>
    </w:p>
    <w:p w14:paraId="3526F2B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A：支付比例=当季履约评价金*1.0*考核分数百分比；</w:t>
      </w:r>
    </w:p>
    <w:p w14:paraId="5C92AF38">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B：支付比例=当季履约评价金*0.8*考核分数百分比；</w:t>
      </w:r>
    </w:p>
    <w:p w14:paraId="50594B05">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C：支付比例=当季履约评价金*0.6*考核分数百分比；</w:t>
      </w:r>
    </w:p>
    <w:p w14:paraId="2E8B03A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D：支付比例=0。</w:t>
      </w:r>
    </w:p>
    <w:p w14:paraId="071BAE10">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（五）质量考核验收标准</w:t>
      </w:r>
    </w:p>
    <w:p w14:paraId="2EC6EE5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1.根据采购人制定的“深圳交警设施运维考核办法”进行考核。</w:t>
      </w:r>
    </w:p>
    <w:p w14:paraId="519AF15F">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2.鉴于本项目涉及采购人内部涉密数据，双方须在签订合同时一并签订保密协议。投标人须每个季度开展一次信息安全和保密要求培训，并向采购人提供培训台账。</w:t>
      </w:r>
    </w:p>
    <w:p w14:paraId="28995B4D">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3.配合完成合作企业及人员安全审查。</w:t>
      </w:r>
    </w:p>
    <w:p w14:paraId="7CDB0BF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4.深圳交警设施运维考核办法如下：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14:paraId="07C2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tcPr>
          <w:p w14:paraId="134BC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Times New Roman" w:hAnsi="Times New Roman" w:eastAsia="宋体" w:cs="Times New Roman"/>
                <w:sz w:val="24"/>
                <w:szCs w:val="20"/>
                <w:lang w:val="en-US" w:eastAsia="zh-CN"/>
              </w:rPr>
            </w:pPr>
          </w:p>
          <w:p w14:paraId="4339B995">
            <w:pPr>
              <w:keepNext w:val="0"/>
              <w:keepLines w:val="0"/>
              <w:widowControl w:val="0"/>
              <w:suppressLineNumbers w:val="0"/>
              <w:spacing w:before="0" w:beforeAutospacing="0" w:after="0" w:afterAutospacing="0"/>
              <w:ind w:left="0" w:right="0"/>
              <w:jc w:val="center"/>
              <w:rPr>
                <w:rFonts w:hint="eastAsia" w:ascii="Calibri" w:hAnsi="Calibri" w:eastAsia="宋体" w:cs="Times New Roman"/>
                <w:b/>
                <w:kern w:val="2"/>
                <w:sz w:val="22"/>
                <w:szCs w:val="21"/>
                <w:lang w:val="en-US" w:eastAsia="zh-CN" w:bidi="ar-SA"/>
              </w:rPr>
            </w:pPr>
            <w:bookmarkStart w:id="37" w:name="考核办法"/>
            <w:r>
              <w:rPr>
                <w:rFonts w:hint="eastAsia" w:ascii="方正小标宋简体" w:hAnsi="方正小标宋简体" w:eastAsia="方正小标宋简体" w:cs="方正小标宋简体"/>
                <w:b/>
                <w:kern w:val="2"/>
                <w:sz w:val="32"/>
                <w:szCs w:val="32"/>
                <w:lang w:val="en-US" w:eastAsia="zh-CN" w:bidi="ar-SA"/>
              </w:rPr>
              <w:t>深圳交警设施运维考核办法</w:t>
            </w:r>
          </w:p>
          <w:p w14:paraId="6D0A7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3"/>
              <w:rPr>
                <w:rFonts w:hint="default" w:ascii="Calibri" w:hAnsi="Calibri" w:eastAsia="宋体" w:cs="Times New Roman"/>
                <w:b/>
                <w:kern w:val="2"/>
                <w:sz w:val="24"/>
                <w:szCs w:val="22"/>
                <w:lang w:val="en-US" w:eastAsia="zh-CN" w:bidi="ar-SA"/>
              </w:rPr>
            </w:pPr>
            <w:r>
              <w:rPr>
                <w:rFonts w:hint="eastAsia" w:ascii="宋体" w:hAnsi="宋体" w:eastAsia="宋体" w:cs="宋体"/>
                <w:b/>
                <w:color w:val="auto"/>
                <w:sz w:val="22"/>
                <w:szCs w:val="22"/>
                <w:lang w:val="en-US" w:eastAsia="zh-CN"/>
              </w:rPr>
              <w:t>一、评分项（总分：100分）</w:t>
            </w:r>
            <w:bookmarkEnd w:id="37"/>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6010"/>
              <w:gridCol w:w="673"/>
              <w:gridCol w:w="866"/>
            </w:tblGrid>
            <w:tr w14:paraId="2CE4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00" w:type="pct"/>
                  <w:shd w:val="clear" w:color="auto" w:fill="BEBEBE"/>
                  <w:vAlign w:val="center"/>
                </w:tcPr>
                <w:p w14:paraId="2B1FCD86">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类别</w:t>
                  </w:r>
                </w:p>
              </w:tc>
              <w:tc>
                <w:tcPr>
                  <w:tcW w:w="3582" w:type="pct"/>
                  <w:shd w:val="clear" w:color="auto" w:fill="BEBEBE"/>
                  <w:vAlign w:val="center"/>
                </w:tcPr>
                <w:p w14:paraId="200E82F6">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评分标准</w:t>
                  </w:r>
                </w:p>
              </w:tc>
              <w:tc>
                <w:tcPr>
                  <w:tcW w:w="401" w:type="pct"/>
                  <w:shd w:val="clear" w:color="auto" w:fill="BEBEBE"/>
                  <w:vAlign w:val="center"/>
                </w:tcPr>
                <w:p w14:paraId="22BE4D7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分数</w:t>
                  </w:r>
                </w:p>
              </w:tc>
              <w:tc>
                <w:tcPr>
                  <w:tcW w:w="516" w:type="pct"/>
                  <w:shd w:val="clear" w:color="auto" w:fill="BEBEBE"/>
                  <w:vAlign w:val="center"/>
                </w:tcPr>
                <w:p w14:paraId="5C140CC7">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考核主体</w:t>
                  </w:r>
                </w:p>
              </w:tc>
            </w:tr>
            <w:tr w14:paraId="332E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00" w:type="pct"/>
                  <w:shd w:val="clear" w:color="auto" w:fill="auto"/>
                  <w:vAlign w:val="center"/>
                </w:tcPr>
                <w:p w14:paraId="2896F37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设备质量</w:t>
                  </w:r>
                </w:p>
                <w:p w14:paraId="25CE3885">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（20分）</w:t>
                  </w:r>
                </w:p>
              </w:tc>
              <w:tc>
                <w:tcPr>
                  <w:tcW w:w="3582" w:type="pct"/>
                  <w:shd w:val="clear" w:color="auto" w:fill="auto"/>
                  <w:vAlign w:val="center"/>
                </w:tcPr>
                <w:p w14:paraId="37EF5995">
                  <w:pPr>
                    <w:keepNext w:val="0"/>
                    <w:keepLines w:val="0"/>
                    <w:widowControl/>
                    <w:numPr>
                      <w:ilvl w:val="0"/>
                      <w:numId w:val="0"/>
                    </w:numPr>
                    <w:suppressLineNumbers w:val="0"/>
                    <w:spacing w:before="0" w:beforeAutospacing="0" w:after="0" w:afterAutospacing="0"/>
                    <w:ind w:left="0" w:right="0" w:firstLine="201" w:firstLineChars="100"/>
                    <w:jc w:val="left"/>
                    <w:rPr>
                      <w:rFonts w:hint="default" w:ascii="宋体" w:hAnsi="宋体" w:eastAsia="宋体" w:cs="宋体"/>
                      <w:color w:val="000000"/>
                      <w:kern w:val="0"/>
                      <w:sz w:val="20"/>
                      <w:szCs w:val="20"/>
                      <w:lang w:val="en-US" w:eastAsia="zh-CN" w:bidi="ar-SA"/>
                    </w:rPr>
                  </w:pPr>
                  <w:r>
                    <w:rPr>
                      <w:rFonts w:hint="eastAsia" w:ascii="宋体" w:hAnsi="宋体" w:eastAsia="宋体" w:cs="宋体"/>
                      <w:b/>
                      <w:color w:val="000000"/>
                      <w:kern w:val="0"/>
                      <w:sz w:val="20"/>
                      <w:szCs w:val="20"/>
                      <w:lang w:val="en-US" w:eastAsia="zh-CN" w:bidi="ar-SA"/>
                    </w:rPr>
                    <w:t>1、设备平</w:t>
                  </w:r>
                  <w:r>
                    <w:rPr>
                      <w:rFonts w:hint="default" w:ascii="宋体" w:hAnsi="宋体" w:eastAsia="宋体" w:cs="宋体"/>
                      <w:b/>
                      <w:color w:val="000000"/>
                      <w:kern w:val="0"/>
                      <w:sz w:val="20"/>
                      <w:szCs w:val="20"/>
                      <w:lang w:val="en-US" w:eastAsia="zh-CN" w:bidi="ar-SA"/>
                    </w:rPr>
                    <w:t>均</w:t>
                  </w:r>
                  <w:r>
                    <w:rPr>
                      <w:rFonts w:hint="eastAsia" w:ascii="宋体" w:hAnsi="宋体" w:eastAsia="宋体" w:cs="宋体"/>
                      <w:b/>
                      <w:color w:val="000000"/>
                      <w:kern w:val="0"/>
                      <w:sz w:val="20"/>
                      <w:szCs w:val="20"/>
                      <w:lang w:val="en-US" w:eastAsia="zh-CN" w:bidi="ar-SA"/>
                    </w:rPr>
                    <w:t>在线率（20分</w:t>
                  </w:r>
                  <w:r>
                    <w:rPr>
                      <w:rFonts w:hint="default" w:ascii="宋体" w:hAnsi="宋体" w:eastAsia="宋体" w:cs="宋体"/>
                      <w:b/>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w:t>
                  </w:r>
                  <w:r>
                    <w:rPr>
                      <w:rFonts w:hint="default" w:ascii="宋体" w:hAnsi="宋体" w:eastAsia="宋体" w:cs="宋体"/>
                      <w:color w:val="000000"/>
                      <w:kern w:val="0"/>
                      <w:sz w:val="20"/>
                      <w:szCs w:val="20"/>
                      <w:lang w:val="en-US" w:eastAsia="zh-CN" w:bidi="ar-SA"/>
                    </w:rPr>
                    <w:t xml:space="preserve"> </w:t>
                  </w:r>
                </w:p>
                <w:p w14:paraId="68C81D21">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根据设备管理</w:t>
                  </w:r>
                  <w:r>
                    <w:rPr>
                      <w:rFonts w:hint="default" w:ascii="宋体" w:hAnsi="宋体" w:eastAsia="宋体" w:cs="宋体"/>
                      <w:color w:val="000000"/>
                      <w:kern w:val="0"/>
                      <w:sz w:val="20"/>
                      <w:szCs w:val="20"/>
                      <w:lang w:val="en-US" w:eastAsia="zh-CN" w:bidi="ar-SA"/>
                    </w:rPr>
                    <w:t>平台</w:t>
                  </w:r>
                  <w:r>
                    <w:rPr>
                      <w:rFonts w:hint="eastAsia" w:ascii="宋体" w:hAnsi="宋体" w:eastAsia="宋体" w:cs="宋体"/>
                      <w:color w:val="000000"/>
                      <w:kern w:val="0"/>
                      <w:sz w:val="20"/>
                      <w:szCs w:val="20"/>
                      <w:lang w:val="en-US" w:eastAsia="zh-CN" w:bidi="ar-SA"/>
                    </w:rPr>
                    <w:t>每</w:t>
                  </w:r>
                  <w:r>
                    <w:rPr>
                      <w:rFonts w:hint="default" w:ascii="宋体" w:hAnsi="宋体" w:eastAsia="宋体" w:cs="宋体"/>
                      <w:color w:val="000000"/>
                      <w:kern w:val="0"/>
                      <w:sz w:val="20"/>
                      <w:szCs w:val="20"/>
                      <w:lang w:val="en-US" w:eastAsia="zh-CN" w:bidi="ar-SA"/>
                    </w:rPr>
                    <w:t>日统计</w:t>
                  </w:r>
                  <w:r>
                    <w:rPr>
                      <w:rFonts w:hint="eastAsia" w:ascii="宋体" w:hAnsi="宋体" w:eastAsia="宋体" w:cs="宋体"/>
                      <w:color w:val="000000"/>
                      <w:kern w:val="0"/>
                      <w:sz w:val="20"/>
                      <w:szCs w:val="20"/>
                      <w:lang w:val="en-US" w:eastAsia="zh-CN" w:bidi="ar-SA"/>
                    </w:rPr>
                    <w:t>交通监控设备（含信号灯、电子警察、车牌识别、闭路电视、诱导屏）在线率（每日截取一次各类设备的平台在线率），</w:t>
                  </w:r>
                  <w:r>
                    <w:rPr>
                      <w:rFonts w:hint="default" w:ascii="宋体" w:hAnsi="宋体" w:eastAsia="宋体" w:cs="宋体"/>
                      <w:color w:val="000000"/>
                      <w:kern w:val="0"/>
                      <w:sz w:val="20"/>
                      <w:szCs w:val="20"/>
                      <w:lang w:val="en-US" w:eastAsia="zh-CN" w:bidi="ar-SA"/>
                    </w:rPr>
                    <w:t>取</w:t>
                  </w:r>
                  <w:r>
                    <w:rPr>
                      <w:rFonts w:hint="eastAsia" w:ascii="宋体" w:hAnsi="宋体" w:eastAsia="宋体" w:cs="宋体"/>
                      <w:color w:val="000000"/>
                      <w:kern w:val="0"/>
                      <w:sz w:val="20"/>
                      <w:szCs w:val="20"/>
                      <w:lang w:val="en-US" w:eastAsia="zh-CN" w:bidi="ar-SA"/>
                    </w:rPr>
                    <w:t>维护月周期的交通监控设备综合</w:t>
                  </w:r>
                  <w:r>
                    <w:rPr>
                      <w:rFonts w:hint="default" w:ascii="宋体" w:hAnsi="宋体" w:eastAsia="宋体" w:cs="宋体"/>
                      <w:color w:val="000000"/>
                      <w:kern w:val="0"/>
                      <w:sz w:val="20"/>
                      <w:szCs w:val="20"/>
                      <w:lang w:val="en-US" w:eastAsia="zh-CN" w:bidi="ar-SA"/>
                    </w:rPr>
                    <w:t>平均</w:t>
                  </w:r>
                  <w:r>
                    <w:rPr>
                      <w:rFonts w:hint="eastAsia" w:ascii="宋体" w:hAnsi="宋体" w:eastAsia="宋体" w:cs="宋体"/>
                      <w:color w:val="000000"/>
                      <w:kern w:val="0"/>
                      <w:sz w:val="20"/>
                      <w:szCs w:val="20"/>
                      <w:lang w:val="en-US" w:eastAsia="zh-CN" w:bidi="ar-SA"/>
                    </w:rPr>
                    <w:t>在线率；</w:t>
                  </w:r>
                </w:p>
                <w:p w14:paraId="443B60DC">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default" w:ascii="宋体" w:hAnsi="宋体" w:eastAsia="宋体" w:cs="宋体"/>
                      <w:color w:val="000000"/>
                      <w:kern w:val="0"/>
                      <w:sz w:val="20"/>
                      <w:szCs w:val="20"/>
                      <w:lang w:val="en-US" w:eastAsia="zh-CN" w:bidi="ar-SA"/>
                    </w:rPr>
                    <w:t>95</w:t>
                  </w:r>
                  <w:r>
                    <w:rPr>
                      <w:rFonts w:hint="eastAsia" w:ascii="宋体" w:hAnsi="宋体" w:eastAsia="宋体" w:cs="宋体"/>
                      <w:color w:val="000000"/>
                      <w:kern w:val="0"/>
                      <w:sz w:val="20"/>
                      <w:szCs w:val="20"/>
                      <w:lang w:val="en-US" w:eastAsia="zh-CN" w:bidi="ar-SA"/>
                    </w:rPr>
                    <w:t>%≤设备综合平均在线率，评定为A级；</w:t>
                  </w:r>
                  <w:r>
                    <w:rPr>
                      <w:rFonts w:hint="default" w:ascii="宋体" w:hAnsi="宋体" w:eastAsia="宋体" w:cs="宋体"/>
                      <w:color w:val="000000"/>
                      <w:kern w:val="0"/>
                      <w:sz w:val="20"/>
                      <w:szCs w:val="20"/>
                      <w:lang w:val="en-US" w:eastAsia="zh-CN" w:bidi="ar-SA"/>
                    </w:rPr>
                    <w:t xml:space="preserve"> </w:t>
                  </w:r>
                </w:p>
                <w:p w14:paraId="594C2DB8">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default" w:ascii="宋体" w:hAnsi="宋体" w:eastAsia="宋体" w:cs="宋体"/>
                      <w:color w:val="000000"/>
                      <w:kern w:val="0"/>
                      <w:sz w:val="20"/>
                      <w:szCs w:val="20"/>
                      <w:lang w:val="en-US" w:eastAsia="zh-CN" w:bidi="ar-SA"/>
                    </w:rPr>
                    <w:t>90</w:t>
                  </w:r>
                  <w:r>
                    <w:rPr>
                      <w:rFonts w:hint="eastAsia" w:ascii="宋体" w:hAnsi="宋体" w:eastAsia="宋体" w:cs="宋体"/>
                      <w:color w:val="000000"/>
                      <w:kern w:val="0"/>
                      <w:sz w:val="20"/>
                      <w:szCs w:val="20"/>
                      <w:lang w:val="en-US" w:eastAsia="zh-CN" w:bidi="ar-SA"/>
                    </w:rPr>
                    <w:t>%≤设备综合平均在线率&lt;</w:t>
                  </w:r>
                  <w:r>
                    <w:rPr>
                      <w:rFonts w:hint="default" w:ascii="宋体" w:hAnsi="宋体" w:eastAsia="宋体" w:cs="宋体"/>
                      <w:color w:val="000000"/>
                      <w:kern w:val="0"/>
                      <w:sz w:val="20"/>
                      <w:szCs w:val="20"/>
                      <w:lang w:val="en-US" w:eastAsia="zh-CN" w:bidi="ar-SA"/>
                    </w:rPr>
                    <w:t>95</w:t>
                  </w:r>
                  <w:r>
                    <w:rPr>
                      <w:rFonts w:hint="eastAsia" w:ascii="宋体" w:hAnsi="宋体" w:eastAsia="宋体" w:cs="宋体"/>
                      <w:color w:val="000000"/>
                      <w:kern w:val="0"/>
                      <w:sz w:val="20"/>
                      <w:szCs w:val="20"/>
                      <w:lang w:val="en-US" w:eastAsia="zh-CN" w:bidi="ar-SA"/>
                    </w:rPr>
                    <w:t>%，评定为B级；</w:t>
                  </w:r>
                </w:p>
                <w:p w14:paraId="7E6EAE04">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default" w:ascii="宋体" w:hAnsi="宋体" w:eastAsia="宋体" w:cs="宋体"/>
                      <w:color w:val="000000"/>
                      <w:kern w:val="0"/>
                      <w:sz w:val="20"/>
                      <w:szCs w:val="20"/>
                      <w:lang w:val="en-US" w:eastAsia="zh-CN" w:bidi="ar-SA"/>
                    </w:rPr>
                    <w:t>85</w:t>
                  </w:r>
                  <w:r>
                    <w:rPr>
                      <w:rFonts w:hint="eastAsia" w:ascii="宋体" w:hAnsi="宋体" w:eastAsia="宋体" w:cs="宋体"/>
                      <w:color w:val="000000"/>
                      <w:kern w:val="0"/>
                      <w:sz w:val="20"/>
                      <w:szCs w:val="20"/>
                      <w:lang w:val="en-US" w:eastAsia="zh-CN" w:bidi="ar-SA"/>
                    </w:rPr>
                    <w:t>%≤设备综合平均在线率&lt;</w:t>
                  </w:r>
                  <w:r>
                    <w:rPr>
                      <w:rFonts w:hint="default" w:ascii="宋体" w:hAnsi="宋体" w:eastAsia="宋体" w:cs="宋体"/>
                      <w:color w:val="000000"/>
                      <w:kern w:val="0"/>
                      <w:sz w:val="20"/>
                      <w:szCs w:val="20"/>
                      <w:lang w:val="en-US" w:eastAsia="zh-CN" w:bidi="ar-SA"/>
                    </w:rPr>
                    <w:t>90</w:t>
                  </w:r>
                  <w:r>
                    <w:rPr>
                      <w:rFonts w:hint="eastAsia" w:ascii="宋体" w:hAnsi="宋体" w:eastAsia="宋体" w:cs="宋体"/>
                      <w:color w:val="000000"/>
                      <w:kern w:val="0"/>
                      <w:sz w:val="20"/>
                      <w:szCs w:val="20"/>
                      <w:lang w:val="en-US" w:eastAsia="zh-CN" w:bidi="ar-SA"/>
                    </w:rPr>
                    <w:t>%，评定为C级；</w:t>
                  </w:r>
                </w:p>
                <w:p w14:paraId="69468EC5">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设备综合平均在线率&lt;</w:t>
                  </w:r>
                  <w:r>
                    <w:rPr>
                      <w:rFonts w:hint="default" w:ascii="宋体" w:hAnsi="宋体" w:eastAsia="宋体" w:cs="宋体"/>
                      <w:color w:val="000000"/>
                      <w:kern w:val="0"/>
                      <w:sz w:val="20"/>
                      <w:szCs w:val="20"/>
                      <w:lang w:val="en-US" w:eastAsia="zh-CN" w:bidi="ar-SA"/>
                    </w:rPr>
                    <w:t>85</w:t>
                  </w:r>
                  <w:r>
                    <w:rPr>
                      <w:rFonts w:hint="eastAsia" w:ascii="宋体" w:hAnsi="宋体" w:eastAsia="宋体" w:cs="宋体"/>
                      <w:color w:val="000000"/>
                      <w:kern w:val="0"/>
                      <w:sz w:val="20"/>
                      <w:szCs w:val="20"/>
                      <w:lang w:val="en-US" w:eastAsia="zh-CN" w:bidi="ar-SA"/>
                    </w:rPr>
                    <w:t>%，评定为D级；</w:t>
                  </w:r>
                </w:p>
                <w:p w14:paraId="6716FC20">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A级得分：20*</w:t>
                  </w:r>
                  <w:r>
                    <w:rPr>
                      <w:rFonts w:hint="default" w:ascii="宋体" w:hAnsi="宋体" w:eastAsia="宋体" w:cs="宋体"/>
                      <w:color w:val="000000"/>
                      <w:kern w:val="0"/>
                      <w:sz w:val="20"/>
                      <w:szCs w:val="20"/>
                      <w:lang w:val="en-US" w:eastAsia="zh-CN" w:bidi="ar-SA"/>
                    </w:rPr>
                    <w:t>1.0</w:t>
                  </w:r>
                  <w:r>
                    <w:rPr>
                      <w:rFonts w:hint="eastAsia" w:ascii="宋体" w:hAnsi="宋体" w:eastAsia="宋体" w:cs="宋体"/>
                      <w:color w:val="000000"/>
                      <w:kern w:val="0"/>
                      <w:sz w:val="20"/>
                      <w:szCs w:val="20"/>
                      <w:lang w:val="en-US" w:eastAsia="zh-CN" w:bidi="ar-SA"/>
                    </w:rPr>
                    <w:t>*在线率；</w:t>
                  </w:r>
                </w:p>
                <w:p w14:paraId="483B103E">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B级得分：20*</w:t>
                  </w:r>
                  <w:r>
                    <w:rPr>
                      <w:rFonts w:hint="default" w:ascii="宋体" w:hAnsi="宋体" w:eastAsia="宋体" w:cs="宋体"/>
                      <w:color w:val="000000"/>
                      <w:kern w:val="0"/>
                      <w:sz w:val="20"/>
                      <w:szCs w:val="20"/>
                      <w:lang w:val="en-US" w:eastAsia="zh-CN" w:bidi="ar-SA"/>
                    </w:rPr>
                    <w:t>0.95</w:t>
                  </w:r>
                  <w:r>
                    <w:rPr>
                      <w:rFonts w:hint="eastAsia" w:ascii="宋体" w:hAnsi="宋体" w:eastAsia="宋体" w:cs="宋体"/>
                      <w:color w:val="000000"/>
                      <w:kern w:val="0"/>
                      <w:sz w:val="20"/>
                      <w:szCs w:val="20"/>
                      <w:lang w:val="en-US" w:eastAsia="zh-CN" w:bidi="ar-SA"/>
                    </w:rPr>
                    <w:t>*在线率；</w:t>
                  </w:r>
                </w:p>
                <w:p w14:paraId="6567668F">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C级得分：20*</w:t>
                  </w:r>
                  <w:r>
                    <w:rPr>
                      <w:rFonts w:hint="default" w:ascii="宋体" w:hAnsi="宋体" w:eastAsia="宋体" w:cs="宋体"/>
                      <w:color w:val="000000"/>
                      <w:kern w:val="0"/>
                      <w:sz w:val="20"/>
                      <w:szCs w:val="20"/>
                      <w:lang w:val="en-US" w:eastAsia="zh-CN" w:bidi="ar-SA"/>
                    </w:rPr>
                    <w:t>0.85</w:t>
                  </w:r>
                  <w:r>
                    <w:rPr>
                      <w:rFonts w:hint="eastAsia" w:ascii="宋体" w:hAnsi="宋体" w:eastAsia="宋体" w:cs="宋体"/>
                      <w:color w:val="000000"/>
                      <w:kern w:val="0"/>
                      <w:sz w:val="20"/>
                      <w:szCs w:val="20"/>
                      <w:lang w:val="en-US" w:eastAsia="zh-CN" w:bidi="ar-SA"/>
                    </w:rPr>
                    <w:t>*在线率；</w:t>
                  </w:r>
                </w:p>
                <w:p w14:paraId="2C44257B">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default" w:ascii="宋体" w:hAnsi="宋体" w:eastAsia="宋体" w:cs="宋体"/>
                      <w:color w:val="000000"/>
                      <w:kern w:val="0"/>
                      <w:sz w:val="20"/>
                      <w:szCs w:val="20"/>
                      <w:lang w:val="en-US" w:eastAsia="zh-CN" w:bidi="ar-SA"/>
                    </w:rPr>
                    <w:t>D</w:t>
                  </w:r>
                  <w:r>
                    <w:rPr>
                      <w:rFonts w:hint="eastAsia" w:ascii="宋体" w:hAnsi="宋体" w:eastAsia="宋体" w:cs="宋体"/>
                      <w:color w:val="000000"/>
                      <w:kern w:val="0"/>
                      <w:sz w:val="20"/>
                      <w:szCs w:val="20"/>
                      <w:lang w:val="en-US" w:eastAsia="zh-CN" w:bidi="ar-SA"/>
                    </w:rPr>
                    <w:t>级得分：0；</w:t>
                  </w:r>
                </w:p>
              </w:tc>
              <w:tc>
                <w:tcPr>
                  <w:tcW w:w="401" w:type="pct"/>
                  <w:shd w:val="clear" w:color="000000" w:fill="FFFFFF"/>
                  <w:vAlign w:val="center"/>
                </w:tcPr>
                <w:p w14:paraId="6E454F3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20分</w:t>
                  </w:r>
                </w:p>
              </w:tc>
              <w:tc>
                <w:tcPr>
                  <w:tcW w:w="516" w:type="pct"/>
                  <w:shd w:val="clear" w:color="000000" w:fill="FFFFFF"/>
                  <w:vAlign w:val="center"/>
                </w:tcPr>
                <w:p w14:paraId="06117E0C">
                  <w:pPr>
                    <w:keepNext w:val="0"/>
                    <w:keepLines w:val="0"/>
                    <w:widowControl/>
                    <w:suppressLineNumbers w:val="0"/>
                    <w:spacing w:before="0" w:beforeAutospacing="0" w:after="0" w:afterAutospacing="0"/>
                    <w:ind w:left="0" w:right="0"/>
                    <w:jc w:val="both"/>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科技处</w:t>
                  </w:r>
                </w:p>
              </w:tc>
            </w:tr>
            <w:tr w14:paraId="1AAE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00" w:type="pct"/>
                  <w:vMerge w:val="restart"/>
                  <w:shd w:val="clear" w:color="000000" w:fill="FFFFFF"/>
                  <w:vAlign w:val="center"/>
                </w:tcPr>
                <w:p w14:paraId="04887AF1">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维护质量</w:t>
                  </w:r>
                </w:p>
                <w:p w14:paraId="32213710">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（70分）</w:t>
                  </w:r>
                </w:p>
              </w:tc>
              <w:tc>
                <w:tcPr>
                  <w:tcW w:w="3582" w:type="pct"/>
                  <w:shd w:val="clear" w:color="000000" w:fill="FFFFFF"/>
                  <w:vAlign w:val="center"/>
                </w:tcPr>
                <w:p w14:paraId="33FFEB93">
                  <w:pPr>
                    <w:keepNext w:val="0"/>
                    <w:keepLines w:val="0"/>
                    <w:widowControl/>
                    <w:numPr>
                      <w:ilvl w:val="0"/>
                      <w:numId w:val="5"/>
                    </w:numPr>
                    <w:suppressLineNumbers w:val="0"/>
                    <w:spacing w:before="0" w:beforeAutospacing="0" w:after="0" w:afterAutospacing="0"/>
                    <w:ind w:left="360" w:right="0" w:hanging="360" w:firstLineChars="0"/>
                    <w:jc w:val="left"/>
                    <w:rPr>
                      <w:rFonts w:hint="default" w:ascii="宋体" w:hAnsi="宋体" w:eastAsia="宋体" w:cs="宋体"/>
                      <w:color w:val="000000"/>
                      <w:kern w:val="0"/>
                      <w:sz w:val="20"/>
                      <w:szCs w:val="20"/>
                      <w:lang w:val="en-US" w:eastAsia="zh-CN" w:bidi="ar-SA"/>
                    </w:rPr>
                  </w:pPr>
                  <w:r>
                    <w:rPr>
                      <w:rFonts w:hint="eastAsia" w:ascii="宋体" w:hAnsi="宋体" w:eastAsia="宋体" w:cs="宋体"/>
                      <w:b/>
                      <w:color w:val="000000"/>
                      <w:kern w:val="0"/>
                      <w:sz w:val="20"/>
                      <w:szCs w:val="20"/>
                      <w:lang w:val="en-US" w:eastAsia="zh-CN" w:bidi="ar-SA"/>
                    </w:rPr>
                    <w:t>到场时间超时次数（20分</w:t>
                  </w:r>
                  <w:r>
                    <w:rPr>
                      <w:rFonts w:hint="default" w:ascii="宋体" w:hAnsi="宋体" w:eastAsia="宋体" w:cs="宋体"/>
                      <w:b/>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w:t>
                  </w:r>
                </w:p>
                <w:p w14:paraId="2747A8B0">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维护月周期内故障（包括</w:t>
                  </w:r>
                  <w:r>
                    <w:rPr>
                      <w:rFonts w:hint="eastAsia" w:ascii="宋体" w:hAnsi="宋体" w:eastAsia="宋体" w:cs="Times New Roman"/>
                      <w:color w:val="000000"/>
                      <w:kern w:val="2"/>
                      <w:sz w:val="21"/>
                      <w:szCs w:val="21"/>
                      <w:lang w:val="en-US" w:eastAsia="zh-CN" w:bidi="ar-SA"/>
                    </w:rPr>
                    <w:t>因客观原因导致停电及供电故障</w:t>
                  </w:r>
                  <w:r>
                    <w:rPr>
                      <w:rFonts w:hint="eastAsia" w:ascii="宋体" w:hAnsi="宋体" w:eastAsia="宋体" w:cs="宋体"/>
                      <w:color w:val="000000"/>
                      <w:kern w:val="0"/>
                      <w:sz w:val="20"/>
                      <w:szCs w:val="20"/>
                      <w:lang w:val="en-US" w:eastAsia="zh-CN" w:bidi="ar-SA"/>
                    </w:rPr>
                    <w:t>）到场</w:t>
                  </w:r>
                  <w:r>
                    <w:rPr>
                      <w:rFonts w:hint="default" w:ascii="宋体" w:hAnsi="宋体" w:eastAsia="宋体" w:cs="宋体"/>
                      <w:color w:val="000000"/>
                      <w:kern w:val="0"/>
                      <w:sz w:val="20"/>
                      <w:szCs w:val="20"/>
                      <w:lang w:val="en-US" w:eastAsia="zh-CN" w:bidi="ar-SA"/>
                    </w:rPr>
                    <w:t>时间出现超时</w:t>
                  </w:r>
                  <w:r>
                    <w:rPr>
                      <w:rFonts w:hint="eastAsia" w:ascii="宋体" w:hAnsi="宋体" w:eastAsia="宋体" w:cs="宋体"/>
                      <w:color w:val="000000"/>
                      <w:kern w:val="0"/>
                      <w:sz w:val="20"/>
                      <w:szCs w:val="20"/>
                      <w:lang w:val="en-US" w:eastAsia="zh-CN" w:bidi="ar-SA"/>
                    </w:rPr>
                    <w:t>情况≤3次的</w:t>
                  </w:r>
                  <w:r>
                    <w:rPr>
                      <w:rFonts w:hint="default" w:ascii="宋体" w:hAnsi="宋体" w:eastAsia="宋体" w:cs="宋体"/>
                      <w:color w:val="000000"/>
                      <w:kern w:val="0"/>
                      <w:sz w:val="20"/>
                      <w:szCs w:val="20"/>
                      <w:lang w:val="en-US" w:eastAsia="zh-CN" w:bidi="ar-SA"/>
                    </w:rPr>
                    <w:t>，得</w:t>
                  </w:r>
                  <w:r>
                    <w:rPr>
                      <w:rFonts w:hint="eastAsia" w:ascii="宋体" w:hAnsi="宋体" w:eastAsia="宋体" w:cs="宋体"/>
                      <w:color w:val="000000"/>
                      <w:kern w:val="0"/>
                      <w:sz w:val="20"/>
                      <w:szCs w:val="20"/>
                      <w:lang w:val="en-US" w:eastAsia="zh-CN" w:bidi="ar-SA"/>
                    </w:rPr>
                    <w:t>20分</w:t>
                  </w:r>
                  <w:r>
                    <w:rPr>
                      <w:rFonts w:hint="default" w:ascii="宋体" w:hAnsi="宋体" w:eastAsia="宋体" w:cs="宋体"/>
                      <w:color w:val="000000"/>
                      <w:kern w:val="0"/>
                      <w:sz w:val="20"/>
                      <w:szCs w:val="20"/>
                      <w:lang w:val="en-US" w:eastAsia="zh-CN" w:bidi="ar-SA"/>
                    </w:rPr>
                    <w:t>；超</w:t>
                  </w:r>
                  <w:r>
                    <w:rPr>
                      <w:rFonts w:hint="eastAsia" w:ascii="宋体" w:hAnsi="宋体" w:eastAsia="宋体" w:cs="宋体"/>
                      <w:color w:val="000000"/>
                      <w:kern w:val="0"/>
                      <w:sz w:val="20"/>
                      <w:szCs w:val="20"/>
                      <w:lang w:val="en-US" w:eastAsia="zh-CN" w:bidi="ar-SA"/>
                    </w:rPr>
                    <w:t>时超过</w:t>
                  </w:r>
                  <w:r>
                    <w:rPr>
                      <w:rFonts w:hint="default" w:ascii="宋体" w:hAnsi="宋体" w:eastAsia="宋体" w:cs="宋体"/>
                      <w:color w:val="000000"/>
                      <w:kern w:val="0"/>
                      <w:sz w:val="20"/>
                      <w:szCs w:val="20"/>
                      <w:lang w:val="en-US" w:eastAsia="zh-CN" w:bidi="ar-SA"/>
                    </w:rPr>
                    <w:t>3</w:t>
                  </w:r>
                  <w:r>
                    <w:rPr>
                      <w:rFonts w:hint="eastAsia" w:ascii="宋体" w:hAnsi="宋体" w:eastAsia="宋体" w:cs="宋体"/>
                      <w:color w:val="000000"/>
                      <w:kern w:val="0"/>
                      <w:sz w:val="20"/>
                      <w:szCs w:val="20"/>
                      <w:lang w:val="en-US" w:eastAsia="zh-CN" w:bidi="ar-SA"/>
                    </w:rPr>
                    <w:t>次的</w:t>
                  </w:r>
                  <w:r>
                    <w:rPr>
                      <w:rFonts w:hint="default" w:ascii="宋体" w:hAnsi="宋体" w:eastAsia="宋体" w:cs="宋体"/>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每次信号灯超时扣1分，其他类每次扣0.5分</w:t>
                  </w:r>
                  <w:r>
                    <w:rPr>
                      <w:rFonts w:hint="default" w:ascii="宋体" w:hAnsi="宋体" w:eastAsia="宋体" w:cs="宋体"/>
                      <w:color w:val="000000"/>
                      <w:kern w:val="0"/>
                      <w:sz w:val="20"/>
                      <w:szCs w:val="20"/>
                      <w:lang w:val="en-US" w:eastAsia="zh-CN" w:bidi="ar-SA"/>
                    </w:rPr>
                    <w:t>。</w:t>
                  </w:r>
                </w:p>
                <w:p w14:paraId="056FC371">
                  <w:pPr>
                    <w:keepNext w:val="0"/>
                    <w:keepLines w:val="0"/>
                    <w:widowControl w:val="0"/>
                    <w:suppressLineNumbers w:val="0"/>
                    <w:spacing w:before="0" w:beforeAutospacing="0" w:after="0" w:afterAutospacing="0"/>
                    <w:ind w:left="0" w:right="0" w:firstLine="640"/>
                    <w:jc w:val="both"/>
                    <w:rPr>
                      <w:rFonts w:hint="default" w:ascii="Calibri" w:hAnsi="Calibri" w:eastAsia="宋体" w:cs="Times New Roman"/>
                      <w:color w:val="FF0000"/>
                      <w:kern w:val="2"/>
                      <w:sz w:val="21"/>
                      <w:szCs w:val="22"/>
                      <w:lang w:val="en-US" w:eastAsia="zh-CN" w:bidi="ar-SA"/>
                    </w:rPr>
                  </w:pPr>
                  <w:r>
                    <w:rPr>
                      <w:rFonts w:hint="eastAsia" w:ascii="宋体" w:hAnsi="宋体" w:eastAsia="宋体" w:cs="宋体"/>
                      <w:color w:val="FF0000"/>
                      <w:kern w:val="0"/>
                      <w:sz w:val="20"/>
                      <w:szCs w:val="20"/>
                      <w:lang w:val="en-US" w:eastAsia="zh-CN" w:bidi="ar-SA"/>
                    </w:rPr>
                    <w:t xml:space="preserve"> 注：到场时长定义：从派发故障起算，信号灯15分钟内到场，市区道路的其他交通监控设施30分内钟到场，高快速道路的交通监控设施</w:t>
                  </w:r>
                  <w:r>
                    <w:rPr>
                      <w:rFonts w:hint="default" w:ascii="宋体" w:hAnsi="宋体" w:eastAsia="宋体" w:cs="宋体"/>
                      <w:color w:val="FF0000"/>
                      <w:kern w:val="0"/>
                      <w:sz w:val="20"/>
                      <w:szCs w:val="20"/>
                      <w:lang w:val="en-US" w:eastAsia="zh-CN" w:bidi="ar-SA"/>
                    </w:rPr>
                    <w:t>60</w:t>
                  </w:r>
                  <w:r>
                    <w:rPr>
                      <w:rFonts w:hint="eastAsia" w:ascii="宋体" w:hAnsi="宋体" w:eastAsia="宋体" w:cs="宋体"/>
                      <w:color w:val="FF0000"/>
                      <w:kern w:val="0"/>
                      <w:sz w:val="20"/>
                      <w:szCs w:val="20"/>
                      <w:lang w:val="en-US" w:eastAsia="zh-CN" w:bidi="ar-SA"/>
                    </w:rPr>
                    <w:t>分钟内到场；若涉及进入机房处置，需在3</w:t>
                  </w:r>
                  <w:r>
                    <w:rPr>
                      <w:rFonts w:hint="default" w:ascii="宋体" w:hAnsi="宋体" w:eastAsia="宋体" w:cs="宋体"/>
                      <w:color w:val="FF0000"/>
                      <w:kern w:val="0"/>
                      <w:sz w:val="20"/>
                      <w:szCs w:val="20"/>
                      <w:lang w:val="en-US" w:eastAsia="zh-CN" w:bidi="ar-SA"/>
                    </w:rPr>
                    <w:t>0</w:t>
                  </w:r>
                  <w:r>
                    <w:rPr>
                      <w:rFonts w:hint="eastAsia" w:ascii="宋体" w:hAnsi="宋体" w:eastAsia="宋体" w:cs="宋体"/>
                      <w:color w:val="FF0000"/>
                      <w:kern w:val="0"/>
                      <w:sz w:val="20"/>
                      <w:szCs w:val="20"/>
                      <w:lang w:val="en-US" w:eastAsia="zh-CN" w:bidi="ar-SA"/>
                    </w:rPr>
                    <w:t>分钟内进入机房。</w:t>
                  </w:r>
                </w:p>
                <w:p w14:paraId="75B72928">
                  <w:pPr>
                    <w:keepNext w:val="0"/>
                    <w:keepLines w:val="0"/>
                    <w:widowControl w:val="0"/>
                    <w:suppressLineNumbers w:val="0"/>
                    <w:spacing w:before="0" w:beforeAutospacing="0" w:after="0" w:afterAutospacing="0"/>
                    <w:ind w:left="0" w:right="0" w:firstLine="640"/>
                    <w:jc w:val="both"/>
                    <w:rPr>
                      <w:rFonts w:hint="default" w:ascii="宋体" w:hAnsi="宋体" w:eastAsia="宋体" w:cs="宋体"/>
                      <w:color w:val="000000"/>
                      <w:kern w:val="0"/>
                      <w:sz w:val="20"/>
                      <w:szCs w:val="20"/>
                      <w:lang w:val="en-US" w:eastAsia="zh-CN" w:bidi="ar-SA"/>
                    </w:rPr>
                  </w:pPr>
                  <w:r>
                    <w:rPr>
                      <w:rFonts w:hint="eastAsia" w:ascii="宋体" w:hAnsi="宋体" w:eastAsia="宋体" w:cs="宋体"/>
                      <w:color w:val="FF0000"/>
                      <w:kern w:val="0"/>
                      <w:sz w:val="20"/>
                      <w:szCs w:val="20"/>
                      <w:lang w:val="en-US" w:eastAsia="zh-CN" w:bidi="ar-SA"/>
                    </w:rPr>
                    <w:t>信号灯主电源线路因客观原因导致停电及供电故障，中标方还应在到场后10分钟内完成抢修供电，直至电力恢复正常，否则计入到场超时次数。</w:t>
                  </w:r>
                </w:p>
              </w:tc>
              <w:tc>
                <w:tcPr>
                  <w:tcW w:w="401" w:type="pct"/>
                  <w:shd w:val="clear" w:color="000000" w:fill="FFFFFF"/>
                  <w:vAlign w:val="center"/>
                </w:tcPr>
                <w:p w14:paraId="0A127BB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w:t>
                  </w:r>
                  <w:r>
                    <w:rPr>
                      <w:rFonts w:hint="default" w:ascii="宋体" w:hAnsi="宋体" w:eastAsia="宋体" w:cs="宋体"/>
                      <w:color w:val="000000"/>
                      <w:kern w:val="0"/>
                      <w:sz w:val="20"/>
                      <w:szCs w:val="20"/>
                      <w:lang w:val="en-US" w:eastAsia="zh-CN" w:bidi="ar-SA"/>
                    </w:rPr>
                    <w:t>0</w:t>
                  </w:r>
                  <w:r>
                    <w:rPr>
                      <w:rFonts w:hint="eastAsia" w:ascii="宋体" w:hAnsi="宋体" w:eastAsia="宋体" w:cs="宋体"/>
                      <w:color w:val="000000"/>
                      <w:kern w:val="0"/>
                      <w:sz w:val="20"/>
                      <w:szCs w:val="20"/>
                      <w:lang w:val="en-US" w:eastAsia="zh-CN" w:bidi="ar-SA"/>
                    </w:rPr>
                    <w:t>分</w:t>
                  </w:r>
                </w:p>
              </w:tc>
              <w:tc>
                <w:tcPr>
                  <w:tcW w:w="516" w:type="pct"/>
                  <w:shd w:val="clear" w:color="000000" w:fill="FFFFFF"/>
                  <w:vAlign w:val="center"/>
                </w:tcPr>
                <w:p w14:paraId="1934BE1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科技处/辖区大队</w:t>
                  </w:r>
                </w:p>
              </w:tc>
            </w:tr>
            <w:tr w14:paraId="2D6C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500" w:type="pct"/>
                  <w:vMerge w:val="continue"/>
                  <w:shd w:val="clear" w:color="000000" w:fill="FFFFFF"/>
                  <w:vAlign w:val="center"/>
                </w:tcPr>
                <w:p w14:paraId="4FDCCF11">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p>
              </w:tc>
              <w:tc>
                <w:tcPr>
                  <w:tcW w:w="3582" w:type="pct"/>
                  <w:shd w:val="clear" w:color="000000" w:fill="FFFFFF"/>
                  <w:vAlign w:val="center"/>
                </w:tcPr>
                <w:p w14:paraId="1A4338F9">
                  <w:pPr>
                    <w:keepNext w:val="0"/>
                    <w:keepLines w:val="0"/>
                    <w:widowControl w:val="0"/>
                    <w:suppressLineNumbers w:val="0"/>
                    <w:spacing w:before="0" w:beforeAutospacing="0" w:after="0" w:afterAutospacing="0"/>
                    <w:ind w:left="0" w:right="0"/>
                    <w:jc w:val="both"/>
                    <w:rPr>
                      <w:rFonts w:hint="default" w:ascii="宋体" w:hAnsi="宋体" w:eastAsia="宋体" w:cs="宋体"/>
                      <w:color w:val="FF0000"/>
                      <w:kern w:val="0"/>
                      <w:sz w:val="20"/>
                      <w:szCs w:val="20"/>
                      <w:lang w:val="en-US" w:eastAsia="zh-CN" w:bidi="ar-SA"/>
                    </w:rPr>
                  </w:pPr>
                  <w:r>
                    <w:rPr>
                      <w:rFonts w:hint="eastAsia" w:ascii="宋体" w:hAnsi="宋体" w:eastAsia="宋体" w:cs="宋体"/>
                      <w:b/>
                      <w:color w:val="000000"/>
                      <w:kern w:val="0"/>
                      <w:sz w:val="20"/>
                      <w:szCs w:val="20"/>
                      <w:lang w:val="en-US" w:eastAsia="zh-CN" w:bidi="ar-SA"/>
                    </w:rPr>
                    <w:t>2、故障修复时间超时（20分</w:t>
                  </w:r>
                  <w:r>
                    <w:rPr>
                      <w:rFonts w:hint="default" w:ascii="宋体" w:hAnsi="宋体" w:eastAsia="宋体" w:cs="宋体"/>
                      <w:b/>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w:t>
                  </w:r>
                  <w:r>
                    <w:rPr>
                      <w:rFonts w:hint="eastAsia" w:ascii="宋体" w:hAnsi="宋体" w:eastAsia="宋体" w:cs="宋体"/>
                      <w:color w:val="FF0000"/>
                      <w:kern w:val="0"/>
                      <w:sz w:val="20"/>
                      <w:szCs w:val="20"/>
                      <w:lang w:val="en-US" w:eastAsia="zh-CN" w:bidi="ar-SA"/>
                    </w:rPr>
                    <w:t>参照《四、故障修复时限要求》，每超时1次扣1分。</w:t>
                  </w:r>
                </w:p>
              </w:tc>
              <w:tc>
                <w:tcPr>
                  <w:tcW w:w="401" w:type="pct"/>
                  <w:shd w:val="clear" w:color="000000" w:fill="FFFFFF"/>
                  <w:vAlign w:val="center"/>
                </w:tcPr>
                <w:p w14:paraId="30641AD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20分</w:t>
                  </w:r>
                </w:p>
              </w:tc>
              <w:tc>
                <w:tcPr>
                  <w:tcW w:w="516" w:type="pct"/>
                  <w:shd w:val="clear" w:color="000000" w:fill="FFFFFF"/>
                  <w:vAlign w:val="center"/>
                </w:tcPr>
                <w:p w14:paraId="2234E178">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科技处/辖区大队</w:t>
                  </w:r>
                </w:p>
              </w:tc>
            </w:tr>
            <w:tr w14:paraId="71B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500" w:type="pct"/>
                  <w:vMerge w:val="continue"/>
                  <w:shd w:val="clear" w:color="000000" w:fill="FFFFFF"/>
                  <w:vAlign w:val="center"/>
                </w:tcPr>
                <w:p w14:paraId="474544F3">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p>
              </w:tc>
              <w:tc>
                <w:tcPr>
                  <w:tcW w:w="3582" w:type="pct"/>
                  <w:shd w:val="clear" w:color="000000" w:fill="FFFFFF"/>
                  <w:vAlign w:val="center"/>
                </w:tcPr>
                <w:p w14:paraId="39142B2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lang w:val="en-US" w:eastAsia="zh-CN" w:bidi="ar-SA"/>
                    </w:rPr>
                  </w:pPr>
                  <w:r>
                    <w:rPr>
                      <w:rFonts w:hint="eastAsia" w:ascii="宋体" w:hAnsi="宋体" w:eastAsia="宋体" w:cs="宋体"/>
                      <w:b/>
                      <w:color w:val="000000"/>
                      <w:kern w:val="0"/>
                      <w:sz w:val="20"/>
                      <w:szCs w:val="20"/>
                      <w:lang w:val="en-US" w:eastAsia="zh-CN" w:bidi="ar-SA"/>
                    </w:rPr>
                    <w:t>3、信号灯故障引发拥堵警情次数（20分</w:t>
                  </w:r>
                  <w:r>
                    <w:rPr>
                      <w:rFonts w:hint="default" w:ascii="宋体" w:hAnsi="宋体" w:eastAsia="宋体" w:cs="宋体"/>
                      <w:b/>
                      <w:color w:val="000000"/>
                      <w:kern w:val="0"/>
                      <w:sz w:val="20"/>
                      <w:szCs w:val="20"/>
                      <w:lang w:val="en-US" w:eastAsia="zh-CN" w:bidi="ar-SA"/>
                    </w:rPr>
                    <w:t>）</w:t>
                  </w:r>
                </w:p>
                <w:p w14:paraId="0CA5BD5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（1）单个或两个路口信号灯故障引发五宗及以上拥堵警情的，每发生1次扣0.5分；引发十宗及以上拥堵警情的，每发生1次扣2分；（单次故障不重复扣分）；</w:t>
                  </w:r>
                </w:p>
                <w:p w14:paraId="17360572">
                  <w:pPr>
                    <w:keepNext w:val="0"/>
                    <w:keepLines w:val="0"/>
                    <w:widowControl/>
                    <w:suppressLineNumbers w:val="0"/>
                    <w:spacing w:before="0" w:beforeAutospacing="0" w:after="0" w:afterAutospacing="0"/>
                    <w:ind w:left="0" w:right="0"/>
                    <w:jc w:val="left"/>
                    <w:rPr>
                      <w:rFonts w:hint="eastAsia" w:ascii="宋体" w:hAnsi="宋体" w:eastAsia="宋体" w:cs="宋体"/>
                      <w:color w:val="FF0000"/>
                      <w:kern w:val="0"/>
                      <w:sz w:val="20"/>
                      <w:szCs w:val="20"/>
                      <w:lang w:val="en-US" w:eastAsia="zh-CN" w:bidi="ar-SA"/>
                    </w:rPr>
                  </w:pPr>
                  <w:r>
                    <w:rPr>
                      <w:rFonts w:hint="eastAsia" w:ascii="宋体" w:hAnsi="宋体" w:eastAsia="宋体" w:cs="宋体"/>
                      <w:color w:val="000000"/>
                      <w:kern w:val="0"/>
                      <w:sz w:val="20"/>
                      <w:szCs w:val="20"/>
                      <w:lang w:val="en-US" w:eastAsia="zh-CN" w:bidi="ar-SA"/>
                    </w:rPr>
                    <w:t>（2）</w:t>
                  </w:r>
                  <w:r>
                    <w:rPr>
                      <w:rFonts w:hint="eastAsia" w:ascii="宋体" w:hAnsi="宋体" w:eastAsia="宋体" w:cs="宋体"/>
                      <w:color w:val="FF0000"/>
                      <w:kern w:val="0"/>
                      <w:sz w:val="20"/>
                      <w:szCs w:val="20"/>
                      <w:lang w:val="en-US" w:eastAsia="zh-CN" w:bidi="ar-SA"/>
                    </w:rPr>
                    <w:t>3个及以上路口信号灯同时故障</w:t>
                  </w:r>
                  <w:r>
                    <w:rPr>
                      <w:rFonts w:hint="eastAsia" w:ascii="宋体" w:hAnsi="宋体" w:eastAsia="宋体" w:cs="宋体"/>
                      <w:color w:val="000000"/>
                      <w:kern w:val="0"/>
                      <w:sz w:val="20"/>
                      <w:szCs w:val="20"/>
                      <w:lang w:val="en-US" w:eastAsia="zh-CN" w:bidi="ar-SA"/>
                    </w:rPr>
                    <w:t>引发十宗及以上拥堵警情的，每发生1次扣1分</w:t>
                  </w:r>
                  <w:r>
                    <w:rPr>
                      <w:rFonts w:hint="eastAsia" w:ascii="宋体" w:hAnsi="宋体" w:eastAsia="宋体" w:cs="宋体"/>
                      <w:color w:val="FF0000"/>
                      <w:kern w:val="0"/>
                      <w:sz w:val="20"/>
                      <w:szCs w:val="20"/>
                      <w:lang w:val="en-US" w:eastAsia="zh-CN" w:bidi="ar-SA"/>
                    </w:rPr>
                    <w:t>。</w:t>
                  </w:r>
                </w:p>
                <w:p w14:paraId="453B1375">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p>
              </w:tc>
              <w:tc>
                <w:tcPr>
                  <w:tcW w:w="401" w:type="pct"/>
                  <w:shd w:val="clear" w:color="000000" w:fill="FFFFFF"/>
                  <w:vAlign w:val="center"/>
                </w:tcPr>
                <w:p w14:paraId="0C7A258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20分</w:t>
                  </w:r>
                </w:p>
              </w:tc>
              <w:tc>
                <w:tcPr>
                  <w:tcW w:w="516" w:type="pct"/>
                  <w:shd w:val="clear" w:color="000000" w:fill="FFFFFF"/>
                  <w:vAlign w:val="center"/>
                </w:tcPr>
                <w:p w14:paraId="66CB114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科技处/辖区大队</w:t>
                  </w:r>
                </w:p>
              </w:tc>
            </w:tr>
            <w:tr w14:paraId="279C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500" w:type="pct"/>
                  <w:vMerge w:val="continue"/>
                  <w:shd w:val="clear" w:color="000000" w:fill="FFFFFF"/>
                  <w:vAlign w:val="center"/>
                </w:tcPr>
                <w:p w14:paraId="0A23B52A">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p>
              </w:tc>
              <w:tc>
                <w:tcPr>
                  <w:tcW w:w="3582" w:type="pct"/>
                  <w:shd w:val="clear" w:color="000000" w:fill="FFFFFF"/>
                  <w:vAlign w:val="center"/>
                </w:tcPr>
                <w:p w14:paraId="5E524F5E">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lang w:val="en-US" w:eastAsia="zh-CN" w:bidi="ar-SA"/>
                    </w:rPr>
                  </w:pPr>
                  <w:r>
                    <w:rPr>
                      <w:rFonts w:hint="eastAsia" w:ascii="宋体" w:hAnsi="宋体" w:eastAsia="宋体" w:cs="宋体"/>
                      <w:b/>
                      <w:color w:val="000000"/>
                      <w:kern w:val="0"/>
                      <w:sz w:val="20"/>
                      <w:szCs w:val="20"/>
                      <w:lang w:val="en-US" w:eastAsia="zh-CN" w:bidi="ar-SA"/>
                    </w:rPr>
                    <w:t>4、执法数据质量（10分</w:t>
                  </w:r>
                  <w:r>
                    <w:rPr>
                      <w:rFonts w:hint="default" w:ascii="宋体" w:hAnsi="宋体" w:eastAsia="宋体" w:cs="宋体"/>
                      <w:b/>
                      <w:color w:val="000000"/>
                      <w:kern w:val="0"/>
                      <w:sz w:val="20"/>
                      <w:szCs w:val="20"/>
                      <w:lang w:val="en-US" w:eastAsia="zh-CN" w:bidi="ar-SA"/>
                    </w:rPr>
                    <w:t>）</w:t>
                  </w:r>
                  <w:r>
                    <w:rPr>
                      <w:rFonts w:hint="eastAsia" w:ascii="宋体" w:hAnsi="宋体" w:eastAsia="宋体" w:cs="宋体"/>
                      <w:color w:val="000000"/>
                      <w:kern w:val="0"/>
                      <w:sz w:val="20"/>
                      <w:szCs w:val="20"/>
                      <w:lang w:val="en-US" w:eastAsia="zh-CN" w:bidi="ar-SA"/>
                    </w:rPr>
                    <w:t>：</w:t>
                  </w:r>
                </w:p>
                <w:p w14:paraId="61A33E3E">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r>
                    <w:rPr>
                      <w:rFonts w:hint="eastAsia" w:ascii="宋体" w:hAnsi="宋体" w:eastAsia="宋体" w:cs="宋体"/>
                      <w:kern w:val="0"/>
                      <w:sz w:val="20"/>
                      <w:szCs w:val="20"/>
                      <w:lang w:val="en-US" w:eastAsia="zh-CN" w:bidi="ar-SA"/>
                    </w:rPr>
                    <w:t>（1）维护月周期内完成大队书面下达调试任务（符合执法要求或上级考核要求），完成率≥90%，得5分；90</w:t>
                  </w:r>
                  <w:r>
                    <w:rPr>
                      <w:rFonts w:hint="default" w:ascii="宋体" w:hAnsi="宋体" w:eastAsia="宋体" w:cs="宋体"/>
                      <w:kern w:val="0"/>
                      <w:sz w:val="20"/>
                      <w:szCs w:val="20"/>
                      <w:lang w:val="en-US" w:eastAsia="zh-CN" w:bidi="ar-SA"/>
                    </w:rPr>
                    <w:t>%</w:t>
                  </w:r>
                  <w:r>
                    <w:rPr>
                      <w:rFonts w:hint="eastAsia" w:ascii="宋体" w:hAnsi="宋体" w:eastAsia="宋体" w:cs="宋体"/>
                      <w:kern w:val="0"/>
                      <w:sz w:val="20"/>
                      <w:szCs w:val="20"/>
                      <w:lang w:val="en-US" w:eastAsia="zh-CN" w:bidi="ar-SA"/>
                    </w:rPr>
                    <w:t>&gt;完成率≥8</w:t>
                  </w:r>
                  <w:r>
                    <w:rPr>
                      <w:rFonts w:hint="default" w:ascii="宋体" w:hAnsi="宋体" w:eastAsia="宋体" w:cs="宋体"/>
                      <w:kern w:val="0"/>
                      <w:sz w:val="20"/>
                      <w:szCs w:val="20"/>
                      <w:lang w:val="en-US" w:eastAsia="zh-CN" w:bidi="ar-SA"/>
                    </w:rPr>
                    <w:t>0</w:t>
                  </w:r>
                  <w:r>
                    <w:rPr>
                      <w:rFonts w:hint="eastAsia" w:ascii="宋体" w:hAnsi="宋体" w:eastAsia="宋体" w:cs="宋体"/>
                      <w:kern w:val="0"/>
                      <w:sz w:val="20"/>
                      <w:szCs w:val="20"/>
                      <w:lang w:val="en-US" w:eastAsia="zh-CN" w:bidi="ar-SA"/>
                    </w:rPr>
                    <w:t>%，得4分; 8</w:t>
                  </w:r>
                  <w:r>
                    <w:rPr>
                      <w:rFonts w:hint="default" w:ascii="宋体" w:hAnsi="宋体" w:eastAsia="宋体" w:cs="宋体"/>
                      <w:kern w:val="0"/>
                      <w:sz w:val="20"/>
                      <w:szCs w:val="20"/>
                      <w:lang w:val="en-US" w:eastAsia="zh-CN" w:bidi="ar-SA"/>
                    </w:rPr>
                    <w:t>0%</w:t>
                  </w:r>
                  <w:r>
                    <w:rPr>
                      <w:rFonts w:hint="eastAsia" w:ascii="宋体" w:hAnsi="宋体" w:eastAsia="宋体" w:cs="宋体"/>
                      <w:kern w:val="0"/>
                      <w:sz w:val="20"/>
                      <w:szCs w:val="20"/>
                      <w:lang w:val="en-US" w:eastAsia="zh-CN" w:bidi="ar-SA"/>
                    </w:rPr>
                    <w:t>&gt;完成率≥70%，得3分; 其他不得分；</w:t>
                  </w:r>
                </w:p>
                <w:p w14:paraId="10A14697">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0"/>
                      <w:sz w:val="20"/>
                      <w:szCs w:val="20"/>
                      <w:lang w:val="en-US" w:eastAsia="zh-CN" w:bidi="ar-SA"/>
                    </w:rPr>
                  </w:pPr>
                  <w:r>
                    <w:rPr>
                      <w:rFonts w:hint="eastAsia" w:ascii="宋体" w:hAnsi="宋体" w:eastAsia="宋体" w:cs="宋体"/>
                      <w:kern w:val="0"/>
                      <w:sz w:val="20"/>
                      <w:szCs w:val="20"/>
                      <w:lang w:val="en-US" w:eastAsia="zh-CN" w:bidi="ar-SA"/>
                    </w:rPr>
                    <w:t>（2）辖区内未因维护不规范导致执法设备出现执法过错的，得5分；每出现一个执法过错的点位扣1分。</w:t>
                  </w:r>
                </w:p>
              </w:tc>
              <w:tc>
                <w:tcPr>
                  <w:tcW w:w="401" w:type="pct"/>
                  <w:shd w:val="clear" w:color="000000" w:fill="FFFFFF"/>
                  <w:vAlign w:val="center"/>
                </w:tcPr>
                <w:p w14:paraId="43054C4B">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10分</w:t>
                  </w:r>
                </w:p>
              </w:tc>
              <w:tc>
                <w:tcPr>
                  <w:tcW w:w="516" w:type="pct"/>
                  <w:shd w:val="clear" w:color="000000" w:fill="FFFFFF"/>
                  <w:vAlign w:val="center"/>
                </w:tcPr>
                <w:p w14:paraId="5737DC8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辖区大队/科技处</w:t>
                  </w:r>
                </w:p>
              </w:tc>
            </w:tr>
            <w:tr w14:paraId="13C1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00" w:type="pct"/>
                  <w:shd w:val="clear" w:color="auto" w:fill="auto"/>
                  <w:vAlign w:val="center"/>
                </w:tcPr>
                <w:p w14:paraId="30BF99D8">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lang w:val="en-US" w:eastAsia="zh-CN" w:bidi="ar-SA"/>
                    </w:rPr>
                  </w:pPr>
                  <w:r>
                    <w:rPr>
                      <w:rFonts w:hint="eastAsia" w:ascii="宋体" w:hAnsi="宋体" w:eastAsia="宋体" w:cs="宋体"/>
                      <w:b/>
                      <w:color w:val="000000"/>
                      <w:kern w:val="0"/>
                      <w:sz w:val="20"/>
                      <w:szCs w:val="20"/>
                      <w:lang w:val="en-US" w:eastAsia="zh-CN" w:bidi="ar-SA"/>
                    </w:rPr>
                    <w:t>任务保障（10分</w:t>
                  </w:r>
                  <w:r>
                    <w:rPr>
                      <w:rFonts w:hint="default" w:ascii="宋体" w:hAnsi="宋体" w:eastAsia="宋体" w:cs="宋体"/>
                      <w:b/>
                      <w:color w:val="000000"/>
                      <w:kern w:val="0"/>
                      <w:sz w:val="20"/>
                      <w:szCs w:val="20"/>
                      <w:lang w:val="en-US" w:eastAsia="zh-CN" w:bidi="ar-SA"/>
                    </w:rPr>
                    <w:t>）</w:t>
                  </w:r>
                </w:p>
              </w:tc>
              <w:tc>
                <w:tcPr>
                  <w:tcW w:w="3582" w:type="pct"/>
                  <w:shd w:val="clear" w:color="auto" w:fill="auto"/>
                  <w:vAlign w:val="center"/>
                </w:tcPr>
                <w:p w14:paraId="4E36128D">
                  <w:pPr>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b w:val="0"/>
                      <w:bCs/>
                      <w:color w:val="000000"/>
                      <w:kern w:val="0"/>
                      <w:sz w:val="20"/>
                      <w:szCs w:val="20"/>
                      <w:lang w:val="en-US" w:eastAsia="zh-CN" w:bidi="ar-SA"/>
                    </w:rPr>
                  </w:pPr>
                  <w:r>
                    <w:rPr>
                      <w:rFonts w:hint="eastAsia" w:ascii="宋体" w:hAnsi="宋体" w:eastAsia="宋体" w:cs="宋体"/>
                      <w:kern w:val="0"/>
                      <w:sz w:val="20"/>
                      <w:szCs w:val="20"/>
                      <w:lang w:val="en-US" w:eastAsia="zh-CN" w:bidi="ar-SA"/>
                    </w:rPr>
                    <w:t>（1）</w:t>
                  </w:r>
                  <w:r>
                    <w:rPr>
                      <w:rFonts w:hint="eastAsia" w:ascii="宋体" w:hAnsi="宋体" w:eastAsia="宋体" w:cs="宋体"/>
                      <w:b w:val="0"/>
                      <w:bCs/>
                      <w:color w:val="000000"/>
                      <w:kern w:val="0"/>
                      <w:sz w:val="20"/>
                      <w:szCs w:val="20"/>
                      <w:lang w:val="en-US" w:eastAsia="zh-CN" w:bidi="ar-SA"/>
                    </w:rPr>
                    <w:t>节假日保障：</w:t>
                  </w:r>
                  <w:r>
                    <w:rPr>
                      <w:rFonts w:hint="eastAsia" w:ascii="宋体" w:hAnsi="宋体" w:eastAsia="宋体" w:cs="宋体"/>
                      <w:b w:val="0"/>
                      <w:bCs/>
                      <w:color w:val="000000"/>
                      <w:kern w:val="0"/>
                      <w:sz w:val="20"/>
                      <w:szCs w:val="20"/>
                      <w:highlight w:val="none"/>
                      <w:lang w:val="en-US" w:eastAsia="zh-CN" w:bidi="ar-SA"/>
                    </w:rPr>
                    <w:t>节假日等重要时期按照通知要求对辖区重点区域进行设备巡检和值守保障，未按要求落实的，每发现一次扣1分。</w:t>
                  </w:r>
                </w:p>
                <w:p w14:paraId="0C961F36">
                  <w:pPr>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b w:val="0"/>
                      <w:bCs/>
                      <w:color w:val="000000"/>
                      <w:kern w:val="0"/>
                      <w:sz w:val="20"/>
                      <w:szCs w:val="20"/>
                      <w:lang w:val="en-US" w:eastAsia="zh-CN" w:bidi="ar-SA"/>
                    </w:rPr>
                  </w:pPr>
                  <w:r>
                    <w:rPr>
                      <w:rFonts w:hint="eastAsia" w:ascii="宋体" w:hAnsi="宋体" w:eastAsia="宋体" w:cs="宋体"/>
                      <w:kern w:val="0"/>
                      <w:sz w:val="20"/>
                      <w:szCs w:val="20"/>
                      <w:lang w:val="en-US" w:eastAsia="zh-CN" w:bidi="ar-SA"/>
                    </w:rPr>
                    <w:t>（2）</w:t>
                  </w:r>
                  <w:r>
                    <w:rPr>
                      <w:rFonts w:hint="eastAsia" w:ascii="宋体" w:hAnsi="宋体" w:eastAsia="宋体" w:cs="宋体"/>
                      <w:b w:val="0"/>
                      <w:bCs/>
                      <w:color w:val="000000"/>
                      <w:kern w:val="0"/>
                      <w:sz w:val="20"/>
                      <w:szCs w:val="20"/>
                      <w:lang w:val="en-US" w:eastAsia="zh-CN" w:bidi="ar-SA"/>
                    </w:rPr>
                    <w:t>专项保障：</w:t>
                  </w:r>
                  <w:r>
                    <w:rPr>
                      <w:rFonts w:hint="eastAsia" w:ascii="宋体" w:hAnsi="宋体" w:eastAsia="宋体" w:cs="宋体"/>
                      <w:b w:val="0"/>
                      <w:bCs/>
                      <w:color w:val="000000"/>
                      <w:kern w:val="0"/>
                      <w:sz w:val="20"/>
                      <w:szCs w:val="20"/>
                      <w:highlight w:val="none"/>
                      <w:lang w:val="en-US" w:eastAsia="zh-CN" w:bidi="ar-SA"/>
                    </w:rPr>
                    <w:t>未按照通知要求对辖区指定点位进行设备巡检和值守保障的，每发现一次扣2分。</w:t>
                  </w:r>
                </w:p>
                <w:p w14:paraId="48236D5D">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lang w:val="en-US" w:eastAsia="zh-CN" w:bidi="ar-SA"/>
                    </w:rPr>
                  </w:pPr>
                  <w:r>
                    <w:rPr>
                      <w:rFonts w:hint="eastAsia" w:ascii="宋体" w:hAnsi="宋体" w:eastAsia="宋体" w:cs="宋体"/>
                      <w:b w:val="0"/>
                      <w:bCs/>
                      <w:color w:val="000000"/>
                      <w:kern w:val="0"/>
                      <w:sz w:val="20"/>
                      <w:szCs w:val="20"/>
                      <w:lang w:val="en-US" w:eastAsia="zh-CN" w:bidi="ar-SA"/>
                    </w:rPr>
                    <w:t>（3）辖区大队在《月度履约评价表》中提出信号灯故障引发拥堵警情或影响保障任务的，</w:t>
                  </w:r>
                  <w:r>
                    <w:rPr>
                      <w:rFonts w:hint="eastAsia" w:ascii="宋体" w:hAnsi="宋体" w:eastAsia="宋体" w:cs="宋体"/>
                      <w:color w:val="000000"/>
                      <w:kern w:val="0"/>
                      <w:sz w:val="20"/>
                      <w:szCs w:val="20"/>
                      <w:lang w:val="en-US" w:eastAsia="zh-CN" w:bidi="ar-SA"/>
                    </w:rPr>
                    <w:t>每次扣1分。</w:t>
                  </w:r>
                </w:p>
              </w:tc>
              <w:tc>
                <w:tcPr>
                  <w:tcW w:w="401" w:type="pct"/>
                  <w:shd w:val="clear" w:color="auto" w:fill="auto"/>
                  <w:vAlign w:val="center"/>
                </w:tcPr>
                <w:p w14:paraId="66F35C4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10分</w:t>
                  </w:r>
                </w:p>
              </w:tc>
              <w:tc>
                <w:tcPr>
                  <w:tcW w:w="516" w:type="pct"/>
                  <w:shd w:val="clear" w:color="auto" w:fill="auto"/>
                  <w:vAlign w:val="center"/>
                </w:tcPr>
                <w:p w14:paraId="413D14F2">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辖区</w:t>
                  </w:r>
                  <w:r>
                    <w:rPr>
                      <w:rFonts w:hint="default" w:ascii="宋体" w:hAnsi="宋体" w:eastAsia="宋体" w:cs="宋体"/>
                      <w:color w:val="000000"/>
                      <w:kern w:val="0"/>
                      <w:sz w:val="18"/>
                      <w:szCs w:val="18"/>
                      <w:lang w:val="en-US" w:eastAsia="zh-CN" w:bidi="ar-SA"/>
                    </w:rPr>
                    <w:t>大队</w:t>
                  </w:r>
                  <w:r>
                    <w:rPr>
                      <w:rFonts w:hint="eastAsia" w:ascii="宋体" w:hAnsi="宋体" w:eastAsia="宋体" w:cs="宋体"/>
                      <w:color w:val="000000"/>
                      <w:kern w:val="0"/>
                      <w:sz w:val="20"/>
                      <w:szCs w:val="20"/>
                      <w:lang w:val="en-US" w:eastAsia="zh-CN" w:bidi="ar-SA"/>
                    </w:rPr>
                    <w:t>/科技处</w:t>
                  </w:r>
                </w:p>
              </w:tc>
            </w:tr>
          </w:tbl>
          <w:p w14:paraId="4718580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二、加减分项</w:t>
            </w:r>
          </w:p>
          <w:p w14:paraId="3BFE89E2">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4"/>
                <w:szCs w:val="22"/>
                <w:lang w:val="en-US" w:eastAsia="zh-CN" w:bidi="ar-SA"/>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7390"/>
            </w:tblGrid>
            <w:tr w14:paraId="5130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95" w:type="pct"/>
                  <w:shd w:val="clear" w:color="auto" w:fill="BEBEBE"/>
                  <w:vAlign w:val="center"/>
                </w:tcPr>
                <w:p w14:paraId="30AACBC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highlight w:val="none"/>
                      <w:lang w:val="en-US" w:eastAsia="zh-CN" w:bidi="ar-SA"/>
                    </w:rPr>
                  </w:pPr>
                  <w:r>
                    <w:rPr>
                      <w:rFonts w:hint="eastAsia" w:ascii="宋体" w:hAnsi="宋体" w:eastAsia="宋体" w:cs="宋体"/>
                      <w:b/>
                      <w:bCs/>
                      <w:color w:val="000000"/>
                      <w:kern w:val="0"/>
                      <w:sz w:val="20"/>
                      <w:szCs w:val="20"/>
                      <w:highlight w:val="none"/>
                      <w:lang w:val="en-US" w:eastAsia="zh-CN" w:bidi="ar-SA"/>
                    </w:rPr>
                    <w:t>分项</w:t>
                  </w:r>
                </w:p>
              </w:tc>
              <w:tc>
                <w:tcPr>
                  <w:tcW w:w="4404" w:type="pct"/>
                  <w:shd w:val="clear" w:color="auto" w:fill="BEBEBE"/>
                  <w:vAlign w:val="center"/>
                </w:tcPr>
                <w:p w14:paraId="02442FD6">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考核细则</w:t>
                  </w:r>
                </w:p>
              </w:tc>
            </w:tr>
            <w:tr w14:paraId="7EF0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595" w:type="pct"/>
                  <w:shd w:val="clear" w:color="auto" w:fill="auto"/>
                  <w:vAlign w:val="center"/>
                </w:tcPr>
                <w:p w14:paraId="06AD4B40">
                  <w:pPr>
                    <w:keepNext w:val="0"/>
                    <w:keepLines w:val="0"/>
                    <w:widowControl/>
                    <w:suppressLineNumbers w:val="0"/>
                    <w:spacing w:before="0" w:beforeAutospacing="0" w:after="0" w:afterAutospacing="0"/>
                    <w:ind w:left="0" w:right="0"/>
                    <w:jc w:val="center"/>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highlight w:val="none"/>
                      <w:lang w:val="en-US" w:eastAsia="zh-CN" w:bidi="ar-SA"/>
                    </w:rPr>
                    <w:t>加分项</w:t>
                  </w:r>
                </w:p>
              </w:tc>
              <w:tc>
                <w:tcPr>
                  <w:tcW w:w="4404" w:type="pct"/>
                  <w:shd w:val="clear" w:color="auto" w:fill="auto"/>
                  <w:vAlign w:val="center"/>
                </w:tcPr>
                <w:p w14:paraId="4DCCCB45">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1、</w:t>
                  </w:r>
                  <w:r>
                    <w:rPr>
                      <w:rFonts w:hint="eastAsia" w:ascii="宋体" w:hAnsi="宋体" w:eastAsia="宋体" w:cs="宋体"/>
                      <w:kern w:val="0"/>
                      <w:sz w:val="20"/>
                      <w:szCs w:val="20"/>
                      <w:highlight w:val="none"/>
                      <w:lang w:val="en-US" w:eastAsia="zh-CN" w:bidi="ar-SA"/>
                    </w:rPr>
                    <w:t>维护月周期内</w:t>
                  </w:r>
                  <w:r>
                    <w:rPr>
                      <w:rFonts w:hint="default" w:ascii="宋体" w:hAnsi="宋体" w:eastAsia="宋体" w:cs="宋体"/>
                      <w:b/>
                      <w:bCs/>
                      <w:kern w:val="0"/>
                      <w:sz w:val="20"/>
                      <w:szCs w:val="20"/>
                      <w:highlight w:val="none"/>
                      <w:lang w:val="en-US" w:eastAsia="zh-CN" w:bidi="ar-SA"/>
                    </w:rPr>
                    <w:t>加分</w:t>
                  </w:r>
                  <w:r>
                    <w:rPr>
                      <w:rFonts w:hint="default" w:ascii="宋体" w:hAnsi="宋体" w:eastAsia="宋体" w:cs="宋体"/>
                      <w:b/>
                      <w:color w:val="000000"/>
                      <w:kern w:val="0"/>
                      <w:sz w:val="20"/>
                      <w:szCs w:val="20"/>
                      <w:highlight w:val="none"/>
                      <w:lang w:val="en-US" w:eastAsia="zh-CN" w:bidi="ar-SA"/>
                    </w:rPr>
                    <w:t>项</w:t>
                  </w:r>
                  <w:r>
                    <w:rPr>
                      <w:rFonts w:hint="eastAsia" w:ascii="宋体" w:hAnsi="宋体" w:eastAsia="宋体" w:cs="宋体"/>
                      <w:b/>
                      <w:color w:val="000000"/>
                      <w:kern w:val="0"/>
                      <w:sz w:val="20"/>
                      <w:szCs w:val="20"/>
                      <w:highlight w:val="none"/>
                      <w:lang w:val="en-US" w:eastAsia="zh-CN" w:bidi="ar-SA"/>
                    </w:rPr>
                    <w:t>（累计加分不超过1</w:t>
                  </w:r>
                  <w:r>
                    <w:rPr>
                      <w:rFonts w:hint="default" w:ascii="宋体" w:hAnsi="宋体" w:eastAsia="宋体" w:cs="宋体"/>
                      <w:b/>
                      <w:color w:val="000000"/>
                      <w:kern w:val="0"/>
                      <w:sz w:val="20"/>
                      <w:szCs w:val="20"/>
                      <w:highlight w:val="none"/>
                      <w:lang w:val="en-US" w:eastAsia="zh-CN" w:bidi="ar-SA"/>
                    </w:rPr>
                    <w:t>0</w:t>
                  </w:r>
                  <w:r>
                    <w:rPr>
                      <w:rFonts w:hint="eastAsia" w:ascii="宋体" w:hAnsi="宋体" w:eastAsia="宋体" w:cs="宋体"/>
                      <w:b/>
                      <w:color w:val="000000"/>
                      <w:kern w:val="0"/>
                      <w:sz w:val="20"/>
                      <w:szCs w:val="20"/>
                      <w:highlight w:val="none"/>
                      <w:lang w:val="en-US" w:eastAsia="zh-CN" w:bidi="ar-SA"/>
                    </w:rPr>
                    <w:t>分）</w:t>
                  </w:r>
                </w:p>
                <w:p w14:paraId="02A9C089">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1</w:t>
                  </w:r>
                  <w:r>
                    <w:rPr>
                      <w:rFonts w:hint="eastAsia" w:ascii="宋体" w:hAnsi="宋体" w:eastAsia="宋体" w:cs="宋体"/>
                      <w:color w:val="000000"/>
                      <w:kern w:val="0"/>
                      <w:sz w:val="20"/>
                      <w:szCs w:val="20"/>
                      <w:highlight w:val="none"/>
                      <w:lang w:val="en-US" w:eastAsia="zh-CN" w:bidi="ar-SA"/>
                    </w:rPr>
                    <w:t>）运维</w:t>
                  </w:r>
                  <w:r>
                    <w:rPr>
                      <w:rFonts w:hint="default" w:ascii="宋体" w:hAnsi="宋体" w:eastAsia="宋体" w:cs="宋体"/>
                      <w:color w:val="000000"/>
                      <w:kern w:val="0"/>
                      <w:sz w:val="20"/>
                      <w:szCs w:val="20"/>
                      <w:highlight w:val="none"/>
                      <w:lang w:val="en-US" w:eastAsia="zh-CN" w:bidi="ar-SA"/>
                    </w:rPr>
                    <w:t>服务</w:t>
                  </w:r>
                  <w:r>
                    <w:rPr>
                      <w:rFonts w:hint="eastAsia" w:ascii="宋体" w:hAnsi="宋体" w:eastAsia="宋体" w:cs="宋体"/>
                      <w:color w:val="000000"/>
                      <w:kern w:val="0"/>
                      <w:sz w:val="20"/>
                      <w:szCs w:val="20"/>
                      <w:highlight w:val="none"/>
                      <w:lang w:val="en-US" w:eastAsia="zh-CN" w:bidi="ar-SA"/>
                    </w:rPr>
                    <w:t>受到省（部）级表扬，每一次奖励</w:t>
                  </w:r>
                  <w:r>
                    <w:rPr>
                      <w:rFonts w:hint="default" w:ascii="宋体" w:hAnsi="宋体" w:eastAsia="宋体" w:cs="宋体"/>
                      <w:color w:val="000000"/>
                      <w:kern w:val="0"/>
                      <w:sz w:val="20"/>
                      <w:szCs w:val="20"/>
                      <w:highlight w:val="none"/>
                      <w:lang w:val="en-US" w:eastAsia="zh-CN" w:bidi="ar-SA"/>
                    </w:rPr>
                    <w:t>5</w:t>
                  </w:r>
                  <w:r>
                    <w:rPr>
                      <w:rFonts w:hint="eastAsia" w:ascii="宋体" w:hAnsi="宋体" w:eastAsia="宋体" w:cs="宋体"/>
                      <w:color w:val="000000"/>
                      <w:kern w:val="0"/>
                      <w:sz w:val="20"/>
                      <w:szCs w:val="20"/>
                      <w:highlight w:val="none"/>
                      <w:lang w:val="en-US" w:eastAsia="zh-CN" w:bidi="ar-SA"/>
                    </w:rPr>
                    <w:t>分；</w:t>
                  </w:r>
                </w:p>
                <w:p w14:paraId="3347D102">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2</w:t>
                  </w:r>
                  <w:r>
                    <w:rPr>
                      <w:rFonts w:hint="eastAsia" w:ascii="宋体" w:hAnsi="宋体" w:eastAsia="宋体" w:cs="宋体"/>
                      <w:color w:val="000000"/>
                      <w:kern w:val="0"/>
                      <w:sz w:val="20"/>
                      <w:szCs w:val="20"/>
                      <w:highlight w:val="none"/>
                      <w:lang w:val="en-US" w:eastAsia="zh-CN" w:bidi="ar-SA"/>
                    </w:rPr>
                    <w:t>）运维</w:t>
                  </w:r>
                  <w:r>
                    <w:rPr>
                      <w:rFonts w:hint="default" w:ascii="宋体" w:hAnsi="宋体" w:eastAsia="宋体" w:cs="宋体"/>
                      <w:color w:val="000000"/>
                      <w:kern w:val="0"/>
                      <w:sz w:val="20"/>
                      <w:szCs w:val="20"/>
                      <w:highlight w:val="none"/>
                      <w:lang w:val="en-US" w:eastAsia="zh-CN" w:bidi="ar-SA"/>
                    </w:rPr>
                    <w:t>服务</w:t>
                  </w:r>
                  <w:r>
                    <w:rPr>
                      <w:rFonts w:hint="eastAsia" w:ascii="宋体" w:hAnsi="宋体" w:eastAsia="宋体" w:cs="宋体"/>
                      <w:color w:val="000000"/>
                      <w:kern w:val="0"/>
                      <w:sz w:val="20"/>
                      <w:szCs w:val="20"/>
                      <w:highlight w:val="none"/>
                      <w:lang w:val="en-US" w:eastAsia="zh-CN" w:bidi="ar-SA"/>
                    </w:rPr>
                    <w:t>受到市局以上表扬，每一次奖励4分；</w:t>
                  </w:r>
                </w:p>
                <w:p w14:paraId="02BC7136">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3</w:t>
                  </w:r>
                  <w:r>
                    <w:rPr>
                      <w:rFonts w:hint="eastAsia" w:ascii="宋体" w:hAnsi="宋体" w:eastAsia="宋体" w:cs="宋体"/>
                      <w:color w:val="000000"/>
                      <w:kern w:val="0"/>
                      <w:sz w:val="20"/>
                      <w:szCs w:val="20"/>
                      <w:highlight w:val="none"/>
                      <w:lang w:val="en-US" w:eastAsia="zh-CN" w:bidi="ar-SA"/>
                    </w:rPr>
                    <w:t>）运维</w:t>
                  </w:r>
                  <w:r>
                    <w:rPr>
                      <w:rFonts w:hint="default" w:ascii="宋体" w:hAnsi="宋体" w:eastAsia="宋体" w:cs="宋体"/>
                      <w:color w:val="000000"/>
                      <w:kern w:val="0"/>
                      <w:sz w:val="20"/>
                      <w:szCs w:val="20"/>
                      <w:highlight w:val="none"/>
                      <w:lang w:val="en-US" w:eastAsia="zh-CN" w:bidi="ar-SA"/>
                    </w:rPr>
                    <w:t>服务</w:t>
                  </w:r>
                  <w:r>
                    <w:rPr>
                      <w:rFonts w:hint="eastAsia" w:ascii="宋体" w:hAnsi="宋体" w:eastAsia="宋体" w:cs="宋体"/>
                      <w:color w:val="000000"/>
                      <w:kern w:val="0"/>
                      <w:sz w:val="20"/>
                      <w:szCs w:val="20"/>
                      <w:highlight w:val="none"/>
                      <w:lang w:val="en-US" w:eastAsia="zh-CN" w:bidi="ar-SA"/>
                    </w:rPr>
                    <w:t>受到支队表扬，每一次奖励</w:t>
                  </w:r>
                  <w:r>
                    <w:rPr>
                      <w:rFonts w:hint="default" w:ascii="宋体" w:hAnsi="宋体" w:eastAsia="宋体" w:cs="宋体"/>
                      <w:color w:val="000000"/>
                      <w:kern w:val="0"/>
                      <w:sz w:val="20"/>
                      <w:szCs w:val="20"/>
                      <w:highlight w:val="none"/>
                      <w:lang w:val="en-US" w:eastAsia="zh-CN" w:bidi="ar-SA"/>
                    </w:rPr>
                    <w:t>3</w:t>
                  </w:r>
                  <w:r>
                    <w:rPr>
                      <w:rFonts w:hint="eastAsia" w:ascii="宋体" w:hAnsi="宋体" w:eastAsia="宋体" w:cs="宋体"/>
                      <w:color w:val="000000"/>
                      <w:kern w:val="0"/>
                      <w:sz w:val="20"/>
                      <w:szCs w:val="20"/>
                      <w:highlight w:val="none"/>
                      <w:lang w:val="en-US" w:eastAsia="zh-CN" w:bidi="ar-SA"/>
                    </w:rPr>
                    <w:t>分；</w:t>
                  </w:r>
                </w:p>
                <w:p w14:paraId="5A3869EB">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4</w:t>
                  </w:r>
                  <w:r>
                    <w:rPr>
                      <w:rFonts w:hint="eastAsia" w:ascii="宋体" w:hAnsi="宋体" w:eastAsia="宋体" w:cs="宋体"/>
                      <w:color w:val="000000"/>
                      <w:kern w:val="0"/>
                      <w:sz w:val="20"/>
                      <w:szCs w:val="20"/>
                      <w:highlight w:val="none"/>
                      <w:lang w:val="en-US" w:eastAsia="zh-CN" w:bidi="ar-SA"/>
                    </w:rPr>
                    <w:t>）运维</w:t>
                  </w:r>
                  <w:r>
                    <w:rPr>
                      <w:rFonts w:hint="default" w:ascii="宋体" w:hAnsi="宋体" w:eastAsia="宋体" w:cs="宋体"/>
                      <w:color w:val="000000"/>
                      <w:kern w:val="0"/>
                      <w:sz w:val="20"/>
                      <w:szCs w:val="20"/>
                      <w:highlight w:val="none"/>
                      <w:lang w:val="en-US" w:eastAsia="zh-CN" w:bidi="ar-SA"/>
                    </w:rPr>
                    <w:t>服务</w:t>
                  </w:r>
                  <w:r>
                    <w:rPr>
                      <w:rFonts w:hint="eastAsia" w:ascii="宋体" w:hAnsi="宋体" w:eastAsia="宋体" w:cs="宋体"/>
                      <w:color w:val="000000"/>
                      <w:kern w:val="0"/>
                      <w:sz w:val="20"/>
                      <w:szCs w:val="20"/>
                      <w:highlight w:val="none"/>
                      <w:lang w:val="en-US" w:eastAsia="zh-CN" w:bidi="ar-SA"/>
                    </w:rPr>
                    <w:t>受到大队（处）来信表扬，每一次奖励1分，每月最高得2分（同一大队当月不可重复加分）；</w:t>
                  </w:r>
                </w:p>
                <w:p w14:paraId="574FAFF0">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0"/>
                      <w:szCs w:val="20"/>
                      <w:highlight w:val="none"/>
                      <w:lang w:val="en-US" w:eastAsia="zh-CN" w:bidi="ar-SA"/>
                    </w:rPr>
                  </w:pPr>
                  <w:r>
                    <w:rPr>
                      <w:rFonts w:hint="eastAsia" w:ascii="宋体" w:hAnsi="宋体" w:eastAsia="宋体" w:cs="宋体"/>
                      <w:color w:val="FF0000"/>
                      <w:kern w:val="0"/>
                      <w:sz w:val="20"/>
                      <w:szCs w:val="20"/>
                      <w:highlight w:val="none"/>
                      <w:lang w:val="en-US" w:eastAsia="zh-CN" w:bidi="ar-SA"/>
                    </w:rPr>
                    <w:t>（5）</w:t>
                  </w:r>
                  <w:r>
                    <w:rPr>
                      <w:rFonts w:hint="eastAsia" w:ascii="宋体" w:hAnsi="宋体" w:eastAsia="宋体" w:cs="宋体"/>
                      <w:color w:val="000000"/>
                      <w:kern w:val="0"/>
                      <w:sz w:val="20"/>
                      <w:szCs w:val="20"/>
                      <w:highlight w:val="none"/>
                      <w:lang w:val="en-US" w:eastAsia="zh-CN" w:bidi="ar-SA"/>
                    </w:rPr>
                    <w:t>主动发现率：主动</w:t>
                  </w:r>
                  <w:r>
                    <w:rPr>
                      <w:rFonts w:hint="default" w:ascii="宋体" w:hAnsi="宋体" w:eastAsia="宋体" w:cs="宋体"/>
                      <w:color w:val="000000"/>
                      <w:kern w:val="0"/>
                      <w:sz w:val="20"/>
                      <w:szCs w:val="20"/>
                      <w:highlight w:val="none"/>
                      <w:lang w:val="en-US" w:eastAsia="zh-CN" w:bidi="ar-SA"/>
                    </w:rPr>
                    <w:t>发现</w:t>
                  </w:r>
                  <w:r>
                    <w:rPr>
                      <w:rFonts w:hint="eastAsia" w:ascii="宋体" w:hAnsi="宋体" w:eastAsia="宋体" w:cs="宋体"/>
                      <w:color w:val="000000"/>
                      <w:kern w:val="0"/>
                      <w:sz w:val="20"/>
                      <w:szCs w:val="20"/>
                      <w:highlight w:val="none"/>
                      <w:lang w:val="en-US" w:eastAsia="zh-CN" w:bidi="ar-SA"/>
                    </w:rPr>
                    <w:t>外单位管养设备故障或存在隐患及时上报并协助处置，每一单奖励0.5分；发现外单位管养设备故障并主动修复的，每一单奖励1分；</w:t>
                  </w:r>
                </w:p>
                <w:p w14:paraId="26EA6AA0">
                  <w:pPr>
                    <w:keepNext w:val="0"/>
                    <w:keepLines w:val="0"/>
                    <w:widowControl/>
                    <w:suppressLineNumbers w:val="0"/>
                    <w:spacing w:before="0" w:beforeAutospacing="0" w:after="0" w:afterAutospacing="0"/>
                    <w:ind w:left="0" w:right="0"/>
                    <w:jc w:val="left"/>
                    <w:rPr>
                      <w:rFonts w:hint="eastAsia" w:ascii="宋体" w:hAnsi="宋体" w:eastAsia="宋体" w:cs="宋体"/>
                      <w:color w:val="FF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6</w:t>
                  </w:r>
                  <w:r>
                    <w:rPr>
                      <w:rFonts w:hint="eastAsia" w:ascii="宋体" w:hAnsi="宋体" w:eastAsia="宋体" w:cs="宋体"/>
                      <w:color w:val="000000"/>
                      <w:kern w:val="0"/>
                      <w:sz w:val="20"/>
                      <w:szCs w:val="20"/>
                      <w:highlight w:val="none"/>
                      <w:lang w:val="en-US" w:eastAsia="zh-CN" w:bidi="ar-SA"/>
                    </w:rPr>
                    <w:t>）</w:t>
                  </w:r>
                  <w:r>
                    <w:rPr>
                      <w:rFonts w:hint="eastAsia" w:ascii="宋体" w:hAnsi="宋体" w:eastAsia="宋体" w:cs="宋体"/>
                      <w:color w:val="FF0000"/>
                      <w:kern w:val="0"/>
                      <w:sz w:val="20"/>
                      <w:szCs w:val="20"/>
                      <w:highlight w:val="none"/>
                      <w:lang w:val="en-US" w:eastAsia="zh-CN" w:bidi="ar-SA"/>
                    </w:rPr>
                    <w:t>考核优秀的公司，在维护量变化不大情况，可优先考虑沿用合同“签一续二”；</w:t>
                  </w:r>
                </w:p>
                <w:p w14:paraId="4A03A9A4">
                  <w:pPr>
                    <w:keepNext w:val="0"/>
                    <w:keepLines w:val="0"/>
                    <w:widowControl/>
                    <w:suppressLineNumbers w:val="0"/>
                    <w:spacing w:before="0" w:beforeAutospacing="0" w:after="0" w:afterAutospacing="0"/>
                    <w:ind w:left="0" w:right="0"/>
                    <w:jc w:val="left"/>
                    <w:rPr>
                      <w:rFonts w:hint="default" w:ascii="宋体" w:hAnsi="宋体" w:eastAsia="宋体" w:cs="宋体"/>
                      <w:color w:val="FF0000"/>
                      <w:kern w:val="0"/>
                      <w:sz w:val="20"/>
                      <w:szCs w:val="20"/>
                      <w:highlight w:val="none"/>
                      <w:lang w:val="en-US" w:eastAsia="zh-CN" w:bidi="ar-SA"/>
                    </w:rPr>
                  </w:pPr>
                  <w:r>
                    <w:rPr>
                      <w:rFonts w:hint="eastAsia" w:ascii="宋体" w:hAnsi="宋体" w:eastAsia="宋体" w:cs="宋体"/>
                      <w:color w:val="FF0000"/>
                      <w:kern w:val="0"/>
                      <w:sz w:val="20"/>
                      <w:szCs w:val="20"/>
                      <w:highlight w:val="none"/>
                      <w:lang w:val="en-US" w:eastAsia="zh-CN" w:bidi="ar-SA"/>
                    </w:rPr>
                    <w:t>（7）完成采购方下达的应急维护任务，每次加2分；</w:t>
                  </w:r>
                </w:p>
                <w:p w14:paraId="29B015FC">
                  <w:pPr>
                    <w:keepNext w:val="0"/>
                    <w:keepLines w:val="0"/>
                    <w:widowControl/>
                    <w:suppressLineNumbers w:val="0"/>
                    <w:spacing w:before="0" w:beforeAutospacing="0" w:after="0" w:afterAutospacing="0"/>
                    <w:ind w:left="0" w:right="0"/>
                    <w:jc w:val="left"/>
                    <w:rPr>
                      <w:rFonts w:hint="eastAsia" w:ascii="宋体" w:hAnsi="宋体" w:eastAsia="宋体" w:cs="宋体"/>
                      <w:color w:val="FF0000"/>
                      <w:kern w:val="0"/>
                      <w:sz w:val="20"/>
                      <w:szCs w:val="20"/>
                      <w:highlight w:val="none"/>
                      <w:lang w:val="en-US" w:eastAsia="zh-CN" w:bidi="ar-SA"/>
                    </w:rPr>
                  </w:pPr>
                  <w:r>
                    <w:rPr>
                      <w:rFonts w:hint="eastAsia" w:ascii="宋体" w:hAnsi="宋体" w:eastAsia="宋体" w:cs="宋体"/>
                      <w:color w:val="FF0000"/>
                      <w:kern w:val="0"/>
                      <w:sz w:val="20"/>
                      <w:szCs w:val="20"/>
                      <w:highlight w:val="none"/>
                      <w:lang w:val="en-US" w:eastAsia="zh-CN" w:bidi="ar-SA"/>
                    </w:rPr>
                    <w:t>（8）如存在造假情况，一律取消所有加分，并扣5分。</w:t>
                  </w:r>
                </w:p>
              </w:tc>
            </w:tr>
            <w:tr w14:paraId="3AB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581D29A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highlight w:val="none"/>
                      <w:lang w:val="en-US" w:eastAsia="zh-CN" w:bidi="ar-SA"/>
                    </w:rPr>
                  </w:pPr>
                  <w:r>
                    <w:rPr>
                      <w:rFonts w:hint="eastAsia" w:ascii="宋体" w:hAnsi="宋体" w:eastAsia="宋体" w:cs="宋体"/>
                      <w:b/>
                      <w:bCs/>
                      <w:color w:val="000000"/>
                      <w:kern w:val="0"/>
                      <w:sz w:val="20"/>
                      <w:szCs w:val="20"/>
                      <w:highlight w:val="none"/>
                      <w:lang w:val="en-US" w:eastAsia="zh-CN" w:bidi="ar-SA"/>
                    </w:rPr>
                    <w:t>减分项</w:t>
                  </w:r>
                </w:p>
              </w:tc>
              <w:tc>
                <w:tcPr>
                  <w:tcW w:w="4404" w:type="pct"/>
                  <w:shd w:val="clear" w:color="auto" w:fill="auto"/>
                  <w:vAlign w:val="center"/>
                </w:tcPr>
                <w:p w14:paraId="466E5042">
                  <w:pPr>
                    <w:keepNext w:val="0"/>
                    <w:keepLines w:val="0"/>
                    <w:widowControl/>
                    <w:suppressLineNumbers w:val="0"/>
                    <w:spacing w:before="0" w:beforeAutospacing="0" w:after="0" w:afterAutospacing="0"/>
                    <w:ind w:left="0" w:right="0"/>
                    <w:jc w:val="left"/>
                    <w:rPr>
                      <w:rFonts w:hint="default"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2、</w:t>
                  </w:r>
                  <w:r>
                    <w:rPr>
                      <w:rFonts w:hint="eastAsia" w:ascii="宋体" w:hAnsi="宋体" w:eastAsia="宋体" w:cs="宋体"/>
                      <w:kern w:val="0"/>
                      <w:sz w:val="20"/>
                      <w:szCs w:val="20"/>
                      <w:highlight w:val="none"/>
                      <w:lang w:val="en-US" w:eastAsia="zh-CN" w:bidi="ar-SA"/>
                    </w:rPr>
                    <w:t>维护月周期内</w:t>
                  </w:r>
                  <w:r>
                    <w:rPr>
                      <w:rFonts w:hint="eastAsia" w:ascii="宋体" w:hAnsi="宋体" w:eastAsia="宋体" w:cs="宋体"/>
                      <w:b/>
                      <w:color w:val="000000"/>
                      <w:kern w:val="0"/>
                      <w:sz w:val="20"/>
                      <w:szCs w:val="20"/>
                      <w:highlight w:val="none"/>
                      <w:lang w:val="en-US" w:eastAsia="zh-CN" w:bidi="ar-SA"/>
                    </w:rPr>
                    <w:t>减分</w:t>
                  </w:r>
                  <w:r>
                    <w:rPr>
                      <w:rFonts w:hint="default" w:ascii="宋体" w:hAnsi="宋体" w:eastAsia="宋体" w:cs="宋体"/>
                      <w:b/>
                      <w:color w:val="000000"/>
                      <w:kern w:val="0"/>
                      <w:sz w:val="20"/>
                      <w:szCs w:val="20"/>
                      <w:highlight w:val="none"/>
                      <w:lang w:val="en-US" w:eastAsia="zh-CN" w:bidi="ar-SA"/>
                    </w:rPr>
                    <w:t>项</w:t>
                  </w:r>
                  <w:r>
                    <w:rPr>
                      <w:rFonts w:hint="eastAsia" w:ascii="宋体" w:hAnsi="宋体" w:eastAsia="宋体" w:cs="宋体"/>
                      <w:b/>
                      <w:color w:val="000000"/>
                      <w:kern w:val="0"/>
                      <w:sz w:val="20"/>
                      <w:szCs w:val="20"/>
                      <w:highlight w:val="none"/>
                      <w:lang w:val="en-US" w:eastAsia="zh-CN" w:bidi="ar-SA"/>
                    </w:rPr>
                    <w:t>:</w:t>
                  </w:r>
                </w:p>
                <w:p w14:paraId="4E1B246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1</w:t>
                  </w:r>
                  <w:r>
                    <w:rPr>
                      <w:rFonts w:hint="eastAsia" w:ascii="宋体" w:hAnsi="宋体" w:eastAsia="宋体" w:cs="宋体"/>
                      <w:color w:val="000000"/>
                      <w:kern w:val="0"/>
                      <w:sz w:val="20"/>
                      <w:szCs w:val="20"/>
                      <w:highlight w:val="none"/>
                      <w:lang w:val="en-US" w:eastAsia="zh-CN" w:bidi="ar-SA"/>
                    </w:rPr>
                    <w:t>）省（部）级专项任务</w:t>
                  </w:r>
                  <w:r>
                    <w:rPr>
                      <w:rFonts w:hint="default" w:ascii="宋体" w:hAnsi="宋体" w:eastAsia="宋体" w:cs="宋体"/>
                      <w:color w:val="000000"/>
                      <w:kern w:val="0"/>
                      <w:sz w:val="20"/>
                      <w:szCs w:val="20"/>
                      <w:highlight w:val="none"/>
                      <w:lang w:val="en-US" w:eastAsia="zh-CN" w:bidi="ar-SA"/>
                    </w:rPr>
                    <w:t>考核</w:t>
                  </w:r>
                  <w:r>
                    <w:rPr>
                      <w:rFonts w:hint="eastAsia" w:ascii="宋体" w:hAnsi="宋体" w:eastAsia="宋体" w:cs="宋体"/>
                      <w:color w:val="000000"/>
                      <w:kern w:val="0"/>
                      <w:sz w:val="20"/>
                      <w:szCs w:val="20"/>
                      <w:highlight w:val="none"/>
                      <w:lang w:val="en-US" w:eastAsia="zh-CN" w:bidi="ar-SA"/>
                    </w:rPr>
                    <w:t>标准</w:t>
                  </w:r>
                  <w:r>
                    <w:rPr>
                      <w:rFonts w:hint="default" w:ascii="宋体" w:hAnsi="宋体" w:eastAsia="宋体" w:cs="宋体"/>
                      <w:color w:val="000000"/>
                      <w:kern w:val="0"/>
                      <w:sz w:val="20"/>
                      <w:szCs w:val="20"/>
                      <w:highlight w:val="none"/>
                      <w:lang w:val="en-US" w:eastAsia="zh-CN" w:bidi="ar-SA"/>
                    </w:rPr>
                    <w:t>要求，每出现一次</w:t>
                  </w:r>
                  <w:r>
                    <w:rPr>
                      <w:rFonts w:hint="eastAsia" w:ascii="宋体" w:hAnsi="宋体" w:eastAsia="宋体" w:cs="宋体"/>
                      <w:color w:val="000000"/>
                      <w:kern w:val="0"/>
                      <w:sz w:val="20"/>
                      <w:szCs w:val="20"/>
                      <w:highlight w:val="none"/>
                      <w:lang w:val="en-US" w:eastAsia="zh-CN" w:bidi="ar-SA"/>
                    </w:rPr>
                    <w:t>考核</w:t>
                  </w:r>
                  <w:r>
                    <w:rPr>
                      <w:rFonts w:hint="default" w:ascii="宋体" w:hAnsi="宋体" w:eastAsia="宋体" w:cs="宋体"/>
                      <w:color w:val="000000"/>
                      <w:kern w:val="0"/>
                      <w:sz w:val="20"/>
                      <w:szCs w:val="20"/>
                      <w:highlight w:val="none"/>
                      <w:lang w:val="en-US" w:eastAsia="zh-CN" w:bidi="ar-SA"/>
                    </w:rPr>
                    <w:t>不达标的项目，扣5</w:t>
                  </w:r>
                  <w:r>
                    <w:rPr>
                      <w:rFonts w:hint="eastAsia" w:ascii="宋体" w:hAnsi="宋体" w:eastAsia="宋体" w:cs="宋体"/>
                      <w:color w:val="000000"/>
                      <w:kern w:val="0"/>
                      <w:sz w:val="20"/>
                      <w:szCs w:val="20"/>
                      <w:highlight w:val="none"/>
                      <w:lang w:val="en-US" w:eastAsia="zh-CN" w:bidi="ar-SA"/>
                    </w:rPr>
                    <w:t>分；</w:t>
                  </w:r>
                </w:p>
                <w:p w14:paraId="4CCB418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2</w:t>
                  </w:r>
                  <w:r>
                    <w:rPr>
                      <w:rFonts w:hint="eastAsia" w:ascii="宋体" w:hAnsi="宋体" w:eastAsia="宋体" w:cs="宋体"/>
                      <w:color w:val="000000"/>
                      <w:kern w:val="0"/>
                      <w:sz w:val="20"/>
                      <w:szCs w:val="20"/>
                      <w:highlight w:val="none"/>
                      <w:lang w:val="en-US" w:eastAsia="zh-CN" w:bidi="ar-SA"/>
                    </w:rPr>
                    <w:t>）市局以上专项任务</w:t>
                  </w:r>
                  <w:r>
                    <w:rPr>
                      <w:rFonts w:hint="default" w:ascii="宋体" w:hAnsi="宋体" w:eastAsia="宋体" w:cs="宋体"/>
                      <w:color w:val="000000"/>
                      <w:kern w:val="0"/>
                      <w:sz w:val="20"/>
                      <w:szCs w:val="20"/>
                      <w:highlight w:val="none"/>
                      <w:lang w:val="en-US" w:eastAsia="zh-CN" w:bidi="ar-SA"/>
                    </w:rPr>
                    <w:t>考核</w:t>
                  </w:r>
                  <w:r>
                    <w:rPr>
                      <w:rFonts w:hint="eastAsia" w:ascii="宋体" w:hAnsi="宋体" w:eastAsia="宋体" w:cs="宋体"/>
                      <w:color w:val="000000"/>
                      <w:kern w:val="0"/>
                      <w:sz w:val="20"/>
                      <w:szCs w:val="20"/>
                      <w:highlight w:val="none"/>
                      <w:lang w:val="en-US" w:eastAsia="zh-CN" w:bidi="ar-SA"/>
                    </w:rPr>
                    <w:t>标准</w:t>
                  </w:r>
                  <w:r>
                    <w:rPr>
                      <w:rFonts w:hint="default" w:ascii="宋体" w:hAnsi="宋体" w:eastAsia="宋体" w:cs="宋体"/>
                      <w:color w:val="000000"/>
                      <w:kern w:val="0"/>
                      <w:sz w:val="20"/>
                      <w:szCs w:val="20"/>
                      <w:highlight w:val="none"/>
                      <w:lang w:val="en-US" w:eastAsia="zh-CN" w:bidi="ar-SA"/>
                    </w:rPr>
                    <w:t>要求，每出现一次</w:t>
                  </w:r>
                  <w:r>
                    <w:rPr>
                      <w:rFonts w:hint="eastAsia" w:ascii="宋体" w:hAnsi="宋体" w:eastAsia="宋体" w:cs="宋体"/>
                      <w:color w:val="000000"/>
                      <w:kern w:val="0"/>
                      <w:sz w:val="20"/>
                      <w:szCs w:val="20"/>
                      <w:highlight w:val="none"/>
                      <w:lang w:val="en-US" w:eastAsia="zh-CN" w:bidi="ar-SA"/>
                    </w:rPr>
                    <w:t>考核</w:t>
                  </w:r>
                  <w:r>
                    <w:rPr>
                      <w:rFonts w:hint="default" w:ascii="宋体" w:hAnsi="宋体" w:eastAsia="宋体" w:cs="宋体"/>
                      <w:color w:val="000000"/>
                      <w:kern w:val="0"/>
                      <w:sz w:val="20"/>
                      <w:szCs w:val="20"/>
                      <w:highlight w:val="none"/>
                      <w:lang w:val="en-US" w:eastAsia="zh-CN" w:bidi="ar-SA"/>
                    </w:rPr>
                    <w:t>不达标的项目，扣</w:t>
                  </w:r>
                  <w:r>
                    <w:rPr>
                      <w:rFonts w:hint="eastAsia" w:ascii="宋体" w:hAnsi="宋体" w:eastAsia="宋体" w:cs="宋体"/>
                      <w:color w:val="000000"/>
                      <w:kern w:val="0"/>
                      <w:sz w:val="20"/>
                      <w:szCs w:val="20"/>
                      <w:highlight w:val="none"/>
                      <w:lang w:val="en-US" w:eastAsia="zh-CN" w:bidi="ar-SA"/>
                    </w:rPr>
                    <w:t>4分；</w:t>
                  </w:r>
                </w:p>
                <w:p w14:paraId="5F7D66F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w:t>
                  </w:r>
                  <w:r>
                    <w:rPr>
                      <w:rFonts w:hint="default" w:ascii="宋体" w:hAnsi="宋体" w:eastAsia="宋体" w:cs="宋体"/>
                      <w:color w:val="000000"/>
                      <w:kern w:val="0"/>
                      <w:sz w:val="20"/>
                      <w:szCs w:val="20"/>
                      <w:highlight w:val="none"/>
                      <w:lang w:val="en-US" w:eastAsia="zh-CN" w:bidi="ar-SA"/>
                    </w:rPr>
                    <w:t>3</w:t>
                  </w:r>
                  <w:r>
                    <w:rPr>
                      <w:rFonts w:hint="eastAsia" w:ascii="宋体" w:hAnsi="宋体" w:eastAsia="宋体" w:cs="宋体"/>
                      <w:color w:val="000000"/>
                      <w:kern w:val="0"/>
                      <w:sz w:val="20"/>
                      <w:szCs w:val="20"/>
                      <w:highlight w:val="none"/>
                      <w:lang w:val="en-US" w:eastAsia="zh-CN" w:bidi="ar-SA"/>
                    </w:rPr>
                    <w:t>）支队专项任务</w:t>
                  </w:r>
                  <w:r>
                    <w:rPr>
                      <w:rFonts w:hint="default" w:ascii="宋体" w:hAnsi="宋体" w:eastAsia="宋体" w:cs="宋体"/>
                      <w:color w:val="000000"/>
                      <w:kern w:val="0"/>
                      <w:sz w:val="20"/>
                      <w:szCs w:val="20"/>
                      <w:highlight w:val="none"/>
                      <w:lang w:val="en-US" w:eastAsia="zh-CN" w:bidi="ar-SA"/>
                    </w:rPr>
                    <w:t>考核</w:t>
                  </w:r>
                  <w:r>
                    <w:rPr>
                      <w:rFonts w:hint="eastAsia" w:ascii="宋体" w:hAnsi="宋体" w:eastAsia="宋体" w:cs="宋体"/>
                      <w:color w:val="000000"/>
                      <w:kern w:val="0"/>
                      <w:sz w:val="20"/>
                      <w:szCs w:val="20"/>
                      <w:highlight w:val="none"/>
                      <w:lang w:val="en-US" w:eastAsia="zh-CN" w:bidi="ar-SA"/>
                    </w:rPr>
                    <w:t>标准</w:t>
                  </w:r>
                  <w:r>
                    <w:rPr>
                      <w:rFonts w:hint="default" w:ascii="宋体" w:hAnsi="宋体" w:eastAsia="宋体" w:cs="宋体"/>
                      <w:color w:val="000000"/>
                      <w:kern w:val="0"/>
                      <w:sz w:val="20"/>
                      <w:szCs w:val="20"/>
                      <w:highlight w:val="none"/>
                      <w:lang w:val="en-US" w:eastAsia="zh-CN" w:bidi="ar-SA"/>
                    </w:rPr>
                    <w:t>要求，每出现一次</w:t>
                  </w:r>
                  <w:r>
                    <w:rPr>
                      <w:rFonts w:hint="eastAsia" w:ascii="宋体" w:hAnsi="宋体" w:eastAsia="宋体" w:cs="宋体"/>
                      <w:color w:val="000000"/>
                      <w:kern w:val="0"/>
                      <w:sz w:val="20"/>
                      <w:szCs w:val="20"/>
                      <w:highlight w:val="none"/>
                      <w:lang w:val="en-US" w:eastAsia="zh-CN" w:bidi="ar-SA"/>
                    </w:rPr>
                    <w:t>考核</w:t>
                  </w:r>
                  <w:r>
                    <w:rPr>
                      <w:rFonts w:hint="default" w:ascii="宋体" w:hAnsi="宋体" w:eastAsia="宋体" w:cs="宋体"/>
                      <w:color w:val="000000"/>
                      <w:kern w:val="0"/>
                      <w:sz w:val="20"/>
                      <w:szCs w:val="20"/>
                      <w:highlight w:val="none"/>
                      <w:lang w:val="en-US" w:eastAsia="zh-CN" w:bidi="ar-SA"/>
                    </w:rPr>
                    <w:t>不达标的项目，扣3</w:t>
                  </w:r>
                  <w:r>
                    <w:rPr>
                      <w:rFonts w:hint="eastAsia" w:ascii="宋体" w:hAnsi="宋体" w:eastAsia="宋体" w:cs="宋体"/>
                      <w:color w:val="000000"/>
                      <w:kern w:val="0"/>
                      <w:sz w:val="20"/>
                      <w:szCs w:val="20"/>
                      <w:highlight w:val="none"/>
                      <w:lang w:val="en-US" w:eastAsia="zh-CN" w:bidi="ar-SA"/>
                    </w:rPr>
                    <w:t>分；</w:t>
                  </w:r>
                </w:p>
                <w:p w14:paraId="0B55522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（4）大队（处）专项任务</w:t>
                  </w:r>
                  <w:r>
                    <w:rPr>
                      <w:rFonts w:hint="default" w:ascii="宋体" w:hAnsi="宋体" w:eastAsia="宋体" w:cs="宋体"/>
                      <w:color w:val="000000"/>
                      <w:kern w:val="0"/>
                      <w:sz w:val="20"/>
                      <w:szCs w:val="20"/>
                      <w:highlight w:val="none"/>
                      <w:lang w:val="en-US" w:eastAsia="zh-CN" w:bidi="ar-SA"/>
                    </w:rPr>
                    <w:t>考核</w:t>
                  </w:r>
                  <w:r>
                    <w:rPr>
                      <w:rFonts w:hint="eastAsia" w:ascii="宋体" w:hAnsi="宋体" w:eastAsia="宋体" w:cs="宋体"/>
                      <w:color w:val="000000"/>
                      <w:kern w:val="0"/>
                      <w:sz w:val="20"/>
                      <w:szCs w:val="20"/>
                      <w:highlight w:val="none"/>
                      <w:lang w:val="en-US" w:eastAsia="zh-CN" w:bidi="ar-SA"/>
                    </w:rPr>
                    <w:t>标准</w:t>
                  </w:r>
                  <w:r>
                    <w:rPr>
                      <w:rFonts w:hint="default" w:ascii="宋体" w:hAnsi="宋体" w:eastAsia="宋体" w:cs="宋体"/>
                      <w:color w:val="000000"/>
                      <w:kern w:val="0"/>
                      <w:sz w:val="20"/>
                      <w:szCs w:val="20"/>
                      <w:highlight w:val="none"/>
                      <w:lang w:val="en-US" w:eastAsia="zh-CN" w:bidi="ar-SA"/>
                    </w:rPr>
                    <w:t>要求，每出现一次</w:t>
                  </w:r>
                  <w:r>
                    <w:rPr>
                      <w:rFonts w:hint="eastAsia" w:ascii="宋体" w:hAnsi="宋体" w:eastAsia="宋体" w:cs="宋体"/>
                      <w:color w:val="000000"/>
                      <w:kern w:val="0"/>
                      <w:sz w:val="20"/>
                      <w:szCs w:val="20"/>
                      <w:highlight w:val="none"/>
                      <w:lang w:val="en-US" w:eastAsia="zh-CN" w:bidi="ar-SA"/>
                    </w:rPr>
                    <w:t>考核</w:t>
                  </w:r>
                  <w:r>
                    <w:rPr>
                      <w:rFonts w:hint="default" w:ascii="宋体" w:hAnsi="宋体" w:eastAsia="宋体" w:cs="宋体"/>
                      <w:color w:val="000000"/>
                      <w:kern w:val="0"/>
                      <w:sz w:val="20"/>
                      <w:szCs w:val="20"/>
                      <w:highlight w:val="none"/>
                      <w:lang w:val="en-US" w:eastAsia="zh-CN" w:bidi="ar-SA"/>
                    </w:rPr>
                    <w:t>不达标的项目，扣2</w:t>
                  </w:r>
                  <w:r>
                    <w:rPr>
                      <w:rFonts w:hint="eastAsia" w:ascii="宋体" w:hAnsi="宋体" w:eastAsia="宋体" w:cs="宋体"/>
                      <w:color w:val="000000"/>
                      <w:kern w:val="0"/>
                      <w:sz w:val="20"/>
                      <w:szCs w:val="20"/>
                      <w:highlight w:val="none"/>
                      <w:lang w:val="en-US" w:eastAsia="zh-CN" w:bidi="ar-SA"/>
                    </w:rPr>
                    <w:t>分；</w:t>
                  </w:r>
                </w:p>
                <w:p w14:paraId="7893B0C8">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（5）群众投诉、微博、媒体曝光等影响深圳交警服务形象，查证属实后每发生一次，扣2分；</w:t>
                  </w:r>
                </w:p>
                <w:p w14:paraId="311EFF68">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（6）不按实际情况上报数据，存在弄虚作假，发现一次扣3分；</w:t>
                  </w:r>
                </w:p>
                <w:p w14:paraId="0E4AC195">
                  <w:pPr>
                    <w:keepNext w:val="0"/>
                    <w:keepLines w:val="0"/>
                    <w:widowControl/>
                    <w:suppressLineNumbers w:val="0"/>
                    <w:spacing w:before="0" w:beforeAutospacing="0" w:after="0" w:afterAutospacing="0"/>
                    <w:ind w:left="0" w:right="0"/>
                    <w:jc w:val="left"/>
                    <w:rPr>
                      <w:rFonts w:hint="default"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SA"/>
                    </w:rPr>
                    <w:t>（7）年度累计超过3次考核评价在“C”或以下公司，则抄送市采购主管部门；</w:t>
                  </w:r>
                </w:p>
                <w:p w14:paraId="2F0718D5">
                  <w:pPr>
                    <w:keepNext w:val="0"/>
                    <w:keepLines w:val="0"/>
                    <w:widowControl/>
                    <w:suppressLineNumbers w:val="0"/>
                    <w:spacing w:before="0" w:beforeAutospacing="0" w:after="0" w:afterAutospacing="0"/>
                    <w:ind w:left="0" w:right="0"/>
                    <w:jc w:val="left"/>
                    <w:rPr>
                      <w:rFonts w:hint="eastAsia" w:ascii="宋体" w:hAnsi="宋体" w:eastAsia="宋体" w:cs="宋体"/>
                      <w:color w:val="FF0000"/>
                      <w:kern w:val="0"/>
                      <w:sz w:val="20"/>
                      <w:szCs w:val="20"/>
                      <w:highlight w:val="none"/>
                      <w:lang w:val="en-US" w:eastAsia="zh-CN" w:bidi="ar-SA"/>
                    </w:rPr>
                  </w:pPr>
                </w:p>
              </w:tc>
            </w:tr>
            <w:tr w14:paraId="6B71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77A3E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项目人员（按合同配备、数量、着装）</w:t>
                  </w:r>
                </w:p>
              </w:tc>
              <w:tc>
                <w:tcPr>
                  <w:tcW w:w="4404" w:type="pct"/>
                  <w:shd w:val="clear" w:color="auto" w:fill="FFFFFF"/>
                  <w:vAlign w:val="center"/>
                </w:tcPr>
                <w:p w14:paraId="2F7275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抽查发现人员或维护配备未达到招标需求（或合同）要求的，每发现一次扣5分。</w:t>
                  </w:r>
                </w:p>
              </w:tc>
            </w:tr>
            <w:tr w14:paraId="018D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3CF33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bCs/>
                      <w:color w:val="000000"/>
                      <w:kern w:val="0"/>
                      <w:sz w:val="20"/>
                      <w:szCs w:val="20"/>
                      <w:highlight w:val="none"/>
                      <w:lang w:val="en-US" w:eastAsia="zh-CN" w:bidi="ar-SA"/>
                    </w:rPr>
                    <w:t>设备抽检</w:t>
                  </w:r>
                </w:p>
              </w:tc>
              <w:tc>
                <w:tcPr>
                  <w:tcW w:w="4404" w:type="pct"/>
                  <w:shd w:val="clear" w:color="auto" w:fill="FFFFFF"/>
                  <w:vAlign w:val="center"/>
                </w:tcPr>
                <w:p w14:paraId="301AAE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对维护范围内的设备进行抽检，发现设备故障、信号灯异常、电警卡口过车数据不符合要求、闭路电视出图异常、诱导屏显示异常、杆件倾斜、设备漏电、基础外露、箱体破损、沙井残缺或缺失、线路接驳或外露、管道残缺或堵塞、防锈漆脱落等隐患的、清洁度、整齐性等方面不符合要求，每发现1次扣1分。</w:t>
                  </w:r>
                </w:p>
              </w:tc>
            </w:tr>
            <w:tr w14:paraId="30F1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3672D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人员管理</w:t>
                  </w:r>
                </w:p>
              </w:tc>
              <w:tc>
                <w:tcPr>
                  <w:tcW w:w="4404" w:type="pct"/>
                  <w:shd w:val="clear" w:color="auto" w:fill="FFFFFF"/>
                  <w:vAlign w:val="center"/>
                </w:tcPr>
                <w:p w14:paraId="3A9F7C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中标单位需按照采购单位相关模板及管理规定办理人员工服、工作证等，并配合物业等人员做好出入登记、工牌核对、车辆停放等事宜，自觉维护好办公环境及内务秩序，未遵守采购方要求的，每次扣1分。</w:t>
                  </w:r>
                </w:p>
              </w:tc>
            </w:tr>
            <w:tr w14:paraId="5FFF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32650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项目经理及主要成员（投标文件中的）</w:t>
                  </w:r>
                </w:p>
              </w:tc>
              <w:tc>
                <w:tcPr>
                  <w:tcW w:w="4404" w:type="pct"/>
                  <w:shd w:val="clear" w:color="auto" w:fill="FFFFFF"/>
                  <w:vAlign w:val="center"/>
                </w:tcPr>
                <w:p w14:paraId="1FAF8E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每次召开有关项目例会、工作部署会、现场会等会议，要求项目经理（投标文件中的）或主要团队成员到场，必须无条件到场，发现一次不到场的，每人每次扣5分。</w:t>
                  </w:r>
                </w:p>
              </w:tc>
            </w:tr>
            <w:tr w14:paraId="379E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28323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安全措施规范性</w:t>
                  </w:r>
                </w:p>
              </w:tc>
              <w:tc>
                <w:tcPr>
                  <w:tcW w:w="4404" w:type="pct"/>
                  <w:shd w:val="clear" w:color="auto" w:fill="auto"/>
                  <w:vAlign w:val="center"/>
                </w:tcPr>
                <w:p w14:paraId="0CB100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维护人员着装（反光衣、肩闪灯）、佩戴工作证、安全操作、车辆停放、警示标志设置等不规范的，发现一次扣1分。</w:t>
                  </w:r>
                </w:p>
              </w:tc>
            </w:tr>
            <w:tr w14:paraId="440E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074F2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接障响应及时性</w:t>
                  </w:r>
                </w:p>
              </w:tc>
              <w:tc>
                <w:tcPr>
                  <w:tcW w:w="4404" w:type="pct"/>
                  <w:shd w:val="clear" w:color="auto" w:fill="auto"/>
                  <w:vAlign w:val="center"/>
                </w:tcPr>
                <w:p w14:paraId="72CE3B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未在规定时限内确认故障通知（5分钟内确认故障通知已接收），发现一次扣1分。</w:t>
                  </w:r>
                </w:p>
              </w:tc>
            </w:tr>
            <w:tr w14:paraId="2B90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5F70A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设备材料退库</w:t>
                  </w:r>
                </w:p>
              </w:tc>
              <w:tc>
                <w:tcPr>
                  <w:tcW w:w="4404" w:type="pct"/>
                  <w:shd w:val="clear" w:color="auto" w:fill="auto"/>
                  <w:vAlign w:val="center"/>
                </w:tcPr>
                <w:p w14:paraId="6DE6FB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中标方在维护工作中更换或拆除的设备材料，必须登记造册，贴好标签，做好台账，在2天内将拆下设备完整送达至采购人指定仓库，并做好签收记录。不按规定执行的，每次扣1分。</w:t>
                  </w:r>
                </w:p>
              </w:tc>
            </w:tr>
            <w:tr w14:paraId="0D7E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22C15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设备安全性</w:t>
                  </w:r>
                </w:p>
              </w:tc>
              <w:tc>
                <w:tcPr>
                  <w:tcW w:w="4404" w:type="pct"/>
                  <w:shd w:val="clear" w:color="auto" w:fill="auto"/>
                  <w:vAlign w:val="center"/>
                </w:tcPr>
                <w:p w14:paraId="6D8278C8">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因维护不当造成设备漏电或杆件倾斜、杆件基础或连接处不牢固等问题隐患，但未造成不良影响的，每次扣1分；造成不良影响的，每次扣10分。</w:t>
                  </w:r>
                </w:p>
              </w:tc>
            </w:tr>
            <w:tr w14:paraId="07A3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vMerge w:val="restart"/>
                  <w:shd w:val="clear" w:color="auto" w:fill="auto"/>
                  <w:vAlign w:val="center"/>
                </w:tcPr>
                <w:p w14:paraId="32404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资料提交及时性及准确性</w:t>
                  </w:r>
                </w:p>
              </w:tc>
              <w:tc>
                <w:tcPr>
                  <w:tcW w:w="4404" w:type="pct"/>
                  <w:shd w:val="clear" w:color="auto" w:fill="auto"/>
                  <w:vAlign w:val="center"/>
                </w:tcPr>
                <w:p w14:paraId="764F1D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 xml:space="preserve">中标方应在每个月维护周期后的第二个工作日，提交信号路口、交通诱导屏及闭路电视设备的管养照片电子档以及管养情况报告，维护范围外设备故障须及时上报甲方；电警、卡口须有夜间巡查照片，体现所有补光灯或闪光灯的运行情况，交通诱导屏须有显示文字的照片，路口管养照片需添加“拍摄时间、拍摄位置”的水印，未按规定时间提交，每延误1天扣1分； 资料不完整、弄虚作假、隐瞒、错报的，每次扣2分。     </w:t>
                  </w:r>
                </w:p>
              </w:tc>
            </w:tr>
            <w:tr w14:paraId="7591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vMerge w:val="continue"/>
                  <w:shd w:val="clear" w:color="auto" w:fill="auto"/>
                  <w:vAlign w:val="center"/>
                </w:tcPr>
                <w:p w14:paraId="47ECD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p>
              </w:tc>
              <w:tc>
                <w:tcPr>
                  <w:tcW w:w="4404" w:type="pct"/>
                  <w:shd w:val="clear" w:color="auto" w:fill="auto"/>
                  <w:vAlign w:val="center"/>
                </w:tcPr>
                <w:p w14:paraId="02A201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bidi="ar-SA"/>
                    </w:rPr>
                    <w:t>维护公司应按采购方要求提交投诉件核查报告、设备故障复盘报告、设备分析报告等书面材料，报告应包含设备使用年限、故障处置情况及原因分析，处置措施，发现漏报、瞒报、弄虚作假或内容不完整的，每次扣1分。</w:t>
                  </w:r>
                </w:p>
              </w:tc>
            </w:tr>
            <w:tr w14:paraId="1AF3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vMerge w:val="continue"/>
                  <w:shd w:val="clear" w:color="auto" w:fill="auto"/>
                  <w:vAlign w:val="center"/>
                </w:tcPr>
                <w:p w14:paraId="7783A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p>
              </w:tc>
              <w:tc>
                <w:tcPr>
                  <w:tcW w:w="4404" w:type="pct"/>
                  <w:shd w:val="clear" w:color="auto" w:fill="auto"/>
                  <w:vAlign w:val="center"/>
                </w:tcPr>
                <w:p w14:paraId="4DB2AB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采购人下达的维护任务或排查任务，中标方提交维护、巡查以及各类排查反馈资料不及时，未按规定时间提交，每延误1天扣1分。</w:t>
                  </w:r>
                </w:p>
              </w:tc>
            </w:tr>
            <w:tr w14:paraId="5BAA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vMerge w:val="continue"/>
                  <w:shd w:val="clear" w:color="auto" w:fill="auto"/>
                  <w:vAlign w:val="center"/>
                </w:tcPr>
                <w:p w14:paraId="7D0E2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p>
              </w:tc>
              <w:tc>
                <w:tcPr>
                  <w:tcW w:w="4404" w:type="pct"/>
                  <w:shd w:val="clear" w:color="auto" w:fill="auto"/>
                  <w:vAlign w:val="center"/>
                </w:tcPr>
                <w:p w14:paraId="36FFCB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采购人下达的维护任务或排查任务，中标方填写或提交的维护、巡查以及各类排查反馈资料，资料填报时弄虚作假、隐瞒、错报的，每次扣2分。</w:t>
                  </w:r>
                </w:p>
              </w:tc>
            </w:tr>
            <w:tr w14:paraId="7182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18381DEA">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2"/>
                      <w:sz w:val="20"/>
                      <w:szCs w:val="20"/>
                      <w:highlight w:val="none"/>
                      <w:lang w:val="en-US" w:eastAsia="zh-CN" w:bidi="ar-SA"/>
                    </w:rPr>
                    <w:t>乱拆乱接</w:t>
                  </w:r>
                </w:p>
              </w:tc>
              <w:tc>
                <w:tcPr>
                  <w:tcW w:w="4404" w:type="pct"/>
                  <w:shd w:val="clear" w:color="auto" w:fill="FFFFFF"/>
                  <w:vAlign w:val="center"/>
                </w:tcPr>
                <w:p w14:paraId="5BB5BD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中标方在维护工作中，未经采购人同意，私自拆除设备、线缆、杆件等设施，乱接线缆，在杆件上私自安装其他设备，或被加装设备未及时发现上报处置的，每次扣5分。</w:t>
                  </w:r>
                </w:p>
              </w:tc>
            </w:tr>
            <w:tr w14:paraId="7883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7C5918AE">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2"/>
                      <w:sz w:val="20"/>
                      <w:szCs w:val="20"/>
                      <w:highlight w:val="none"/>
                      <w:lang w:val="en-US" w:eastAsia="zh-CN" w:bidi="ar-SA"/>
                    </w:rPr>
                    <w:t>工作指令执行</w:t>
                  </w:r>
                </w:p>
              </w:tc>
              <w:tc>
                <w:tcPr>
                  <w:tcW w:w="4404" w:type="pct"/>
                  <w:shd w:val="clear" w:color="auto" w:fill="FFFFFF"/>
                  <w:vAlign w:val="center"/>
                </w:tcPr>
                <w:p w14:paraId="47D8D6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采购方、监理下达的工作指令，中标方不按时执行完毕的，或者拒绝执行的，每次扣5分。</w:t>
                  </w:r>
                </w:p>
              </w:tc>
            </w:tr>
            <w:tr w14:paraId="45B5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7FE97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维护交接</w:t>
                  </w:r>
                </w:p>
              </w:tc>
              <w:tc>
                <w:tcPr>
                  <w:tcW w:w="4404" w:type="pct"/>
                  <w:shd w:val="clear" w:color="auto" w:fill="FFFFFF"/>
                  <w:vAlign w:val="center"/>
                </w:tcPr>
                <w:p w14:paraId="4C8D9CEA">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 xml:space="preserve">中标方须在维护合同执行的第一周内完成采购方针对本项目安排的所有交通信号系统路口及电子警察系统设备、闭路、车牌识别、诱导屏、通信光缆及工程设施等的维护管理接手；若因中标方原因未能按期接手维护管理或提交现状调查报告的，每延迟一天扣1分，并累计扣罚。                             </w:t>
                  </w:r>
                </w:p>
                <w:p w14:paraId="67144E75">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2、中标方须在维护合同结束后一周内完成维护管理范围内的所有交通信号系统路口及电子警察系统设备、闭路、车牌、诱导、通信光缆、工程及工程设施等的维护管理移交工作，须保证所有移交的设备、工程及工程设施不得低于接手维护时并经采购方认可的状态，否则由中标方承担恢复至接手时状态的全部恢复改造费用。若因中标方方原因不能移交进入新的维护合同维护管理的，每延迟一天扣1分，并累计扣罚。</w:t>
                  </w:r>
                </w:p>
              </w:tc>
            </w:tr>
            <w:tr w14:paraId="6D11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vMerge w:val="restart"/>
                  <w:shd w:val="clear" w:color="auto" w:fill="auto"/>
                  <w:vAlign w:val="center"/>
                </w:tcPr>
                <w:p w14:paraId="5C577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占道施工管理</w:t>
                  </w:r>
                </w:p>
              </w:tc>
              <w:tc>
                <w:tcPr>
                  <w:tcW w:w="4404" w:type="pct"/>
                  <w:shd w:val="clear" w:color="auto" w:fill="auto"/>
                  <w:vAlign w:val="center"/>
                </w:tcPr>
                <w:p w14:paraId="44624C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占用、挖掘道路施工不满足相关标准、规范和要求的，未造成不良影响的，每发现1次扣1分。</w:t>
                  </w:r>
                </w:p>
              </w:tc>
            </w:tr>
            <w:tr w14:paraId="7D18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vMerge w:val="continue"/>
                </w:tcPr>
                <w:p w14:paraId="14D34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p>
              </w:tc>
              <w:tc>
                <w:tcPr>
                  <w:tcW w:w="4404" w:type="pct"/>
                  <w:shd w:val="clear" w:color="auto" w:fill="auto"/>
                  <w:vAlign w:val="center"/>
                </w:tcPr>
                <w:p w14:paraId="652667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因占道施工围挡不规范等原因导致发生安全生产事故，每次扣10分。</w:t>
                  </w:r>
                </w:p>
              </w:tc>
            </w:tr>
            <w:tr w14:paraId="56A0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vMerge w:val="continue"/>
                </w:tcPr>
                <w:p w14:paraId="2C0CA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highlight w:val="none"/>
                      <w:lang w:val="en-US" w:eastAsia="zh-CN" w:bidi="ar-SA"/>
                    </w:rPr>
                  </w:pPr>
                </w:p>
              </w:tc>
              <w:tc>
                <w:tcPr>
                  <w:tcW w:w="4404" w:type="pct"/>
                  <w:shd w:val="clear" w:color="auto" w:fill="FFFFFF"/>
                  <w:vAlign w:val="center"/>
                </w:tcPr>
                <w:p w14:paraId="311A34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在占道施工现场必须有中标方安全员，每发现一次安全员不在现场的，扣2分。</w:t>
                  </w:r>
                </w:p>
              </w:tc>
            </w:tr>
            <w:tr w14:paraId="1279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08419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一机两用</w:t>
                  </w:r>
                </w:p>
              </w:tc>
              <w:tc>
                <w:tcPr>
                  <w:tcW w:w="4404" w:type="pct"/>
                  <w:shd w:val="clear" w:color="auto" w:fill="FFFFFF"/>
                  <w:vAlign w:val="center"/>
                </w:tcPr>
                <w:p w14:paraId="2F058E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中标方所有参与现场服务的工作人员必须严格遵守深圳交警局内部办公管理规定，不得从事与本项目无关的工作，严格遵守政府、公安内部保密制度，严禁出现“一机两用”现象，每发现一次扣10分。</w:t>
                  </w:r>
                </w:p>
              </w:tc>
            </w:tr>
            <w:tr w14:paraId="676E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57520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数据信息泄露</w:t>
                  </w:r>
                </w:p>
              </w:tc>
              <w:tc>
                <w:tcPr>
                  <w:tcW w:w="4404" w:type="pct"/>
                  <w:shd w:val="clear" w:color="auto" w:fill="FFFFFF"/>
                  <w:vAlign w:val="center"/>
                </w:tcPr>
                <w:p w14:paraId="5150FE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中标方对所维护的设备、系统产出数据要遵守《深圳市公安局信息资源共享管理规定》等相关保密条例规定，违反规定导致信息泄露的，发现一次扣10分。</w:t>
                  </w:r>
                </w:p>
              </w:tc>
            </w:tr>
            <w:tr w14:paraId="5743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5" w:type="pct"/>
                  <w:shd w:val="clear" w:color="auto" w:fill="auto"/>
                  <w:vAlign w:val="center"/>
                </w:tcPr>
                <w:p w14:paraId="2A7A0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highlight w:val="none"/>
                      <w:lang w:val="en-US" w:eastAsia="zh-CN" w:bidi="ar-SA"/>
                    </w:rPr>
                  </w:pPr>
                  <w:r>
                    <w:rPr>
                      <w:rFonts w:hint="eastAsia" w:ascii="宋体" w:hAnsi="宋体" w:eastAsia="宋体" w:cs="宋体"/>
                      <w:b/>
                      <w:color w:val="000000"/>
                      <w:kern w:val="0"/>
                      <w:sz w:val="20"/>
                      <w:szCs w:val="20"/>
                      <w:highlight w:val="none"/>
                      <w:lang w:val="en-US" w:eastAsia="zh-CN" w:bidi="ar-SA"/>
                    </w:rPr>
                    <w:t>日常配合工作</w:t>
                  </w:r>
                </w:p>
              </w:tc>
              <w:tc>
                <w:tcPr>
                  <w:tcW w:w="4404" w:type="pct"/>
                  <w:shd w:val="clear" w:color="auto" w:fill="auto"/>
                  <w:vAlign w:val="center"/>
                </w:tcPr>
                <w:p w14:paraId="65F1B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根据采购方要求开展下列维护相关工作：</w:t>
                  </w:r>
                </w:p>
                <w:p w14:paraId="41CC8B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bidi="ar-SA"/>
                    </w:rPr>
                    <w:t>1、拟建工程调研：中标方要熟知维护范围内缆线的资源现状和分布情况，以及预留芯线的数量和分布，对采购方新装交通监控设施等需求能提供缆线资源现状调研及合理的联网建议。</w:t>
                  </w:r>
                  <w:r>
                    <w:rPr>
                      <w:rFonts w:hint="eastAsia" w:ascii="宋体" w:hAnsi="宋体" w:eastAsia="宋体" w:cs="宋体"/>
                      <w:color w:val="000000"/>
                      <w:kern w:val="0"/>
                      <w:sz w:val="20"/>
                      <w:szCs w:val="20"/>
                      <w:highlight w:val="none"/>
                      <w:lang w:val="en-US" w:eastAsia="zh-CN" w:bidi="ar-SA"/>
                    </w:rPr>
                    <w:br w:type="textWrapping"/>
                  </w:r>
                  <w:r>
                    <w:rPr>
                      <w:rFonts w:hint="eastAsia" w:ascii="宋体" w:hAnsi="宋体" w:eastAsia="宋体" w:cs="宋体"/>
                      <w:color w:val="000000"/>
                      <w:kern w:val="0"/>
                      <w:sz w:val="20"/>
                      <w:szCs w:val="20"/>
                      <w:highlight w:val="none"/>
                      <w:lang w:val="en-US" w:eastAsia="zh-CN" w:bidi="ar-SA"/>
                    </w:rPr>
                    <w:t>2、联网、跳线服务：提供交通监控设施的光纤联网跳接、跟外单位的联网跳接等服务。</w:t>
                  </w:r>
                  <w:r>
                    <w:rPr>
                      <w:rFonts w:hint="eastAsia" w:ascii="宋体" w:hAnsi="宋体" w:eastAsia="宋体" w:cs="宋体"/>
                      <w:color w:val="000000"/>
                      <w:kern w:val="0"/>
                      <w:sz w:val="20"/>
                      <w:szCs w:val="20"/>
                      <w:highlight w:val="none"/>
                      <w:lang w:val="en-US" w:eastAsia="zh-CN" w:bidi="ar-SA"/>
                    </w:rPr>
                    <w:br w:type="textWrapping"/>
                  </w:r>
                  <w:r>
                    <w:rPr>
                      <w:rFonts w:hint="eastAsia" w:ascii="宋体" w:hAnsi="宋体" w:eastAsia="宋体" w:cs="宋体"/>
                      <w:color w:val="000000"/>
                      <w:kern w:val="0"/>
                      <w:sz w:val="20"/>
                      <w:szCs w:val="20"/>
                      <w:highlight w:val="none"/>
                      <w:lang w:val="en-US" w:eastAsia="zh-CN" w:bidi="ar-SA"/>
                    </w:rPr>
                    <w:t>3、其他：完成采购方要求的、跟维护工作有关的、中标方力所能及的配合工作。</w:t>
                  </w:r>
                  <w:r>
                    <w:rPr>
                      <w:rFonts w:hint="eastAsia" w:ascii="宋体" w:hAnsi="宋体" w:eastAsia="宋体" w:cs="宋体"/>
                      <w:color w:val="000000"/>
                      <w:kern w:val="0"/>
                      <w:sz w:val="20"/>
                      <w:szCs w:val="20"/>
                      <w:highlight w:val="none"/>
                      <w:lang w:val="en-US" w:eastAsia="zh-CN" w:bidi="ar-SA"/>
                    </w:rPr>
                    <w:br w:type="textWrapping"/>
                  </w:r>
                  <w:r>
                    <w:rPr>
                      <w:rFonts w:hint="eastAsia" w:ascii="宋体" w:hAnsi="宋体" w:eastAsia="宋体" w:cs="宋体"/>
                      <w:color w:val="000000"/>
                      <w:kern w:val="0"/>
                      <w:sz w:val="20"/>
                      <w:szCs w:val="20"/>
                      <w:highlight w:val="none"/>
                      <w:lang w:val="en-US" w:eastAsia="zh-CN" w:bidi="ar-SA"/>
                    </w:rPr>
                    <w:t>未按上述要求及规定时间内完成配合任务。</w:t>
                  </w:r>
                </w:p>
              </w:tc>
            </w:tr>
          </w:tbl>
          <w:p w14:paraId="0EE302C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三、履约评价</w:t>
            </w:r>
          </w:p>
          <w:p w14:paraId="0D9E3AFE">
            <w:pPr>
              <w:keepNext w:val="0"/>
              <w:keepLines w:val="0"/>
              <w:widowControl w:val="0"/>
              <w:suppressLineNumbers w:val="0"/>
              <w:spacing w:before="0" w:beforeAutospacing="0" w:after="0" w:afterAutospacing="0"/>
              <w:ind w:left="0" w:right="0"/>
              <w:jc w:val="center"/>
              <w:rPr>
                <w:rFonts w:hint="default" w:ascii="Calibri" w:hAnsi="Calibri" w:eastAsia="宋体" w:cs="Times New Roman"/>
                <w:b/>
                <w:kern w:val="2"/>
                <w:sz w:val="24"/>
                <w:szCs w:val="22"/>
                <w:lang w:val="en-US" w:eastAsia="zh-CN" w:bidi="ar-SA"/>
              </w:rPr>
            </w:pPr>
          </w:p>
          <w:tbl>
            <w:tblPr>
              <w:tblStyle w:val="17"/>
              <w:tblW w:w="507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569"/>
              <w:gridCol w:w="1062"/>
            </w:tblGrid>
            <w:tr w14:paraId="5130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15" w:type="pct"/>
                  <w:shd w:val="clear" w:color="auto" w:fill="auto"/>
                  <w:vAlign w:val="center"/>
                </w:tcPr>
                <w:p w14:paraId="5B8B13C8">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类别</w:t>
                  </w:r>
                </w:p>
              </w:tc>
              <w:tc>
                <w:tcPr>
                  <w:tcW w:w="3860" w:type="pct"/>
                  <w:shd w:val="clear" w:color="auto" w:fill="auto"/>
                  <w:vAlign w:val="center"/>
                </w:tcPr>
                <w:p w14:paraId="06242E23">
                  <w:pPr>
                    <w:keepNext w:val="0"/>
                    <w:keepLines w:val="0"/>
                    <w:widowControl/>
                    <w:suppressLineNumbers w:val="0"/>
                    <w:spacing w:before="0" w:beforeAutospacing="0" w:after="0" w:afterAutospacing="0"/>
                    <w:ind w:left="0" w:right="0" w:firstLine="402" w:firstLineChars="20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考核标准</w:t>
                  </w:r>
                </w:p>
              </w:tc>
              <w:tc>
                <w:tcPr>
                  <w:tcW w:w="624" w:type="pct"/>
                  <w:shd w:val="clear" w:color="auto" w:fill="auto"/>
                  <w:vAlign w:val="center"/>
                </w:tcPr>
                <w:p w14:paraId="4B34EF4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考核主体</w:t>
                  </w:r>
                </w:p>
              </w:tc>
            </w:tr>
            <w:tr w14:paraId="5D9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515" w:type="pct"/>
                  <w:shd w:val="clear" w:color="auto" w:fill="auto"/>
                  <w:vAlign w:val="center"/>
                </w:tcPr>
                <w:p w14:paraId="08E6C869">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考核措施</w:t>
                  </w:r>
                </w:p>
              </w:tc>
              <w:tc>
                <w:tcPr>
                  <w:tcW w:w="3860" w:type="pct"/>
                  <w:shd w:val="clear" w:color="auto" w:fill="auto"/>
                  <w:vAlign w:val="center"/>
                </w:tcPr>
                <w:p w14:paraId="1A467D88">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r>
                    <w:rPr>
                      <w:rFonts w:hint="eastAsia" w:ascii="宋体" w:hAnsi="宋体" w:eastAsia="宋体" w:cs="宋体"/>
                      <w:color w:val="000000"/>
                      <w:kern w:val="0"/>
                      <w:sz w:val="20"/>
                      <w:szCs w:val="20"/>
                      <w:lang w:val="en-US" w:eastAsia="zh-CN" w:bidi="ar-SA"/>
                    </w:rPr>
                    <w:t>各维护标段，中标方均预留合同总价的60%，设立为履约评价金，履约评价金与服务评价挂钩。每季度支付金额占履约评价金的25%，支付率与考核评分挂钩。每季度进行考核，季度评分采用当季度各月考核的平均分，</w:t>
                  </w:r>
                  <w:r>
                    <w:rPr>
                      <w:rFonts w:hint="eastAsia" w:ascii="宋体" w:hAnsi="宋体" w:eastAsia="宋体" w:cs="宋体"/>
                      <w:color w:val="FF0000"/>
                      <w:kern w:val="0"/>
                      <w:sz w:val="20"/>
                      <w:szCs w:val="20"/>
                      <w:lang w:val="en-US" w:eastAsia="zh-CN" w:bidi="ar-SA"/>
                    </w:rPr>
                    <w:t>考核评分≥97分，评价等级为“S”，支付率参考“S”级支付比例；97分&gt;考核评分≥90分，评价等级为“A”，支付率参考“A”级支付比例；90分＞考核评分≥80分，评价等级为“B”，支付率参考“B”级支付比例；80分＞考核评分≥60分，评价等级为“C”，支付率参考“C”级支付比例；考核评分＜60分，评价等级为“D”，支付率参考“D”级支付比例；</w:t>
                  </w:r>
                </w:p>
                <w:p w14:paraId="1CE93FE3">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考核评分对应支付比例计算办法如下：</w:t>
                  </w:r>
                </w:p>
                <w:p w14:paraId="7A370EE2">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S：支付比例=当季履约评价金</w:t>
                  </w:r>
                </w:p>
                <w:p w14:paraId="50ED3EE1">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A：支付比例=当季履约评价金*1.0*考核分数百分比；</w:t>
                  </w:r>
                </w:p>
                <w:p w14:paraId="710C0A0F">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B：支付比例=当季履约评价金*0.8*考核分数百分比；</w:t>
                  </w:r>
                </w:p>
                <w:p w14:paraId="5D500790">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C：支付比例=当季履约评价金*0.6*考核分数百分比；</w:t>
                  </w:r>
                </w:p>
                <w:p w14:paraId="729EAF0E">
                  <w:pPr>
                    <w:keepNext w:val="0"/>
                    <w:keepLines w:val="0"/>
                    <w:widowControl/>
                    <w:suppressLineNumbers w:val="0"/>
                    <w:spacing w:before="0" w:beforeAutospacing="0" w:after="0" w:afterAutospacing="0"/>
                    <w:ind w:left="0" w:right="0" w:firstLine="400" w:firstLineChars="200"/>
                    <w:jc w:val="left"/>
                    <w:rPr>
                      <w:rFonts w:hint="default" w:ascii="宋体" w:hAnsi="宋体" w:eastAsia="宋体" w:cs="宋体"/>
                      <w:color w:val="FF0000"/>
                      <w:kern w:val="0"/>
                      <w:sz w:val="20"/>
                      <w:szCs w:val="20"/>
                      <w:lang w:val="en-US" w:eastAsia="zh-CN" w:bidi="ar-SA"/>
                    </w:rPr>
                  </w:pPr>
                  <w:r>
                    <w:rPr>
                      <w:rFonts w:hint="eastAsia" w:ascii="宋体" w:hAnsi="宋体" w:eastAsia="宋体" w:cs="宋体"/>
                      <w:color w:val="FF0000"/>
                      <w:kern w:val="0"/>
                      <w:sz w:val="20"/>
                      <w:szCs w:val="20"/>
                      <w:lang w:val="en-US" w:eastAsia="zh-CN" w:bidi="ar-SA"/>
                    </w:rPr>
                    <w:t>D：支付比例=0。</w:t>
                  </w:r>
                </w:p>
                <w:p w14:paraId="7BE6F2A4">
                  <w:pPr>
                    <w:keepNext w:val="0"/>
                    <w:keepLines w:val="0"/>
                    <w:widowControl/>
                    <w:suppressLineNumbers w:val="0"/>
                    <w:spacing w:before="0" w:beforeAutospacing="0" w:after="0" w:afterAutospacing="0"/>
                    <w:ind w:left="0" w:right="0" w:firstLine="402" w:firstLineChars="200"/>
                    <w:jc w:val="left"/>
                    <w:rPr>
                      <w:rFonts w:hint="default"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每月考核，中标方如发生一次履约评价等级为“D”或两次履约评价等级为“C”，将暂停该标段的维护工作，由其他标段进行接管；</w:t>
                  </w:r>
                </w:p>
              </w:tc>
              <w:tc>
                <w:tcPr>
                  <w:tcW w:w="624" w:type="pct"/>
                  <w:shd w:val="clear" w:color="auto" w:fill="auto"/>
                  <w:vAlign w:val="center"/>
                </w:tcPr>
                <w:p w14:paraId="300D9AC3">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科技处/辖区</w:t>
                  </w:r>
                  <w:r>
                    <w:rPr>
                      <w:rFonts w:hint="default" w:ascii="宋体" w:hAnsi="宋体" w:eastAsia="宋体" w:cs="宋体"/>
                      <w:color w:val="000000"/>
                      <w:kern w:val="0"/>
                      <w:sz w:val="20"/>
                      <w:szCs w:val="20"/>
                      <w:lang w:val="en-US" w:eastAsia="zh-CN" w:bidi="ar-SA"/>
                    </w:rPr>
                    <w:t xml:space="preserve">大队 </w:t>
                  </w:r>
                </w:p>
              </w:tc>
            </w:tr>
          </w:tbl>
          <w:p w14:paraId="0CBF3314">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2"/>
                <w:lang w:val="en-US" w:eastAsia="zh-CN" w:bidi="ar-SA"/>
              </w:rPr>
            </w:pPr>
          </w:p>
          <w:p w14:paraId="52B517C6">
            <w:pPr>
              <w:keepNext w:val="0"/>
              <w:keepLines w:val="0"/>
              <w:widowControl w:val="0"/>
              <w:suppressLineNumbers w:val="0"/>
              <w:spacing w:before="0" w:beforeAutospacing="0" w:after="0" w:afterAutospacing="0"/>
              <w:ind w:left="0" w:right="0"/>
              <w:jc w:val="both"/>
              <w:rPr>
                <w:rFonts w:hint="default" w:ascii="宋体" w:hAnsi="宋体" w:eastAsia="宋体" w:cs="Times New Roman"/>
                <w:color w:val="FF0000"/>
                <w:kern w:val="2"/>
                <w:sz w:val="21"/>
                <w:szCs w:val="21"/>
                <w:lang w:val="en-US" w:eastAsia="zh-CN" w:bidi="ar-SA"/>
              </w:rPr>
            </w:pPr>
            <w:bookmarkStart w:id="38" w:name="_Hlk89854718"/>
            <w:r>
              <w:rPr>
                <w:rFonts w:hint="eastAsia" w:ascii="Calibri" w:hAnsi="Calibri" w:eastAsia="宋体" w:cs="Times New Roman"/>
                <w:color w:val="FF0000"/>
                <w:kern w:val="2"/>
                <w:sz w:val="21"/>
                <w:szCs w:val="22"/>
                <w:lang w:val="en-US" w:eastAsia="zh-CN" w:bidi="ar-SA"/>
              </w:rPr>
              <w:t>备注：</w:t>
            </w:r>
            <w:r>
              <w:rPr>
                <w:rFonts w:hint="eastAsia" w:ascii="宋体" w:hAnsi="宋体" w:eastAsia="宋体" w:cs="Times New Roman"/>
                <w:color w:val="FF0000"/>
                <w:kern w:val="2"/>
                <w:sz w:val="21"/>
                <w:szCs w:val="21"/>
                <w:lang w:val="en-US" w:eastAsia="zh-CN" w:bidi="ar-SA"/>
              </w:rPr>
              <w:t>1、以上考核办法的解释权归属：深圳市公安局交通警察局</w:t>
            </w:r>
            <w:bookmarkEnd w:id="38"/>
            <w:r>
              <w:rPr>
                <w:rFonts w:hint="eastAsia" w:ascii="宋体" w:hAnsi="宋体" w:eastAsia="宋体" w:cs="Times New Roman"/>
                <w:color w:val="FF0000"/>
                <w:kern w:val="2"/>
                <w:sz w:val="21"/>
                <w:szCs w:val="21"/>
                <w:lang w:val="en-US" w:eastAsia="zh-CN" w:bidi="ar-SA"/>
              </w:rPr>
              <w:t>；</w:t>
            </w:r>
          </w:p>
          <w:p w14:paraId="07D6D9AC">
            <w:pPr>
              <w:keepNext w:val="0"/>
              <w:keepLines w:val="0"/>
              <w:widowControl w:val="0"/>
              <w:numPr>
                <w:ilvl w:val="0"/>
                <w:numId w:val="0"/>
              </w:numPr>
              <w:suppressLineNumbers w:val="0"/>
              <w:spacing w:before="0" w:beforeAutospacing="0" w:after="0" w:afterAutospacing="0"/>
              <w:ind w:left="0" w:leftChars="0" w:right="0" w:firstLine="630" w:firstLineChars="300"/>
              <w:jc w:val="both"/>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2、考核主体为：交通科技处、各中标单位维护区域的管辖大队；</w:t>
            </w:r>
          </w:p>
          <w:p w14:paraId="0B6B57DE">
            <w:pPr>
              <w:keepNext w:val="0"/>
              <w:keepLines w:val="0"/>
              <w:widowControl w:val="0"/>
              <w:numPr>
                <w:ilvl w:val="0"/>
                <w:numId w:val="0"/>
              </w:numPr>
              <w:suppressLineNumbers w:val="0"/>
              <w:spacing w:before="0" w:beforeAutospacing="0" w:after="0" w:afterAutospacing="0"/>
              <w:ind w:left="0" w:leftChars="0" w:right="0" w:firstLine="630" w:firstLineChars="300"/>
              <w:jc w:val="both"/>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3、每月考核评分最高不超过100分；</w:t>
            </w:r>
          </w:p>
          <w:p w14:paraId="55602777">
            <w:pPr>
              <w:keepNext w:val="0"/>
              <w:keepLines w:val="0"/>
              <w:widowControl w:val="0"/>
              <w:suppressLineNumbers w:val="0"/>
              <w:spacing w:before="0" w:beforeAutospacing="0" w:after="0" w:afterAutospacing="0"/>
              <w:ind w:left="0" w:right="0" w:firstLine="630" w:firstLineChars="300"/>
              <w:jc w:val="both"/>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4、如有需要，本考核办法会根据实际情况进行优化调整，调整后以甲方书面通知为准；</w:t>
            </w:r>
          </w:p>
          <w:p w14:paraId="3E23A8A0">
            <w:pPr>
              <w:keepNext w:val="0"/>
              <w:keepLines w:val="0"/>
              <w:widowControl w:val="0"/>
              <w:suppressLineNumbers w:val="0"/>
              <w:spacing w:before="0" w:beforeAutospacing="0" w:after="0" w:afterAutospacing="0"/>
              <w:ind w:left="930" w:leftChars="300" w:right="0" w:hanging="210" w:hangingChars="100"/>
              <w:jc w:val="both"/>
              <w:rPr>
                <w:rFonts w:hint="default"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5、因机房停电、光缆故障等客观因素导致考核项受影响，维护单位需在</w:t>
            </w:r>
            <w:r>
              <w:rPr>
                <w:rFonts w:hint="default" w:ascii="宋体" w:hAnsi="宋体" w:eastAsia="宋体" w:cs="宋体"/>
                <w:color w:val="FF0000"/>
                <w:kern w:val="0"/>
                <w:sz w:val="21"/>
                <w:szCs w:val="21"/>
                <w:lang w:val="en-US" w:eastAsia="zh-CN" w:bidi="ar-SA"/>
              </w:rPr>
              <w:t>48</w:t>
            </w:r>
            <w:r>
              <w:rPr>
                <w:rFonts w:hint="eastAsia" w:ascii="宋体" w:hAnsi="宋体" w:eastAsia="宋体" w:cs="宋体"/>
                <w:color w:val="FF0000"/>
                <w:kern w:val="0"/>
                <w:sz w:val="21"/>
                <w:szCs w:val="21"/>
                <w:lang w:val="en-US" w:eastAsia="zh-CN" w:bidi="ar-SA"/>
              </w:rPr>
              <w:t>小时内（逾期不受理）书面申报并提供相关依据、佐证，经甲方部门认可的，该类型影响点位可不计入考核；</w:t>
            </w:r>
          </w:p>
          <w:p w14:paraId="5FD70151">
            <w:pPr>
              <w:keepNext w:val="0"/>
              <w:keepLines w:val="0"/>
              <w:widowControl w:val="0"/>
              <w:suppressLineNumbers w:val="0"/>
              <w:spacing w:before="0" w:beforeAutospacing="0" w:after="0" w:afterAutospacing="0"/>
              <w:ind w:left="930" w:leftChars="300" w:right="0" w:hanging="210" w:hangingChars="100"/>
              <w:jc w:val="both"/>
              <w:rPr>
                <w:rFonts w:hint="default"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6、因辖区交警大队对高快速路、市政道路实施交通管制等情况导致考核项受影响（不包含信号灯抢修），维护单位需在</w:t>
            </w:r>
            <w:r>
              <w:rPr>
                <w:rFonts w:hint="default" w:ascii="宋体" w:hAnsi="宋体" w:eastAsia="宋体" w:cs="宋体"/>
                <w:color w:val="FF0000"/>
                <w:kern w:val="0"/>
                <w:sz w:val="21"/>
                <w:szCs w:val="21"/>
                <w:lang w:val="en-US" w:eastAsia="zh-CN" w:bidi="ar-SA"/>
              </w:rPr>
              <w:t>48</w:t>
            </w:r>
            <w:r>
              <w:rPr>
                <w:rFonts w:hint="eastAsia" w:ascii="宋体" w:hAnsi="宋体" w:eastAsia="宋体" w:cs="宋体"/>
                <w:color w:val="FF0000"/>
                <w:kern w:val="0"/>
                <w:sz w:val="21"/>
                <w:szCs w:val="21"/>
                <w:lang w:val="en-US" w:eastAsia="zh-CN" w:bidi="ar-SA"/>
              </w:rPr>
              <w:t>小时内（逾期不受理）书面申报并提供相关依据、佐证，经甲方部门认可的，该类型影响点位可不计入考核。</w:t>
            </w:r>
          </w:p>
          <w:p w14:paraId="67AFA249">
            <w:pPr>
              <w:keepNext w:val="0"/>
              <w:keepLines w:val="0"/>
              <w:widowControl w:val="0"/>
              <w:suppressLineNumbers w:val="0"/>
              <w:spacing w:before="0" w:beforeAutospacing="0" w:after="0" w:afterAutospacing="0"/>
              <w:ind w:left="0" w:right="0"/>
              <w:jc w:val="both"/>
              <w:rPr>
                <w:rFonts w:hint="default" w:ascii="宋体" w:hAnsi="宋体" w:eastAsia="宋体" w:cs="宋体"/>
                <w:color w:val="FF0000"/>
                <w:kern w:val="0"/>
                <w:sz w:val="20"/>
                <w:szCs w:val="20"/>
                <w:lang w:val="en-US" w:eastAsia="zh-CN" w:bidi="ar-SA"/>
              </w:rPr>
            </w:pPr>
          </w:p>
          <w:p w14:paraId="5EA55A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color w:val="000000"/>
                <w:kern w:val="0"/>
                <w:sz w:val="20"/>
                <w:szCs w:val="20"/>
                <w:lang w:val="en-US" w:eastAsia="zh-CN" w:bidi="ar-SA"/>
              </w:rPr>
              <w:t>四、故障修复时限要求</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7387"/>
            </w:tblGrid>
            <w:tr w14:paraId="6735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7" w:type="pct"/>
                  <w:shd w:val="clear" w:color="auto" w:fill="auto"/>
                  <w:vAlign w:val="center"/>
                </w:tcPr>
                <w:p w14:paraId="33432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kern w:val="0"/>
                      <w:sz w:val="20"/>
                      <w:szCs w:val="20"/>
                      <w:lang w:val="en-US" w:eastAsia="zh-CN" w:bidi="ar-SA"/>
                    </w:rPr>
                    <w:t>设备简单故障</w:t>
                  </w:r>
                </w:p>
              </w:tc>
              <w:tc>
                <w:tcPr>
                  <w:tcW w:w="4402" w:type="pct"/>
                  <w:shd w:val="clear" w:color="auto" w:fill="auto"/>
                  <w:vAlign w:val="center"/>
                </w:tcPr>
                <w:p w14:paraId="74839F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SA"/>
                    </w:rPr>
                    <w:t>1、信号维护：</w:t>
                  </w:r>
                  <w:r>
                    <w:rPr>
                      <w:rFonts w:hint="eastAsia" w:ascii="宋体" w:hAnsi="宋体" w:eastAsia="宋体" w:cs="宋体"/>
                      <w:color w:val="FF0000"/>
                      <w:kern w:val="0"/>
                      <w:sz w:val="20"/>
                      <w:szCs w:val="20"/>
                      <w:lang w:val="en-US" w:eastAsia="zh-CN" w:bidi="ar-SA"/>
                    </w:rPr>
                    <w:t>信号机配时方案丢失</w:t>
                  </w:r>
                  <w:r>
                    <w:rPr>
                      <w:rFonts w:hint="eastAsia" w:ascii="宋体" w:hAnsi="宋体" w:eastAsia="宋体" w:cs="宋体"/>
                      <w:color w:val="000000"/>
                      <w:kern w:val="0"/>
                      <w:sz w:val="20"/>
                      <w:szCs w:val="20"/>
                      <w:lang w:val="en-US" w:eastAsia="zh-CN" w:bidi="ar-SA"/>
                    </w:rPr>
                    <w:t>、重新启动、接触不良，更换保险丝及板卡等常用部件（1小时内修复）。</w:t>
                  </w:r>
                  <w:r>
                    <w:rPr>
                      <w:rFonts w:hint="eastAsia" w:ascii="宋体" w:hAnsi="宋体" w:eastAsia="宋体" w:cs="宋体"/>
                      <w:color w:val="FF0000"/>
                      <w:kern w:val="0"/>
                      <w:sz w:val="20"/>
                      <w:szCs w:val="20"/>
                      <w:lang w:val="en-US" w:eastAsia="zh-CN" w:bidi="ar-SA"/>
                    </w:rPr>
                    <w:t>涉及占道更换灯芯、灯具的，从批准占道开始1个小时内修复。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2、电警维护：设备重启、调整设备参数设置、闪光灯乱闪、空拍等（2小时内修复）。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3、车牌识别维护：设备重启、调整设备参数设置、闪光灯乱闪等（2小时内修复）。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4、闭路电视维护：设备重启、接触不良，调整设备角度及参数设置（2小时内修复）。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5、交通诱导维护：前端设备死机重启、更换常用部件、病毒库更新、应用程序错误等（1小时内修复）。</w:t>
                  </w:r>
                </w:p>
              </w:tc>
            </w:tr>
            <w:tr w14:paraId="6C79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7" w:type="pct"/>
                  <w:shd w:val="clear" w:color="auto" w:fill="auto"/>
                  <w:vAlign w:val="center"/>
                </w:tcPr>
                <w:p w14:paraId="57E81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kern w:val="0"/>
                      <w:sz w:val="20"/>
                      <w:szCs w:val="20"/>
                      <w:lang w:val="en-US" w:eastAsia="zh-CN" w:bidi="ar-SA"/>
                    </w:rPr>
                    <w:t>设备一般故障</w:t>
                  </w:r>
                </w:p>
              </w:tc>
              <w:tc>
                <w:tcPr>
                  <w:tcW w:w="4402" w:type="pct"/>
                  <w:shd w:val="clear" w:color="auto" w:fill="auto"/>
                  <w:vAlign w:val="center"/>
                </w:tcPr>
                <w:p w14:paraId="33464F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SA"/>
                    </w:rPr>
                    <w:t>1、信号维护：未发生过的不明原因的故障等（4小时内修复）。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2、电警维护：常用设备部件，涉及抓拍机、红绿灯检测器等部件故障的（8小时内修复）。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3、车牌识别维护：常用设备部件，涉及摄像机、存储硬盘等部件故障的（4小时内修复）。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4、闭路电视维护：涉及摄像机、光端机等常用部件故障的（4小时内修复）。</w:t>
                  </w:r>
                  <w:r>
                    <w:rPr>
                      <w:rFonts w:hint="eastAsia" w:ascii="宋体" w:hAnsi="宋体" w:eastAsia="宋体" w:cs="宋体"/>
                      <w:color w:val="000000"/>
                      <w:kern w:val="0"/>
                      <w:sz w:val="20"/>
                      <w:szCs w:val="20"/>
                      <w:lang w:val="en-US" w:eastAsia="zh-CN" w:bidi="ar-SA"/>
                    </w:rPr>
                    <w:br w:type="textWrapping"/>
                  </w:r>
                  <w:r>
                    <w:rPr>
                      <w:rFonts w:hint="eastAsia" w:ascii="宋体" w:hAnsi="宋体" w:eastAsia="宋体" w:cs="宋体"/>
                      <w:color w:val="000000"/>
                      <w:kern w:val="0"/>
                      <w:sz w:val="20"/>
                      <w:szCs w:val="20"/>
                      <w:lang w:val="en-US" w:eastAsia="zh-CN" w:bidi="ar-SA"/>
                    </w:rPr>
                    <w:t>5、交通诱导维护：涉及模组、板卡等常用设备故障、服务器重启、网络故障等（4小时内修复）。</w:t>
                  </w:r>
                </w:p>
              </w:tc>
            </w:tr>
            <w:tr w14:paraId="368E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7" w:type="pct"/>
                  <w:shd w:val="clear" w:color="auto" w:fill="auto"/>
                  <w:vAlign w:val="center"/>
                </w:tcPr>
                <w:p w14:paraId="2126B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kern w:val="0"/>
                      <w:sz w:val="20"/>
                      <w:szCs w:val="20"/>
                      <w:lang w:val="en-US" w:eastAsia="zh-CN" w:bidi="ar-SA"/>
                    </w:rPr>
                    <w:t>设备重大故障</w:t>
                  </w:r>
                </w:p>
              </w:tc>
              <w:tc>
                <w:tcPr>
                  <w:tcW w:w="4402" w:type="pct"/>
                  <w:shd w:val="clear" w:color="auto" w:fill="auto"/>
                  <w:vAlign w:val="center"/>
                </w:tcPr>
                <w:p w14:paraId="35A1F0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SA"/>
                    </w:rPr>
                    <w:t>整机损毁、严重机械结构破坏等故障难以在短时间内解决，导致系统无法正常运行（6小时内修复）。6小时内无法修复的，应提供备品备件设备使用。</w:t>
                  </w:r>
                </w:p>
              </w:tc>
            </w:tr>
            <w:tr w14:paraId="0DAA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7" w:type="pct"/>
                  <w:shd w:val="clear" w:color="auto" w:fill="auto"/>
                  <w:vAlign w:val="center"/>
                </w:tcPr>
                <w:p w14:paraId="44524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kern w:val="0"/>
                      <w:sz w:val="20"/>
                      <w:szCs w:val="20"/>
                      <w:lang w:val="en-US" w:eastAsia="zh-CN" w:bidi="ar-SA"/>
                    </w:rPr>
                    <w:t>工程简单故障</w:t>
                  </w:r>
                </w:p>
              </w:tc>
              <w:tc>
                <w:tcPr>
                  <w:tcW w:w="4402" w:type="pct"/>
                  <w:shd w:val="clear" w:color="auto" w:fill="auto"/>
                  <w:vAlign w:val="center"/>
                </w:tcPr>
                <w:p w14:paraId="42A44C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SA"/>
                    </w:rPr>
                    <w:t>外观纠正、小范围线路短路换电缆、</w:t>
                  </w:r>
                  <w:r>
                    <w:rPr>
                      <w:rFonts w:hint="eastAsia" w:ascii="宋体" w:hAnsi="宋体" w:eastAsia="宋体" w:cs="宋体"/>
                      <w:color w:val="FF0000"/>
                      <w:kern w:val="0"/>
                      <w:sz w:val="20"/>
                      <w:szCs w:val="20"/>
                      <w:lang w:val="en-US" w:eastAsia="zh-CN" w:bidi="ar-SA"/>
                    </w:rPr>
                    <w:t>更换信号机至前端人行灯灯具的线缆</w:t>
                  </w:r>
                  <w:r>
                    <w:rPr>
                      <w:rFonts w:hint="eastAsia" w:ascii="宋体" w:hAnsi="宋体" w:eastAsia="宋体" w:cs="宋体"/>
                      <w:color w:val="000000"/>
                      <w:kern w:val="0"/>
                      <w:sz w:val="20"/>
                      <w:szCs w:val="20"/>
                      <w:lang w:val="en-US" w:eastAsia="zh-CN" w:bidi="ar-SA"/>
                    </w:rPr>
                    <w:t>、沙井清理淤泥等工期较短的维护（2小时内修复），</w:t>
                  </w:r>
                  <w:r>
                    <w:rPr>
                      <w:rFonts w:hint="eastAsia" w:ascii="宋体" w:hAnsi="宋体" w:eastAsia="宋体" w:cs="宋体"/>
                      <w:color w:val="FF0000"/>
                      <w:kern w:val="0"/>
                      <w:sz w:val="20"/>
                      <w:szCs w:val="20"/>
                      <w:lang w:val="en-US" w:eastAsia="zh-CN" w:bidi="ar-SA"/>
                    </w:rPr>
                    <w:t>涉及占道更换灯芯、灯具线缆的，从批准占道开始2个小时内修复。</w:t>
                  </w:r>
                </w:p>
              </w:tc>
            </w:tr>
            <w:tr w14:paraId="7D92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7" w:type="pct"/>
                  <w:shd w:val="clear" w:color="auto" w:fill="auto"/>
                  <w:vAlign w:val="center"/>
                </w:tcPr>
                <w:p w14:paraId="6D511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kern w:val="0"/>
                      <w:sz w:val="20"/>
                      <w:szCs w:val="20"/>
                      <w:lang w:val="en-US" w:eastAsia="zh-CN" w:bidi="ar-SA"/>
                    </w:rPr>
                    <w:t>工程一般故障</w:t>
                  </w:r>
                </w:p>
              </w:tc>
              <w:tc>
                <w:tcPr>
                  <w:tcW w:w="4402" w:type="pct"/>
                  <w:shd w:val="clear" w:color="auto" w:fill="auto"/>
                  <w:vAlign w:val="center"/>
                </w:tcPr>
                <w:p w14:paraId="00729F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SA"/>
                    </w:rPr>
                    <w:t>1、</w:t>
                  </w:r>
                  <w:r>
                    <w:rPr>
                      <w:rFonts w:hint="eastAsia" w:ascii="宋体" w:hAnsi="宋体" w:eastAsia="宋体" w:cs="宋体"/>
                      <w:color w:val="FF0000"/>
                      <w:kern w:val="0"/>
                      <w:sz w:val="20"/>
                      <w:szCs w:val="20"/>
                      <w:lang w:val="en-US" w:eastAsia="zh-CN" w:bidi="ar-SA"/>
                    </w:rPr>
                    <w:t>疏通管道更换主电源线缆、更换整段过街线缆</w:t>
                  </w:r>
                  <w:r>
                    <w:rPr>
                      <w:rFonts w:hint="eastAsia" w:ascii="宋体" w:hAnsi="宋体" w:eastAsia="宋体" w:cs="宋体"/>
                      <w:color w:val="000000"/>
                      <w:kern w:val="0"/>
                      <w:sz w:val="20"/>
                      <w:szCs w:val="20"/>
                      <w:lang w:val="en-US" w:eastAsia="zh-CN" w:bidi="ar-SA"/>
                    </w:rPr>
                    <w:t>、更换机箱或立杆（不涉及基础）等（8小时内修复）。                                                                                2、通讯光缆维护：部分点位配套光缆相关的端口耦合问题、跳纤折损、线缆老化、接头盒断纤、线缆被断及鼠患等故障（4小时内修复）。</w:t>
                  </w:r>
                </w:p>
              </w:tc>
            </w:tr>
            <w:tr w14:paraId="5796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7" w:type="pct"/>
                  <w:shd w:val="clear" w:color="auto" w:fill="auto"/>
                  <w:vAlign w:val="center"/>
                </w:tcPr>
                <w:p w14:paraId="669DB2F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kern w:val="0"/>
                      <w:sz w:val="20"/>
                      <w:szCs w:val="20"/>
                      <w:lang w:val="en-US" w:eastAsia="zh-CN" w:bidi="ar-SA"/>
                    </w:rPr>
                    <w:t>工程重大故障</w:t>
                  </w:r>
                </w:p>
              </w:tc>
              <w:tc>
                <w:tcPr>
                  <w:tcW w:w="4402" w:type="pct"/>
                  <w:shd w:val="clear" w:color="auto" w:fill="auto"/>
                  <w:vAlign w:val="center"/>
                </w:tcPr>
                <w:p w14:paraId="65DEDF20">
                  <w:pPr>
                    <w:keepNext w:val="0"/>
                    <w:keepLines w:val="0"/>
                    <w:widowControl/>
                    <w:numPr>
                      <w:ilvl w:val="0"/>
                      <w:numId w:val="7"/>
                    </w:numPr>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严重电源管路破坏、线路大面积严重损毁、重做基础等（24小时内修复），报甲方批准同意后，可适当延长。</w:t>
                  </w:r>
                </w:p>
                <w:p w14:paraId="0A06E40B">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SA"/>
                    </w:rPr>
                    <w:t>2、通讯光缆维护：主干光缆被破坏，且造成大面积设备通信故障的（6小时内修复）。</w:t>
                  </w:r>
                </w:p>
              </w:tc>
            </w:tr>
            <w:tr w14:paraId="0F5B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97" w:type="pct"/>
                  <w:shd w:val="clear" w:color="auto" w:fill="auto"/>
                  <w:vAlign w:val="center"/>
                </w:tcPr>
                <w:p w14:paraId="59001B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kern w:val="0"/>
                      <w:sz w:val="20"/>
                      <w:szCs w:val="20"/>
                      <w:lang w:val="en-US" w:eastAsia="zh-CN" w:bidi="ar-SA"/>
                    </w:rPr>
                  </w:pPr>
                  <w:r>
                    <w:rPr>
                      <w:rFonts w:hint="eastAsia" w:ascii="宋体" w:hAnsi="宋体" w:eastAsia="宋体" w:cs="宋体"/>
                      <w:b/>
                      <w:color w:val="000000"/>
                      <w:kern w:val="0"/>
                      <w:sz w:val="20"/>
                      <w:szCs w:val="20"/>
                      <w:lang w:val="en-US" w:eastAsia="zh-CN" w:bidi="ar-SA"/>
                    </w:rPr>
                    <w:t>意外造成重大故障</w:t>
                  </w:r>
                </w:p>
              </w:tc>
              <w:tc>
                <w:tcPr>
                  <w:tcW w:w="4402" w:type="pct"/>
                  <w:shd w:val="clear" w:color="auto" w:fill="auto"/>
                  <w:vAlign w:val="center"/>
                </w:tcPr>
                <w:p w14:paraId="1241E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val="en-US" w:eastAsia="zh-CN" w:bidi="ar-SA"/>
                    </w:rPr>
                    <w:t>对不可抗力（如交通事故、自然灾害等原因）造成的设备设施损坏（72小时内修复），做出具体修复方案或计划报主管部门批准同意后，可适当延长。</w:t>
                  </w:r>
                </w:p>
              </w:tc>
            </w:tr>
          </w:tbl>
          <w:p w14:paraId="0E43529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p>
        </w:tc>
      </w:tr>
    </w:tbl>
    <w:p w14:paraId="268BAA4F">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（六）履约保证金</w:t>
      </w:r>
    </w:p>
    <w:p w14:paraId="26DFE9B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标供应商签订合同的一个月内须向采购单位提交合同金额5%的履约担保金。在中标供应商完成其合同义务并在本项目竣工验收合格之日起180个自然日，包括任何保证义务后七个工作日内，办理退还履约担保手续。</w:t>
      </w:r>
    </w:p>
    <w:p w14:paraId="73262808">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履约担保金，投标供应商以保函形式缴纳或提交。如中标供应商未能履行合同规定的义务，采购单位有权从履约保证金中取得相应补偿。如中标供应商在履行本合同中，由于资金、技术、质量或非不可抗力等原因给采购单位造成损失时，在履约担保书的有效期内，采购人应书面通知中标供应商，说明导致索赔的原因，并及时向保证人提出索赔文件，保证人应无条件就担保金额向采购单位支付索赔款项，无须征得中标供应商的同意。因中标供应商原因而未能达到本项目验收标准或验收不通过的，履约保证金不予退还。</w:t>
      </w:r>
    </w:p>
    <w:p w14:paraId="09D21EAE">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履约担保的有效期应大于本项目竣工验收合格之日后的180个自然日。</w:t>
      </w:r>
    </w:p>
    <w:p w14:paraId="51E48199">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履约担保金额：本合同金额的5%。</w:t>
      </w:r>
    </w:p>
    <w:p w14:paraId="17681783">
      <w:pPr>
        <w:keepNext w:val="0"/>
        <w:keepLines w:val="0"/>
        <w:pageBreakBefore w:val="0"/>
        <w:widowControl/>
        <w:kinsoku/>
        <w:wordWrap/>
        <w:overflowPunct/>
        <w:topLinePunct w:val="0"/>
        <w:autoSpaceDE/>
        <w:autoSpaceDN/>
        <w:bidi w:val="0"/>
        <w:adjustRightInd/>
        <w:snapToGrid/>
        <w:spacing w:line="560" w:lineRule="exact"/>
        <w:textAlignment w:val="auto"/>
        <w:outlineLvl w:val="3"/>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（七）违约责任</w:t>
      </w:r>
    </w:p>
    <w:p w14:paraId="52AF5467">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详见下表。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14:paraId="262A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tcPr>
          <w:p w14:paraId="54D9AC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违约责任清单</w:t>
            </w:r>
          </w:p>
          <w:p w14:paraId="2081DB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合同有效期内，双方如存在违反合同条款的行为，由此给对方造成损失的，违约方承担相应责任。</w:t>
            </w:r>
          </w:p>
          <w:p w14:paraId="5B48451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2</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 xml:space="preserve">投标人如不按时维护或维护不符合“深圳交警设施运维考核办法”采购人要求的，经采购人核实后按照未按时解决故障、未及时响应、应急保障不及时等处理，累计超过12次的，采购人有权单方解除合同，投标人应按合同总价款的20%向采购人支付违约金，给采购人造成其他损失的，投标人还应赔偿采购人所遭受的全部损失。 </w:t>
            </w:r>
          </w:p>
          <w:p w14:paraId="3BA3AB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须在采购人下达的任务书规定时限内，全量提供符合合同约定的设备材料，如超期未提交，投标人应按5000元/天的标准向采购人支付违约金。采购人验收或抽查时发现设备材料不符合要求的，投标人应按10000元/次的标准向采购人支付违约金，同时应七天内更换符合要求的设备材料提交采购人再次验收，如超期未提交，投标人应按5000元/天的标准向采购人支付违约金。超过3次的，采购人有权单方解除合同，投标人应按合同总价款的20%承担违约金，给采购人造成其他损失的，投标人还应赔偿采购人所遭受的全部损失。</w:t>
            </w:r>
          </w:p>
          <w:p w14:paraId="47A647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4</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采购人发现投标人未按承诺的团队成员名单及人数提供服务的，采购人有权按每人2000元/天的标准进行处罚。若当期未扣款的，不视为采购人放弃此项权利。</w:t>
            </w:r>
          </w:p>
          <w:p w14:paraId="32CFA6E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5</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按合同要求组建现场办公团队在采购人指定地点开展工作的，或未按规定时间替换履职不合格的工作人员的，采购人有权按每人2000元/天的标准扣除相应进度款项。若当期未扣款的，不视为采购人放弃此项权利。</w:t>
            </w:r>
          </w:p>
          <w:p w14:paraId="4D79FFF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6</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投标人对采购人所提出的问题不能及时核对或答复，导致合同不能全部或部分履行，采购人有权解除合同，并有权要求投标人合同总价款5%的违约责任，给采购人造成其他损失的，投标人还应当赔偿损失。</w:t>
            </w:r>
          </w:p>
          <w:p w14:paraId="5D4A1DC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7</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投标人未能履行合同中规定的保密条款，投标人应按合同总价20%向采购人支付违约金;造成采购人损失的，投标人应根据所造成的损失大小向采购人赔偿，采购人保留向投标人提出法律诉讼的权利。</w:t>
            </w:r>
          </w:p>
          <w:p w14:paraId="6DFC15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8</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投标人未在合同签订之日起两周内完成维护区域内所有设备、工程、设施档案清理和核对工作，完善并提供相应的电子台账，采购人有权按每超过一天罚款2000元的标准进行处罚。</w:t>
            </w:r>
          </w:p>
          <w:p w14:paraId="172384D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9</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在维护工作开始之日起全权负责维护周期内的交通监控设施的维护管养工作，并一个月内完成设备交接工作和上报移交报告，并通过采购人及监理单位确认的，采购人有权按每超过一天罚款2000元的标准进行处罚。</w:t>
            </w:r>
          </w:p>
          <w:p w14:paraId="4D4DA3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10</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投标人未按采购人要求在规定时间内完成相关排查、调试、整改等工作的，采购人有权按每超过一天罚款5000元的标准进行处罚。</w:t>
            </w:r>
          </w:p>
          <w:p w14:paraId="6A5448B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11</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在合同截止时将所有涉及设备恢复至不低于接手维护时并经采购人认可的状态（以交接报告为准），及按照采购人要求完成移交工作，采购人有权在结算时扣除该设备的年度维护费用，同时按20000元/台的标准进行处罚。</w:t>
            </w:r>
          </w:p>
          <w:p w14:paraId="6F2070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12</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投标人未根据实际情况对管道进行疏通、检修及更换，或更换的管道材质及埋深不符合现行标准从而影响应急抢修的，投标人有权按5000元/次的标准进行处罚。</w:t>
            </w:r>
          </w:p>
          <w:p w14:paraId="626E9F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13</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投标人未根据实际情况对线缆使用情况进行检查，或未对影响正常使用的线缆进行更换，或将线缆进行接驳的，投标人有权按5000元/次的标准进行处罚。</w:t>
            </w:r>
          </w:p>
          <w:p w14:paraId="1085CF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14</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投标人未及时上报信号灯异常情况（灭灯、红绿同亮等）、使用期限过长、老化破损严重的设备、配件等情况，或未按采购人要求对上述设备进行更换，或按采购人要求更换的设备运作效果低于原设备正常运作的效果，或按采购人要求更换的设备不满足国家相应标准，投标人有权按5000元/次的标准进行处罚。</w:t>
            </w:r>
          </w:p>
          <w:p w14:paraId="757E5A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15</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在本合同其他条款对违约有具体约定(如扣除款项等)时，采购人有权要求投标人同时适用该条款及本条上述约定之违约责任。</w:t>
            </w:r>
          </w:p>
          <w:p w14:paraId="23A0D1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16</w:t>
            </w:r>
            <w:r>
              <w:rPr>
                <w:rFonts w:hint="eastAsia" w:ascii="Times New Roman" w:hAnsi="Times New Roman" w:eastAsia="宋体" w:cs="Times New Roman"/>
                <w:vertAlign w:val="baseline"/>
                <w:lang w:val="en-US" w:eastAsia="zh-CN"/>
              </w:rPr>
              <w:tab/>
            </w:r>
            <w:r>
              <w:rPr>
                <w:rFonts w:hint="eastAsia" w:ascii="Times New Roman" w:hAnsi="Times New Roman" w:eastAsia="宋体" w:cs="Times New Roman"/>
                <w:vertAlign w:val="baseline"/>
                <w:lang w:val="en-US" w:eastAsia="zh-CN"/>
              </w:rPr>
              <w:t>若投标人违约，采购人的维权费用(包括但不限于诉讼费、律师费、保全费、鉴定费等)均由投标人承担。</w:t>
            </w:r>
          </w:p>
        </w:tc>
      </w:tr>
    </w:tbl>
    <w:p w14:paraId="28041E04">
      <w:pPr>
        <w:pStyle w:val="6"/>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lang w:val="en-US" w:eastAsia="zh-CN"/>
        </w:rPr>
      </w:pPr>
    </w:p>
    <w:p w14:paraId="7B73BAE5">
      <w:pPr>
        <w:rPr>
          <w:rFonts w:hint="eastAsia" w:ascii="宋体" w:hAnsi="宋体" w:eastAsia="宋体" w:cs="宋体"/>
          <w:sz w:val="21"/>
          <w:szCs w:val="21"/>
        </w:rPr>
      </w:pPr>
    </w:p>
    <w:p w14:paraId="087FD6E9">
      <w:pPr>
        <w:ind w:firstLine="480" w:firstLineChars="200"/>
        <w:rPr>
          <w:rFonts w:ascii="宋体" w:hAnsi="宋体"/>
          <w:b/>
          <w:bCs/>
        </w:rPr>
      </w:pPr>
    </w:p>
    <w:p w14:paraId="164C2E29">
      <w:pPr>
        <w:rPr>
          <w:rFonts w:hint="eastAsia" w:asciiTheme="minorEastAsia" w:hAnsiTheme="minorEastAsia" w:eastAsiaTheme="minorEastAsia"/>
          <w:szCs w:val="21"/>
        </w:rPr>
      </w:pPr>
      <w:r>
        <w:rPr>
          <w:rFonts w:hint="eastAsia" w:asciiTheme="minorEastAsia" w:hAnsiTheme="minorEastAsia" w:eastAsiaTheme="minorEastAsia"/>
          <w:szCs w:val="21"/>
        </w:rPr>
        <w:br w:type="page"/>
      </w:r>
    </w:p>
    <w:p w14:paraId="2B3B6397">
      <w:pPr>
        <w:pStyle w:val="3"/>
        <w:jc w:val="center"/>
        <w:rPr>
          <w:rFonts w:asciiTheme="minorEastAsia" w:hAnsiTheme="minorEastAsia" w:eastAsiaTheme="minorEastAsia"/>
          <w:szCs w:val="21"/>
        </w:rPr>
      </w:pPr>
      <w:r>
        <w:rPr>
          <w:rFonts w:hint="eastAsia" w:asciiTheme="minorEastAsia" w:hAnsiTheme="minorEastAsia" w:eastAsiaTheme="minorEastAsia"/>
          <w:szCs w:val="21"/>
        </w:rPr>
        <w:t>六、其他重要条款</w:t>
      </w:r>
    </w:p>
    <w:p w14:paraId="0784EE88">
      <w:pPr>
        <w:ind w:firstLine="420" w:firstLineChars="200"/>
        <w:rPr>
          <w:rFonts w:asciiTheme="minorEastAsia" w:hAnsiTheme="minorEastAsia"/>
          <w:bCs/>
          <w:sz w:val="21"/>
          <w:szCs w:val="21"/>
        </w:rPr>
      </w:pPr>
      <w:bookmarkStart w:id="39" w:name="_Hlk72257111"/>
      <w:r>
        <w:rPr>
          <w:rFonts w:hint="eastAsia" w:asciiTheme="minorEastAsia" w:hAnsiTheme="minorEastAsia"/>
          <w:bCs/>
          <w:sz w:val="21"/>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A278DB1">
      <w:pPr>
        <w:pStyle w:val="6"/>
        <w:spacing w:before="60" w:beforeLines="25" w:after="60" w:afterLines="25"/>
        <w:ind w:firstLine="392" w:firstLineChars="187"/>
        <w:rPr>
          <w:rFonts w:asciiTheme="minorEastAsia" w:hAnsiTheme="minorEastAsia"/>
          <w:sz w:val="21"/>
          <w:szCs w:val="21"/>
        </w:rPr>
      </w:pPr>
      <w:r>
        <w:rPr>
          <w:rFonts w:asciiTheme="minorEastAsia" w:hAnsiTheme="minorEastAsia"/>
          <w:bCs/>
          <w:sz w:val="21"/>
          <w:szCs w:val="21"/>
        </w:rPr>
        <w:t>2</w:t>
      </w:r>
      <w:r>
        <w:rPr>
          <w:rFonts w:hint="eastAsia" w:asciiTheme="minorEastAsia" w:hAnsiTheme="minorEastAsia"/>
          <w:bCs/>
          <w:sz w:val="21"/>
          <w:szCs w:val="21"/>
        </w:rPr>
        <w:t>、投标人应充分了解项目的位置、情况、道路及任何其它足以影响投标报价的情况，任何因忽视或误解项目情况而导致的索赔或服务期限延长申请将不获批准。</w:t>
      </w:r>
    </w:p>
    <w:p w14:paraId="6CA01577">
      <w:pPr>
        <w:ind w:firstLine="420" w:firstLineChars="200"/>
        <w:rPr>
          <w:rFonts w:asciiTheme="minorEastAsia" w:hAnsiTheme="minorEastAsia"/>
          <w:bCs/>
          <w:sz w:val="21"/>
          <w:szCs w:val="21"/>
        </w:rPr>
      </w:pPr>
      <w:r>
        <w:rPr>
          <w:rFonts w:asciiTheme="minorEastAsia" w:hAnsiTheme="minorEastAsia"/>
          <w:bCs/>
          <w:sz w:val="21"/>
          <w:szCs w:val="21"/>
        </w:rPr>
        <w:t>3</w:t>
      </w:r>
      <w:r>
        <w:rPr>
          <w:rFonts w:hint="eastAsia" w:asciiTheme="minorEastAsia" w:hAnsiTheme="minorEastAsia"/>
          <w:bCs/>
          <w:sz w:val="21"/>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C095ECD">
      <w:pPr>
        <w:ind w:firstLine="420" w:firstLineChars="200"/>
        <w:rPr>
          <w:rFonts w:asciiTheme="minorEastAsia" w:hAnsiTheme="minorEastAsia"/>
          <w:bCs/>
          <w:color w:val="auto"/>
          <w:sz w:val="21"/>
          <w:szCs w:val="21"/>
        </w:rPr>
      </w:pPr>
      <w:r>
        <w:rPr>
          <w:rFonts w:asciiTheme="minorEastAsia" w:hAnsiTheme="minorEastAsia"/>
          <w:bCs/>
          <w:color w:val="auto"/>
          <w:sz w:val="21"/>
          <w:szCs w:val="21"/>
        </w:rPr>
        <w:t>4</w:t>
      </w:r>
      <w:r>
        <w:rPr>
          <w:rFonts w:hint="eastAsia" w:asciiTheme="minorEastAsia" w:hAnsiTheme="minorEastAsia"/>
          <w:bCs/>
          <w:color w:val="auto"/>
          <w:sz w:val="21"/>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EBF62A0">
      <w:pPr>
        <w:ind w:firstLine="420" w:firstLineChars="200"/>
        <w:rPr>
          <w:rFonts w:asciiTheme="minorEastAsia" w:hAnsiTheme="minorEastAsia"/>
          <w:bCs/>
          <w:sz w:val="21"/>
          <w:szCs w:val="21"/>
        </w:rPr>
      </w:pPr>
      <w:r>
        <w:rPr>
          <w:rFonts w:asciiTheme="minorEastAsia" w:hAnsiTheme="minorEastAsia"/>
          <w:bCs/>
          <w:sz w:val="21"/>
          <w:szCs w:val="21"/>
        </w:rPr>
        <w:t>5</w:t>
      </w:r>
      <w:r>
        <w:rPr>
          <w:rFonts w:hint="eastAsia" w:asciiTheme="minorEastAsia" w:hAnsiTheme="minorEastAsia"/>
          <w:bCs/>
          <w:sz w:val="21"/>
          <w:szCs w:val="21"/>
        </w:rPr>
        <w:t>、除政府采购合同继续履行将损害国家利益和社会公共利益外，双方当事人不得擅自变更、中止或者终止合同。</w:t>
      </w:r>
    </w:p>
    <w:p w14:paraId="7016BEB7">
      <w:pPr>
        <w:ind w:firstLine="420" w:firstLineChars="200"/>
        <w:rPr>
          <w:rFonts w:asciiTheme="minorEastAsia" w:hAnsiTheme="minorEastAsia"/>
          <w:bCs/>
          <w:sz w:val="18"/>
          <w:szCs w:val="21"/>
        </w:rPr>
      </w:pPr>
      <w:r>
        <w:rPr>
          <w:rFonts w:asciiTheme="minorEastAsia" w:hAnsiTheme="minorEastAsia"/>
          <w:bCs/>
          <w:sz w:val="21"/>
          <w:szCs w:val="21"/>
        </w:rPr>
        <w:t>6</w:t>
      </w:r>
      <w:r>
        <w:rPr>
          <w:rFonts w:hint="eastAsia" w:asciiTheme="minorEastAsia" w:hAnsiTheme="minorEastAsia"/>
          <w:bCs/>
          <w:sz w:val="21"/>
          <w:szCs w:val="21"/>
        </w:rPr>
        <w:t>、“信用中国”、“中国政府采购网”、“深圳信用网”以及“深圳市政府采购监管网”为供应商信用信息的查询渠道，相关信息以开标当日的查询结果为准。</w:t>
      </w:r>
      <w:bookmarkEnd w:id="39"/>
    </w:p>
    <w:bookmarkEnd w:id="33"/>
    <w:p w14:paraId="036A13C4">
      <w:pPr>
        <w:pStyle w:val="6"/>
        <w:spacing w:before="60" w:beforeLines="25" w:after="60" w:afterLines="25"/>
        <w:ind w:firstLine="0"/>
        <w:rPr>
          <w:rFonts w:asciiTheme="minorEastAsia" w:hAnsiTheme="minorEastAsia"/>
          <w:sz w:val="21"/>
          <w:szCs w:val="21"/>
        </w:rPr>
      </w:pPr>
      <w:r>
        <w:rPr>
          <w:rFonts w:asciiTheme="minorEastAsia" w:hAnsiTheme="minorEastAsia"/>
          <w:sz w:val="21"/>
          <w:szCs w:val="21"/>
        </w:rPr>
        <w:br w:type="page"/>
      </w:r>
    </w:p>
    <w:p w14:paraId="3BEC0FA1">
      <w:pPr>
        <w:pStyle w:val="5"/>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第四章 投标文件组成要求及格式</w:t>
      </w:r>
    </w:p>
    <w:p w14:paraId="0026F455">
      <w:pPr>
        <w:spacing w:line="360" w:lineRule="auto"/>
        <w:rPr>
          <w:rStyle w:val="32"/>
          <w:rFonts w:ascii="宋体" w:hAnsi="宋体" w:eastAsia="宋体" w:cs="宋体"/>
          <w:b/>
          <w:bCs w:val="0"/>
          <w:color w:val="000000" w:themeColor="text1"/>
          <w:sz w:val="24"/>
          <w14:textFill>
            <w14:solidFill>
              <w14:schemeClr w14:val="tx1"/>
            </w14:solidFill>
          </w14:textFill>
        </w:rPr>
      </w:pPr>
      <w:r>
        <w:rPr>
          <w:rStyle w:val="32"/>
          <w:rFonts w:hint="eastAsia" w:ascii="宋体" w:hAnsi="宋体" w:eastAsia="宋体" w:cs="宋体"/>
          <w:b/>
          <w:bCs w:val="0"/>
          <w:color w:val="000000" w:themeColor="text1"/>
          <w:sz w:val="24"/>
          <w14:textFill>
            <w14:solidFill>
              <w14:schemeClr w14:val="tx1"/>
            </w14:solidFill>
          </w14:textFill>
        </w:rPr>
        <w:t>特别提醒：</w:t>
      </w:r>
    </w:p>
    <w:p w14:paraId="30AF229F">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11F81EA">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投标文件正文（信息公开部分）必须编制于“投标书目录”部分，投标文件附件（非信息公开部分）必须编制于“投标书附件”部分，如下图所示。</w:t>
      </w:r>
    </w:p>
    <w:p w14:paraId="1C38749F">
      <w:pPr>
        <w:rPr>
          <w:rFonts w:ascii="宋体" w:hAnsi="宋体" w:cs="宋体"/>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drawing>
          <wp:inline distT="0" distB="0" distL="0" distR="0">
            <wp:extent cx="5278755" cy="4126230"/>
            <wp:effectExtent l="0" t="0" r="0" b="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18C5CCB2">
      <w:pPr>
        <w:rPr>
          <w:rFonts w:ascii="仿宋_GB2312" w:eastAsia="仿宋_GB2312"/>
          <w:color w:val="000000" w:themeColor="text1"/>
          <w14:textFill>
            <w14:solidFill>
              <w14:schemeClr w14:val="tx1"/>
            </w14:solidFill>
          </w14:textFill>
        </w:rPr>
      </w:pPr>
    </w:p>
    <w:p w14:paraId="2DD0BF62">
      <w:pPr>
        <w:pStyle w:val="6"/>
        <w:rPr>
          <w:rFonts w:eastAsia="仿宋_GB2312"/>
        </w:rPr>
      </w:pPr>
    </w:p>
    <w:p w14:paraId="69B20C56">
      <w:pPr>
        <w:rPr>
          <w:rFonts w:eastAsia="仿宋_GB2312"/>
        </w:rPr>
      </w:pPr>
    </w:p>
    <w:p w14:paraId="2DC4560A">
      <w:pPr>
        <w:pStyle w:val="6"/>
        <w:rPr>
          <w:rFonts w:eastAsia="仿宋_GB2312"/>
        </w:rPr>
      </w:pPr>
    </w:p>
    <w:p w14:paraId="266D6416">
      <w:pPr>
        <w:rPr>
          <w:rFonts w:eastAsia="仿宋_GB2312"/>
        </w:rPr>
      </w:pPr>
    </w:p>
    <w:p w14:paraId="342DEA7A">
      <w:pPr>
        <w:pStyle w:val="6"/>
        <w:rPr>
          <w:rFonts w:eastAsia="仿宋_GB2312"/>
        </w:rPr>
      </w:pPr>
    </w:p>
    <w:p w14:paraId="22758417">
      <w:pPr>
        <w:rPr>
          <w:rFonts w:eastAsia="仿宋_GB2312"/>
        </w:rPr>
      </w:pPr>
    </w:p>
    <w:p w14:paraId="4748FEF4">
      <w:pPr>
        <w:pStyle w:val="6"/>
        <w:rPr>
          <w:rFonts w:eastAsia="仿宋_GB2312"/>
        </w:rPr>
      </w:pPr>
    </w:p>
    <w:p w14:paraId="25FFAB89">
      <w:pPr>
        <w:rPr>
          <w:rFonts w:eastAsia="仿宋_GB2312"/>
        </w:rPr>
      </w:pPr>
    </w:p>
    <w:p w14:paraId="13074840">
      <w:pPr>
        <w:pStyle w:val="6"/>
        <w:rPr>
          <w:rFonts w:eastAsia="仿宋_GB2312"/>
        </w:rPr>
      </w:pPr>
    </w:p>
    <w:p w14:paraId="6418F3F4">
      <w:pPr>
        <w:rPr>
          <w:rFonts w:eastAsia="仿宋_GB2312"/>
        </w:rPr>
      </w:pPr>
    </w:p>
    <w:p w14:paraId="28258AFE">
      <w:pPr>
        <w:pStyle w:val="6"/>
        <w:rPr>
          <w:rFonts w:eastAsia="仿宋_GB2312"/>
        </w:rPr>
      </w:pPr>
    </w:p>
    <w:p w14:paraId="2EFB0A30">
      <w:pPr>
        <w:rPr>
          <w:rFonts w:eastAsia="仿宋_GB2312"/>
        </w:rPr>
      </w:pPr>
    </w:p>
    <w:p w14:paraId="2EB09B2E">
      <w:pPr>
        <w:pStyle w:val="6"/>
        <w:ind w:firstLine="0"/>
        <w:rPr>
          <w:rFonts w:eastAsia="仿宋_GB2312"/>
        </w:rPr>
      </w:pPr>
    </w:p>
    <w:p w14:paraId="74B7D32E">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ascii="仿宋_GB2312" w:eastAsia="仿宋_GB2312"/>
          <w:color w:val="000000" w:themeColor="text1"/>
          <w14:textFill>
            <w14:solidFill>
              <w14:schemeClr w14:val="tx1"/>
            </w14:solidFill>
          </w14:textFill>
        </w:rPr>
      </w:pPr>
      <w:bookmarkStart w:id="40" w:name="_Hlk72257167"/>
      <w:r>
        <w:rPr>
          <w:rFonts w:hint="eastAsia" w:ascii="宋体" w:hAnsi="宋体" w:cs="宋体"/>
          <w:color w:val="000000" w:themeColor="text1"/>
          <w14:textFill>
            <w14:solidFill>
              <w14:schemeClr w14:val="tx1"/>
            </w14:solidFill>
          </w14:textFill>
        </w:rPr>
        <w:t>招标机构公布投标文件正文（信息公开部分）时为计算机截取信息自动公布，</w:t>
      </w:r>
      <w:r>
        <w:rPr>
          <w:rFonts w:hint="eastAsia" w:ascii="宋体" w:hAnsi="宋体" w:cs="宋体"/>
          <w:b/>
          <w:bCs/>
          <w:color w:val="000000" w:themeColor="text1"/>
          <w14:textFill>
            <w14:solidFill>
              <w14:schemeClr w14:val="tx1"/>
            </w14:solidFill>
          </w14:textFill>
        </w:rPr>
        <w:t>如投标人误将涉及个人隐私的信息放入投标文件正文，相关后果由投标人自负；</w:t>
      </w:r>
      <w:r>
        <w:rPr>
          <w:rFonts w:hint="eastAsia" w:ascii="宋体" w:hAnsi="宋体" w:cs="宋体"/>
          <w:color w:val="000000" w:themeColor="text1"/>
          <w14:textFill>
            <w14:solidFill>
              <w14:schemeClr w14:val="tx1"/>
            </w14:solidFill>
          </w14:textFill>
        </w:rPr>
        <w:t>如投标人将必须放于投标文件正文（信息公开部分）的内容放入投标文件附件（非信息公开部分），将作投标无效处理。</w:t>
      </w:r>
      <w:bookmarkEnd w:id="40"/>
    </w:p>
    <w:p w14:paraId="5ED1D142">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投标文件组成：</w:t>
      </w:r>
    </w:p>
    <w:p w14:paraId="1FCEFA01">
      <w:pPr>
        <w:ind w:firstLine="480"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1.投标文件正文（信息公开部分），主要包括以下内容：</w:t>
      </w:r>
    </w:p>
    <w:p w14:paraId="533C2D7B">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（1）投标函</w:t>
      </w:r>
    </w:p>
    <w:p w14:paraId="452566FC">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（2）政府采购投标及履约承诺函</w:t>
      </w:r>
    </w:p>
    <w:p w14:paraId="753E8BC0">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（3）投标人情况及资格证明文件</w:t>
      </w:r>
    </w:p>
    <w:p w14:paraId="62FAAD5A">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（4）项目分项报价</w:t>
      </w:r>
    </w:p>
    <w:p w14:paraId="7B6423DF">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（5）项目详细报价</w:t>
      </w:r>
    </w:p>
    <w:p w14:paraId="01FA2ECF">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（6）供应商资格（资质、认证）情况</w:t>
      </w:r>
    </w:p>
    <w:p w14:paraId="7F65E182">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（7）投标人同类项目业绩情况</w:t>
      </w:r>
    </w:p>
    <w:p w14:paraId="0CC42699">
      <w:pPr>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（8）投标人认为需要加以说明的其他公开内容（格式自定）</w:t>
      </w:r>
    </w:p>
    <w:p w14:paraId="1E4E5D54">
      <w:pPr>
        <w:ind w:firstLine="480"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2.投标文件附件（信息不公开部分）：主要包括以下内容：</w:t>
      </w:r>
    </w:p>
    <w:p w14:paraId="78FDEE58">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（1）法定代表人（负责人或执行事务合伙人）资格证明书</w:t>
      </w:r>
    </w:p>
    <w:p w14:paraId="08E1B5FD">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（2）投标文件签署授权委托书</w:t>
      </w:r>
    </w:p>
    <w:p w14:paraId="268E94B4">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（3）供应商法定代表人等缴纳社会保险情况一览表</w:t>
      </w:r>
    </w:p>
    <w:p w14:paraId="7D6BD5D2">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（4）实质性条款响应情况表</w:t>
      </w:r>
    </w:p>
    <w:p w14:paraId="340FBB9A">
      <w:pPr>
        <w:ind w:left="480" w:leftChars="200" w:firstLine="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lang w:eastAsia="zh-CN"/>
          <w14:textFill>
            <w14:solidFill>
              <w14:schemeClr w14:val="tx1"/>
            </w14:solidFill>
          </w14:textFill>
        </w:rPr>
        <w:t>）承诺函</w:t>
      </w:r>
    </w:p>
    <w:p w14:paraId="2EB49C75">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）商务、服务条款偏离表</w:t>
      </w:r>
    </w:p>
    <w:p w14:paraId="183BB6FD">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）拟安排的项目负责人情况（仅限一人）</w:t>
      </w:r>
    </w:p>
    <w:p w14:paraId="399AC873">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）拟安排的项目主要团队成员（主要技术人员）情况（项目负责人除外）</w:t>
      </w:r>
    </w:p>
    <w:p w14:paraId="0345ECC3">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）实施方案（格式自定）</w:t>
      </w:r>
    </w:p>
    <w:p w14:paraId="1CC253C7">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cs="宋体"/>
          <w:color w:val="000000" w:themeColor="text1"/>
          <w14:textFill>
            <w14:solidFill>
              <w14:schemeClr w14:val="tx1"/>
            </w14:solidFill>
          </w14:textFill>
        </w:rPr>
        <w:t>）安全方案（格式自定）</w:t>
      </w:r>
    </w:p>
    <w:p w14:paraId="458BC280">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）项目重点难点分析、应对措施及相关的合理化建议（格式自定）</w:t>
      </w:r>
    </w:p>
    <w:p w14:paraId="435D988D">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）质量（完成时间、安全、环保）保障措施及方案（格式自定）</w:t>
      </w:r>
    </w:p>
    <w:p w14:paraId="13623862">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）项目完成（服务期满）后的服务承诺（格式自定）</w:t>
      </w:r>
    </w:p>
    <w:p w14:paraId="66DB4FB3">
      <w:pPr>
        <w:ind w:left="480" w:leftChars="200" w:firstLine="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）履约承诺（格式自定）</w:t>
      </w:r>
    </w:p>
    <w:p w14:paraId="02EA3A36">
      <w:pPr>
        <w:ind w:left="480" w:leftChars="200"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）投标人认为需要加以说明的其他内容（格式自定）</w:t>
      </w:r>
    </w:p>
    <w:p w14:paraId="3170389E">
      <w:pPr>
        <w:ind w:firstLine="485" w:firstLineChars="2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p w14:paraId="65865BDC">
      <w:pPr>
        <w:ind w:firstLine="485" w:firstLineChars="2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1.本项目为网上电子投标项目，投标文件不需法人或授权委托人另行签字，无需加盖单位公章，招标文件专用条款另有规定的除外。</w:t>
      </w:r>
    </w:p>
    <w:p w14:paraId="02DF98CE">
      <w:pPr>
        <w:ind w:firstLine="485" w:firstLineChars="202"/>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2.关于填写“开标一览表”的说明：“开标一览表”中除“投标报价”外，其他信息不作评审依据。</w:t>
      </w:r>
    </w:p>
    <w:p w14:paraId="57A11B67"/>
    <w:p w14:paraId="185FDA7A">
      <w:pPr>
        <w:pStyle w:val="6"/>
      </w:pPr>
    </w:p>
    <w:p w14:paraId="65467B98"/>
    <w:p w14:paraId="5437CA55">
      <w:pPr>
        <w:pStyle w:val="6"/>
      </w:pPr>
    </w:p>
    <w:p w14:paraId="3DD974BF"/>
    <w:p w14:paraId="2425D4F8">
      <w:pPr>
        <w:pStyle w:val="6"/>
      </w:pPr>
      <w:r>
        <w:br w:type="page"/>
      </w:r>
    </w:p>
    <w:p w14:paraId="1C5111BB">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1B0B9298">
      <w:pPr>
        <w:pStyle w:val="3"/>
        <w:jc w:val="center"/>
        <w:rPr>
          <w:rFonts w:ascii="黑体" w:eastAsia="黑体"/>
          <w:b w:val="0"/>
          <w:color w:val="000000" w:themeColor="text1"/>
          <w:sz w:val="24"/>
          <w14:textFill>
            <w14:solidFill>
              <w14:schemeClr w14:val="tx1"/>
            </w14:solidFill>
          </w14:textFill>
        </w:rPr>
      </w:pPr>
      <w:r>
        <w:rPr>
          <w:rFonts w:hint="eastAsia" w:ascii="黑体" w:eastAsia="黑体"/>
          <w:b w:val="0"/>
          <w:color w:val="000000" w:themeColor="text1"/>
          <w:sz w:val="24"/>
          <w14:textFill>
            <w14:solidFill>
              <w14:schemeClr w14:val="tx1"/>
            </w14:solidFill>
          </w14:textFill>
        </w:rPr>
        <w:t>一、投标函</w:t>
      </w:r>
    </w:p>
    <w:p w14:paraId="1C094B0F">
      <w:pPr>
        <w:spacing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致：</w:t>
      </w:r>
      <w:r>
        <w:rPr>
          <w:rFonts w:hint="eastAsia" w:ascii="宋体" w:hAnsi="宋体" w:eastAsia="宋体"/>
          <w:color w:val="000000" w:themeColor="text1"/>
          <w:u w:val="single"/>
          <w14:textFill>
            <w14:solidFill>
              <w14:schemeClr w14:val="tx1"/>
            </w14:solidFill>
          </w14:textFill>
        </w:rPr>
        <w:t xml:space="preserve">友和保险经纪有限公司 </w:t>
      </w:r>
    </w:p>
    <w:p w14:paraId="030DDA99">
      <w:pPr>
        <w:ind w:firstLine="480" w:firstLineChars="200"/>
        <w:rPr>
          <w:rFonts w:ascii="宋体" w:hAnsi="宋体" w:eastAsia="宋体"/>
          <w:color w:val="000000" w:themeColor="text1"/>
          <w14:textFill>
            <w14:solidFill>
              <w14:schemeClr w14:val="tx1"/>
            </w14:solidFill>
          </w14:textFill>
        </w:rPr>
      </w:pPr>
      <w:bookmarkStart w:id="41" w:name="_Hlk73818812"/>
      <w:r>
        <w:rPr>
          <w:rFonts w:hint="eastAsia" w:ascii="宋体" w:hAnsi="宋体" w:eastAsia="宋体"/>
          <w:color w:val="000000" w:themeColor="text1"/>
          <w14:textFill>
            <w14:solidFill>
              <w14:schemeClr w14:val="tx1"/>
            </w14:solidFill>
          </w14:textFill>
        </w:rPr>
        <w:t>1、根据已收到贵单位的项目编号为</w:t>
      </w:r>
      <w:r>
        <w:rPr>
          <w:rFonts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u w:val="single"/>
          <w:lang w:eastAsia="zh-CN"/>
          <w14:textFill>
            <w14:solidFill>
              <w14:schemeClr w14:val="tx1"/>
            </w14:solidFill>
          </w14:textFill>
        </w:rPr>
        <w:t>SZDL2025000085</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的</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u w:val="single"/>
          <w:lang w:eastAsia="zh-CN"/>
          <w14:textFill>
            <w14:solidFill>
              <w14:schemeClr w14:val="tx1"/>
            </w14:solidFill>
          </w14:textFill>
        </w:rPr>
        <w:t>2025年交通监控设施维护D包</w:t>
      </w:r>
      <w:r>
        <w:rPr>
          <w:rFonts w:hint="eastAsia" w:ascii="宋体" w:hAnsi="宋体" w:eastAsia="宋体"/>
          <w:color w:val="000000" w:themeColor="text1"/>
          <w14:textFill>
            <w14:solidFill>
              <w14:schemeClr w14:val="tx1"/>
            </w14:solidFill>
          </w14:textFill>
        </w:rPr>
        <w:t>项目的招标文件，遵照《深圳经济特区政府采购条例》和《深圳网上政府采购管理暂行办法》等有关规定，我单位经研究上述招标文件的专用条款及通用条款后，</w:t>
      </w:r>
      <w:bookmarkStart w:id="42" w:name="_Hlk72263588"/>
      <w:r>
        <w:rPr>
          <w:rFonts w:hint="eastAsia" w:ascii="宋体" w:hAnsi="宋体" w:eastAsia="宋体"/>
          <w:color w:val="000000" w:themeColor="text1"/>
          <w14:textFill>
            <w14:solidFill>
              <w14:schemeClr w14:val="tx1"/>
            </w14:solidFill>
          </w14:textFill>
        </w:rPr>
        <w:t>愿意按照招标文件要求承包上述项目并修补其任何缺陷。</w:t>
      </w:r>
      <w:bookmarkEnd w:id="42"/>
    </w:p>
    <w:p w14:paraId="5F6ABC26">
      <w:pPr>
        <w:ind w:firstLine="48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、投标价格见投标书编制软件中《开标一览表》中填写的投标总价。</w:t>
      </w:r>
    </w:p>
    <w:p w14:paraId="07EFFF15">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3、如果我单位中标，我单位将按照招标文件的要求足额提交履约担保。</w:t>
      </w:r>
    </w:p>
    <w:p w14:paraId="1398F27D">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4、我单位同意所递交的投标文件在“对通用条款的补充内容”中明确的投标有效期内有效，在此期间内我单位的投标有可能中标，我方将受此约束。</w:t>
      </w:r>
    </w:p>
    <w:p w14:paraId="79D937AC">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5、除非另外达成协议并生效，贵单位的中标通知书和本投标文件将构成合同的重要内容。</w:t>
      </w:r>
    </w:p>
    <w:p w14:paraId="2F10AF97">
      <w:pPr>
        <w:ind w:left="600" w:leftChars="200" w:hanging="120" w:hangingChars="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6、我单位理解贵单位将不受必须接受所收到的最低报价或其它任何投标文件的约束。</w:t>
      </w:r>
      <w:bookmarkEnd w:id="41"/>
    </w:p>
    <w:p w14:paraId="1D8B4240">
      <w:pPr>
        <w:ind w:left="600" w:leftChars="200" w:hanging="120" w:hangingChars="50"/>
        <w:rPr>
          <w:rFonts w:hint="eastAsia" w:ascii="宋体" w:hAnsi="宋体" w:eastAsia="宋体"/>
          <w:color w:val="000000" w:themeColor="text1"/>
          <w14:textFill>
            <w14:solidFill>
              <w14:schemeClr w14:val="tx1"/>
            </w14:solidFill>
          </w14:textFill>
        </w:rPr>
      </w:pPr>
    </w:p>
    <w:p w14:paraId="1E2A51C5">
      <w:pPr>
        <w:ind w:left="600" w:leftChars="200" w:hanging="120" w:hangingChars="50"/>
        <w:rPr>
          <w:rFonts w:hint="eastAsia" w:ascii="宋体" w:hAnsi="宋体" w:eastAsia="宋体"/>
          <w:color w:val="000000" w:themeColor="text1"/>
          <w:u w:val="single"/>
          <w14:textFill>
            <w14:solidFill>
              <w14:schemeClr w14:val="tx1"/>
            </w14:solidFill>
          </w14:textFill>
        </w:rPr>
      </w:pPr>
      <w:r>
        <w:rPr>
          <w:rFonts w:hint="eastAsia" w:ascii="宋体" w:hAnsi="宋体" w:eastAsia="宋体"/>
          <w:color w:val="000000" w:themeColor="text1"/>
          <w14:textFill>
            <w14:solidFill>
              <w14:schemeClr w14:val="tx1"/>
            </w14:solidFill>
          </w14:textFill>
        </w:rPr>
        <w:t>投标人：</w:t>
      </w:r>
      <w:r>
        <w:rPr>
          <w:rFonts w:hint="eastAsia" w:ascii="宋体" w:hAnsi="宋体" w:eastAsia="宋体"/>
          <w:b/>
          <w:bCs/>
          <w:color w:val="FF0000"/>
          <w:u w:val="single"/>
          <w:lang w:eastAsia="zh-CN"/>
        </w:rPr>
        <w:t>（填写投标单位名称）</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 xml:space="preserve"> 单位地址：</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b/>
          <w:bCs/>
          <w:color w:val="FF0000"/>
          <w:u w:val="single"/>
          <w:lang w:eastAsia="zh-CN"/>
        </w:rPr>
        <w:t>（填写单位地址）</w:t>
      </w:r>
      <w:r>
        <w:rPr>
          <w:rFonts w:hint="eastAsia" w:ascii="宋体" w:hAnsi="宋体" w:eastAsia="宋体"/>
          <w:color w:val="000000" w:themeColor="text1"/>
          <w:u w:val="single"/>
          <w14:textFill>
            <w14:solidFill>
              <w14:schemeClr w14:val="tx1"/>
            </w14:solidFill>
          </w14:textFill>
        </w:rPr>
        <w:t xml:space="preserve">  </w:t>
      </w:r>
    </w:p>
    <w:p w14:paraId="29D5A9C0">
      <w:pPr>
        <w:ind w:left="600" w:leftChars="200" w:hanging="120" w:hangingChars="50"/>
        <w:rPr>
          <w:rFonts w:hint="eastAsia" w:ascii="宋体" w:hAnsi="宋体" w:eastAsia="宋体"/>
          <w:color w:val="000000" w:themeColor="text1"/>
          <w:u w:val="single"/>
          <w14:textFill>
            <w14:solidFill>
              <w14:schemeClr w14:val="tx1"/>
            </w14:solidFill>
          </w14:textFill>
        </w:rPr>
      </w:pPr>
      <w:r>
        <w:rPr>
          <w:rFonts w:hint="eastAsia" w:ascii="宋体" w:hAnsi="宋体" w:eastAsia="宋体"/>
          <w:color w:val="000000" w:themeColor="text1"/>
          <w14:textFill>
            <w14:solidFill>
              <w14:schemeClr w14:val="tx1"/>
            </w14:solidFill>
          </w14:textFill>
        </w:rPr>
        <w:t>法定代表人（负责人）或其委托代理人：</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s="Times New Roman"/>
          <w:b/>
          <w:bCs/>
          <w:color w:val="FF0000"/>
          <w:u w:val="single"/>
          <w:lang w:eastAsia="zh-CN"/>
        </w:rPr>
        <w:t>（填写姓名）</w:t>
      </w:r>
      <w:r>
        <w:rPr>
          <w:rFonts w:hint="eastAsia" w:ascii="宋体" w:hAnsi="宋体" w:eastAsia="宋体"/>
          <w:color w:val="000000" w:themeColor="text1"/>
          <w:u w:val="single"/>
          <w:lang w:val="en-US" w:eastAsia="zh-CN"/>
          <w14:textFill>
            <w14:solidFill>
              <w14:schemeClr w14:val="tx1"/>
            </w14:solidFill>
          </w14:textFill>
        </w:rPr>
        <w:t xml:space="preserve">    </w:t>
      </w:r>
      <w:r>
        <w:rPr>
          <w:rFonts w:hint="eastAsia" w:ascii="宋体" w:hAnsi="宋体" w:eastAsia="宋体"/>
          <w:color w:val="000000" w:themeColor="text1"/>
          <w:u w:val="single"/>
          <w14:textFill>
            <w14:solidFill>
              <w14:schemeClr w14:val="tx1"/>
            </w14:solidFill>
          </w14:textFill>
        </w:rPr>
        <w:t xml:space="preserve">    </w:t>
      </w:r>
    </w:p>
    <w:p w14:paraId="5BA37AD2">
      <w:pPr>
        <w:ind w:left="600" w:leftChars="200" w:hanging="120" w:hangingChars="50"/>
        <w:rPr>
          <w:rFonts w:hint="eastAsia" w:ascii="宋体" w:hAnsi="宋体" w:eastAsia="宋体"/>
          <w:color w:val="000000" w:themeColor="text1"/>
          <w:u w:val="single"/>
          <w14:textFill>
            <w14:solidFill>
              <w14:schemeClr w14:val="tx1"/>
            </w14:solidFill>
          </w14:textFill>
        </w:rPr>
      </w:pPr>
      <w:r>
        <w:rPr>
          <w:rFonts w:hint="eastAsia" w:ascii="宋体" w:hAnsi="宋体" w:eastAsia="宋体"/>
          <w:color w:val="000000" w:themeColor="text1"/>
          <w14:textFill>
            <w14:solidFill>
              <w14:schemeClr w14:val="tx1"/>
            </w14:solidFill>
          </w14:textFill>
        </w:rPr>
        <w:t>邮政编码：</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 xml:space="preserve">  电话：</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 xml:space="preserve">  传真：</w:t>
      </w:r>
      <w:r>
        <w:rPr>
          <w:rFonts w:hint="eastAsia" w:ascii="宋体" w:hAnsi="宋体" w:eastAsia="宋体"/>
          <w:color w:val="000000" w:themeColor="text1"/>
          <w:u w:val="single"/>
          <w14:textFill>
            <w14:solidFill>
              <w14:schemeClr w14:val="tx1"/>
            </w14:solidFill>
          </w14:textFill>
        </w:rPr>
        <w:t xml:space="preserve">            </w:t>
      </w:r>
    </w:p>
    <w:p w14:paraId="6A2623E9">
      <w:pPr>
        <w:ind w:left="600" w:leftChars="200" w:hanging="120" w:hangingChars="50"/>
        <w:rPr>
          <w:rFonts w:hint="eastAsia" w:ascii="宋体" w:hAnsi="宋体" w:eastAsia="宋体"/>
          <w:color w:val="000000" w:themeColor="text1"/>
          <w:u w:val="single"/>
          <w14:textFill>
            <w14:solidFill>
              <w14:schemeClr w14:val="tx1"/>
            </w14:solidFill>
          </w14:textFill>
        </w:rPr>
      </w:pPr>
      <w:r>
        <w:rPr>
          <w:rFonts w:hint="eastAsia" w:ascii="宋体" w:hAnsi="宋体" w:eastAsia="宋体"/>
          <w:color w:val="000000" w:themeColor="text1"/>
          <w14:textFill>
            <w14:solidFill>
              <w14:schemeClr w14:val="tx1"/>
            </w14:solidFill>
          </w14:textFill>
        </w:rPr>
        <w:t>开户银行名称：</w:t>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p>
    <w:p w14:paraId="171A8CA3">
      <w:pPr>
        <w:ind w:left="600" w:leftChars="200" w:hanging="120" w:hangingChars="50"/>
        <w:rPr>
          <w:rFonts w:hint="eastAsia" w:ascii="宋体" w:hAnsi="宋体" w:eastAsia="宋体"/>
          <w:color w:val="000000" w:themeColor="text1"/>
          <w:u w:val="single"/>
          <w14:textFill>
            <w14:solidFill>
              <w14:schemeClr w14:val="tx1"/>
            </w14:solidFill>
          </w14:textFill>
        </w:rPr>
      </w:pPr>
      <w:r>
        <w:rPr>
          <w:rFonts w:hint="eastAsia" w:ascii="宋体" w:hAnsi="宋体" w:eastAsia="宋体"/>
          <w:color w:val="000000" w:themeColor="text1"/>
          <w14:textFill>
            <w14:solidFill>
              <w14:schemeClr w14:val="tx1"/>
            </w14:solidFill>
          </w14:textFill>
        </w:rPr>
        <w:t>开户银行账号：</w:t>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p>
    <w:p w14:paraId="21F5CD62">
      <w:pPr>
        <w:ind w:left="600" w:leftChars="200" w:hanging="120" w:hangingChars="5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开户银行地址：</w:t>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14:textFill>
            <w14:solidFill>
              <w14:schemeClr w14:val="tx1"/>
            </w14:solidFill>
          </w14:textFill>
        </w:rPr>
        <w:tab/>
      </w:r>
    </w:p>
    <w:p w14:paraId="45104918">
      <w:pPr>
        <w:ind w:left="600" w:leftChars="200" w:hanging="120" w:hangingChars="50"/>
        <w:rPr>
          <w:rFonts w:hint="eastAsia" w:ascii="宋体" w:hAnsi="宋体" w:eastAsia="宋体"/>
          <w:color w:val="000000" w:themeColor="text1"/>
          <w:u w:val="single"/>
          <w14:textFill>
            <w14:solidFill>
              <w14:schemeClr w14:val="tx1"/>
            </w14:solidFill>
          </w14:textFill>
        </w:rPr>
      </w:pPr>
      <w:r>
        <w:rPr>
          <w:rFonts w:hint="eastAsia" w:ascii="宋体" w:hAnsi="宋体" w:eastAsia="宋体"/>
          <w:color w:val="000000" w:themeColor="text1"/>
          <w14:textFill>
            <w14:solidFill>
              <w14:schemeClr w14:val="tx1"/>
            </w14:solidFill>
          </w14:textFill>
        </w:rPr>
        <w:t>开户银行电话：</w:t>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r>
        <w:rPr>
          <w:rFonts w:hint="eastAsia" w:ascii="宋体" w:hAnsi="宋体" w:eastAsia="宋体"/>
          <w:color w:val="000000" w:themeColor="text1"/>
          <w:u w:val="single"/>
          <w14:textFill>
            <w14:solidFill>
              <w14:schemeClr w14:val="tx1"/>
            </w14:solidFill>
          </w14:textFill>
        </w:rPr>
        <w:tab/>
      </w:r>
    </w:p>
    <w:p w14:paraId="7BEF8F6E">
      <w:pPr>
        <w:ind w:left="600" w:leftChars="200" w:hanging="120" w:hangingChars="50"/>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日期：</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年</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月</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 xml:space="preserve">日    </w:t>
      </w:r>
      <w:r>
        <w:rPr>
          <w:rFonts w:hint="eastAsia"/>
          <w:color w:val="000000" w:themeColor="text1"/>
          <w14:textFill>
            <w14:solidFill>
              <w14:schemeClr w14:val="tx1"/>
            </w14:solidFill>
          </w14:textFill>
        </w:rPr>
        <w:t xml:space="preserve">                            </w:t>
      </w:r>
    </w:p>
    <w:p w14:paraId="50806031">
      <w:pPr>
        <w:rPr>
          <w:rFonts w:ascii="黑体" w:hAnsi="宋体" w:eastAsia="黑体"/>
          <w:color w:val="000000" w:themeColor="text1"/>
          <w14:textFill>
            <w14:solidFill>
              <w14:schemeClr w14:val="tx1"/>
            </w14:solidFill>
          </w14:textFill>
        </w:rPr>
      </w:pPr>
    </w:p>
    <w:p w14:paraId="4CD80854">
      <w:pPr>
        <w:rPr>
          <w:rFonts w:ascii="宋体" w:hAnsi="宋体"/>
          <w:color w:val="000000" w:themeColor="text1"/>
          <w:szCs w:val="21"/>
          <w14:textFill>
            <w14:solidFill>
              <w14:schemeClr w14:val="tx1"/>
            </w14:solidFill>
          </w14:textFill>
        </w:rPr>
      </w:pPr>
    </w:p>
    <w:p w14:paraId="6FE8D718">
      <w:pPr>
        <w:rPr>
          <w:rFonts w:ascii="黑体" w:hAnsi="宋体" w:eastAsia="黑体"/>
          <w:color w:val="000000" w:themeColor="text1"/>
          <w14:textFill>
            <w14:solidFill>
              <w14:schemeClr w14:val="tx1"/>
            </w14:solidFill>
          </w14:textFill>
        </w:rPr>
      </w:pPr>
    </w:p>
    <w:p w14:paraId="7242C9B9">
      <w:pPr>
        <w:rPr>
          <w:rFonts w:ascii="黑体" w:hAnsi="宋体" w:eastAsia="黑体"/>
          <w:color w:val="000000" w:themeColor="text1"/>
          <w14:textFill>
            <w14:solidFill>
              <w14:schemeClr w14:val="tx1"/>
            </w14:solidFill>
          </w14:textFill>
        </w:rPr>
      </w:pPr>
    </w:p>
    <w:p w14:paraId="61C398EA">
      <w:pPr>
        <w:rPr>
          <w:rFonts w:ascii="黑体" w:hAnsi="宋体" w:eastAsia="黑体"/>
          <w:color w:val="000000" w:themeColor="text1"/>
          <w14:textFill>
            <w14:solidFill>
              <w14:schemeClr w14:val="tx1"/>
            </w14:solidFill>
          </w14:textFill>
        </w:rPr>
      </w:pPr>
    </w:p>
    <w:p w14:paraId="738715F8">
      <w:pPr>
        <w:pStyle w:val="3"/>
        <w:jc w:val="center"/>
        <w:rPr>
          <w:rFonts w:ascii="黑体" w:eastAsia="黑体"/>
          <w:b w:val="0"/>
          <w:color w:val="000000" w:themeColor="text1"/>
          <w:sz w:val="24"/>
          <w14:textFill>
            <w14:solidFill>
              <w14:schemeClr w14:val="tx1"/>
            </w14:solidFill>
          </w14:textFill>
        </w:rPr>
      </w:pPr>
      <w:r>
        <w:rPr>
          <w:rFonts w:hint="eastAsia" w:ascii="黑体" w:eastAsia="黑体"/>
          <w:b w:val="0"/>
          <w:color w:val="000000" w:themeColor="text1"/>
          <w:sz w:val="24"/>
          <w14:textFill>
            <w14:solidFill>
              <w14:schemeClr w14:val="tx1"/>
            </w14:solidFill>
          </w14:textFill>
        </w:rPr>
        <w:br w:type="page"/>
      </w:r>
      <w:r>
        <w:rPr>
          <w:rFonts w:hint="eastAsia" w:ascii="黑体" w:eastAsia="黑体"/>
          <w:b w:val="0"/>
          <w:color w:val="000000" w:themeColor="text1"/>
          <w:sz w:val="24"/>
          <w14:textFill>
            <w14:solidFill>
              <w14:schemeClr w14:val="tx1"/>
            </w14:solidFill>
          </w14:textFill>
        </w:rPr>
        <w:t>二、政府采购投标及履约承诺函</w:t>
      </w:r>
    </w:p>
    <w:p w14:paraId="4F873B7B">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致：</w:t>
      </w:r>
      <w:r>
        <w:rPr>
          <w:rFonts w:hint="eastAsia" w:ascii="宋体" w:hAnsi="宋体" w:eastAsia="宋体"/>
          <w:color w:val="000000" w:themeColor="text1"/>
          <w:u w:val="single"/>
          <w14:textFill>
            <w14:solidFill>
              <w14:schemeClr w14:val="tx1"/>
            </w14:solidFill>
          </w14:textFill>
        </w:rPr>
        <w:t>友和保险经纪有限公司</w:t>
      </w:r>
    </w:p>
    <w:p w14:paraId="051C2B46">
      <w:pPr>
        <w:ind w:right="-815"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我单位承诺：</w:t>
      </w:r>
    </w:p>
    <w:p w14:paraId="01C0A804">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hint="eastAsia" w:ascii="宋体" w:hAnsi="宋体"/>
          <w:szCs w:val="21"/>
        </w:rPr>
        <w:t>我单位参与本项目所投标（响应）的货物、工程或服务，不存在侵犯知识产权的情况；已知悉并同意中标（成交）结果信息公示（公开）的内容。</w:t>
      </w:r>
    </w:p>
    <w:p w14:paraId="20971D56">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lang w:eastAsia="zh-CN"/>
        </w:rPr>
      </w:pPr>
      <w:r>
        <w:rPr>
          <w:rFonts w:hint="eastAsia" w:ascii="宋体" w:hAnsi="宋体" w:eastAsia="宋体"/>
          <w:color w:val="000000" w:themeColor="text1"/>
          <w14:textFill>
            <w14:solidFill>
              <w14:schemeClr w14:val="tx1"/>
            </w14:solidFill>
          </w14:textFill>
        </w:rPr>
        <w:t>2.</w:t>
      </w:r>
      <w:r>
        <w:rPr>
          <w:rFonts w:hint="eastAsia" w:ascii="宋体" w:hAnsi="宋体"/>
          <w:szCs w:val="21"/>
        </w:rPr>
        <w:t>我单位参与该项目投标，</w:t>
      </w:r>
      <w:r>
        <w:rPr>
          <w:rFonts w:hint="eastAsia" w:ascii="宋体" w:hAnsi="宋体" w:eastAsia="宋体"/>
        </w:rPr>
        <w:t>不</w:t>
      </w:r>
      <w:r>
        <w:rPr>
          <w:rFonts w:hint="eastAsia" w:ascii="宋体" w:hAnsi="宋体" w:eastAsia="宋体"/>
          <w:lang w:eastAsia="zh-CN"/>
        </w:rPr>
        <w:t>采用</w:t>
      </w:r>
      <w:r>
        <w:rPr>
          <w:rFonts w:hint="eastAsia" w:ascii="宋体" w:hAnsi="宋体" w:eastAsia="宋体"/>
        </w:rPr>
        <w:t>联合体投标</w:t>
      </w:r>
      <w:r>
        <w:rPr>
          <w:rFonts w:hint="eastAsia" w:ascii="宋体" w:hAnsi="宋体" w:eastAsia="宋体"/>
          <w:lang w:eastAsia="zh-CN"/>
        </w:rPr>
        <w:t>，</w:t>
      </w:r>
      <w:r>
        <w:rPr>
          <w:rFonts w:hint="eastAsia" w:ascii="宋体" w:hAnsi="宋体" w:eastAsia="宋体"/>
        </w:rPr>
        <w:t>不</w:t>
      </w:r>
      <w:r>
        <w:rPr>
          <w:rFonts w:hint="eastAsia" w:ascii="宋体" w:hAnsi="宋体" w:eastAsia="宋体"/>
          <w:lang w:eastAsia="zh-CN"/>
        </w:rPr>
        <w:t>使用</w:t>
      </w:r>
      <w:r>
        <w:rPr>
          <w:rFonts w:hint="eastAsia" w:ascii="宋体" w:hAnsi="宋体" w:eastAsia="宋体"/>
        </w:rPr>
        <w:t>进口产品参与投标</w:t>
      </w:r>
      <w:r>
        <w:rPr>
          <w:rFonts w:hint="eastAsia" w:ascii="宋体" w:hAnsi="宋体" w:eastAsia="宋体"/>
          <w:lang w:eastAsia="zh-CN"/>
        </w:rPr>
        <w:t>。</w:t>
      </w:r>
    </w:p>
    <w:p w14:paraId="230AFC3A">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szCs w:val="21"/>
        </w:rPr>
      </w:pPr>
      <w:r>
        <w:rPr>
          <w:rFonts w:hint="eastAsia" w:ascii="宋体" w:hAnsi="宋体"/>
          <w:szCs w:val="21"/>
        </w:rPr>
        <w:t>3.我单位参与本项目政府采购活动时不存在被有关部门禁止参与政府采购活动且在有效期内的情况。</w:t>
      </w:r>
    </w:p>
    <w:p w14:paraId="10AA240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szCs w:val="21"/>
        </w:rPr>
      </w:pPr>
      <w:r>
        <w:rPr>
          <w:rFonts w:hint="eastAsia" w:ascii="宋体" w:hAnsi="宋体"/>
          <w:szCs w:val="21"/>
        </w:rPr>
        <w:t>4.我单位具备《中华人民共和国政府采购法》第二十二条第一款规定的六项条件。</w:t>
      </w:r>
    </w:p>
    <w:p w14:paraId="56D3BD85">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5.我单位未被列入失信被执行人、</w:t>
      </w:r>
      <w:r>
        <w:rPr>
          <w:rFonts w:hint="eastAsia" w:ascii="宋体" w:hAnsi="宋体" w:eastAsia="宋体"/>
          <w:color w:val="000000" w:themeColor="text1"/>
          <w:lang w:eastAsia="zh-CN"/>
          <w14:textFill>
            <w14:solidFill>
              <w14:schemeClr w14:val="tx1"/>
            </w14:solidFill>
          </w14:textFill>
        </w:rPr>
        <w:t>重大税收违法失信主体</w:t>
      </w:r>
      <w:r>
        <w:rPr>
          <w:rFonts w:hint="eastAsia" w:ascii="宋体" w:hAnsi="宋体" w:eastAsia="宋体"/>
          <w:color w:val="000000" w:themeColor="text1"/>
          <w14:textFill>
            <w14:solidFill>
              <w14:schemeClr w14:val="tx1"/>
            </w14:solidFill>
          </w14:textFill>
        </w:rPr>
        <w:t>、政府采购严重违法失信行为记录名单</w:t>
      </w:r>
      <w:r>
        <w:rPr>
          <w:rFonts w:hint="eastAsia" w:ascii="宋体" w:hAnsi="宋体" w:eastAsia="宋体"/>
          <w:color w:val="000000" w:themeColor="text1"/>
          <w:lang w:eastAsia="zh-CN"/>
          <w14:textFill>
            <w14:solidFill>
              <w14:schemeClr w14:val="tx1"/>
            </w14:solidFill>
          </w14:textFill>
        </w:rPr>
        <w:t>；不存在《深圳市财政局政府采购供应商信用信息管理办法》（深财规〔2023〕3号）列明的严重违法失信行为。</w:t>
      </w:r>
    </w:p>
    <w:p w14:paraId="2619C497">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w:t>
      </w:r>
      <w:r>
        <w:rPr>
          <w:rFonts w:ascii="宋体" w:hAnsi="宋体" w:eastAsia="宋体"/>
          <w:color w:val="000000" w:themeColor="text1"/>
          <w14:textFill>
            <w14:solidFill>
              <w14:schemeClr w14:val="tx1"/>
            </w14:solidFill>
          </w14:textFill>
        </w:rPr>
        <w:t>内禁止参与政府采购活动或其他处罚。</w:t>
      </w:r>
    </w:p>
    <w:p w14:paraId="4693FD5A">
      <w:pPr>
        <w:ind w:firstLine="48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我单位不存在“单位负责人为同一人或者存在直接控股、管理关系的不同供应商，参加同一合同项下的政府采购活动”的情形。</w:t>
      </w:r>
    </w:p>
    <w:p w14:paraId="24289A60">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w:t>
      </w:r>
      <w:r>
        <w:rPr>
          <w:rFonts w:ascii="宋体" w:hAnsi="宋体" w:eastAsia="宋体"/>
          <w:color w:val="000000" w:themeColor="text1"/>
          <w14:textFill>
            <w14:solidFill>
              <w14:schemeClr w14:val="tx1"/>
            </w14:solidFill>
          </w14:textFill>
        </w:rPr>
        <w:t>.我单位如果中标，做到守信，不偷工减料，依</w:t>
      </w:r>
      <w:r>
        <w:rPr>
          <w:rFonts w:hint="eastAsia" w:ascii="宋体" w:hAnsi="宋体" w:eastAsia="宋体"/>
          <w:color w:val="000000" w:themeColor="text1"/>
          <w14:textFill>
            <w14:solidFill>
              <w14:schemeClr w14:val="tx1"/>
            </w14:solidFill>
          </w14:textFill>
        </w:rPr>
        <w:t>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AC8BA0C">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w:t>
      </w:r>
      <w:r>
        <w:rPr>
          <w:rFonts w:ascii="宋体" w:hAnsi="宋体" w:eastAsia="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我单位清楚，若以</w:t>
      </w:r>
      <w:r>
        <w:rPr>
          <w:rFonts w:ascii="宋体" w:hAnsi="宋体" w:eastAsia="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报价太低而无法履约</w:t>
      </w:r>
      <w:r>
        <w:rPr>
          <w:rFonts w:ascii="宋体" w:hAnsi="宋体" w:eastAsia="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14:paraId="78EF4C93">
      <w:pPr>
        <w:ind w:firstLine="48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10.</w:t>
      </w:r>
      <w:r>
        <w:rPr>
          <w:rFonts w:hint="eastAsia" w:ascii="宋体" w:hAnsi="宋体" w:eastAsia="宋体"/>
          <w:color w:val="000000" w:themeColor="text1"/>
          <w14:textFill>
            <w14:solidFill>
              <w14:schemeClr w14:val="tx1"/>
            </w14:solidFill>
          </w14:textFill>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9465B06">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.我</w:t>
      </w:r>
      <w:r>
        <w:rPr>
          <w:rFonts w:hint="eastAsia" w:ascii="宋体" w:hAnsi="宋体" w:eastAsia="宋体"/>
          <w:color w:val="000000" w:themeColor="text1"/>
          <w:lang w:val="en-US" w:eastAsia="zh-CN"/>
          <w14:textFill>
            <w14:solidFill>
              <w14:schemeClr w14:val="tx1"/>
            </w14:solidFill>
          </w14:textFill>
        </w:rPr>
        <w:t>单位</w:t>
      </w:r>
      <w:r>
        <w:rPr>
          <w:rFonts w:hint="eastAsia" w:ascii="宋体" w:hAnsi="宋体" w:eastAsia="宋体"/>
          <w:color w:val="000000" w:themeColor="text1"/>
          <w14:textFill>
            <w14:solidFill>
              <w14:schemeClr w14:val="tx1"/>
            </w14:solidFill>
          </w14:textFill>
        </w:rPr>
        <w:t>承诺中标后项目不转包，未经采购人同意不进行分包。</w:t>
      </w:r>
    </w:p>
    <w:p w14:paraId="47629AC6">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2C5F877">
      <w:pPr>
        <w:ind w:firstLine="480" w:firstLineChars="20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13.</w:t>
      </w:r>
      <w:r>
        <w:rPr>
          <w:rFonts w:hint="eastAsia" w:ascii="宋体" w:hAnsi="宋体" w:eastAsia="宋体"/>
          <w:color w:val="000000" w:themeColor="text1"/>
          <w14:textFill>
            <w14:solidFill>
              <w14:schemeClr w14:val="tx1"/>
            </w14:solidFill>
          </w14:textFill>
        </w:rPr>
        <w:t>我单位保证，若所投货物涉及</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财政部生态环境部关于印发节能产品政府采购品目清单的通知》（财库〔20</w:t>
      </w:r>
      <w:r>
        <w:rPr>
          <w:rFonts w:ascii="宋体" w:hAnsi="宋体" w:eastAsia="宋体"/>
          <w:color w:val="000000" w:themeColor="text1"/>
          <w14:textFill>
            <w14:solidFill>
              <w14:schemeClr w14:val="tx1"/>
            </w14:solidFill>
          </w14:textFill>
        </w:rPr>
        <w:t>19</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19</w:t>
      </w:r>
      <w:r>
        <w:rPr>
          <w:rFonts w:hint="eastAsia" w:ascii="宋体" w:hAnsi="宋体" w:eastAsia="宋体"/>
          <w:color w:val="000000" w:themeColor="text1"/>
          <w14:textFill>
            <w14:solidFill>
              <w14:schemeClr w14:val="tx1"/>
            </w14:solidFill>
          </w14:textFill>
        </w:rPr>
        <w:t>号）列明的政府采购强制产品，则所投该产品符合节能产品的认证要求。</w:t>
      </w:r>
    </w:p>
    <w:p w14:paraId="75AAA5B7">
      <w:pPr>
        <w:pStyle w:val="6"/>
        <w:rPr>
          <w:rFonts w:ascii="宋体" w:hAnsi="宋体" w:eastAsia="宋体" w:cs="宋体"/>
          <w:color w:val="000000" w:themeColor="text1"/>
          <w:szCs w:val="24"/>
          <w14:textFill>
            <w14:solidFill>
              <w14:schemeClr w14:val="tx1"/>
            </w14:solidFill>
          </w14:textFill>
        </w:rPr>
      </w:pPr>
      <w:r>
        <w:rPr>
          <w:rFonts w:hint="eastAsia" w:ascii="宋体" w:hAnsi="宋体" w:eastAsia="宋体"/>
          <w:szCs w:val="24"/>
        </w:rPr>
        <w:t>1</w:t>
      </w:r>
      <w:r>
        <w:rPr>
          <w:rFonts w:ascii="宋体" w:hAnsi="宋体" w:eastAsia="宋体"/>
          <w:szCs w:val="24"/>
        </w:rPr>
        <w:t>4.</w:t>
      </w:r>
      <w:r>
        <w:rPr>
          <w:rFonts w:hint="eastAsia" w:ascii="宋体" w:hAnsi="宋体" w:eastAsia="宋体" w:cs="宋体"/>
          <w:color w:val="000000" w:themeColor="text1"/>
          <w:szCs w:val="24"/>
          <w14:textFill>
            <w14:solidFill>
              <w14:schemeClr w14:val="tx1"/>
            </w14:solidFill>
          </w14:textFill>
        </w:rPr>
        <w:t xml:space="preserve"> 我单位承诺未为本项目提供整体设计、规范编制或者管理、监理、检测等服务。</w:t>
      </w:r>
    </w:p>
    <w:p w14:paraId="034E7723">
      <w:pPr>
        <w:pStyle w:val="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r>
        <w:rPr>
          <w:rFonts w:ascii="宋体" w:hAnsi="宋体" w:eastAsia="宋体" w:cs="宋体"/>
          <w:color w:val="000000" w:themeColor="text1"/>
          <w:szCs w:val="24"/>
          <w14:textFill>
            <w14:solidFill>
              <w14:schemeClr w14:val="tx1"/>
            </w14:solidFill>
          </w14:textFill>
        </w:rPr>
        <w:t>5.</w:t>
      </w:r>
      <w:r>
        <w:rPr>
          <w:rFonts w:hint="eastAsia" w:ascii="宋体" w:hAnsi="宋体" w:eastAsia="宋体" w:cs="宋体"/>
          <w:color w:val="000000" w:themeColor="text1"/>
          <w:szCs w:val="24"/>
          <w14:textFill>
            <w14:solidFill>
              <w14:schemeClr w14:val="tx1"/>
            </w14:solidFill>
          </w14:textFill>
        </w:rPr>
        <w:t>我单位承诺，参与本项目投标前三年内，未受过环境监测行政主管部门行政处罚或未有被政府相关部门（如质检部门等）、媒体通报弄虚作假等情形。</w:t>
      </w:r>
      <w:r>
        <w:rPr>
          <w:rFonts w:ascii="宋体" w:hAnsi="宋体" w:eastAsia="宋体" w:cs="宋体"/>
          <w:color w:val="000000" w:themeColor="text1"/>
          <w:szCs w:val="24"/>
          <w14:textFill>
            <w14:solidFill>
              <w14:schemeClr w14:val="tx1"/>
            </w14:solidFill>
          </w14:textFill>
        </w:rPr>
        <w:t xml:space="preserve"> </w:t>
      </w:r>
    </w:p>
    <w:p w14:paraId="753C21A6">
      <w:pPr>
        <w:pStyle w:val="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r>
        <w:rPr>
          <w:rFonts w:ascii="宋体" w:hAnsi="宋体" w:eastAsia="宋体" w:cs="宋体"/>
          <w:color w:val="000000" w:themeColor="text1"/>
          <w:szCs w:val="24"/>
          <w14:textFill>
            <w14:solidFill>
              <w14:schemeClr w14:val="tx1"/>
            </w14:solidFill>
          </w14:textFill>
        </w:rPr>
        <w:t xml:space="preserve"> </w:t>
      </w:r>
    </w:p>
    <w:p w14:paraId="0FE96F09">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以上承诺，如有违反，愿依照国家相关法律法规处理，并承担由此给采购人带来的损失。</w:t>
      </w:r>
    </w:p>
    <w:p w14:paraId="77DBE668">
      <w:pPr>
        <w:spacing w:before="60" w:beforeLines="25" w:after="60" w:afterLines="25"/>
        <w:ind w:firstLine="6240" w:firstLineChars="26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w:t>
      </w:r>
    </w:p>
    <w:p w14:paraId="44EDB28C">
      <w:pPr>
        <w:spacing w:before="60" w:beforeLines="25" w:after="60" w:afterLines="25"/>
        <w:ind w:left="0" w:leftChars="0" w:firstLine="5520" w:firstLineChars="23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投标人：</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u w:val="single"/>
          <w:lang w:val="en-US" w:eastAsia="zh-CN"/>
          <w14:textFill>
            <w14:solidFill>
              <w14:schemeClr w14:val="tx1"/>
            </w14:solidFill>
          </w14:textFill>
        </w:rPr>
        <w:t xml:space="preserve"> </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u w:val="single"/>
          <w:lang w:val="en-US" w:eastAsia="zh-CN"/>
          <w14:textFill>
            <w14:solidFill>
              <w14:schemeClr w14:val="tx1"/>
            </w14:solidFill>
          </w14:textFill>
        </w:rPr>
        <w:t xml:space="preserve"> </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lang w:val="en-US" w:eastAsia="zh-CN"/>
          <w14:textFill>
            <w14:solidFill>
              <w14:schemeClr w14:val="tx1"/>
            </w14:solidFill>
          </w14:textFill>
        </w:rPr>
        <w:t xml:space="preserve">          </w:t>
      </w:r>
    </w:p>
    <w:p w14:paraId="3769923B">
      <w:pPr>
        <w:keepNext w:val="0"/>
        <w:keepLines w:val="0"/>
        <w:pageBreakBefore w:val="0"/>
        <w:widowControl/>
        <w:kinsoku/>
        <w:wordWrap/>
        <w:overflowPunct/>
        <w:topLinePunct w:val="0"/>
        <w:autoSpaceDE/>
        <w:autoSpaceDN/>
        <w:bidi w:val="0"/>
        <w:adjustRightInd/>
        <w:snapToGrid/>
        <w:spacing w:before="60" w:beforeLines="25" w:after="60" w:afterLines="25"/>
        <w:ind w:left="0" w:leftChars="0" w:right="240" w:rightChars="100" w:firstLine="0" w:firstLineChars="0"/>
        <w:jc w:val="right"/>
        <w:textAlignment w:val="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日期：</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年</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月</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日</w:t>
      </w:r>
    </w:p>
    <w:p w14:paraId="7C32A244">
      <w:pPr>
        <w:rPr>
          <w:rFonts w:ascii="宋体" w:hAnsi="宋体" w:eastAsia="宋体"/>
          <w:color w:val="000000" w:themeColor="text1"/>
          <w14:textFill>
            <w14:solidFill>
              <w14:schemeClr w14:val="tx1"/>
            </w14:solidFill>
          </w14:textFill>
        </w:rPr>
      </w:pPr>
    </w:p>
    <w:p w14:paraId="67E3DE01">
      <w:pPr>
        <w:rPr>
          <w:rFonts w:ascii="宋体" w:hAnsi="宋体" w:eastAsia="宋体" w:cs="宋体"/>
          <w:color w:val="000000" w:themeColor="text1"/>
          <w:szCs w:val="21"/>
          <w14:textFill>
            <w14:solidFill>
              <w14:schemeClr w14:val="tx1"/>
            </w14:solidFill>
          </w14:textFill>
        </w:rPr>
      </w:pPr>
    </w:p>
    <w:p w14:paraId="0930A094">
      <w:pPr>
        <w:pStyle w:val="6"/>
      </w:pPr>
    </w:p>
    <w:p w14:paraId="1D11E2A5"/>
    <w:p w14:paraId="760BE444">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8DA239D">
      <w:pPr>
        <w:pStyle w:val="3"/>
        <w:jc w:val="center"/>
      </w:pPr>
      <w:r>
        <w:rPr>
          <w:rFonts w:hint="eastAsia" w:ascii="黑体" w:eastAsia="黑体"/>
          <w:b w:val="0"/>
          <w:color w:val="000000" w:themeColor="text1"/>
          <w:sz w:val="24"/>
          <w14:textFill>
            <w14:solidFill>
              <w14:schemeClr w14:val="tx1"/>
            </w14:solidFill>
          </w14:textFill>
        </w:rPr>
        <w:t>三、投标人情况及资格证明文件</w:t>
      </w:r>
    </w:p>
    <w:p w14:paraId="1B909EBD">
      <w:pPr>
        <w:ind w:firstLine="480" w:firstLineChars="200"/>
        <w:outlineLvl w:val="3"/>
        <w:rPr>
          <w:rFonts w:hint="eastAsia" w:ascii="宋体" w:hAnsi="宋体" w:eastAsia="宋体"/>
          <w:bCs/>
          <w:szCs w:val="32"/>
          <w:lang w:val="en-US" w:eastAsia="zh-CN" w:bidi="ar-SA"/>
        </w:rPr>
      </w:pPr>
      <w:r>
        <w:rPr>
          <w:rFonts w:hint="eastAsia" w:ascii="宋体" w:hAnsi="宋体" w:eastAsia="宋体"/>
          <w:bCs/>
          <w:szCs w:val="32"/>
          <w:lang w:val="en-US" w:eastAsia="zh-CN" w:bidi="ar-SA"/>
        </w:rPr>
        <w:t>（一）投标人资格证明文件</w:t>
      </w:r>
    </w:p>
    <w:p w14:paraId="45A42748">
      <w:pPr>
        <w:spacing w:before="120" w:beforeLines="50"/>
        <w:ind w:firstLine="480"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（特别提示：投标人须按本招标文件第一册第一章招标公告 “申请人的资格要求”（即投标人资格要求）提供相关的资格证明资料，未提供或提供不完整、不符合要求的，将作投标无效处理。）</w:t>
      </w:r>
    </w:p>
    <w:p w14:paraId="3D7C4447">
      <w:pPr>
        <w:spacing w:line="360" w:lineRule="auto"/>
        <w:ind w:firstLine="480" w:firstLineChars="200"/>
        <w:rPr>
          <w:b/>
          <w:color w:val="000000" w:themeColor="text1"/>
          <w14:textFill>
            <w14:solidFill>
              <w14:schemeClr w14:val="tx1"/>
            </w14:solidFill>
          </w14:textFill>
        </w:rPr>
      </w:pPr>
    </w:p>
    <w:p w14:paraId="7027F05B">
      <w:pPr>
        <w:spacing w:line="360" w:lineRule="auto"/>
        <w:rPr>
          <w:rFonts w:eastAsia="黑体"/>
        </w:rPr>
      </w:pPr>
    </w:p>
    <w:p w14:paraId="7E4EA8F0">
      <w:pPr>
        <w:ind w:firstLine="480" w:firstLineChars="200"/>
        <w:outlineLvl w:val="3"/>
        <w:rPr>
          <w:rFonts w:hint="eastAsia" w:ascii="宋体" w:hAnsi="宋体" w:eastAsia="宋体"/>
          <w:bCs/>
          <w:szCs w:val="32"/>
          <w:lang w:val="en-US" w:eastAsia="zh-CN" w:bidi="ar-SA"/>
        </w:rPr>
      </w:pPr>
      <w:r>
        <w:rPr>
          <w:rFonts w:hint="eastAsia" w:ascii="宋体" w:hAnsi="宋体" w:eastAsia="宋体"/>
          <w:bCs/>
          <w:szCs w:val="32"/>
          <w:lang w:val="en-US" w:eastAsia="zh-CN" w:bidi="ar-SA"/>
        </w:rPr>
        <w:t>（二）中小企业声明函、残疾人福利性单位声明函及监狱企业声明函</w:t>
      </w:r>
    </w:p>
    <w:p w14:paraId="0ACF193D">
      <w:pPr>
        <w:spacing w:before="120" w:beforeLines="50"/>
        <w:ind w:firstLine="482" w:firstLineChars="200"/>
        <w:rPr>
          <w:rFonts w:hint="eastAsia" w:ascii="宋体" w:hAnsi="宋体" w:eastAsia="宋体"/>
          <w:b/>
          <w:bCs/>
          <w:color w:val="FF0000"/>
          <w:lang w:val="en-US" w:eastAsia="zh-CN"/>
        </w:rPr>
      </w:pPr>
      <w:r>
        <w:rPr>
          <w:rFonts w:hint="eastAsia" w:ascii="宋体" w:hAnsi="宋体" w:eastAsia="宋体"/>
          <w:b/>
          <w:bCs/>
          <w:color w:val="FF0000"/>
          <w:lang w:val="en-US" w:eastAsia="zh-CN"/>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295ECCEB">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b/>
          <w:color w:val="000000" w:themeColor="text1"/>
          <w14:textFill>
            <w14:solidFill>
              <w14:schemeClr w14:val="tx1"/>
            </w14:solidFill>
          </w14:textFill>
        </w:rPr>
      </w:pPr>
    </w:p>
    <w:p w14:paraId="0579268F">
      <w:pPr>
        <w:jc w:val="cente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中小企业声明函（</w:t>
      </w:r>
      <w:r>
        <w:rPr>
          <w:rFonts w:hint="eastAsia"/>
          <w:b/>
          <w:color w:val="000000" w:themeColor="text1"/>
          <w14:textFill>
            <w14:solidFill>
              <w14:schemeClr w14:val="tx1"/>
            </w14:solidFill>
          </w14:textFill>
        </w:rPr>
        <w:t>服务</w:t>
      </w:r>
      <w:r>
        <w:rPr>
          <w:b/>
          <w:color w:val="000000" w:themeColor="text1"/>
          <w14:textFill>
            <w14:solidFill>
              <w14:schemeClr w14:val="tx1"/>
            </w14:solidFill>
          </w14:textFill>
        </w:rPr>
        <w:t xml:space="preserve">） </w:t>
      </w:r>
    </w:p>
    <w:p w14:paraId="461C5AF0">
      <w:pPr>
        <w:spacing w:after="60" w:afterLines="25" w:line="300" w:lineRule="auto"/>
        <w:ind w:firstLine="480" w:firstLineChars="200"/>
        <w:rPr>
          <w:rFonts w:ascii="宋体" w:hAnsi="宋体" w:eastAsia="宋体"/>
          <w:szCs w:val="21"/>
        </w:rPr>
      </w:pPr>
      <w:r>
        <w:rPr>
          <w:rFonts w:hint="eastAsia" w:ascii="宋体" w:hAnsi="宋体" w:eastAsia="宋体"/>
          <w:szCs w:val="21"/>
        </w:rPr>
        <w:t>本投标人郑重声明，根据《政府采购促进中小企业发展管理办法》（财库﹝2020﹞46 号）的规定，本投标人参加</w:t>
      </w:r>
      <w:r>
        <w:rPr>
          <w:rFonts w:hint="eastAsia" w:ascii="宋体" w:hAnsi="宋体" w:eastAsia="宋体"/>
          <w:b/>
          <w:bCs/>
          <w:szCs w:val="21"/>
          <w:u w:val="single"/>
        </w:rPr>
        <w:t>深圳市公安局交通警察局</w:t>
      </w:r>
      <w:r>
        <w:rPr>
          <w:rFonts w:hint="eastAsia" w:ascii="宋体" w:hAnsi="宋体" w:eastAsia="宋体"/>
          <w:szCs w:val="21"/>
        </w:rPr>
        <w:t>的</w:t>
      </w:r>
      <w:r>
        <w:rPr>
          <w:rFonts w:hint="eastAsia" w:ascii="宋体" w:hAnsi="宋体" w:eastAsia="宋体"/>
          <w:b/>
          <w:bCs/>
          <w:szCs w:val="21"/>
          <w:u w:val="single"/>
          <w:lang w:eastAsia="zh-CN"/>
        </w:rPr>
        <w:t>2025年交通监控设施维护D包</w:t>
      </w:r>
      <w:r>
        <w:rPr>
          <w:rFonts w:hint="eastAsia" w:ascii="宋体" w:hAnsi="宋体" w:eastAsia="宋体"/>
          <w:szCs w:val="21"/>
        </w:rPr>
        <w:t>采购活动，服务全部由符合政策要求的中小企业承接。相关企业的具体情况如下：</w:t>
      </w:r>
    </w:p>
    <w:p w14:paraId="5B90C0DA">
      <w:pPr>
        <w:numPr>
          <w:ilvl w:val="0"/>
          <w:numId w:val="8"/>
        </w:numPr>
        <w:spacing w:after="60" w:afterLines="25" w:line="300" w:lineRule="auto"/>
        <w:ind w:left="425" w:leftChars="0" w:hanging="425" w:firstLineChars="0"/>
        <w:rPr>
          <w:rFonts w:ascii="宋体" w:hAnsi="宋体" w:eastAsia="宋体"/>
          <w:szCs w:val="21"/>
        </w:rPr>
      </w:pPr>
      <w:r>
        <w:rPr>
          <w:rFonts w:hint="eastAsia" w:ascii="宋体" w:hAnsi="宋体" w:eastAsia="宋体"/>
          <w:b/>
          <w:bCs/>
          <w:szCs w:val="21"/>
          <w:u w:val="single"/>
        </w:rPr>
        <w:t>交通监控设施维护</w:t>
      </w:r>
      <w:r>
        <w:rPr>
          <w:rFonts w:hint="eastAsia" w:ascii="宋体" w:hAnsi="宋体" w:eastAsia="宋体"/>
          <w:szCs w:val="21"/>
        </w:rPr>
        <w:t xml:space="preserve"> ，属于</w:t>
      </w:r>
      <w:r>
        <w:rPr>
          <w:rFonts w:hint="eastAsia" w:ascii="宋体" w:hAnsi="宋体" w:eastAsia="宋体"/>
          <w:b/>
          <w:bCs/>
          <w:szCs w:val="21"/>
          <w:u w:val="single"/>
        </w:rPr>
        <w:t xml:space="preserve">其他未列明行业 </w:t>
      </w:r>
      <w:r>
        <w:rPr>
          <w:rFonts w:hint="eastAsia" w:ascii="宋体" w:hAnsi="宋体" w:eastAsia="宋体"/>
          <w:szCs w:val="21"/>
        </w:rPr>
        <w:t>行业；承接企业为</w:t>
      </w:r>
      <w:r>
        <w:rPr>
          <w:rFonts w:hint="eastAsia" w:ascii="宋体" w:hAnsi="宋体" w:eastAsia="宋体"/>
          <w:b/>
          <w:bCs/>
          <w:szCs w:val="21"/>
          <w:u w:val="single"/>
        </w:rPr>
        <w:t>（企业名称）</w:t>
      </w:r>
      <w:r>
        <w:rPr>
          <w:rFonts w:hint="eastAsia" w:ascii="宋体" w:hAnsi="宋体" w:eastAsia="宋体"/>
          <w:szCs w:val="21"/>
        </w:rPr>
        <w:t>，从业人员</w:t>
      </w:r>
      <w:r>
        <w:rPr>
          <w:rFonts w:hint="eastAsia" w:ascii="宋体" w:hAnsi="宋体" w:eastAsia="宋体"/>
          <w:szCs w:val="21"/>
          <w:u w:val="single"/>
          <w:lang w:val="en-US" w:eastAsia="zh-CN"/>
        </w:rPr>
        <w:t xml:space="preserve">   </w:t>
      </w:r>
      <w:r>
        <w:rPr>
          <w:rFonts w:hint="eastAsia" w:ascii="宋体" w:hAnsi="宋体" w:eastAsia="宋体"/>
          <w:szCs w:val="21"/>
        </w:rPr>
        <w:t>人，营业收入为</w:t>
      </w:r>
      <w:r>
        <w:rPr>
          <w:rFonts w:hint="eastAsia" w:ascii="宋体" w:hAnsi="宋体" w:eastAsia="宋体"/>
          <w:szCs w:val="21"/>
          <w:u w:val="single"/>
          <w:lang w:val="en-US" w:eastAsia="zh-CN"/>
        </w:rPr>
        <w:t xml:space="preserve">   </w:t>
      </w:r>
      <w:r>
        <w:rPr>
          <w:rFonts w:hint="eastAsia" w:ascii="宋体" w:hAnsi="宋体" w:eastAsia="宋体"/>
          <w:szCs w:val="21"/>
        </w:rPr>
        <w:t>万元，资产总额为</w:t>
      </w:r>
      <w:r>
        <w:rPr>
          <w:rFonts w:hint="eastAsia" w:ascii="宋体" w:hAnsi="宋体" w:eastAsia="宋体"/>
          <w:szCs w:val="21"/>
          <w:u w:val="single"/>
          <w:lang w:val="en-US" w:eastAsia="zh-CN"/>
        </w:rPr>
        <w:t xml:space="preserve">   </w:t>
      </w:r>
      <w:r>
        <w:rPr>
          <w:rFonts w:hint="eastAsia" w:ascii="宋体" w:hAnsi="宋体" w:eastAsia="宋体"/>
          <w:szCs w:val="21"/>
        </w:rPr>
        <w:t>万元 ，属于</w:t>
      </w:r>
      <w:r>
        <w:rPr>
          <w:rFonts w:hint="eastAsia" w:ascii="宋体" w:hAnsi="宋体" w:eastAsia="宋体"/>
          <w:b/>
          <w:bCs/>
          <w:color w:val="FF0000"/>
          <w:szCs w:val="21"/>
          <w:u w:val="single"/>
          <w:lang w:eastAsia="zh-CN"/>
        </w:rPr>
        <w:t>三选一：</w:t>
      </w:r>
      <w:r>
        <w:rPr>
          <w:rFonts w:hint="eastAsia" w:ascii="宋体" w:hAnsi="宋体" w:eastAsia="宋体"/>
          <w:b/>
          <w:bCs/>
          <w:szCs w:val="21"/>
          <w:u w:val="single"/>
        </w:rPr>
        <w:t>（中型企业、小型企业、微型企业）</w:t>
      </w:r>
      <w:r>
        <w:rPr>
          <w:rFonts w:hint="eastAsia" w:ascii="宋体" w:hAnsi="宋体" w:eastAsia="宋体"/>
          <w:szCs w:val="21"/>
        </w:rPr>
        <w:t xml:space="preserve">； </w:t>
      </w:r>
    </w:p>
    <w:p w14:paraId="0DE36430">
      <w:pPr>
        <w:numPr>
          <w:ilvl w:val="0"/>
          <w:numId w:val="8"/>
        </w:numPr>
        <w:spacing w:after="60" w:afterLines="25" w:line="300" w:lineRule="auto"/>
        <w:ind w:left="425" w:leftChars="0" w:hanging="425" w:firstLineChars="0"/>
        <w:rPr>
          <w:rFonts w:hint="eastAsia" w:ascii="宋体" w:hAnsi="宋体" w:eastAsia="宋体"/>
          <w:szCs w:val="21"/>
        </w:rPr>
      </w:pPr>
      <w:r>
        <w:rPr>
          <w:rFonts w:hint="eastAsia" w:ascii="宋体" w:hAnsi="宋体" w:eastAsia="宋体"/>
          <w:b/>
          <w:bCs/>
          <w:szCs w:val="21"/>
          <w:u w:val="single"/>
        </w:rPr>
        <w:t>LED机动灯具(含灯芯、400MM）</w:t>
      </w:r>
      <w:r>
        <w:rPr>
          <w:rFonts w:hint="eastAsia" w:ascii="宋体" w:hAnsi="宋体" w:eastAsia="宋体"/>
          <w:szCs w:val="21"/>
        </w:rPr>
        <w:t xml:space="preserve"> ，属于</w:t>
      </w:r>
      <w:r>
        <w:rPr>
          <w:rFonts w:hint="eastAsia" w:ascii="宋体" w:hAnsi="宋体" w:eastAsia="宋体"/>
          <w:b/>
          <w:bCs/>
          <w:szCs w:val="21"/>
          <w:u w:val="single"/>
        </w:rPr>
        <w:t xml:space="preserve">其他未列明行业 </w:t>
      </w:r>
      <w:r>
        <w:rPr>
          <w:rFonts w:hint="eastAsia" w:ascii="宋体" w:hAnsi="宋体" w:eastAsia="宋体"/>
          <w:szCs w:val="21"/>
        </w:rPr>
        <w:t>行业；承接企业为</w:t>
      </w:r>
      <w:r>
        <w:rPr>
          <w:rFonts w:hint="eastAsia" w:ascii="宋体" w:hAnsi="宋体" w:eastAsia="宋体"/>
          <w:b/>
          <w:bCs/>
          <w:szCs w:val="21"/>
          <w:u w:val="single"/>
        </w:rPr>
        <w:t>（企业名称）</w:t>
      </w:r>
      <w:r>
        <w:rPr>
          <w:rFonts w:hint="eastAsia" w:ascii="宋体" w:hAnsi="宋体" w:eastAsia="宋体"/>
          <w:szCs w:val="21"/>
        </w:rPr>
        <w:t>，从业人员人，营业收入为</w:t>
      </w:r>
      <w:r>
        <w:rPr>
          <w:rFonts w:hint="eastAsia" w:ascii="宋体" w:hAnsi="宋体" w:eastAsia="宋体"/>
          <w:szCs w:val="21"/>
          <w:u w:val="single"/>
          <w:lang w:val="en-US" w:eastAsia="zh-CN"/>
        </w:rPr>
        <w:t xml:space="preserve">   </w:t>
      </w:r>
      <w:r>
        <w:rPr>
          <w:rFonts w:hint="eastAsia" w:ascii="宋体" w:hAnsi="宋体" w:eastAsia="宋体"/>
          <w:szCs w:val="21"/>
        </w:rPr>
        <w:t>万元，资产总额为</w:t>
      </w:r>
      <w:r>
        <w:rPr>
          <w:rFonts w:hint="eastAsia" w:ascii="宋体" w:hAnsi="宋体" w:eastAsia="宋体"/>
          <w:szCs w:val="21"/>
          <w:u w:val="single"/>
          <w:lang w:val="en-US" w:eastAsia="zh-CN"/>
        </w:rPr>
        <w:t xml:space="preserve">   </w:t>
      </w:r>
      <w:r>
        <w:rPr>
          <w:rFonts w:hint="eastAsia" w:ascii="宋体" w:hAnsi="宋体" w:eastAsia="宋体"/>
          <w:szCs w:val="21"/>
        </w:rPr>
        <w:t>万元 ，属于</w:t>
      </w:r>
      <w:r>
        <w:rPr>
          <w:rFonts w:hint="eastAsia" w:ascii="宋体" w:hAnsi="宋体" w:eastAsia="宋体"/>
          <w:b/>
          <w:bCs/>
          <w:szCs w:val="21"/>
          <w:u w:val="single"/>
        </w:rPr>
        <w:t>（中型企业、小型企业、微型企业）</w:t>
      </w:r>
      <w:r>
        <w:rPr>
          <w:rFonts w:hint="eastAsia" w:ascii="宋体" w:hAnsi="宋体" w:eastAsia="宋体"/>
          <w:szCs w:val="21"/>
        </w:rPr>
        <w:t>；</w:t>
      </w:r>
    </w:p>
    <w:p w14:paraId="48498D4D">
      <w:pPr>
        <w:numPr>
          <w:ilvl w:val="0"/>
          <w:numId w:val="8"/>
        </w:numPr>
        <w:spacing w:after="60" w:afterLines="25" w:line="300" w:lineRule="auto"/>
        <w:ind w:left="425" w:leftChars="0" w:hanging="425" w:firstLineChars="0"/>
        <w:rPr>
          <w:rFonts w:hint="eastAsia" w:ascii="宋体" w:hAnsi="宋体" w:eastAsia="宋体" w:cs="Times New Roman"/>
          <w:szCs w:val="21"/>
        </w:rPr>
      </w:pPr>
      <w:r>
        <w:rPr>
          <w:rFonts w:hint="eastAsia" w:ascii="宋体" w:hAnsi="宋体" w:eastAsia="宋体" w:cs="Times New Roman"/>
          <w:b/>
          <w:bCs/>
          <w:szCs w:val="21"/>
          <w:u w:val="single"/>
        </w:rPr>
        <w:t>LED机动多功能灯具(含灯芯、400MM）</w:t>
      </w:r>
      <w:r>
        <w:rPr>
          <w:rFonts w:hint="eastAsia" w:ascii="宋体" w:hAnsi="宋体" w:eastAsia="宋体" w:cs="Times New Roman"/>
          <w:szCs w:val="21"/>
        </w:rPr>
        <w:t xml:space="preserve"> ，属于</w:t>
      </w:r>
      <w:r>
        <w:rPr>
          <w:rFonts w:hint="eastAsia" w:ascii="宋体" w:hAnsi="宋体" w:eastAsia="宋体" w:cs="Times New Roman"/>
          <w:b/>
          <w:bCs/>
          <w:szCs w:val="21"/>
          <w:u w:val="single"/>
        </w:rPr>
        <w:t xml:space="preserve">其他未列明行业 </w:t>
      </w:r>
      <w:r>
        <w:rPr>
          <w:rFonts w:hint="eastAsia" w:ascii="宋体" w:hAnsi="宋体" w:eastAsia="宋体" w:cs="Times New Roman"/>
          <w:szCs w:val="21"/>
        </w:rPr>
        <w:t>行业；承接企业为</w:t>
      </w:r>
      <w:r>
        <w:rPr>
          <w:rFonts w:hint="eastAsia" w:ascii="宋体" w:hAnsi="宋体" w:eastAsia="宋体" w:cs="Times New Roman"/>
          <w:b/>
          <w:bCs/>
          <w:szCs w:val="21"/>
          <w:u w:val="single"/>
        </w:rPr>
        <w:t>（企业名称）</w:t>
      </w:r>
      <w:r>
        <w:rPr>
          <w:rFonts w:hint="eastAsia" w:ascii="宋体" w:hAnsi="宋体" w:eastAsia="宋体" w:cs="Times New Roman"/>
          <w:szCs w:val="21"/>
        </w:rPr>
        <w:t>，从业人员人，营业收入为</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万元，资产总额为</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万元 ，属于</w:t>
      </w:r>
      <w:r>
        <w:rPr>
          <w:rFonts w:hint="eastAsia" w:ascii="宋体" w:hAnsi="宋体" w:eastAsia="宋体" w:cs="Times New Roman"/>
          <w:b/>
          <w:bCs/>
          <w:szCs w:val="21"/>
          <w:u w:val="single"/>
        </w:rPr>
        <w:t>（中型企业、小型企业、微型企业）</w:t>
      </w:r>
      <w:r>
        <w:rPr>
          <w:rFonts w:hint="eastAsia" w:ascii="宋体" w:hAnsi="宋体" w:eastAsia="宋体" w:cs="Times New Roman"/>
          <w:szCs w:val="21"/>
        </w:rPr>
        <w:t>；</w:t>
      </w:r>
    </w:p>
    <w:p w14:paraId="47AB7954">
      <w:pPr>
        <w:pStyle w:val="8"/>
        <w:ind w:firstLine="482" w:firstLineChars="200"/>
        <w:rPr>
          <w:rFonts w:hint="eastAsia" w:eastAsia="宋体"/>
          <w:color w:val="FF0000"/>
          <w:lang w:eastAsia="zh-CN"/>
        </w:rPr>
      </w:pPr>
      <w:r>
        <w:rPr>
          <w:rFonts w:hint="eastAsia" w:ascii="宋体" w:hAnsi="宋体" w:eastAsia="宋体" w:cs="Times New Roman"/>
          <w:color w:val="FF0000"/>
          <w:szCs w:val="21"/>
          <w:lang w:eastAsia="zh-CN"/>
        </w:rPr>
        <w:t>……（根据第一册</w:t>
      </w:r>
      <w:r>
        <w:rPr>
          <w:rFonts w:hint="eastAsia" w:ascii="宋体" w:hAnsi="宋体" w:eastAsia="宋体" w:cs="Times New Roman"/>
          <w:color w:val="FF0000"/>
          <w:szCs w:val="21"/>
          <w:lang w:val="en-US" w:eastAsia="zh-CN"/>
        </w:rPr>
        <w:t>/第三章 用户需求书/四、项目服务要求/（二）服务技术要求/2.2</w:t>
      </w:r>
      <w:r>
        <w:rPr>
          <w:rFonts w:hint="eastAsia" w:ascii="宋体" w:hAnsi="宋体" w:eastAsia="宋体" w:cs="Times New Roman"/>
          <w:color w:val="FF0000"/>
          <w:szCs w:val="21"/>
          <w:lang w:eastAsia="zh-CN"/>
        </w:rPr>
        <w:t>设备技术参数表</w:t>
      </w:r>
      <w:r>
        <w:rPr>
          <w:rFonts w:hint="eastAsia" w:ascii="宋体" w:hAnsi="宋体" w:eastAsia="宋体" w:cs="Times New Roman"/>
          <w:color w:val="FF0000"/>
          <w:szCs w:val="21"/>
          <w:lang w:val="en-US" w:eastAsia="zh-CN"/>
        </w:rPr>
        <w:t xml:space="preserve"> 补充填写</w:t>
      </w:r>
      <w:r>
        <w:rPr>
          <w:rFonts w:hint="eastAsia" w:ascii="宋体" w:hAnsi="宋体" w:eastAsia="宋体" w:cs="Times New Roman"/>
          <w:color w:val="FF0000"/>
          <w:szCs w:val="21"/>
          <w:lang w:eastAsia="zh-CN"/>
        </w:rPr>
        <w:t>）</w:t>
      </w:r>
    </w:p>
    <w:p w14:paraId="0038D583">
      <w:pPr>
        <w:numPr>
          <w:ilvl w:val="0"/>
          <w:numId w:val="9"/>
        </w:numPr>
        <w:spacing w:after="60" w:afterLines="25" w:line="300" w:lineRule="auto"/>
        <w:ind w:left="425" w:leftChars="0" w:hanging="425" w:firstLineChars="0"/>
        <w:rPr>
          <w:rFonts w:hint="eastAsia" w:ascii="宋体" w:hAnsi="宋体" w:eastAsia="宋体" w:cs="Times New Roman"/>
          <w:szCs w:val="21"/>
        </w:rPr>
      </w:pPr>
      <w:r>
        <w:rPr>
          <w:rFonts w:hint="eastAsia" w:ascii="宋体" w:hAnsi="宋体" w:eastAsia="宋体" w:cs="Times New Roman"/>
          <w:b/>
          <w:bCs/>
          <w:szCs w:val="21"/>
          <w:u w:val="single"/>
        </w:rPr>
        <w:t>雷视磁检测器</w:t>
      </w:r>
      <w:r>
        <w:rPr>
          <w:rFonts w:hint="eastAsia" w:ascii="宋体" w:hAnsi="宋体" w:eastAsia="宋体" w:cs="Times New Roman"/>
          <w:szCs w:val="21"/>
        </w:rPr>
        <w:t xml:space="preserve"> ，属于</w:t>
      </w:r>
      <w:r>
        <w:rPr>
          <w:rFonts w:hint="eastAsia" w:ascii="宋体" w:hAnsi="宋体" w:eastAsia="宋体" w:cs="Times New Roman"/>
          <w:b/>
          <w:bCs/>
          <w:szCs w:val="21"/>
          <w:u w:val="single"/>
          <w:lang w:eastAsia="zh-CN"/>
        </w:rPr>
        <w:t>其他未列明行业</w:t>
      </w:r>
      <w:r>
        <w:rPr>
          <w:rFonts w:hint="eastAsia" w:ascii="宋体" w:hAnsi="宋体" w:eastAsia="宋体" w:cs="Times New Roman"/>
          <w:szCs w:val="21"/>
        </w:rPr>
        <w:t>行业；承接企业为</w:t>
      </w:r>
      <w:r>
        <w:rPr>
          <w:rFonts w:hint="eastAsia" w:ascii="宋体" w:hAnsi="宋体" w:eastAsia="宋体" w:cs="Times New Roman"/>
          <w:b/>
          <w:bCs/>
          <w:szCs w:val="21"/>
          <w:u w:val="single"/>
        </w:rPr>
        <w:t>（企业名称）</w:t>
      </w:r>
      <w:r>
        <w:rPr>
          <w:rFonts w:hint="eastAsia" w:ascii="宋体" w:hAnsi="宋体" w:eastAsia="宋体" w:cs="Times New Roman"/>
          <w:szCs w:val="21"/>
        </w:rPr>
        <w:t>，从业人员人，营业收入为</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万元，资产总额为</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万元 ，属于</w:t>
      </w:r>
      <w:r>
        <w:rPr>
          <w:rFonts w:hint="eastAsia" w:ascii="宋体" w:hAnsi="宋体" w:eastAsia="宋体" w:cs="Times New Roman"/>
          <w:b/>
          <w:bCs/>
          <w:szCs w:val="21"/>
          <w:u w:val="single"/>
        </w:rPr>
        <w:t>（中型企业、小型企业、微型企业）</w:t>
      </w:r>
      <w:r>
        <w:rPr>
          <w:rFonts w:hint="eastAsia" w:ascii="宋体" w:hAnsi="宋体" w:eastAsia="宋体" w:cs="Times New Roman"/>
          <w:szCs w:val="21"/>
        </w:rPr>
        <w:t>；</w:t>
      </w:r>
    </w:p>
    <w:p w14:paraId="33BDEB9B">
      <w:pPr>
        <w:numPr>
          <w:ilvl w:val="0"/>
          <w:numId w:val="9"/>
        </w:numPr>
        <w:spacing w:after="60" w:afterLines="25" w:line="300" w:lineRule="auto"/>
        <w:ind w:left="425" w:leftChars="0" w:hanging="425" w:firstLineChars="0"/>
        <w:rPr>
          <w:rFonts w:hint="eastAsia" w:ascii="宋体" w:hAnsi="宋体" w:eastAsia="宋体" w:cs="Times New Roman"/>
          <w:szCs w:val="21"/>
        </w:rPr>
      </w:pPr>
      <w:r>
        <w:rPr>
          <w:rFonts w:hint="eastAsia" w:ascii="宋体" w:hAnsi="宋体" w:eastAsia="宋体" w:cs="Times New Roman"/>
          <w:b/>
          <w:bCs/>
          <w:szCs w:val="21"/>
          <w:u w:val="single"/>
        </w:rPr>
        <w:t>数据处理器中心</w:t>
      </w:r>
      <w:r>
        <w:rPr>
          <w:rFonts w:hint="eastAsia" w:ascii="宋体" w:hAnsi="宋体" w:eastAsia="宋体" w:cs="Times New Roman"/>
          <w:szCs w:val="21"/>
        </w:rPr>
        <w:t xml:space="preserve"> ，属于</w:t>
      </w:r>
      <w:r>
        <w:rPr>
          <w:rFonts w:hint="eastAsia" w:ascii="宋体" w:hAnsi="宋体" w:eastAsia="宋体" w:cs="Times New Roman"/>
          <w:b/>
          <w:bCs/>
          <w:szCs w:val="21"/>
          <w:u w:val="single"/>
        </w:rPr>
        <w:t xml:space="preserve">其他未列明行业 </w:t>
      </w:r>
      <w:r>
        <w:rPr>
          <w:rFonts w:hint="eastAsia" w:ascii="宋体" w:hAnsi="宋体" w:eastAsia="宋体" w:cs="Times New Roman"/>
          <w:szCs w:val="21"/>
        </w:rPr>
        <w:t>行业；承接企业为</w:t>
      </w:r>
      <w:r>
        <w:rPr>
          <w:rFonts w:hint="eastAsia" w:ascii="宋体" w:hAnsi="宋体" w:eastAsia="宋体" w:cs="Times New Roman"/>
          <w:b/>
          <w:bCs/>
          <w:szCs w:val="21"/>
          <w:u w:val="single"/>
        </w:rPr>
        <w:t>（企业名称）</w:t>
      </w:r>
      <w:r>
        <w:rPr>
          <w:rFonts w:hint="eastAsia" w:ascii="宋体" w:hAnsi="宋体" w:eastAsia="宋体" w:cs="Times New Roman"/>
          <w:szCs w:val="21"/>
        </w:rPr>
        <w:t>，从业人员人，营业收入为</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万元，资产总额为</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万元 ，属于</w:t>
      </w:r>
      <w:r>
        <w:rPr>
          <w:rFonts w:hint="eastAsia" w:ascii="宋体" w:hAnsi="宋体" w:eastAsia="宋体" w:cs="Times New Roman"/>
          <w:b/>
          <w:bCs/>
          <w:szCs w:val="21"/>
          <w:u w:val="single"/>
        </w:rPr>
        <w:t>（中型企业、小型企业、微型企业）</w:t>
      </w:r>
      <w:r>
        <w:rPr>
          <w:rFonts w:hint="eastAsia" w:ascii="宋体" w:hAnsi="宋体" w:eastAsia="宋体" w:cs="Times New Roman"/>
          <w:szCs w:val="21"/>
        </w:rPr>
        <w:t>；</w:t>
      </w:r>
    </w:p>
    <w:p w14:paraId="2D997E33">
      <w:pPr>
        <w:spacing w:after="60" w:afterLines="25" w:line="300" w:lineRule="auto"/>
        <w:ind w:firstLine="480" w:firstLineChars="200"/>
        <w:rPr>
          <w:rFonts w:ascii="宋体" w:hAnsi="宋体" w:eastAsia="宋体"/>
          <w:szCs w:val="21"/>
        </w:rPr>
      </w:pPr>
      <w:r>
        <w:rPr>
          <w:rFonts w:hint="eastAsia" w:ascii="宋体" w:hAnsi="宋体" w:eastAsia="宋体"/>
          <w:szCs w:val="21"/>
        </w:rPr>
        <w:t>以上企业，不属于大企业的分支机构，不存在控股股东为大企业的情形，也不存在与大企业的负责人为同一人的情形。</w:t>
      </w:r>
    </w:p>
    <w:p w14:paraId="16D5D5A7">
      <w:pPr>
        <w:spacing w:after="60" w:afterLines="25" w:line="300" w:lineRule="auto"/>
        <w:ind w:firstLine="480" w:firstLineChars="200"/>
        <w:rPr>
          <w:rFonts w:ascii="宋体" w:hAnsi="宋体" w:eastAsia="宋体"/>
          <w:szCs w:val="21"/>
        </w:rPr>
      </w:pPr>
      <w:bookmarkStart w:id="43" w:name="_Hlk73562275"/>
      <w:r>
        <w:rPr>
          <w:rFonts w:hint="eastAsia" w:ascii="宋体" w:hAnsi="宋体" w:eastAsia="宋体"/>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5261AC2C">
      <w:pPr>
        <w:wordWrap w:val="0"/>
        <w:spacing w:after="60" w:afterLines="25" w:line="300" w:lineRule="auto"/>
        <w:ind w:firstLine="480" w:firstLineChars="200"/>
        <w:jc w:val="right"/>
        <w:rPr>
          <w:rFonts w:ascii="宋体" w:hAnsi="宋体" w:eastAsia="宋体"/>
          <w:szCs w:val="21"/>
        </w:rPr>
      </w:pPr>
      <w:r>
        <w:rPr>
          <w:rFonts w:hint="eastAsia" w:ascii="宋体" w:hAnsi="宋体" w:eastAsia="宋体"/>
          <w:szCs w:val="21"/>
        </w:rPr>
        <w:t xml:space="preserve">     投标人（投标单位）：       </w:t>
      </w:r>
    </w:p>
    <w:p w14:paraId="49D85437">
      <w:pPr>
        <w:ind w:firstLine="6720" w:firstLineChars="2800"/>
        <w:rPr>
          <w:rFonts w:hint="eastAsia"/>
          <w:b/>
          <w:color w:val="000000" w:themeColor="text1"/>
          <w14:textFill>
            <w14:solidFill>
              <w14:schemeClr w14:val="tx1"/>
            </w14:solidFill>
          </w14:textFill>
        </w:rPr>
      </w:pPr>
      <w:r>
        <w:rPr>
          <w:rFonts w:hint="eastAsia" w:ascii="宋体" w:hAnsi="宋体" w:eastAsia="宋体"/>
          <w:szCs w:val="21"/>
        </w:rPr>
        <w:t>日期：</w:t>
      </w:r>
    </w:p>
    <w:p w14:paraId="5FB3B14C">
      <w:pP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br w:type="page"/>
      </w:r>
    </w:p>
    <w:p w14:paraId="27972A0F">
      <w:pPr>
        <w:jc w:val="cente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2、残疾人福利性单位声明函（服务类）</w:t>
      </w:r>
    </w:p>
    <w:p w14:paraId="5B3147E2">
      <w:pPr>
        <w:rPr>
          <w:b/>
          <w:bCs/>
          <w:color w:val="000000" w:themeColor="text1"/>
          <w14:textFill>
            <w14:solidFill>
              <w14:schemeClr w14:val="tx1"/>
            </w14:solidFill>
          </w14:textFill>
        </w:rPr>
      </w:pPr>
    </w:p>
    <w:p w14:paraId="03B9D248">
      <w:pPr>
        <w:spacing w:after="60" w:afterLines="25" w:line="300" w:lineRule="auto"/>
        <w:ind w:firstLine="480" w:firstLineChars="200"/>
        <w:rPr>
          <w:rFonts w:asciiTheme="minorEastAsia" w:hAnsiTheme="minorEastAsia"/>
          <w:szCs w:val="21"/>
        </w:rPr>
      </w:pPr>
      <w:r>
        <w:rPr>
          <w:rFonts w:hint="eastAsia" w:asciiTheme="minorEastAsia" w:hAnsiTheme="minorEastAsia"/>
          <w:szCs w:val="21"/>
        </w:rPr>
        <w:t>本投标人郑重声明，根据《财政部民政部中国残疾人联合会关于促进残疾人就业政府采购政策的通知》（财库〔2017〕141 号）的规定，本投标人参加</w:t>
      </w:r>
      <w:r>
        <w:rPr>
          <w:rFonts w:hint="eastAsia" w:asciiTheme="minorEastAsia" w:hAnsiTheme="minorEastAsia"/>
          <w:b/>
          <w:bCs/>
          <w:szCs w:val="21"/>
          <w:u w:val="single"/>
        </w:rPr>
        <w:t>深圳市公安局交通警察局</w:t>
      </w:r>
      <w:r>
        <w:rPr>
          <w:rFonts w:hint="eastAsia" w:asciiTheme="minorEastAsia" w:hAnsiTheme="minorEastAsia"/>
          <w:szCs w:val="21"/>
        </w:rPr>
        <w:t>的</w:t>
      </w:r>
      <w:r>
        <w:rPr>
          <w:rFonts w:hint="eastAsia" w:eastAsia="宋体" w:asciiTheme="minorEastAsia" w:hAnsiTheme="minorEastAsia"/>
          <w:b/>
          <w:bCs/>
          <w:szCs w:val="21"/>
          <w:u w:val="single"/>
          <w:lang w:eastAsia="zh-CN"/>
        </w:rPr>
        <w:t>2025年交通监控设施维护D包</w:t>
      </w:r>
      <w:r>
        <w:rPr>
          <w:rFonts w:hint="eastAsia" w:asciiTheme="minorEastAsia" w:hAnsiTheme="minorEastAsia"/>
          <w:szCs w:val="21"/>
        </w:rPr>
        <w:t>采购活动，服务全部由符合政策要求的残疾人福利性单位承接。相关残疾人福利性单位的具体情况如下：</w:t>
      </w:r>
    </w:p>
    <w:p w14:paraId="7FC1FE98">
      <w:pPr>
        <w:spacing w:after="60" w:afterLines="25" w:line="300" w:lineRule="auto"/>
        <w:ind w:firstLine="480" w:firstLineChars="200"/>
        <w:rPr>
          <w:rFonts w:asciiTheme="minorEastAsia" w:hAnsiTheme="minorEastAsia"/>
          <w:szCs w:val="21"/>
        </w:rPr>
      </w:pPr>
      <w:r>
        <w:rPr>
          <w:rFonts w:hint="eastAsia" w:asciiTheme="minorEastAsia" w:hAnsiTheme="minorEastAsia"/>
          <w:szCs w:val="21"/>
        </w:rPr>
        <w:t>1.</w:t>
      </w:r>
      <w:r>
        <w:rPr>
          <w:rFonts w:hint="eastAsia" w:asciiTheme="minorEastAsia" w:hAnsiTheme="minorEastAsia"/>
          <w:b/>
          <w:bCs/>
          <w:szCs w:val="21"/>
          <w:u w:val="single"/>
        </w:rPr>
        <w:t xml:space="preserve"> （标的名称）</w:t>
      </w:r>
      <w:r>
        <w:rPr>
          <w:rFonts w:hint="eastAsia" w:asciiTheme="minorEastAsia" w:hAnsiTheme="minorEastAsia"/>
          <w:szCs w:val="21"/>
        </w:rPr>
        <w:t>，承接企业为</w:t>
      </w:r>
      <w:r>
        <w:rPr>
          <w:rFonts w:hint="eastAsia" w:asciiTheme="minorEastAsia" w:hAnsiTheme="minorEastAsia"/>
          <w:b/>
          <w:bCs/>
          <w:szCs w:val="21"/>
          <w:u w:val="single"/>
        </w:rPr>
        <w:t>（单位名称）</w:t>
      </w:r>
      <w:r>
        <w:rPr>
          <w:rFonts w:hint="eastAsia" w:asciiTheme="minorEastAsia" w:hAnsiTheme="minorEastAsia"/>
          <w:szCs w:val="21"/>
        </w:rPr>
        <w:t>，属于</w:t>
      </w:r>
      <w:r>
        <w:rPr>
          <w:rFonts w:hint="eastAsia" w:asciiTheme="minorEastAsia" w:hAnsiTheme="minorEastAsia"/>
          <w:b/>
          <w:bCs/>
          <w:szCs w:val="21"/>
          <w:u w:val="single"/>
        </w:rPr>
        <w:t>残疾人福利性单位</w:t>
      </w:r>
      <w:r>
        <w:rPr>
          <w:rFonts w:hint="eastAsia" w:asciiTheme="minorEastAsia" w:hAnsiTheme="minorEastAsia"/>
          <w:szCs w:val="21"/>
        </w:rPr>
        <w:t>；</w:t>
      </w:r>
    </w:p>
    <w:p w14:paraId="1ED1D4F2">
      <w:pPr>
        <w:spacing w:after="60" w:afterLines="25" w:line="300" w:lineRule="auto"/>
        <w:ind w:firstLine="480" w:firstLineChars="200"/>
        <w:rPr>
          <w:rFonts w:asciiTheme="minorEastAsia" w:hAnsiTheme="minorEastAsia"/>
          <w:szCs w:val="21"/>
        </w:rPr>
      </w:pPr>
      <w:r>
        <w:rPr>
          <w:rFonts w:hint="eastAsia" w:asciiTheme="minorEastAsia" w:hAnsiTheme="minorEastAsia"/>
          <w:szCs w:val="21"/>
        </w:rPr>
        <w:t>2.</w:t>
      </w:r>
      <w:r>
        <w:rPr>
          <w:rFonts w:hint="eastAsia" w:asciiTheme="minorEastAsia" w:hAnsiTheme="minorEastAsia"/>
          <w:b/>
          <w:bCs/>
          <w:szCs w:val="21"/>
          <w:u w:val="single"/>
        </w:rPr>
        <w:t xml:space="preserve"> （标的名称）</w:t>
      </w:r>
      <w:r>
        <w:rPr>
          <w:rFonts w:hint="eastAsia" w:asciiTheme="minorEastAsia" w:hAnsiTheme="minorEastAsia"/>
          <w:szCs w:val="21"/>
        </w:rPr>
        <w:t>，承接企业为</w:t>
      </w:r>
      <w:r>
        <w:rPr>
          <w:rFonts w:hint="eastAsia" w:asciiTheme="minorEastAsia" w:hAnsiTheme="minorEastAsia"/>
          <w:b/>
          <w:bCs/>
          <w:szCs w:val="21"/>
          <w:u w:val="single"/>
        </w:rPr>
        <w:t>（单位名称）</w:t>
      </w:r>
      <w:r>
        <w:rPr>
          <w:rFonts w:hint="eastAsia" w:asciiTheme="minorEastAsia" w:hAnsiTheme="minorEastAsia"/>
          <w:szCs w:val="21"/>
        </w:rPr>
        <w:t>，属于</w:t>
      </w:r>
      <w:r>
        <w:rPr>
          <w:rFonts w:hint="eastAsia" w:asciiTheme="minorEastAsia" w:hAnsiTheme="minorEastAsia"/>
          <w:b/>
          <w:bCs/>
          <w:szCs w:val="21"/>
          <w:u w:val="single"/>
        </w:rPr>
        <w:t>残疾人福利性单位</w:t>
      </w:r>
      <w:r>
        <w:rPr>
          <w:rFonts w:hint="eastAsia" w:asciiTheme="minorEastAsia" w:hAnsiTheme="minorEastAsia"/>
          <w:szCs w:val="21"/>
        </w:rPr>
        <w:t>。</w:t>
      </w:r>
    </w:p>
    <w:p w14:paraId="7661D383">
      <w:pPr>
        <w:spacing w:after="60" w:afterLines="25" w:line="300" w:lineRule="auto"/>
        <w:ind w:firstLine="480" w:firstLineChars="200"/>
        <w:rPr>
          <w:rFonts w:asciiTheme="minorEastAsia" w:hAnsiTheme="minorEastAsia"/>
          <w:szCs w:val="21"/>
        </w:rPr>
      </w:pPr>
      <w:r>
        <w:rPr>
          <w:rFonts w:hint="eastAsia" w:asciiTheme="minorEastAsia" w:hAnsiTheme="minorEastAsia"/>
          <w:szCs w:val="21"/>
        </w:rPr>
        <w:t xml:space="preserve">…… </w:t>
      </w:r>
    </w:p>
    <w:p w14:paraId="2C70F714">
      <w:pPr>
        <w:spacing w:after="60" w:afterLines="25" w:line="300" w:lineRule="auto"/>
        <w:ind w:firstLine="480" w:firstLineChars="200"/>
        <w:rPr>
          <w:rFonts w:asciiTheme="minorEastAsia" w:hAnsiTheme="minorEastAsia"/>
          <w:szCs w:val="21"/>
        </w:rPr>
      </w:pPr>
      <w:r>
        <w:rPr>
          <w:rFonts w:hint="eastAsia" w:asciiTheme="minorEastAsia" w:hAnsiTheme="minorEastAsia"/>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7B7AD643">
      <w:pPr>
        <w:spacing w:after="60" w:afterLines="25" w:line="560" w:lineRule="exact"/>
        <w:ind w:firstLine="480" w:firstLineChars="200"/>
        <w:jc w:val="center"/>
        <w:rPr>
          <w:rFonts w:asciiTheme="minorEastAsia" w:hAnsiTheme="minorEastAsia"/>
        </w:rPr>
      </w:pPr>
    </w:p>
    <w:p w14:paraId="212C3EFB">
      <w:pPr>
        <w:wordWrap w:val="0"/>
        <w:spacing w:after="60" w:afterLines="25" w:line="300" w:lineRule="auto"/>
        <w:ind w:firstLine="480" w:firstLineChars="200"/>
        <w:jc w:val="right"/>
        <w:rPr>
          <w:rFonts w:asciiTheme="minorEastAsia" w:hAnsiTheme="minorEastAsia"/>
          <w:szCs w:val="21"/>
        </w:rPr>
      </w:pPr>
      <w:r>
        <w:rPr>
          <w:rFonts w:hint="eastAsia" w:asciiTheme="minorEastAsia" w:hAnsiTheme="minorEastAsia"/>
          <w:szCs w:val="21"/>
        </w:rPr>
        <w:t xml:space="preserve">投标人（投标单位）：       </w:t>
      </w:r>
    </w:p>
    <w:p w14:paraId="2B67978C">
      <w:pPr>
        <w:ind w:firstLine="6720" w:firstLineChars="2800"/>
        <w:rPr>
          <w:rFonts w:ascii="宋体" w:hAnsi="宋体"/>
          <w:color w:val="000000" w:themeColor="text1"/>
          <w:szCs w:val="21"/>
          <w14:textFill>
            <w14:solidFill>
              <w14:schemeClr w14:val="tx1"/>
            </w14:solidFill>
          </w14:textFill>
        </w:rPr>
      </w:pPr>
      <w:r>
        <w:rPr>
          <w:rFonts w:hint="eastAsia" w:asciiTheme="minorEastAsia" w:hAnsiTheme="minorEastAsia"/>
          <w:szCs w:val="21"/>
        </w:rPr>
        <w:t>日期：</w:t>
      </w:r>
    </w:p>
    <w:p w14:paraId="16378112">
      <w:pPr>
        <w:ind w:firstLine="480" w:firstLineChars="200"/>
        <w:rPr>
          <w:rFonts w:ascii="宋体" w:hAnsi="宋体"/>
          <w:color w:val="000000" w:themeColor="text1"/>
          <w:szCs w:val="21"/>
          <w14:textFill>
            <w14:solidFill>
              <w14:schemeClr w14:val="tx1"/>
            </w14:solidFill>
          </w14:textFill>
        </w:rPr>
      </w:pPr>
    </w:p>
    <w:p w14:paraId="31511DBA">
      <w:pPr>
        <w:ind w:firstLine="480" w:firstLineChars="200"/>
        <w:rPr>
          <w:rFonts w:ascii="宋体" w:hAnsi="宋体"/>
          <w:color w:val="000000" w:themeColor="text1"/>
          <w:szCs w:val="21"/>
          <w14:textFill>
            <w14:solidFill>
              <w14:schemeClr w14:val="tx1"/>
            </w14:solidFill>
          </w14:textFill>
        </w:rPr>
      </w:pPr>
    </w:p>
    <w:p w14:paraId="2747B9B5">
      <w:pPr>
        <w:jc w:val="cente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3、监狱企业声明函【服务类，监狱企业如需享受优惠政策，还须另行提供省级以上监狱管理局、戒毒管理局（含新疆生产建设兵团）出具的监狱企业证明文件】</w:t>
      </w:r>
    </w:p>
    <w:p w14:paraId="3675B19F">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本投标人郑重声明，根据《财政部司法部关于政府采购支持监狱企业发展有关问题的通知》（财库〔</w:t>
      </w:r>
      <w:r>
        <w:rPr>
          <w:rFonts w:ascii="宋体" w:hAnsi="宋体"/>
          <w:color w:val="000000" w:themeColor="text1"/>
          <w:szCs w:val="21"/>
          <w14:textFill>
            <w14:solidFill>
              <w14:schemeClr w14:val="tx1"/>
            </w14:solidFill>
          </w14:textFill>
        </w:rPr>
        <w:t>2014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68</w:t>
      </w:r>
      <w:r>
        <w:rPr>
          <w:rFonts w:hint="eastAsia" w:ascii="宋体" w:hAnsi="宋体"/>
          <w:color w:val="000000" w:themeColor="text1"/>
          <w:szCs w:val="21"/>
          <w14:textFill>
            <w14:solidFill>
              <w14:schemeClr w14:val="tx1"/>
            </w14:solidFill>
          </w14:textFill>
        </w:rPr>
        <w:t>号）的规定，本投标人</w:t>
      </w:r>
      <w:r>
        <w:rPr>
          <w:rFonts w:ascii="宋体" w:hAnsi="宋体" w:cstheme="minorBidi"/>
          <w:color w:val="000000" w:themeColor="text1"/>
          <w:szCs w:val="21"/>
          <w14:textFill>
            <w14:solidFill>
              <w14:schemeClr w14:val="tx1"/>
            </w14:solidFill>
          </w14:textFill>
        </w:rPr>
        <w:t>参加</w:t>
      </w:r>
      <w:r>
        <w:rPr>
          <w:rFonts w:hint="eastAsia" w:ascii="宋体" w:hAnsi="宋体"/>
          <w:b/>
          <w:bCs/>
          <w:color w:val="000000" w:themeColor="text1"/>
          <w:szCs w:val="21"/>
          <w:u w:val="single"/>
          <w14:textFill>
            <w14:solidFill>
              <w14:schemeClr w14:val="tx1"/>
            </w14:solidFill>
          </w14:textFill>
        </w:rPr>
        <w:t>深圳市公安局交通警察局</w:t>
      </w:r>
      <w:r>
        <w:rPr>
          <w:rFonts w:ascii="宋体" w:hAnsi="宋体"/>
          <w:color w:val="000000" w:themeColor="text1"/>
          <w:szCs w:val="21"/>
          <w14:textFill>
            <w14:solidFill>
              <w14:schemeClr w14:val="tx1"/>
            </w14:solidFill>
          </w14:textFill>
        </w:rPr>
        <w:t>的</w:t>
      </w:r>
      <w:r>
        <w:rPr>
          <w:rFonts w:hint="eastAsia" w:ascii="宋体" w:hAnsi="宋体" w:eastAsia="宋体"/>
          <w:b/>
          <w:bCs/>
          <w:color w:val="000000" w:themeColor="text1"/>
          <w:szCs w:val="21"/>
          <w:u w:val="single"/>
          <w:lang w:eastAsia="zh-CN"/>
          <w14:textFill>
            <w14:solidFill>
              <w14:schemeClr w14:val="tx1"/>
            </w14:solidFill>
          </w14:textFill>
        </w:rPr>
        <w:t>2025年交通监控设施维护D包</w:t>
      </w:r>
      <w:r>
        <w:rPr>
          <w:rFonts w:ascii="宋体" w:hAnsi="宋体"/>
          <w:color w:val="000000" w:themeColor="text1"/>
          <w:szCs w:val="21"/>
          <w14:textFill>
            <w14:solidFill>
              <w14:schemeClr w14:val="tx1"/>
            </w14:solidFill>
          </w14:textFill>
        </w:rPr>
        <w:t>采购活动，</w:t>
      </w:r>
      <w:r>
        <w:rPr>
          <w:rFonts w:hint="eastAsia" w:ascii="宋体" w:hAnsi="宋体"/>
          <w:color w:val="000000" w:themeColor="text1"/>
          <w:szCs w:val="21"/>
          <w14:textFill>
            <w14:solidFill>
              <w14:schemeClr w14:val="tx1"/>
            </w14:solidFill>
          </w14:textFill>
        </w:rPr>
        <w:t>服务</w:t>
      </w:r>
      <w:r>
        <w:rPr>
          <w:rFonts w:ascii="宋体" w:hAnsi="宋体"/>
          <w:color w:val="000000" w:themeColor="text1"/>
          <w:szCs w:val="21"/>
          <w14:textFill>
            <w14:solidFill>
              <w14:schemeClr w14:val="tx1"/>
            </w14:solidFill>
          </w14:textFill>
        </w:rPr>
        <w:t>全部由符合政策要求的</w:t>
      </w:r>
      <w:r>
        <w:rPr>
          <w:rFonts w:hint="eastAsia" w:ascii="宋体" w:hAnsi="宋体"/>
          <w:color w:val="000000" w:themeColor="text1"/>
          <w:szCs w:val="21"/>
          <w14:textFill>
            <w14:solidFill>
              <w14:schemeClr w14:val="tx1"/>
            </w14:solidFill>
          </w14:textFill>
        </w:rPr>
        <w:t>监狱企业承接</w:t>
      </w:r>
      <w:r>
        <w:rPr>
          <w:rFonts w:ascii="宋体" w:hAnsi="宋体"/>
          <w:color w:val="000000" w:themeColor="text1"/>
          <w:szCs w:val="21"/>
          <w14:textFill>
            <w14:solidFill>
              <w14:schemeClr w14:val="tx1"/>
            </w14:solidFill>
          </w14:textFill>
        </w:rPr>
        <w:t>。相关</w:t>
      </w:r>
      <w:r>
        <w:rPr>
          <w:rFonts w:hint="eastAsia" w:ascii="宋体" w:hAnsi="宋体"/>
          <w:color w:val="000000" w:themeColor="text1"/>
          <w:szCs w:val="21"/>
          <w14:textFill>
            <w14:solidFill>
              <w14:schemeClr w14:val="tx1"/>
            </w14:solidFill>
          </w14:textFill>
        </w:rPr>
        <w:t>监狱企业</w:t>
      </w:r>
      <w:r>
        <w:rPr>
          <w:rFonts w:ascii="宋体" w:hAnsi="宋体"/>
          <w:color w:val="000000" w:themeColor="text1"/>
          <w:szCs w:val="21"/>
          <w14:textFill>
            <w14:solidFill>
              <w14:schemeClr w14:val="tx1"/>
            </w14:solidFill>
          </w14:textFill>
        </w:rPr>
        <w:t>的具体情况如下：</w:t>
      </w:r>
    </w:p>
    <w:p w14:paraId="06384130">
      <w:pPr>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，承接单位</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企业</w:t>
      </w:r>
      <w:r>
        <w:rPr>
          <w:rFonts w:ascii="宋体" w:hAnsi="宋体"/>
          <w:b/>
          <w:bCs/>
          <w:color w:val="000000" w:themeColor="text1"/>
          <w:szCs w:val="21"/>
          <w:u w:val="single"/>
          <w14:textFill>
            <w14:solidFill>
              <w14:schemeClr w14:val="tx1"/>
            </w14:solidFill>
          </w14:textFill>
        </w:rPr>
        <w:t>名称）</w:t>
      </w:r>
      <w:r>
        <w:rPr>
          <w:rFonts w:ascii="宋体" w:hAnsi="宋体"/>
          <w:color w:val="000000" w:themeColor="text1"/>
          <w:szCs w:val="21"/>
          <w14:textFill>
            <w14:solidFill>
              <w14:schemeClr w14:val="tx1"/>
            </w14:solidFill>
          </w14:textFill>
        </w:rPr>
        <w:t>，属于</w:t>
      </w:r>
      <w:r>
        <w:rPr>
          <w:rFonts w:hint="eastAsia" w:ascii="宋体" w:hAnsi="宋体"/>
          <w:b/>
          <w:bCs/>
          <w:color w:val="000000" w:themeColor="text1"/>
          <w:szCs w:val="21"/>
          <w:u w:val="single"/>
          <w14:textFill>
            <w14:solidFill>
              <w14:schemeClr w14:val="tx1"/>
            </w14:solidFill>
          </w14:textFill>
        </w:rPr>
        <w:t>监狱企业</w:t>
      </w:r>
      <w:r>
        <w:rPr>
          <w:rFonts w:ascii="宋体" w:hAnsi="宋体"/>
          <w:color w:val="000000" w:themeColor="text1"/>
          <w:szCs w:val="21"/>
          <w14:textFill>
            <w14:solidFill>
              <w14:schemeClr w14:val="tx1"/>
            </w14:solidFill>
          </w14:textFill>
        </w:rPr>
        <w:t>；</w:t>
      </w:r>
    </w:p>
    <w:p w14:paraId="3A6FF36A">
      <w:pPr>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ascii="宋体" w:hAnsi="宋体"/>
          <w:b/>
          <w:bCs/>
          <w:color w:val="000000" w:themeColor="text1"/>
          <w:szCs w:val="21"/>
          <w:u w:val="single"/>
          <w14:textFill>
            <w14:solidFill>
              <w14:schemeClr w14:val="tx1"/>
            </w14:solidFill>
          </w14:textFill>
        </w:rPr>
        <w:t xml:space="preserve"> （标的名称）</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，承接单位</w:t>
      </w:r>
      <w:r>
        <w:rPr>
          <w:rFonts w:ascii="宋体" w:hAnsi="宋体"/>
          <w:color w:val="000000" w:themeColor="text1"/>
          <w:szCs w:val="21"/>
          <w14:textFill>
            <w14:solidFill>
              <w14:schemeClr w14:val="tx1"/>
            </w14:solidFill>
          </w14:textFill>
        </w:rPr>
        <w:t>为</w:t>
      </w:r>
      <w:r>
        <w:rPr>
          <w:rFonts w:ascii="宋体" w:hAnsi="宋体"/>
          <w:b/>
          <w:bCs/>
          <w:color w:val="000000" w:themeColor="text1"/>
          <w:szCs w:val="21"/>
          <w:u w:val="single"/>
          <w14:textFill>
            <w14:solidFill>
              <w14:schemeClr w14:val="tx1"/>
            </w14:solidFill>
          </w14:textFill>
        </w:rPr>
        <w:t>（</w:t>
      </w:r>
      <w:r>
        <w:rPr>
          <w:rFonts w:hint="eastAsia" w:ascii="宋体" w:hAnsi="宋体"/>
          <w:b/>
          <w:bCs/>
          <w:color w:val="000000" w:themeColor="text1"/>
          <w:szCs w:val="21"/>
          <w:u w:val="single"/>
          <w14:textFill>
            <w14:solidFill>
              <w14:schemeClr w14:val="tx1"/>
            </w14:solidFill>
          </w14:textFill>
        </w:rPr>
        <w:t>企业</w:t>
      </w:r>
      <w:r>
        <w:rPr>
          <w:rFonts w:ascii="宋体" w:hAnsi="宋体"/>
          <w:b/>
          <w:bCs/>
          <w:color w:val="000000" w:themeColor="text1"/>
          <w:szCs w:val="21"/>
          <w:u w:val="single"/>
          <w14:textFill>
            <w14:solidFill>
              <w14:schemeClr w14:val="tx1"/>
            </w14:solidFill>
          </w14:textFill>
        </w:rPr>
        <w:t>名称）</w:t>
      </w:r>
      <w:r>
        <w:rPr>
          <w:rFonts w:ascii="宋体" w:hAnsi="宋体"/>
          <w:color w:val="000000" w:themeColor="text1"/>
          <w:szCs w:val="21"/>
          <w14:textFill>
            <w14:solidFill>
              <w14:schemeClr w14:val="tx1"/>
            </w14:solidFill>
          </w14:textFill>
        </w:rPr>
        <w:t>，属于</w:t>
      </w:r>
      <w:r>
        <w:rPr>
          <w:rFonts w:hint="eastAsia" w:ascii="宋体" w:hAnsi="宋体"/>
          <w:b/>
          <w:bCs/>
          <w:color w:val="000000" w:themeColor="text1"/>
          <w:szCs w:val="21"/>
          <w:u w:val="single"/>
          <w14:textFill>
            <w14:solidFill>
              <w14:schemeClr w14:val="tx1"/>
            </w14:solidFill>
          </w14:textFill>
        </w:rPr>
        <w:t>监狱企业</w:t>
      </w:r>
      <w:r>
        <w:rPr>
          <w:rFonts w:hint="eastAsia" w:ascii="宋体" w:hAnsi="宋体"/>
          <w:color w:val="000000" w:themeColor="text1"/>
          <w:szCs w:val="21"/>
          <w14:textFill>
            <w14:solidFill>
              <w14:schemeClr w14:val="tx1"/>
            </w14:solidFill>
          </w14:textFill>
        </w:rPr>
        <w:t>。</w:t>
      </w:r>
    </w:p>
    <w:p w14:paraId="3C948E7A">
      <w:pPr>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p>
    <w:p w14:paraId="2F3C812D">
      <w:pPr>
        <w:ind w:firstLine="480" w:firstLineChars="200"/>
        <w:rPr>
          <w:rFonts w:ascii="宋体" w:hAnsi="宋体"/>
          <w:color w:val="000000" w:themeColor="text1"/>
          <w:szCs w:val="21"/>
          <w14:textFill>
            <w14:solidFill>
              <w14:schemeClr w14:val="tx1"/>
            </w14:solidFill>
          </w14:textFill>
        </w:rPr>
      </w:pPr>
      <w:r>
        <w:rPr>
          <w:rFonts w:ascii="宋体" w:hAnsi="宋体" w:cstheme="minorBidi"/>
          <w:color w:val="000000" w:themeColor="text1"/>
          <w:szCs w:val="21"/>
          <w14:textFill>
            <w14:solidFill>
              <w14:schemeClr w14:val="tx1"/>
            </w14:solidFill>
          </w14:textFill>
        </w:rPr>
        <w:t>本</w:t>
      </w:r>
      <w:r>
        <w:rPr>
          <w:rFonts w:hint="eastAsia" w:ascii="宋体" w:hAnsi="宋体" w:cstheme="minorBidi"/>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对上述声明内容的真实性负责。如有虚假，将依法承担相应责任。</w:t>
      </w:r>
    </w:p>
    <w:p w14:paraId="0074EA34">
      <w:pPr>
        <w:ind w:firstLine="480" w:firstLineChars="200"/>
        <w:rPr>
          <w:rFonts w:ascii="宋体" w:hAnsi="宋体"/>
          <w:color w:val="FF0000"/>
          <w:szCs w:val="21"/>
        </w:rPr>
      </w:pPr>
      <w:r>
        <w:rPr>
          <w:rFonts w:hint="eastAsia" w:ascii="宋体" w:hAnsi="宋体"/>
          <w:color w:val="FF0000"/>
          <w:szCs w:val="21"/>
        </w:rPr>
        <w:t>附：省级以上监狱管理局、戒毒管理局（含新疆生产建设兵团）出具的监狱企业证明文件。</w:t>
      </w:r>
    </w:p>
    <w:p w14:paraId="2DE80611">
      <w:pPr>
        <w:ind w:left="723" w:hanging="720" w:hangingChars="300"/>
        <w:rPr>
          <w:b/>
          <w:color w:val="000000" w:themeColor="text1"/>
          <w14:textFill>
            <w14:solidFill>
              <w14:schemeClr w14:val="tx1"/>
            </w14:solidFill>
          </w14:textFill>
        </w:rPr>
      </w:pPr>
    </w:p>
    <w:p w14:paraId="1537EEB6">
      <w:pPr>
        <w:wordWrap w:val="0"/>
        <w:spacing w:after="60" w:afterLines="25" w:line="300" w:lineRule="auto"/>
        <w:ind w:firstLine="480" w:firstLineChars="200"/>
        <w:jc w:val="right"/>
        <w:rPr>
          <w:rFonts w:asciiTheme="minorEastAsia" w:hAnsiTheme="minorEastAsia"/>
          <w:szCs w:val="21"/>
        </w:rPr>
      </w:pPr>
      <w:r>
        <w:rPr>
          <w:rFonts w:hint="eastAsia" w:asciiTheme="minorEastAsia" w:hAnsiTheme="minorEastAsia"/>
          <w:szCs w:val="21"/>
        </w:rPr>
        <w:t xml:space="preserve">投标人（投标单位）：       </w:t>
      </w:r>
    </w:p>
    <w:p w14:paraId="5E0491AC">
      <w:pPr>
        <w:ind w:firstLine="6720" w:firstLineChars="2800"/>
        <w:rPr>
          <w:rFonts w:ascii="宋体" w:hAnsi="宋体"/>
          <w:color w:val="000000" w:themeColor="text1"/>
          <w:szCs w:val="21"/>
          <w14:textFill>
            <w14:solidFill>
              <w14:schemeClr w14:val="tx1"/>
            </w14:solidFill>
          </w14:textFill>
        </w:rPr>
      </w:pPr>
      <w:r>
        <w:rPr>
          <w:rFonts w:hint="eastAsia" w:asciiTheme="minorEastAsia" w:hAnsiTheme="minorEastAsia"/>
          <w:szCs w:val="21"/>
        </w:rPr>
        <w:t>日期：</w:t>
      </w:r>
    </w:p>
    <w:p w14:paraId="7F561575">
      <w:pPr>
        <w:ind w:left="723" w:hanging="720" w:hangingChars="300"/>
        <w:rPr>
          <w:b/>
          <w:color w:val="000000" w:themeColor="text1"/>
          <w14:textFill>
            <w14:solidFill>
              <w14:schemeClr w14:val="tx1"/>
            </w14:solidFill>
          </w14:textFill>
        </w:rPr>
      </w:pPr>
    </w:p>
    <w:p w14:paraId="2ACB0EF4">
      <w:pPr>
        <w:rPr>
          <w:rFonts w:eastAsia="黑体"/>
        </w:rPr>
      </w:pPr>
    </w:p>
    <w:p w14:paraId="51BF593A">
      <w:pPr>
        <w:rPr>
          <w:rFonts w:hint="eastAsia" w:ascii="黑体" w:eastAsia="黑体"/>
          <w:b w:val="0"/>
          <w:sz w:val="24"/>
          <w:szCs w:val="24"/>
        </w:rPr>
      </w:pPr>
      <w:r>
        <w:rPr>
          <w:rFonts w:hint="eastAsia" w:ascii="黑体" w:eastAsia="黑体"/>
          <w:b w:val="0"/>
          <w:sz w:val="24"/>
          <w:szCs w:val="24"/>
        </w:rPr>
        <w:br w:type="page"/>
      </w:r>
    </w:p>
    <w:p w14:paraId="663D17DA">
      <w:pPr>
        <w:pStyle w:val="3"/>
        <w:jc w:val="center"/>
        <w:rPr>
          <w:rFonts w:hint="eastAsia" w:ascii="黑体" w:eastAsia="黑体"/>
          <w:b w:val="0"/>
          <w:sz w:val="24"/>
          <w:szCs w:val="24"/>
          <w:lang w:eastAsia="zh-CN"/>
        </w:rPr>
      </w:pPr>
      <w:r>
        <w:rPr>
          <w:rFonts w:hint="eastAsia" w:ascii="黑体" w:eastAsia="黑体"/>
          <w:b w:val="0"/>
          <w:sz w:val="24"/>
          <w:szCs w:val="24"/>
        </w:rPr>
        <w:t>四、</w:t>
      </w:r>
      <w:r>
        <w:rPr>
          <w:rFonts w:hint="eastAsia" w:ascii="黑体" w:eastAsia="黑体"/>
          <w:b w:val="0"/>
          <w:sz w:val="24"/>
          <w:szCs w:val="24"/>
          <w:lang w:eastAsia="zh-CN"/>
        </w:rPr>
        <w:t>项目分项报价</w:t>
      </w:r>
    </w:p>
    <w:p w14:paraId="3F985ED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项目名称： </w:t>
      </w:r>
      <w:r>
        <w:rPr>
          <w:rFonts w:hint="eastAsia" w:ascii="宋体" w:hAnsi="宋体" w:eastAsia="宋体" w:cs="宋体"/>
          <w:color w:val="000000"/>
          <w:sz w:val="21"/>
          <w:szCs w:val="21"/>
          <w:lang w:eastAsia="zh-CN"/>
        </w:rPr>
        <w:t>2025年交通监控设施维护D包</w:t>
      </w:r>
    </w:p>
    <w:p w14:paraId="2411BB2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项目编号：</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SZDL2025000085</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9"/>
        <w:gridCol w:w="1899"/>
        <w:gridCol w:w="3837"/>
        <w:gridCol w:w="1078"/>
      </w:tblGrid>
      <w:tr w14:paraId="302B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4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7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项目预算金额</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B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投标报价总价</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9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E02A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82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2025年交通监控设施维护D包</w:t>
            </w:r>
          </w:p>
        </w:tc>
        <w:tc>
          <w:tcPr>
            <w:tcW w:w="11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B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5,627,430.62元</w:t>
            </w:r>
          </w:p>
        </w:tc>
        <w:tc>
          <w:tcPr>
            <w:tcW w:w="22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9CC0E">
            <w:pPr>
              <w:keepNext w:val="0"/>
              <w:keepLines w:val="0"/>
              <w:widowControl/>
              <w:suppressLineNumbers w:val="0"/>
              <w:spacing w:before="0" w:beforeAutospacing="0" w:after="0" w:afterAutospacing="0"/>
              <w:ind w:left="0" w:right="0"/>
              <w:jc w:val="both"/>
              <w:textAlignment w:val="center"/>
              <w:rPr>
                <w:rFonts w:hint="default"/>
                <w:color w:val="auto"/>
                <w:lang w:val="en-US" w:eastAsia="zh-CN"/>
              </w:rPr>
            </w:pPr>
            <w:r>
              <w:rPr>
                <w:rFonts w:hint="eastAsia"/>
                <w:color w:val="auto"/>
                <w:lang w:eastAsia="zh-CN"/>
              </w:rPr>
              <w:t>大写：人民币</w:t>
            </w:r>
            <w:r>
              <w:rPr>
                <w:rFonts w:hint="eastAsia"/>
                <w:color w:val="auto"/>
                <w:u w:val="single"/>
                <w:lang w:val="en-US" w:eastAsia="zh-CN"/>
              </w:rPr>
              <w:t xml:space="preserve">         </w:t>
            </w:r>
            <w:r>
              <w:rPr>
                <w:rFonts w:hint="eastAsia"/>
                <w:color w:val="auto"/>
                <w:lang w:val="en-US" w:eastAsia="zh-CN"/>
              </w:rPr>
              <w:t>元整</w:t>
            </w:r>
          </w:p>
          <w:p w14:paraId="652F4125">
            <w:pPr>
              <w:pStyle w:val="8"/>
              <w:keepNext w:val="0"/>
              <w:keepLines w:val="0"/>
              <w:widowControl/>
              <w:suppressLineNumbers w:val="0"/>
              <w:spacing w:before="0" w:beforeAutospacing="0" w:after="0" w:afterAutospacing="0"/>
              <w:ind w:left="0" w:right="0"/>
              <w:jc w:val="both"/>
              <w:rPr>
                <w:rFonts w:hint="default"/>
                <w:lang w:val="en-US" w:eastAsia="zh-CN"/>
              </w:rPr>
            </w:pPr>
            <w:r>
              <w:rPr>
                <w:rFonts w:hint="eastAsia" w:ascii="宋体" w:hAnsi="宋体" w:eastAsia="宋体" w:cs="宋体"/>
                <w:b w:val="0"/>
                <w:bCs w:val="0"/>
                <w:i w:val="0"/>
                <w:iCs w:val="0"/>
                <w:color w:val="auto"/>
                <w:sz w:val="22"/>
                <w:szCs w:val="22"/>
                <w:u w:val="none"/>
                <w:lang w:eastAsia="zh-CN"/>
              </w:rPr>
              <w:t>小写：￥</w:t>
            </w:r>
            <w:r>
              <w:rPr>
                <w:rFonts w:hint="eastAsia" w:ascii="宋体" w:hAnsi="宋体" w:eastAsia="宋体" w:cs="宋体"/>
                <w:b w:val="0"/>
                <w:bCs w:val="0"/>
                <w:i w:val="0"/>
                <w:iCs w:val="0"/>
                <w:color w:val="auto"/>
                <w:sz w:val="22"/>
                <w:szCs w:val="22"/>
                <w:u w:val="single"/>
                <w:lang w:val="en-US" w:eastAsia="zh-CN"/>
              </w:rPr>
              <w:t xml:space="preserve">                 </w:t>
            </w:r>
            <w:r>
              <w:rPr>
                <w:rFonts w:hint="eastAsia" w:ascii="宋体" w:hAnsi="宋体" w:eastAsia="宋体" w:cs="宋体"/>
                <w:b w:val="0"/>
                <w:bCs w:val="0"/>
                <w:i w:val="0"/>
                <w:iCs w:val="0"/>
                <w:color w:val="auto"/>
                <w:sz w:val="22"/>
                <w:szCs w:val="22"/>
                <w:u w:val="none"/>
                <w:lang w:val="en-US" w:eastAsia="zh-CN"/>
              </w:rPr>
              <w:t>元</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EA1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14:paraId="5951CADC">
      <w:pPr>
        <w:pStyle w:val="8"/>
        <w:jc w:val="center"/>
        <w:rPr>
          <w:rFonts w:hint="eastAsia" w:eastAsia="宋体"/>
          <w:lang w:eastAsia="zh-CN"/>
        </w:rPr>
      </w:pPr>
      <w:r>
        <w:rPr>
          <w:rFonts w:hint="eastAsia" w:eastAsia="宋体"/>
          <w:lang w:eastAsia="zh-CN"/>
        </w:rPr>
        <w:t>注：投标总价=维护服务报价+配件更新采购报价（精确到小数点后两位）</w:t>
      </w:r>
    </w:p>
    <w:p w14:paraId="07F01FB0">
      <w:pPr>
        <w:pStyle w:val="8"/>
        <w:jc w:val="center"/>
        <w:rPr>
          <w:rFonts w:hint="eastAsia" w:eastAsia="宋体"/>
          <w:lang w:eastAsia="zh-CN"/>
        </w:rPr>
      </w:pPr>
      <w:r>
        <w:rPr>
          <w:rFonts w:hint="eastAsia" w:eastAsia="宋体"/>
          <w:lang w:eastAsia="zh-CN"/>
        </w:rPr>
        <w:t>项目分项报价</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137"/>
        <w:gridCol w:w="1638"/>
        <w:gridCol w:w="1675"/>
        <w:gridCol w:w="2088"/>
        <w:gridCol w:w="1376"/>
      </w:tblGrid>
      <w:tr w14:paraId="030E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D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5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服务内容预算金额（元）</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F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子项名称</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1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子项预算金额（元）</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DB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子项报价金额</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FF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B8F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A4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维护服务</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9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FF0000"/>
                <w:kern w:val="0"/>
                <w:sz w:val="22"/>
                <w:szCs w:val="22"/>
                <w:u w:val="none"/>
                <w:lang w:val="en-US" w:eastAsia="zh-CN" w:bidi="ar"/>
              </w:rPr>
              <w:t>5,127,430.62</w:t>
            </w:r>
          </w:p>
        </w:tc>
        <w:tc>
          <w:tcPr>
            <w:tcW w:w="950" w:type="pct"/>
            <w:tcBorders>
              <w:top w:val="single" w:color="000000" w:sz="4" w:space="0"/>
              <w:left w:val="nil"/>
              <w:bottom w:val="single" w:color="000000" w:sz="4" w:space="0"/>
              <w:right w:val="single" w:color="000000" w:sz="4" w:space="0"/>
            </w:tcBorders>
            <w:shd w:val="clear" w:color="auto" w:fill="auto"/>
            <w:vAlign w:val="center"/>
          </w:tcPr>
          <w:p w14:paraId="77325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设备维护服务</w:t>
            </w:r>
          </w:p>
        </w:tc>
        <w:tc>
          <w:tcPr>
            <w:tcW w:w="9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02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4,316,430.62</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D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由投标人报价</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18B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594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8F9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4D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pct"/>
            <w:tcBorders>
              <w:top w:val="single" w:color="000000" w:sz="4" w:space="0"/>
              <w:left w:val="nil"/>
              <w:bottom w:val="single" w:color="000000" w:sz="4" w:space="0"/>
              <w:right w:val="single" w:color="000000" w:sz="4" w:space="0"/>
            </w:tcBorders>
            <w:shd w:val="clear" w:color="auto" w:fill="auto"/>
            <w:vAlign w:val="center"/>
          </w:tcPr>
          <w:p w14:paraId="314F8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工程维护服务</w:t>
            </w:r>
          </w:p>
        </w:tc>
        <w:tc>
          <w:tcPr>
            <w:tcW w:w="9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2D0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FF0000"/>
                <w:sz w:val="22"/>
                <w:szCs w:val="22"/>
                <w:u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94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由投标人报价</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968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3FE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365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1D4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pct"/>
            <w:tcBorders>
              <w:top w:val="single" w:color="000000" w:sz="4" w:space="0"/>
              <w:left w:val="nil"/>
              <w:bottom w:val="single" w:color="000000" w:sz="4" w:space="0"/>
              <w:right w:val="single" w:color="000000" w:sz="4" w:space="0"/>
            </w:tcBorders>
            <w:shd w:val="clear" w:color="auto" w:fill="auto"/>
            <w:vAlign w:val="center"/>
          </w:tcPr>
          <w:p w14:paraId="3DA92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设备用电费代缴费</w:t>
            </w:r>
          </w:p>
        </w:tc>
        <w:tc>
          <w:tcPr>
            <w:tcW w:w="972" w:type="pct"/>
            <w:tcBorders>
              <w:top w:val="single" w:color="000000" w:sz="4" w:space="0"/>
              <w:left w:val="nil"/>
              <w:bottom w:val="single" w:color="000000" w:sz="4" w:space="0"/>
              <w:right w:val="single" w:color="000000" w:sz="4" w:space="0"/>
            </w:tcBorders>
            <w:shd w:val="clear" w:color="auto" w:fill="auto"/>
            <w:vAlign w:val="center"/>
          </w:tcPr>
          <w:p w14:paraId="1C07F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800,000.00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F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800,000.00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3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根据现有设备耗电量估算此项电费金额为800,000.00元，该费用以开具发票（含税价）金额结算</w:t>
            </w:r>
          </w:p>
        </w:tc>
      </w:tr>
      <w:tr w14:paraId="2A22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EC1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D62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50" w:type="pct"/>
            <w:tcBorders>
              <w:top w:val="single" w:color="000000" w:sz="4" w:space="0"/>
              <w:left w:val="nil"/>
              <w:bottom w:val="single" w:color="000000" w:sz="4" w:space="0"/>
              <w:right w:val="single" w:color="000000" w:sz="4" w:space="0"/>
            </w:tcBorders>
            <w:shd w:val="clear" w:color="auto" w:fill="auto"/>
            <w:vAlign w:val="center"/>
          </w:tcPr>
          <w:p w14:paraId="64920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区间测速检定代缴费</w:t>
            </w:r>
          </w:p>
        </w:tc>
        <w:tc>
          <w:tcPr>
            <w:tcW w:w="972" w:type="pct"/>
            <w:tcBorders>
              <w:top w:val="single" w:color="000000" w:sz="4" w:space="0"/>
              <w:left w:val="nil"/>
              <w:bottom w:val="single" w:color="000000" w:sz="4" w:space="0"/>
              <w:right w:val="single" w:color="000000" w:sz="4" w:space="0"/>
            </w:tcBorders>
            <w:shd w:val="clear" w:color="auto" w:fill="auto"/>
            <w:vAlign w:val="center"/>
          </w:tcPr>
          <w:p w14:paraId="62106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11,000.00</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9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11,000.00</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1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此项预算金额为11,000.00元，报价不得超出预算金额,按实际结算</w:t>
            </w:r>
          </w:p>
        </w:tc>
      </w:tr>
      <w:tr w14:paraId="7346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4D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设备更新采购</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3B2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500,000.00</w:t>
            </w:r>
          </w:p>
        </w:tc>
        <w:tc>
          <w:tcPr>
            <w:tcW w:w="3135" w:type="pct"/>
            <w:gridSpan w:val="3"/>
            <w:tcBorders>
              <w:top w:val="single" w:color="000000" w:sz="4" w:space="0"/>
              <w:left w:val="nil"/>
              <w:bottom w:val="single" w:color="000000" w:sz="4" w:space="0"/>
              <w:right w:val="single" w:color="000000" w:sz="4" w:space="0"/>
            </w:tcBorders>
            <w:shd w:val="clear" w:color="auto" w:fill="auto"/>
            <w:vAlign w:val="center"/>
          </w:tcPr>
          <w:p w14:paraId="039E9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FF0000"/>
                <w:kern w:val="0"/>
                <w:sz w:val="22"/>
                <w:szCs w:val="22"/>
                <w:u w:val="none"/>
                <w:lang w:val="en-US" w:eastAsia="zh-CN" w:bidi="ar"/>
              </w:rPr>
            </w:pPr>
            <w:r>
              <w:rPr>
                <w:rFonts w:hint="eastAsia" w:ascii="宋体" w:hAnsi="宋体" w:eastAsia="宋体" w:cs="宋体"/>
                <w:b/>
                <w:bCs/>
                <w:i w:val="0"/>
                <w:iCs w:val="0"/>
                <w:color w:val="FF0000"/>
                <w:kern w:val="0"/>
                <w:sz w:val="22"/>
                <w:szCs w:val="22"/>
                <w:u w:val="none"/>
                <w:lang w:val="en-US" w:eastAsia="zh-CN" w:bidi="ar"/>
              </w:rPr>
              <w:t>由投标人报价</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92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w:t>
            </w:r>
          </w:p>
        </w:tc>
      </w:tr>
    </w:tbl>
    <w:p w14:paraId="7A70B38D">
      <w:pPr>
        <w:rPr>
          <w:rFonts w:hint="eastAsia"/>
          <w:bCs w:val="0"/>
          <w:color w:val="000000" w:themeColor="text1"/>
          <w:sz w:val="24"/>
          <w:szCs w:val="24"/>
          <w14:textFill>
            <w14:solidFill>
              <w14:schemeClr w14:val="tx1"/>
            </w14:solidFill>
          </w14:textFill>
        </w:rPr>
      </w:pPr>
      <w:r>
        <w:rPr>
          <w:rFonts w:hint="eastAsia"/>
          <w:b/>
          <w:bCs/>
          <w:color w:val="FF0000"/>
          <w:sz w:val="24"/>
          <w:szCs w:val="24"/>
        </w:rPr>
        <w:t>注：属于不可竞争费用的部分（设备用电费代缴费、区间测速检定代缴费），未按以上金额要求固定报价的，作投标无效处理。</w:t>
      </w:r>
      <w:r>
        <w:rPr>
          <w:rFonts w:hint="eastAsia"/>
          <w:bCs w:val="0"/>
          <w:color w:val="000000" w:themeColor="text1"/>
          <w:sz w:val="24"/>
          <w:szCs w:val="24"/>
          <w14:textFill>
            <w14:solidFill>
              <w14:schemeClr w14:val="tx1"/>
            </w14:solidFill>
          </w14:textFill>
        </w:rPr>
        <w:br w:type="page"/>
      </w:r>
    </w:p>
    <w:p w14:paraId="6F2D5AB0">
      <w:pPr>
        <w:keepNext/>
        <w:keepLines/>
        <w:numPr>
          <w:ilvl w:val="0"/>
          <w:numId w:val="10"/>
        </w:numPr>
        <w:spacing w:before="260" w:after="260" w:line="240" w:lineRule="auto"/>
        <w:jc w:val="center"/>
        <w:outlineLvl w:val="2"/>
        <w:rPr>
          <w:rFonts w:hint="eastAsia" w:ascii="黑体" w:hAnsi="宋体" w:eastAsia="黑体" w:cs="Times New Roman"/>
          <w:b w:val="0"/>
          <w:bCs/>
          <w:sz w:val="24"/>
          <w:szCs w:val="24"/>
          <w:lang w:eastAsia="zh-CN"/>
        </w:rPr>
      </w:pPr>
      <w:r>
        <w:rPr>
          <w:rFonts w:hint="eastAsia" w:ascii="黑体" w:hAnsi="宋体" w:eastAsia="黑体" w:cs="Times New Roman"/>
          <w:b w:val="0"/>
          <w:bCs/>
          <w:sz w:val="24"/>
          <w:szCs w:val="24"/>
        </w:rPr>
        <w:t>项目</w:t>
      </w:r>
      <w:r>
        <w:rPr>
          <w:rFonts w:hint="eastAsia" w:ascii="黑体" w:hAnsi="宋体" w:eastAsia="黑体" w:cs="Times New Roman"/>
          <w:b w:val="0"/>
          <w:bCs/>
          <w:sz w:val="24"/>
          <w:szCs w:val="24"/>
          <w:lang w:eastAsia="zh-CN"/>
        </w:rPr>
        <w:t>详细报价</w:t>
      </w:r>
    </w:p>
    <w:p w14:paraId="7C0D4846">
      <w:pPr>
        <w:keepNext/>
        <w:keepLines/>
        <w:pageBreakBefore w:val="0"/>
        <w:widowControl/>
        <w:numPr>
          <w:ilvl w:val="0"/>
          <w:numId w:val="11"/>
        </w:numPr>
        <w:kinsoku/>
        <w:wordWrap/>
        <w:overflowPunct/>
        <w:topLinePunct w:val="0"/>
        <w:autoSpaceDE/>
        <w:autoSpaceDN/>
        <w:bidi w:val="0"/>
        <w:adjustRightInd/>
        <w:snapToGrid/>
        <w:spacing w:before="260" w:after="260" w:line="240" w:lineRule="auto"/>
        <w:jc w:val="both"/>
        <w:textAlignment w:val="auto"/>
        <w:outlineLvl w:val="9"/>
        <w:rPr>
          <w:rFonts w:hint="eastAsia" w:ascii="黑体" w:hAnsi="宋体" w:eastAsia="黑体" w:cs="Times New Roman"/>
          <w:b w:val="0"/>
          <w:bCs/>
          <w:sz w:val="24"/>
          <w:szCs w:val="24"/>
          <w:lang w:eastAsia="zh-CN"/>
        </w:rPr>
      </w:pPr>
      <w:r>
        <w:rPr>
          <w:rFonts w:hint="eastAsia" w:ascii="黑体" w:hAnsi="宋体" w:eastAsia="黑体" w:cs="Times New Roman"/>
          <w:b w:val="0"/>
          <w:bCs/>
          <w:sz w:val="24"/>
          <w:szCs w:val="24"/>
          <w:lang w:eastAsia="zh-CN"/>
        </w:rPr>
        <w:t>维护服务报价表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675"/>
        <w:gridCol w:w="2003"/>
        <w:gridCol w:w="1062"/>
        <w:gridCol w:w="1125"/>
        <w:gridCol w:w="1513"/>
        <w:gridCol w:w="1362"/>
        <w:gridCol w:w="430"/>
      </w:tblGrid>
      <w:tr w14:paraId="7993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4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维护服务报价表</w:t>
            </w:r>
          </w:p>
        </w:tc>
      </w:tr>
      <w:tr w14:paraId="0812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58" w:type="pct"/>
            <w:tcBorders>
              <w:top w:val="single" w:color="000000" w:sz="4" w:space="0"/>
              <w:left w:val="single" w:color="000000" w:sz="4" w:space="0"/>
              <w:bottom w:val="nil"/>
              <w:right w:val="single" w:color="000000" w:sz="4" w:space="0"/>
            </w:tcBorders>
            <w:shd w:val="clear" w:color="auto" w:fill="auto"/>
            <w:noWrap/>
            <w:vAlign w:val="center"/>
          </w:tcPr>
          <w:p w14:paraId="2FBD8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1" w:type="pct"/>
            <w:tcBorders>
              <w:top w:val="single" w:color="000000" w:sz="4" w:space="0"/>
              <w:left w:val="single" w:color="000000" w:sz="4" w:space="0"/>
              <w:bottom w:val="nil"/>
              <w:right w:val="single" w:color="000000" w:sz="4" w:space="0"/>
            </w:tcBorders>
            <w:shd w:val="clear" w:color="auto" w:fill="auto"/>
            <w:vAlign w:val="center"/>
          </w:tcPr>
          <w:p w14:paraId="74EDD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子项名称</w:t>
            </w:r>
          </w:p>
        </w:tc>
        <w:tc>
          <w:tcPr>
            <w:tcW w:w="1162" w:type="pct"/>
            <w:tcBorders>
              <w:top w:val="single" w:color="000000" w:sz="4" w:space="0"/>
              <w:left w:val="single" w:color="000000" w:sz="4" w:space="0"/>
              <w:bottom w:val="nil"/>
              <w:right w:val="single" w:color="000000" w:sz="4" w:space="0"/>
            </w:tcBorders>
            <w:shd w:val="clear" w:color="auto" w:fill="auto"/>
            <w:vAlign w:val="center"/>
          </w:tcPr>
          <w:p w14:paraId="796A2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工作内容</w:t>
            </w:r>
          </w:p>
        </w:tc>
        <w:tc>
          <w:tcPr>
            <w:tcW w:w="616" w:type="pct"/>
            <w:tcBorders>
              <w:top w:val="single" w:color="000000" w:sz="4" w:space="0"/>
              <w:left w:val="single" w:color="000000" w:sz="4" w:space="0"/>
              <w:bottom w:val="nil"/>
              <w:right w:val="single" w:color="000000" w:sz="4" w:space="0"/>
            </w:tcBorders>
            <w:shd w:val="clear" w:color="auto" w:fill="auto"/>
            <w:vAlign w:val="center"/>
          </w:tcPr>
          <w:p w14:paraId="0E9B9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70FF1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878" w:type="pct"/>
            <w:tcBorders>
              <w:top w:val="single" w:color="000000" w:sz="4" w:space="0"/>
              <w:left w:val="single" w:color="000000" w:sz="4" w:space="0"/>
              <w:bottom w:val="single" w:color="000000" w:sz="4" w:space="0"/>
              <w:right w:val="nil"/>
            </w:tcBorders>
            <w:shd w:val="clear" w:color="auto" w:fill="auto"/>
            <w:vAlign w:val="center"/>
          </w:tcPr>
          <w:p w14:paraId="7DC38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综合单价（元/年）</w:t>
            </w:r>
          </w:p>
        </w:tc>
        <w:tc>
          <w:tcPr>
            <w:tcW w:w="790" w:type="pct"/>
            <w:tcBorders>
              <w:top w:val="single" w:color="000000" w:sz="4" w:space="0"/>
              <w:left w:val="single" w:color="000000" w:sz="4" w:space="0"/>
              <w:bottom w:val="nil"/>
              <w:right w:val="nil"/>
            </w:tcBorders>
            <w:shd w:val="clear" w:color="auto" w:fill="auto"/>
            <w:vAlign w:val="center"/>
          </w:tcPr>
          <w:p w14:paraId="3A5AD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c>
          <w:tcPr>
            <w:tcW w:w="249" w:type="pct"/>
            <w:tcBorders>
              <w:top w:val="single" w:color="000000" w:sz="4" w:space="0"/>
              <w:left w:val="single" w:color="000000" w:sz="4" w:space="0"/>
              <w:bottom w:val="nil"/>
              <w:right w:val="single" w:color="000000" w:sz="4" w:space="0"/>
            </w:tcBorders>
            <w:shd w:val="clear" w:color="auto" w:fill="auto"/>
            <w:vAlign w:val="center"/>
          </w:tcPr>
          <w:p w14:paraId="17F1B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B78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2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2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设备维护</w:t>
            </w: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362F9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交通信号设备维护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EE1B">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383</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3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路口</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5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8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3CD0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7FB3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5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7D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6ED3E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电子警察设备维护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2F07">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870</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6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断面</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F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D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782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75FF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4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B9C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6991D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视频监控设备维护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9249">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1070</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7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8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D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689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661B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3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29A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28DDC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交通诱导屏设备维护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C2F2">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71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BF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2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1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9B4C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44B7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9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0EF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350AA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车牌识别设备维护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190D">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276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A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断面</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1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362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4760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2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2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工程维护</w:t>
            </w: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4F19C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交通信号工程维护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1314">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387</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6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路口</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9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4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A3C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66B0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B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773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2463F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电子警察工程维护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6E10">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872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断面</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5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C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C09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2C22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9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B9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66957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视频监控工程维护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30ED">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1077</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1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A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C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6F6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0058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6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B16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778B0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交通诱导屏工程维护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07ED">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71</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1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F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8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64C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1A9A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8" w:type="pct"/>
            <w:tcBorders>
              <w:top w:val="single" w:color="000000" w:sz="4" w:space="0"/>
              <w:left w:val="single" w:color="000000" w:sz="4" w:space="0"/>
              <w:bottom w:val="nil"/>
              <w:right w:val="single" w:color="000000" w:sz="4" w:space="0"/>
            </w:tcBorders>
            <w:shd w:val="clear" w:color="auto" w:fill="auto"/>
            <w:noWrap/>
            <w:vAlign w:val="center"/>
          </w:tcPr>
          <w:p w14:paraId="3188F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F61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62" w:type="pct"/>
            <w:tcBorders>
              <w:top w:val="single" w:color="000000" w:sz="4" w:space="0"/>
              <w:left w:val="single" w:color="000000" w:sz="4" w:space="0"/>
              <w:bottom w:val="nil"/>
              <w:right w:val="nil"/>
            </w:tcBorders>
            <w:shd w:val="clear" w:color="auto" w:fill="auto"/>
            <w:vAlign w:val="center"/>
          </w:tcPr>
          <w:p w14:paraId="1CC2F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车牌识别工程维护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CBDD">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2"/>
                <w:szCs w:val="24"/>
              </w:rPr>
              <w:t>280</w:t>
            </w:r>
          </w:p>
        </w:tc>
        <w:tc>
          <w:tcPr>
            <w:tcW w:w="652" w:type="pct"/>
            <w:tcBorders>
              <w:top w:val="single" w:color="000000" w:sz="4" w:space="0"/>
              <w:left w:val="single" w:color="000000" w:sz="4" w:space="0"/>
              <w:bottom w:val="nil"/>
              <w:right w:val="single" w:color="000000" w:sz="4" w:space="0"/>
            </w:tcBorders>
            <w:shd w:val="clear" w:color="auto" w:fill="auto"/>
            <w:noWrap/>
            <w:vAlign w:val="center"/>
          </w:tcPr>
          <w:p w14:paraId="6C0CA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断面</w:t>
            </w:r>
          </w:p>
        </w:tc>
        <w:tc>
          <w:tcPr>
            <w:tcW w:w="878" w:type="pct"/>
            <w:tcBorders>
              <w:top w:val="single" w:color="000000" w:sz="4" w:space="0"/>
              <w:left w:val="single" w:color="000000" w:sz="4" w:space="0"/>
              <w:bottom w:val="nil"/>
              <w:right w:val="single" w:color="000000" w:sz="4" w:space="0"/>
            </w:tcBorders>
            <w:shd w:val="clear" w:color="auto" w:fill="auto"/>
            <w:noWrap/>
            <w:vAlign w:val="center"/>
          </w:tcPr>
          <w:p w14:paraId="74894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790" w:type="pct"/>
            <w:tcBorders>
              <w:top w:val="single" w:color="000000" w:sz="4" w:space="0"/>
              <w:left w:val="single" w:color="000000" w:sz="4" w:space="0"/>
              <w:bottom w:val="nil"/>
              <w:right w:val="single" w:color="000000" w:sz="4" w:space="0"/>
            </w:tcBorders>
            <w:shd w:val="clear" w:color="auto" w:fill="auto"/>
            <w:noWrap/>
            <w:vAlign w:val="center"/>
          </w:tcPr>
          <w:p w14:paraId="2B645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投标人填报</w:t>
            </w:r>
          </w:p>
        </w:tc>
        <w:tc>
          <w:tcPr>
            <w:tcW w:w="249" w:type="pct"/>
            <w:tcBorders>
              <w:top w:val="single" w:color="000000" w:sz="4" w:space="0"/>
              <w:left w:val="single" w:color="000000" w:sz="4" w:space="0"/>
              <w:bottom w:val="nil"/>
              <w:right w:val="single" w:color="000000" w:sz="4" w:space="0"/>
            </w:tcBorders>
            <w:shd w:val="clear" w:color="auto" w:fill="auto"/>
            <w:vAlign w:val="center"/>
          </w:tcPr>
          <w:p w14:paraId="7A96B37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0"/>
                <w:szCs w:val="20"/>
                <w:u w:val="none"/>
              </w:rPr>
            </w:pPr>
          </w:p>
        </w:tc>
      </w:tr>
      <w:tr w14:paraId="343E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E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6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设备用电费用</w:t>
            </w:r>
          </w:p>
        </w:tc>
        <w:tc>
          <w:tcPr>
            <w:tcW w:w="1162" w:type="pct"/>
            <w:tcBorders>
              <w:top w:val="single" w:color="000000" w:sz="4" w:space="0"/>
              <w:left w:val="single" w:color="000000" w:sz="4" w:space="0"/>
              <w:bottom w:val="single" w:color="000000" w:sz="4" w:space="0"/>
              <w:right w:val="nil"/>
            </w:tcBorders>
            <w:shd w:val="clear" w:color="auto" w:fill="auto"/>
            <w:vAlign w:val="center"/>
          </w:tcPr>
          <w:p w14:paraId="6C400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因各种客观因素影响而不能办理托收手续的，需协议缴费用电的交通监控设施产生的电费，具体费用由用电协议单价及实际用电量确定，该费用以开具发票（含税价）金额结算</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EACF">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1"/>
                <w:szCs w:val="24"/>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C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8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800,000.00</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E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800,000.00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493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FF0000"/>
                <w:sz w:val="18"/>
                <w:szCs w:val="18"/>
                <w:u w:val="none"/>
              </w:rPr>
            </w:pPr>
          </w:p>
        </w:tc>
      </w:tr>
      <w:tr w14:paraId="1398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3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7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区间测速检定代缴费</w:t>
            </w:r>
          </w:p>
        </w:tc>
        <w:tc>
          <w:tcPr>
            <w:tcW w:w="1162" w:type="pct"/>
            <w:tcBorders>
              <w:top w:val="nil"/>
              <w:left w:val="nil"/>
              <w:bottom w:val="nil"/>
              <w:right w:val="nil"/>
            </w:tcBorders>
            <w:shd w:val="clear" w:color="auto" w:fill="auto"/>
            <w:noWrap/>
            <w:vAlign w:val="center"/>
          </w:tcPr>
          <w:p w14:paraId="767D7C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对辖区内的测速执法设备委托具备资质的检定机构进行检定的费用，该费用根据实际结算</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52B6">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i w:val="0"/>
                <w:iCs w:val="0"/>
                <w:color w:val="000000"/>
                <w:sz w:val="21"/>
                <w:szCs w:val="21"/>
                <w:u w:val="none"/>
              </w:rPr>
            </w:pPr>
            <w:r>
              <w:rPr>
                <w:rFonts w:hint="eastAsia" w:ascii="宋体" w:hAnsi="宋体"/>
                <w:color w:val="000000"/>
                <w:sz w:val="21"/>
                <w:szCs w:val="24"/>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B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78" w:type="pct"/>
            <w:tcBorders>
              <w:top w:val="single" w:color="000000" w:sz="4" w:space="0"/>
              <w:left w:val="single" w:color="000000" w:sz="4" w:space="0"/>
              <w:bottom w:val="single" w:color="000000" w:sz="4" w:space="0"/>
              <w:right w:val="nil"/>
            </w:tcBorders>
            <w:shd w:val="clear" w:color="auto" w:fill="auto"/>
            <w:noWrap/>
            <w:vAlign w:val="center"/>
          </w:tcPr>
          <w:p w14:paraId="2D6B6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11,000.00</w:t>
            </w:r>
          </w:p>
        </w:tc>
        <w:tc>
          <w:tcPr>
            <w:tcW w:w="790" w:type="pct"/>
            <w:tcBorders>
              <w:top w:val="single" w:color="000000" w:sz="4" w:space="0"/>
              <w:left w:val="single" w:color="000000" w:sz="4" w:space="0"/>
              <w:bottom w:val="single" w:color="000000" w:sz="4" w:space="0"/>
              <w:right w:val="nil"/>
            </w:tcBorders>
            <w:shd w:val="clear" w:color="auto" w:fill="auto"/>
            <w:noWrap/>
            <w:vAlign w:val="center"/>
          </w:tcPr>
          <w:p w14:paraId="1F86F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11,000.00</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A41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FF0000"/>
                <w:sz w:val="18"/>
                <w:szCs w:val="18"/>
                <w:u w:val="none"/>
              </w:rPr>
            </w:pPr>
          </w:p>
        </w:tc>
      </w:tr>
      <w:tr w14:paraId="25E9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96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7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AEC0">
            <w:pPr>
              <w:keepNext w:val="0"/>
              <w:keepLines w:val="0"/>
              <w:widowControl/>
              <w:suppressLineNumbers w:val="0"/>
              <w:spacing w:before="0" w:beforeAutospacing="0" w:after="0" w:afterAutospacing="0"/>
              <w:ind w:left="0" w:right="0"/>
              <w:rPr>
                <w:rFonts w:hint="eastAsia" w:ascii="宋体" w:hAnsi="宋体" w:eastAsia="宋体" w:cs="宋体"/>
                <w:b/>
                <w:bCs/>
                <w:i w:val="0"/>
                <w:iCs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696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14:paraId="3861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3107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说明：上表数量为暂估维护量，以合同履约期内实际下达任务数量为准。</w:t>
            </w:r>
          </w:p>
        </w:tc>
      </w:tr>
    </w:tbl>
    <w:p w14:paraId="50C380DD">
      <w:pPr>
        <w:rPr>
          <w:rFonts w:hint="eastAsia" w:ascii="黑体" w:hAnsi="宋体" w:eastAsia="黑体" w:cs="Times New Roman"/>
          <w:b w:val="0"/>
          <w:bCs/>
          <w:sz w:val="24"/>
          <w:szCs w:val="24"/>
          <w:lang w:eastAsia="zh-CN"/>
        </w:rPr>
      </w:pPr>
      <w:r>
        <w:rPr>
          <w:rFonts w:hint="eastAsia" w:ascii="黑体" w:hAnsi="宋体" w:eastAsia="黑体" w:cs="Times New Roman"/>
          <w:b w:val="0"/>
          <w:bCs/>
          <w:sz w:val="24"/>
          <w:szCs w:val="24"/>
          <w:lang w:eastAsia="zh-CN"/>
        </w:rPr>
        <w:t>注：</w:t>
      </w:r>
    </w:p>
    <w:p w14:paraId="4F1287FA">
      <w:pPr>
        <w:rPr>
          <w:rFonts w:hint="eastAsia" w:ascii="黑体" w:hAnsi="宋体" w:eastAsia="黑体" w:cs="Times New Roman"/>
          <w:b w:val="0"/>
          <w:bCs/>
          <w:sz w:val="24"/>
          <w:szCs w:val="24"/>
          <w:lang w:eastAsia="zh-CN"/>
        </w:rPr>
      </w:pPr>
      <w:r>
        <w:rPr>
          <w:rFonts w:hint="eastAsia" w:ascii="黑体" w:hAnsi="宋体" w:eastAsia="黑体" w:cs="Times New Roman"/>
          <w:b w:val="0"/>
          <w:bCs/>
          <w:sz w:val="24"/>
          <w:szCs w:val="24"/>
          <w:lang w:val="en-US" w:eastAsia="zh-CN"/>
        </w:rPr>
        <w:t>1</w:t>
      </w:r>
      <w:r>
        <w:rPr>
          <w:rFonts w:hint="eastAsia" w:ascii="黑体" w:hAnsi="宋体" w:eastAsia="黑体" w:cs="Times New Roman"/>
          <w:b w:val="0"/>
          <w:bCs/>
          <w:sz w:val="24"/>
          <w:szCs w:val="24"/>
          <w:lang w:eastAsia="zh-CN"/>
        </w:rPr>
        <w:t>.维护服务报价=设备维护服务报价+工程维护服务报价+设备用电费代缴费+区间测速检定代缴费（精确到小数点后两位）</w:t>
      </w:r>
    </w:p>
    <w:p w14:paraId="47EFB6F8">
      <w:pPr>
        <w:rPr>
          <w:rFonts w:hint="eastAsia" w:ascii="黑体" w:hAnsi="宋体" w:eastAsia="黑体" w:cs="Times New Roman"/>
          <w:b w:val="0"/>
          <w:bCs/>
          <w:sz w:val="24"/>
          <w:szCs w:val="24"/>
          <w:lang w:eastAsia="zh-CN"/>
        </w:rPr>
      </w:pPr>
      <w:r>
        <w:rPr>
          <w:rFonts w:hint="eastAsia" w:ascii="黑体" w:hAnsi="宋体" w:eastAsia="黑体" w:cs="Times New Roman"/>
          <w:b w:val="0"/>
          <w:bCs/>
          <w:sz w:val="24"/>
          <w:szCs w:val="24"/>
          <w:lang w:val="en-US" w:eastAsia="zh-CN"/>
        </w:rPr>
        <w:t>2</w:t>
      </w:r>
      <w:r>
        <w:rPr>
          <w:rFonts w:hint="eastAsia" w:ascii="黑体" w:hAnsi="宋体" w:eastAsia="黑体" w:cs="Times New Roman"/>
          <w:b w:val="0"/>
          <w:bCs/>
          <w:sz w:val="24"/>
          <w:szCs w:val="24"/>
          <w:lang w:eastAsia="zh-CN"/>
        </w:rPr>
        <w:t>.设备更新采购=设备更新采购报价表合计</w:t>
      </w:r>
    </w:p>
    <w:p w14:paraId="307FBFEF">
      <w:pPr>
        <w:rPr>
          <w:rFonts w:hint="eastAsia" w:ascii="黑体" w:hAnsi="宋体" w:eastAsia="黑体" w:cs="Times New Roman"/>
          <w:b w:val="0"/>
          <w:bCs/>
          <w:sz w:val="24"/>
          <w:szCs w:val="24"/>
          <w:lang w:eastAsia="zh-CN"/>
        </w:rPr>
      </w:pPr>
      <w:r>
        <w:rPr>
          <w:rFonts w:hint="eastAsia" w:ascii="黑体" w:hAnsi="宋体" w:eastAsia="黑体" w:cs="Times New Roman"/>
          <w:b/>
          <w:bCs w:val="0"/>
          <w:color w:val="FF0000"/>
          <w:sz w:val="24"/>
          <w:szCs w:val="24"/>
          <w:lang w:val="en-US" w:eastAsia="zh-CN"/>
        </w:rPr>
        <w:t>3.属于不可竞争费用的部分（设备用电费代缴费、区间测速检定代缴费），未按以上金额要求固定报价的，作投标无效处理。</w:t>
      </w:r>
      <w:r>
        <w:rPr>
          <w:rFonts w:hint="eastAsia" w:ascii="黑体" w:hAnsi="宋体" w:eastAsia="黑体" w:cs="Times New Roman"/>
          <w:b w:val="0"/>
          <w:bCs/>
          <w:sz w:val="24"/>
          <w:szCs w:val="24"/>
          <w:lang w:eastAsia="zh-CN"/>
        </w:rPr>
        <w:br w:type="page"/>
      </w:r>
    </w:p>
    <w:p w14:paraId="055ECF91">
      <w:pPr>
        <w:keepNext/>
        <w:keepLines/>
        <w:pageBreakBefore w:val="0"/>
        <w:widowControl/>
        <w:numPr>
          <w:ilvl w:val="0"/>
          <w:numId w:val="11"/>
        </w:numPr>
        <w:kinsoku/>
        <w:wordWrap/>
        <w:overflowPunct/>
        <w:topLinePunct w:val="0"/>
        <w:autoSpaceDE/>
        <w:autoSpaceDN/>
        <w:bidi w:val="0"/>
        <w:adjustRightInd/>
        <w:snapToGrid/>
        <w:spacing w:before="260" w:after="260" w:line="240" w:lineRule="auto"/>
        <w:jc w:val="both"/>
        <w:textAlignment w:val="auto"/>
        <w:outlineLvl w:val="9"/>
        <w:rPr>
          <w:rFonts w:hint="eastAsia" w:ascii="黑体" w:hAnsi="宋体" w:eastAsia="黑体" w:cs="Times New Roman"/>
          <w:b w:val="0"/>
          <w:bCs/>
          <w:sz w:val="24"/>
          <w:szCs w:val="24"/>
          <w:lang w:eastAsia="zh-CN"/>
        </w:rPr>
      </w:pPr>
      <w:r>
        <w:rPr>
          <w:rFonts w:hint="eastAsia" w:ascii="黑体" w:hAnsi="宋体" w:eastAsia="黑体" w:cs="Times New Roman"/>
          <w:b w:val="0"/>
          <w:bCs/>
          <w:sz w:val="24"/>
          <w:szCs w:val="24"/>
          <w:lang w:eastAsia="zh-CN"/>
        </w:rPr>
        <w:t>设备更新采购报价表</w:t>
      </w:r>
    </w:p>
    <w:tbl>
      <w:tblPr>
        <w:tblStyle w:val="17"/>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4"/>
        <w:gridCol w:w="2804"/>
        <w:gridCol w:w="458"/>
        <w:gridCol w:w="458"/>
        <w:gridCol w:w="927"/>
        <w:gridCol w:w="908"/>
        <w:gridCol w:w="865"/>
        <w:gridCol w:w="911"/>
        <w:gridCol w:w="640"/>
        <w:gridCol w:w="40"/>
      </w:tblGrid>
      <w:tr w14:paraId="5674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9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7DABF931">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序号</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392260A0">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设备名称</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617FAD27">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数量</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4C3F37E">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项</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1EDF0A0">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综合单价（元）</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32122188">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小计（元）</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41B1D45B">
            <w:pPr>
              <w:keepNext w:val="0"/>
              <w:keepLines w:val="0"/>
              <w:widowControl/>
              <w:suppressLineNumbers w:val="0"/>
              <w:spacing w:before="0" w:beforeLines="0" w:beforeAutospacing="0" w:after="0" w:afterLines="0" w:afterAutospacing="0"/>
              <w:ind w:left="0" w:right="0"/>
              <w:jc w:val="center"/>
              <w:rPr>
                <w:rFonts w:hint="eastAsia" w:ascii="宋体" w:hAnsi="宋体"/>
                <w:b/>
                <w:color w:val="FF0000"/>
                <w:sz w:val="20"/>
                <w:szCs w:val="24"/>
              </w:rPr>
            </w:pPr>
            <w:r>
              <w:rPr>
                <w:rFonts w:hint="eastAsia" w:ascii="宋体" w:hAnsi="宋体"/>
                <w:b/>
                <w:color w:val="FF0000"/>
                <w:sz w:val="20"/>
                <w:szCs w:val="24"/>
              </w:rPr>
              <w:t>品牌一</w:t>
            </w:r>
          </w:p>
          <w:p w14:paraId="61B02D51">
            <w:pPr>
              <w:keepNext w:val="0"/>
              <w:keepLines w:val="0"/>
              <w:widowControl/>
              <w:suppressLineNumbers w:val="0"/>
              <w:spacing w:before="0" w:beforeLines="0" w:beforeAutospacing="0" w:after="0" w:afterLines="0" w:afterAutospacing="0"/>
              <w:ind w:left="0" w:right="0"/>
              <w:jc w:val="center"/>
              <w:rPr>
                <w:rFonts w:hint="eastAsia" w:ascii="宋体" w:hAnsi="宋体"/>
                <w:b/>
                <w:color w:val="FF0000"/>
                <w:sz w:val="20"/>
                <w:szCs w:val="24"/>
              </w:rPr>
            </w:pPr>
            <w:r>
              <w:rPr>
                <w:rFonts w:hint="eastAsia" w:ascii="宋体" w:hAnsi="宋体"/>
                <w:b/>
                <w:color w:val="FF0000"/>
                <w:sz w:val="20"/>
                <w:szCs w:val="24"/>
              </w:rPr>
              <w:t>（必填）</w:t>
            </w: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D1B2E21">
            <w:pPr>
              <w:keepNext w:val="0"/>
              <w:keepLines w:val="0"/>
              <w:widowControl/>
              <w:suppressLineNumbers w:val="0"/>
              <w:spacing w:before="0" w:beforeLines="0" w:beforeAutospacing="0" w:after="0" w:afterLines="0" w:afterAutospacing="0"/>
              <w:ind w:left="0" w:right="0"/>
              <w:jc w:val="center"/>
              <w:rPr>
                <w:rFonts w:hint="eastAsia" w:ascii="宋体" w:hAnsi="宋体"/>
                <w:b/>
                <w:color w:val="FF0000"/>
                <w:sz w:val="20"/>
                <w:szCs w:val="24"/>
              </w:rPr>
            </w:pPr>
            <w:r>
              <w:rPr>
                <w:rFonts w:hint="eastAsia" w:ascii="宋体" w:hAnsi="宋体"/>
                <w:b/>
                <w:color w:val="FF0000"/>
                <w:sz w:val="20"/>
                <w:szCs w:val="24"/>
              </w:rPr>
              <w:t>品牌二</w:t>
            </w:r>
          </w:p>
          <w:p w14:paraId="4010064E">
            <w:pPr>
              <w:keepNext w:val="0"/>
              <w:keepLines w:val="0"/>
              <w:widowControl/>
              <w:suppressLineNumbers w:val="0"/>
              <w:spacing w:before="0" w:beforeLines="0" w:beforeAutospacing="0" w:after="0" w:afterLines="0" w:afterAutospacing="0"/>
              <w:ind w:left="0" w:right="0"/>
              <w:jc w:val="center"/>
              <w:rPr>
                <w:rFonts w:hint="eastAsia" w:ascii="宋体" w:hAnsi="宋体"/>
                <w:b/>
                <w:color w:val="FF0000"/>
                <w:sz w:val="20"/>
                <w:szCs w:val="24"/>
              </w:rPr>
            </w:pPr>
            <w:r>
              <w:rPr>
                <w:rFonts w:hint="eastAsia" w:ascii="宋体" w:hAnsi="宋体"/>
                <w:b/>
                <w:color w:val="FF0000"/>
                <w:sz w:val="20"/>
                <w:szCs w:val="24"/>
              </w:rPr>
              <w:t>（必填）</w:t>
            </w: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31FE6503">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备注</w:t>
            </w:r>
          </w:p>
        </w:tc>
      </w:tr>
      <w:tr w14:paraId="0A82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460BE06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4FAAF6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LED机动灯具(含灯芯、400MM）</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14A8C4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5</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9D6F7B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组</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146B778B">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033DBBD7">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3D4C29C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43BA1D5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6A2D6518">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17F0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6243729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6B08563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LED机动多功能灯具(含灯芯、400MM）</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6E16A6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5</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51E71D6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组</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6D863E5D">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6D64D909">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3D5F02A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5E289938">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387AC2D1">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2655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0C3364DA">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4001C16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LED人行灯具(含灯芯、300MM）</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D0EAEA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5</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C3D6AF7">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组</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5D0DEE2">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C516A2A">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22DABEE1">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2FBDAFB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392F4C9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42E9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4FBF998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4</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F437A7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信号控制机（96通道）</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7234E1B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D461CBF">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0DC6998C">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C61CB80">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15355A5F">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3E4C9A5C">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636CA2D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271E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7961C52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5</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38B41F4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信号控制机（60通道）</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59DA50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8</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65C49AE7">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1D59F226">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569C165F">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2D1ED3A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EF40B06">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402BA021">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572D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0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1C3E406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6</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32AE404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环保型补光灯：车牌识别环保补光灯设备（可见光型）</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F9ADC9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EEA673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个</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BFD1E62">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44D84C4">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41CE1BD2">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643415F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2D34234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2167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0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3A8636DB">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7</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63B9396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环保型补光灯：车牌识别环保补光灯设备（红外型）</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75B3371">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CE4C04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个</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01FE7DFF">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3730BC7">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22474BB9">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7249A2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5811FC1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0999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69CFFBB7">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8</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7032B90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高清电警补光灯</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663423F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F2B684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个</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70DE5070">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C5355D6">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6B45E0A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21B93991">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7F2AC598">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1E876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56897D2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9</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71FA982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车牌识别主机（16T）</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40B76B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70F52B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73861405">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55C48B70">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3759366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332D1FE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35D4E609">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66DD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2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3FC14D5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10</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15F1865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高清电警主机（需与高清视频电子警察前端摄像头配套）</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B30C57A">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38164A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0110D8E3">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62A4469A">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6610917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369E8DD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4D91A9F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0B3B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9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449F9A4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11</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1D998BD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监控摄像机：车牌识别前端摄像头（一体化900万高清摄像机、与红外补光灯同品牌配套）</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F9C0B6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66C46CC9">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613BBD22">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345E83F5">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3F373373">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749A102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6F58DCF3">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69DE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84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7B3E88CB">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12</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7ACF8AB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监控摄像机：车牌识别前端摄像头（一体化900万高清摄像机、与可见光环保型补光灯配套）</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CC3465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19872D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AD3BAC4">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4D6F6B5">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5E80348C">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36621E6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6F9BACBF">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6BAE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6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09D5A93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13</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46C9482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红灯检测器（需与高清视频电子警察前端摄像头配套）</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42B8D2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56AB1F9">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D796AF7">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248D002E">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57D2E08C">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91B8A83">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5C71B17C">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6810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90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4DACEA8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14</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4793303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高清视频电子警察前端摄像头</w:t>
            </w:r>
          </w:p>
          <w:p w14:paraId="7B8DF06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（一体化900万或以上高清摄像机与电子警察补光灯同品牌配套）</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ECA45E4">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584E3B0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468099BD">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F5C1562">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4E85ED8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03D1B5F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27533A1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51B5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104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66FF3B9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15</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4F60755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RFID读写器天线</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54D75E7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041235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4EDBAA3F">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2D6488A9">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61F25CE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06E938E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712665B6">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346C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104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68397C5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16</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40A71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RFID读写器射频主机</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68FDA5D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0BB98E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3B245079">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2B693004">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701CFF8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0E7ABA42">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06354FD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7AD7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104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07E74F9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17</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727C941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RFID一体化抓拍摄像机</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5833AA4">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FB78B7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4A027133">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5B5F54AE">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12EC10F8">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2208708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406733A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59E9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104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49323B8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18</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03ECB237">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监控摄像机：高清网络一体化系统（网络高清球型摄像机低空监控）（40倍以上，800万像素）</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56C27569">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38A6E93">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32CCD23E">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301B616F">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451DF68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25B7D9D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2DE122C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7758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27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7F06CAD3">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19</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61A767EF">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三目球机</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58DD4914">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2AE010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6E8F21EE">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2C35E591">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223CB40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64D0F9C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19DFD2BF">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4E65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92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5D45020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20</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7649C15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监控摄像机：高清网络一体化系统（网络高清云台摄像机低空监控）（40倍以上,400万像素）</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36E02B9">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5B284D6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1EDB70F5">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EBDBD08">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3F77B706">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0206731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139AF89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7A63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27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74ACCA5B">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21</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6F52D3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高空瞭望一体化云台摄像机</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4B4A177">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2E73F0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36EA5E8C">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01C60410">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67E8BD7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0EF3DFF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4530A10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2615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92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25F6AA44">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22</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6B446AA0">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ONU设备</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DA5A2F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519D97D7">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0AE54058">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D84B911">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3EF65AEB">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491054B1">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0B366DF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3F19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92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212DB05B">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23</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95FB168">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诱导屏背包智能机箱（主材价，具有智能联网功能，含安装及调试）</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FAA3B3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F6469D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4DD10E85">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0E46814D">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3CE4C83B">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6A2BEEBF">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6209BD0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6251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2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22C18AE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24</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7CA71A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电子警察智能机箱（主材价，具有智能联网功能，含安装及调试）</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3F17D32">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3044D3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7A0ECB1B">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D73C9ED">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424FA388">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0C8548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74792FFD">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6DEE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92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2D640F2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25</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20CF6F4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闭路电视背包智能机箱（主材价，具有智能联网功能，含安装及调试）</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7F01ED6A">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799E3EE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5B29E86B">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97FC64D">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6A15C00B">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074B2E0C">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787100E4">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0BC1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8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7D69313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26</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61A78876">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车牌识别落地智能机箱（主材价，具有智能联网功能，含安装及调试）</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71A4F589">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153220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1B91999">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C32DE24">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48AEA4F2">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4BB74D2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0FA2317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6988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84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20945A4A">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27</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7B964D99">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两相智能配电机箱（主材价，具有智能联网功能，含安装及调试）</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7F11E3D7">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4610883">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6D7DDA49">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4FB31D2">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7EE912A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02277A1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19D63BD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0CFD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7E3AE83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28</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6E64C32">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三相智能配电机箱（主材价，具有智能联网功能，含安装及调试）</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20A1C5B">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1A2CB49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0B1A95CD">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3D407C7B">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5A23E00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E42CB9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4B9D75C3">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708A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2343F7B3">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29</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515E53D5">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应急布控摄像机安装调试（含主材）</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02FB63C">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F358C55">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18"/>
                <w:szCs w:val="24"/>
              </w:rPr>
            </w:pPr>
            <w:r>
              <w:rPr>
                <w:rFonts w:hint="eastAsia" w:ascii="宋体" w:hAnsi="宋体"/>
                <w:color w:val="000000"/>
                <w:sz w:val="18"/>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41164C77">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3491A583">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1C26E94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30C08DD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442D1C63">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70B3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30AF21E1">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30</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06D7259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窄波雷达</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69953C34">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3D1F8C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5471D8B6">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622F55A">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194D4A89">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45D86D6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10BB0C7D">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25E7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1DD50EAF">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31</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642E939D">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太阳能信号灯</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3AD62688">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0171C3A">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套</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5A97EF84">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4C87E28B">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1619A7AE">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A178CAC">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20F73E8C">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5614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4524BB1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32</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19969B7A">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无线地磁车辆检测器</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0C752FD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DC31CF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18"/>
                <w:szCs w:val="24"/>
              </w:rPr>
            </w:pPr>
            <w:r>
              <w:rPr>
                <w:rFonts w:hint="eastAsia" w:ascii="宋体" w:hAnsi="宋体"/>
                <w:color w:val="000000"/>
                <w:sz w:val="18"/>
                <w:szCs w:val="24"/>
              </w:rPr>
              <w:t>个</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7A909C41">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18BB3507">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7B48EEB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07CE091">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50380AD9">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25F6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76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3B4C5729">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33</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78C461C4">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无线车辆检测通信中继器</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100DCE6">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3B44324">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18"/>
                <w:szCs w:val="24"/>
              </w:rPr>
            </w:pPr>
            <w:r>
              <w:rPr>
                <w:rFonts w:hint="eastAsia" w:ascii="宋体" w:hAnsi="宋体"/>
                <w:color w:val="000000"/>
                <w:sz w:val="18"/>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0074254">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7E96844C">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5B94A009">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4BCCC6D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3C5942C8">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7A7D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14A28D00">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34</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4E80FFCE">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雷视磁检测器</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415E1FA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60E19CF4">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18"/>
                <w:szCs w:val="24"/>
              </w:rPr>
            </w:pPr>
            <w:r>
              <w:rPr>
                <w:rFonts w:hint="eastAsia" w:ascii="宋体" w:hAnsi="宋体"/>
                <w:color w:val="000000"/>
                <w:sz w:val="18"/>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3277A0A7">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0D96ACD3">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76817FB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BE3D395">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1AAC4AD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35A0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67" w:type="pct"/>
            <w:tcBorders>
              <w:top w:val="single" w:color="auto" w:sz="6" w:space="0"/>
              <w:left w:val="single" w:color="auto" w:sz="6" w:space="0"/>
              <w:bottom w:val="single" w:color="auto" w:sz="6" w:space="0"/>
              <w:right w:val="single" w:color="auto" w:sz="6" w:space="0"/>
              <w:tl2br w:val="nil"/>
              <w:tr2bl w:val="nil"/>
            </w:tcBorders>
            <w:noWrap w:val="0"/>
            <w:vAlign w:val="top"/>
          </w:tcPr>
          <w:p w14:paraId="05BA6EDD">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35</w:t>
            </w:r>
          </w:p>
        </w:tc>
        <w:tc>
          <w:tcPr>
            <w:tcW w:w="1622" w:type="pct"/>
            <w:tcBorders>
              <w:top w:val="single" w:color="auto" w:sz="6" w:space="0"/>
              <w:left w:val="single" w:color="auto" w:sz="6" w:space="0"/>
              <w:bottom w:val="single" w:color="auto" w:sz="6" w:space="0"/>
              <w:right w:val="single" w:color="auto" w:sz="6" w:space="0"/>
              <w:tl2br w:val="nil"/>
              <w:tr2bl w:val="nil"/>
            </w:tcBorders>
            <w:noWrap w:val="0"/>
            <w:vAlign w:val="top"/>
          </w:tcPr>
          <w:p w14:paraId="1D227191">
            <w:pPr>
              <w:keepNext w:val="0"/>
              <w:keepLines w:val="0"/>
              <w:widowControl/>
              <w:suppressLineNumbers w:val="0"/>
              <w:spacing w:before="0" w:beforeLines="0" w:beforeAutospacing="0" w:after="0" w:afterLines="0" w:afterAutospacing="0"/>
              <w:ind w:left="0" w:right="0"/>
              <w:jc w:val="left"/>
              <w:rPr>
                <w:rFonts w:hint="eastAsia" w:ascii="宋体" w:hAnsi="宋体"/>
                <w:color w:val="000000"/>
                <w:sz w:val="20"/>
                <w:szCs w:val="24"/>
              </w:rPr>
            </w:pPr>
            <w:r>
              <w:rPr>
                <w:rFonts w:hint="eastAsia" w:ascii="宋体" w:hAnsi="宋体"/>
                <w:color w:val="000000"/>
                <w:sz w:val="20"/>
                <w:szCs w:val="24"/>
              </w:rPr>
              <w:t>数据处理器中心</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B09799B">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1</w:t>
            </w:r>
          </w:p>
        </w:tc>
        <w:tc>
          <w:tcPr>
            <w:tcW w:w="265" w:type="pct"/>
            <w:tcBorders>
              <w:top w:val="single" w:color="auto" w:sz="6" w:space="0"/>
              <w:left w:val="single" w:color="auto" w:sz="6" w:space="0"/>
              <w:bottom w:val="single" w:color="auto" w:sz="6" w:space="0"/>
              <w:right w:val="single" w:color="auto" w:sz="6" w:space="0"/>
              <w:tl2br w:val="nil"/>
              <w:tr2bl w:val="nil"/>
            </w:tcBorders>
            <w:noWrap w:val="0"/>
            <w:vAlign w:val="top"/>
          </w:tcPr>
          <w:p w14:paraId="2A58A30B">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18"/>
                <w:szCs w:val="24"/>
              </w:rPr>
            </w:pPr>
            <w:r>
              <w:rPr>
                <w:rFonts w:hint="eastAsia" w:ascii="宋体" w:hAnsi="宋体"/>
                <w:color w:val="000000"/>
                <w:sz w:val="18"/>
                <w:szCs w:val="24"/>
              </w:rPr>
              <w:t>台</w:t>
            </w:r>
          </w:p>
        </w:tc>
        <w:tc>
          <w:tcPr>
            <w:tcW w:w="533" w:type="pct"/>
            <w:tcBorders>
              <w:top w:val="single" w:color="auto" w:sz="6" w:space="0"/>
              <w:left w:val="single" w:color="auto" w:sz="6" w:space="0"/>
              <w:bottom w:val="single" w:color="auto" w:sz="6" w:space="0"/>
              <w:right w:val="single" w:color="auto" w:sz="6" w:space="0"/>
              <w:tl2br w:val="nil"/>
              <w:tr2bl w:val="nil"/>
            </w:tcBorders>
            <w:noWrap w:val="0"/>
            <w:vAlign w:val="top"/>
          </w:tcPr>
          <w:p w14:paraId="22E3529B">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25" w:type="pct"/>
            <w:tcBorders>
              <w:top w:val="single" w:color="auto" w:sz="6" w:space="0"/>
              <w:left w:val="single" w:color="auto" w:sz="6" w:space="0"/>
              <w:bottom w:val="single" w:color="auto" w:sz="6" w:space="0"/>
              <w:right w:val="single" w:color="auto" w:sz="6" w:space="0"/>
              <w:tl2br w:val="nil"/>
              <w:tr2bl w:val="nil"/>
            </w:tcBorders>
            <w:noWrap w:val="0"/>
            <w:vAlign w:val="top"/>
          </w:tcPr>
          <w:p w14:paraId="5DF6546B">
            <w:pPr>
              <w:keepNext w:val="0"/>
              <w:keepLines w:val="0"/>
              <w:widowControl/>
              <w:suppressLineNumbers w:val="0"/>
              <w:spacing w:before="0" w:beforeLines="0" w:beforeAutospacing="0" w:after="0" w:afterLines="0" w:afterAutospacing="0"/>
              <w:ind w:left="0" w:right="0"/>
              <w:jc w:val="center"/>
              <w:rPr>
                <w:rFonts w:hint="eastAsia" w:ascii="宋体" w:hAnsi="宋体"/>
                <w:color w:val="FF0000"/>
                <w:sz w:val="20"/>
                <w:szCs w:val="24"/>
              </w:rPr>
            </w:pPr>
            <w:r>
              <w:rPr>
                <w:rFonts w:hint="eastAsia" w:ascii="宋体" w:hAnsi="宋体"/>
                <w:color w:val="FF0000"/>
                <w:sz w:val="20"/>
                <w:szCs w:val="24"/>
              </w:rPr>
              <w:t>投标人填报</w:t>
            </w:r>
          </w:p>
        </w:tc>
        <w:tc>
          <w:tcPr>
            <w:tcW w:w="500" w:type="pct"/>
            <w:tcBorders>
              <w:top w:val="single" w:color="auto" w:sz="6" w:space="0"/>
              <w:left w:val="single" w:color="auto" w:sz="6" w:space="0"/>
              <w:bottom w:val="single" w:color="auto" w:sz="6" w:space="0"/>
              <w:right w:val="single" w:color="auto" w:sz="6" w:space="0"/>
              <w:tl2br w:val="nil"/>
              <w:tr2bl w:val="nil"/>
            </w:tcBorders>
            <w:noWrap w:val="0"/>
            <w:vAlign w:val="top"/>
          </w:tcPr>
          <w:p w14:paraId="5697C257">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527" w:type="pct"/>
            <w:tcBorders>
              <w:top w:val="single" w:color="auto" w:sz="6" w:space="0"/>
              <w:left w:val="single" w:color="auto" w:sz="6" w:space="0"/>
              <w:bottom w:val="single" w:color="auto" w:sz="6" w:space="0"/>
              <w:right w:val="single" w:color="auto" w:sz="6" w:space="0"/>
              <w:tl2br w:val="nil"/>
              <w:tr2bl w:val="nil"/>
            </w:tcBorders>
            <w:noWrap w:val="0"/>
            <w:vAlign w:val="top"/>
          </w:tcPr>
          <w:p w14:paraId="12AD479A">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c>
          <w:tcPr>
            <w:tcW w:w="370" w:type="pct"/>
            <w:tcBorders>
              <w:top w:val="single" w:color="auto" w:sz="6" w:space="0"/>
              <w:left w:val="single" w:color="auto" w:sz="6" w:space="0"/>
              <w:bottom w:val="single" w:color="auto" w:sz="6" w:space="0"/>
              <w:right w:val="single" w:color="auto" w:sz="6" w:space="0"/>
              <w:tl2br w:val="nil"/>
              <w:tr2bl w:val="nil"/>
            </w:tcBorders>
            <w:noWrap w:val="0"/>
            <w:vAlign w:val="top"/>
          </w:tcPr>
          <w:p w14:paraId="6707A170">
            <w:pPr>
              <w:keepNext w:val="0"/>
              <w:keepLines w:val="0"/>
              <w:widowControl/>
              <w:suppressLineNumbers w:val="0"/>
              <w:spacing w:before="0" w:beforeLines="0" w:beforeAutospacing="0" w:after="0" w:afterLines="0" w:afterAutospacing="0"/>
              <w:ind w:left="0" w:right="0"/>
              <w:jc w:val="right"/>
              <w:rPr>
                <w:rFonts w:hint="eastAsia" w:ascii="宋体" w:hAnsi="宋体"/>
                <w:color w:val="000000"/>
                <w:sz w:val="20"/>
                <w:szCs w:val="24"/>
              </w:rPr>
            </w:pPr>
          </w:p>
        </w:tc>
      </w:tr>
      <w:tr w14:paraId="7AAC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 w:type="pct"/>
          <w:trHeight w:val="380" w:hRule="atLeast"/>
        </w:trPr>
        <w:tc>
          <w:tcPr>
            <w:tcW w:w="3055" w:type="pct"/>
            <w:gridSpan w:val="5"/>
            <w:tcBorders>
              <w:top w:val="single" w:color="auto" w:sz="6" w:space="0"/>
              <w:left w:val="single" w:color="auto" w:sz="6" w:space="0"/>
              <w:bottom w:val="single" w:color="auto" w:sz="6" w:space="0"/>
              <w:right w:val="single" w:color="auto" w:sz="6" w:space="0"/>
              <w:tl2br w:val="nil"/>
              <w:tr2bl w:val="nil"/>
            </w:tcBorders>
            <w:noWrap w:val="0"/>
            <w:vAlign w:val="top"/>
          </w:tcPr>
          <w:p w14:paraId="7E583121">
            <w:pPr>
              <w:keepNext w:val="0"/>
              <w:keepLines w:val="0"/>
              <w:widowControl/>
              <w:suppressLineNumbers w:val="0"/>
              <w:spacing w:before="0" w:beforeLines="0" w:beforeAutospacing="0" w:after="0" w:afterLines="0" w:afterAutospacing="0"/>
              <w:ind w:left="0" w:right="0"/>
              <w:jc w:val="center"/>
              <w:rPr>
                <w:rFonts w:hint="eastAsia" w:ascii="宋体" w:hAnsi="宋体"/>
                <w:b/>
                <w:color w:val="000000"/>
                <w:sz w:val="20"/>
                <w:szCs w:val="24"/>
              </w:rPr>
            </w:pPr>
            <w:r>
              <w:rPr>
                <w:rFonts w:hint="eastAsia" w:ascii="宋体" w:hAnsi="宋体"/>
                <w:b/>
                <w:color w:val="000000"/>
                <w:sz w:val="20"/>
                <w:szCs w:val="24"/>
              </w:rPr>
              <w:t>合计</w:t>
            </w:r>
          </w:p>
        </w:tc>
        <w:tc>
          <w:tcPr>
            <w:tcW w:w="525" w:type="pct"/>
            <w:tcBorders>
              <w:top w:val="single" w:color="auto" w:sz="6" w:space="0"/>
              <w:left w:val="single" w:color="auto" w:sz="6" w:space="0"/>
              <w:bottom w:val="single" w:color="auto" w:sz="6" w:space="0"/>
              <w:right w:val="nil"/>
              <w:tl2br w:val="nil"/>
              <w:tr2bl w:val="nil"/>
            </w:tcBorders>
            <w:noWrap w:val="0"/>
            <w:vAlign w:val="top"/>
          </w:tcPr>
          <w:p w14:paraId="6E96015D">
            <w:pPr>
              <w:keepNext w:val="0"/>
              <w:keepLines w:val="0"/>
              <w:widowControl/>
              <w:suppressLineNumbers w:val="0"/>
              <w:spacing w:before="0" w:beforeLines="0" w:beforeAutospacing="0" w:after="0" w:afterLines="0" w:afterAutospacing="0"/>
              <w:ind w:left="0" w:right="0"/>
              <w:jc w:val="right"/>
              <w:rPr>
                <w:rFonts w:hint="eastAsia" w:ascii="宋体" w:hAnsi="宋体"/>
                <w:b/>
                <w:color w:val="000000"/>
                <w:sz w:val="20"/>
                <w:szCs w:val="24"/>
              </w:rPr>
            </w:pPr>
          </w:p>
        </w:tc>
        <w:tc>
          <w:tcPr>
            <w:tcW w:w="500" w:type="pct"/>
            <w:tcBorders>
              <w:top w:val="single" w:color="auto" w:sz="6" w:space="0"/>
              <w:left w:val="single" w:color="auto" w:sz="6" w:space="0"/>
              <w:bottom w:val="single" w:color="auto" w:sz="6" w:space="0"/>
              <w:right w:val="nil"/>
              <w:tl2br w:val="nil"/>
              <w:tr2bl w:val="nil"/>
            </w:tcBorders>
            <w:noWrap w:val="0"/>
            <w:vAlign w:val="top"/>
          </w:tcPr>
          <w:p w14:paraId="593D514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r>
              <w:rPr>
                <w:rFonts w:hint="eastAsia" w:ascii="宋体" w:hAnsi="宋体"/>
                <w:color w:val="000000"/>
                <w:sz w:val="20"/>
                <w:szCs w:val="24"/>
              </w:rPr>
              <w:t>/</w:t>
            </w:r>
          </w:p>
        </w:tc>
        <w:tc>
          <w:tcPr>
            <w:tcW w:w="527" w:type="pct"/>
            <w:tcBorders>
              <w:top w:val="single" w:color="auto" w:sz="6" w:space="0"/>
              <w:left w:val="nil"/>
              <w:bottom w:val="single" w:color="auto" w:sz="6" w:space="0"/>
              <w:right w:val="nil"/>
              <w:tl2br w:val="nil"/>
              <w:tr2bl w:val="nil"/>
            </w:tcBorders>
            <w:noWrap w:val="0"/>
            <w:vAlign w:val="top"/>
          </w:tcPr>
          <w:p w14:paraId="4A27FF2E">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p>
        </w:tc>
        <w:tc>
          <w:tcPr>
            <w:tcW w:w="370" w:type="pct"/>
            <w:tcBorders>
              <w:top w:val="single" w:color="auto" w:sz="6" w:space="0"/>
              <w:left w:val="nil"/>
              <w:bottom w:val="single" w:color="auto" w:sz="6" w:space="0"/>
              <w:right w:val="single" w:color="auto" w:sz="6" w:space="0"/>
              <w:tl2br w:val="nil"/>
              <w:tr2bl w:val="nil"/>
            </w:tcBorders>
            <w:noWrap w:val="0"/>
            <w:vAlign w:val="top"/>
          </w:tcPr>
          <w:p w14:paraId="309C5A9A">
            <w:pPr>
              <w:keepNext w:val="0"/>
              <w:keepLines w:val="0"/>
              <w:widowControl/>
              <w:suppressLineNumbers w:val="0"/>
              <w:spacing w:before="0" w:beforeLines="0" w:beforeAutospacing="0" w:after="0" w:afterLines="0" w:afterAutospacing="0"/>
              <w:ind w:left="0" w:right="0"/>
              <w:jc w:val="center"/>
              <w:rPr>
                <w:rFonts w:hint="eastAsia" w:ascii="宋体" w:hAnsi="宋体"/>
                <w:color w:val="000000"/>
                <w:sz w:val="20"/>
                <w:szCs w:val="24"/>
              </w:rPr>
            </w:pPr>
          </w:p>
        </w:tc>
      </w:tr>
      <w:tr w14:paraId="5185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top"/>
          </w:tcPr>
          <w:p w14:paraId="060941B5">
            <w:pPr>
              <w:keepNext w:val="0"/>
              <w:keepLines w:val="0"/>
              <w:widowControl/>
              <w:suppressLineNumbers w:val="0"/>
              <w:spacing w:before="0" w:beforeLines="0" w:beforeAutospacing="0" w:after="0" w:afterLines="0" w:afterAutospacing="0"/>
              <w:ind w:left="0" w:right="0"/>
              <w:jc w:val="left"/>
              <w:rPr>
                <w:rFonts w:hint="eastAsia" w:ascii="宋体" w:hAnsi="宋体"/>
                <w:b/>
                <w:color w:val="000000"/>
                <w:sz w:val="22"/>
                <w:szCs w:val="24"/>
              </w:rPr>
            </w:pPr>
            <w:r>
              <w:rPr>
                <w:rFonts w:hint="eastAsia" w:ascii="宋体" w:hAnsi="宋体"/>
                <w:b/>
                <w:color w:val="000000"/>
                <w:sz w:val="22"/>
                <w:szCs w:val="24"/>
              </w:rPr>
              <w:t>说明：</w:t>
            </w:r>
          </w:p>
          <w:p w14:paraId="40258F4F">
            <w:pPr>
              <w:keepNext w:val="0"/>
              <w:keepLines w:val="0"/>
              <w:widowControl/>
              <w:suppressLineNumbers w:val="0"/>
              <w:spacing w:before="0" w:beforeLines="0" w:beforeAutospacing="0" w:after="0" w:afterLines="0" w:afterAutospacing="0"/>
              <w:ind w:left="0" w:right="0"/>
              <w:jc w:val="left"/>
              <w:rPr>
                <w:rFonts w:hint="eastAsia" w:ascii="宋体" w:hAnsi="宋体" w:eastAsia="Times New Roman" w:cs="Times New Roman"/>
                <w:b/>
                <w:bCs w:val="0"/>
                <w:color w:val="000000"/>
                <w:sz w:val="22"/>
                <w:szCs w:val="22"/>
              </w:rPr>
            </w:pPr>
            <w:r>
              <w:rPr>
                <w:rFonts w:hint="default" w:ascii="Times New Roman" w:hAnsi="Times New Roman" w:eastAsia="Times New Roman" w:cs="Times New Roman"/>
                <w:b/>
                <w:bCs w:val="0"/>
                <w:color w:val="000000"/>
                <w:kern w:val="0"/>
                <w:sz w:val="22"/>
                <w:szCs w:val="22"/>
                <w:lang w:val="en-US" w:eastAsia="zh-CN" w:bidi="ar"/>
              </w:rPr>
              <w:t>（</w:t>
            </w:r>
            <w:r>
              <w:rPr>
                <w:rFonts w:hint="eastAsia" w:ascii="宋体" w:hAnsi="宋体" w:eastAsia="宋体" w:cs="宋体"/>
                <w:b/>
                <w:bCs w:val="0"/>
                <w:color w:val="000000"/>
                <w:kern w:val="0"/>
                <w:sz w:val="22"/>
                <w:szCs w:val="22"/>
                <w:lang w:val="en-US" w:eastAsia="zh-CN" w:bidi="ar"/>
              </w:rPr>
              <w:t>1</w:t>
            </w:r>
            <w:r>
              <w:rPr>
                <w:rFonts w:hint="default" w:ascii="Times New Roman" w:hAnsi="Times New Roman" w:eastAsia="Times New Roman" w:cs="Times New Roman"/>
                <w:b/>
                <w:bCs w:val="0"/>
                <w:color w:val="000000"/>
                <w:kern w:val="0"/>
                <w:sz w:val="22"/>
                <w:szCs w:val="22"/>
                <w:lang w:val="en-US" w:eastAsia="zh-CN" w:bidi="ar"/>
              </w:rPr>
              <w:t>）具体采购量以采购人实际下达的采购任务书为准；</w:t>
            </w:r>
          </w:p>
          <w:p w14:paraId="5AD6D571">
            <w:pPr>
              <w:keepNext w:val="0"/>
              <w:keepLines w:val="0"/>
              <w:widowControl/>
              <w:suppressLineNumbers w:val="0"/>
              <w:spacing w:before="0" w:beforeLines="0" w:beforeAutospacing="0" w:after="0" w:afterLines="0" w:afterAutospacing="0"/>
              <w:ind w:left="0" w:right="0"/>
              <w:jc w:val="left"/>
              <w:rPr>
                <w:rFonts w:hint="eastAsia" w:ascii="宋体" w:hAnsi="宋体" w:eastAsia="Times New Roman" w:cs="Times New Roman"/>
                <w:b/>
                <w:bCs w:val="0"/>
                <w:color w:val="000000"/>
                <w:sz w:val="22"/>
                <w:szCs w:val="22"/>
              </w:rPr>
            </w:pPr>
            <w:r>
              <w:rPr>
                <w:rFonts w:hint="default" w:ascii="Times New Roman" w:hAnsi="Times New Roman" w:eastAsia="Times New Roman" w:cs="Times New Roman"/>
                <w:b/>
                <w:bCs w:val="0"/>
                <w:color w:val="000000"/>
                <w:kern w:val="0"/>
                <w:sz w:val="22"/>
                <w:szCs w:val="22"/>
                <w:lang w:val="en-US" w:eastAsia="zh-CN" w:bidi="ar"/>
              </w:rPr>
              <w:t>（</w:t>
            </w:r>
            <w:r>
              <w:rPr>
                <w:rFonts w:hint="eastAsia" w:ascii="宋体" w:hAnsi="宋体" w:eastAsia="宋体" w:cs="宋体"/>
                <w:b/>
                <w:bCs w:val="0"/>
                <w:color w:val="000000"/>
                <w:kern w:val="0"/>
                <w:sz w:val="22"/>
                <w:szCs w:val="22"/>
                <w:lang w:val="en-US" w:eastAsia="zh-CN" w:bidi="ar"/>
              </w:rPr>
              <w:t>2</w:t>
            </w:r>
            <w:r>
              <w:rPr>
                <w:rFonts w:hint="default" w:ascii="Times New Roman" w:hAnsi="Times New Roman" w:eastAsia="Times New Roman" w:cs="Times New Roman"/>
                <w:b/>
                <w:bCs w:val="0"/>
                <w:color w:val="000000"/>
                <w:kern w:val="0"/>
                <w:sz w:val="22"/>
                <w:szCs w:val="22"/>
                <w:lang w:val="en-US" w:eastAsia="zh-CN" w:bidi="ar"/>
              </w:rPr>
              <w:t>）综合单价报价包含基本直接费、措施费、管理费、规费及税金等；</w:t>
            </w:r>
          </w:p>
          <w:p w14:paraId="6B3F38A2">
            <w:pPr>
              <w:keepNext w:val="0"/>
              <w:keepLines w:val="0"/>
              <w:widowControl/>
              <w:suppressLineNumbers w:val="0"/>
              <w:spacing w:before="0" w:beforeAutospacing="0" w:after="0" w:afterAutospacing="0"/>
              <w:ind w:left="0" w:right="0"/>
              <w:jc w:val="left"/>
              <w:rPr>
                <w:rFonts w:hint="default" w:ascii="Times New Roman" w:hAnsi="Times New Roman" w:cs="Times New Roman"/>
                <w:sz w:val="24"/>
                <w:szCs w:val="24"/>
              </w:rPr>
            </w:pPr>
            <w:r>
              <w:rPr>
                <w:rFonts w:hint="default" w:ascii="Times New Roman" w:hAnsi="Times New Roman" w:eastAsia="Times New Roman" w:cs="Times New Roman"/>
                <w:b/>
                <w:bCs w:val="0"/>
                <w:color w:val="FF0000"/>
                <w:kern w:val="0"/>
                <w:sz w:val="22"/>
                <w:szCs w:val="22"/>
                <w:lang w:val="en-US" w:eastAsia="zh-CN" w:bidi="ar"/>
              </w:rPr>
              <w:t>（</w:t>
            </w:r>
            <w:r>
              <w:rPr>
                <w:rFonts w:hint="eastAsia" w:ascii="宋体" w:hAnsi="宋体" w:eastAsia="宋体" w:cs="宋体"/>
                <w:b/>
                <w:bCs w:val="0"/>
                <w:color w:val="FF0000"/>
                <w:kern w:val="0"/>
                <w:sz w:val="22"/>
                <w:szCs w:val="22"/>
                <w:lang w:val="en-US" w:eastAsia="zh-CN" w:bidi="ar"/>
              </w:rPr>
              <w:t>3</w:t>
            </w:r>
            <w:r>
              <w:rPr>
                <w:rFonts w:hint="default" w:ascii="Times New Roman" w:hAnsi="Times New Roman" w:eastAsia="Times New Roman" w:cs="Times New Roman"/>
                <w:b/>
                <w:bCs w:val="0"/>
                <w:color w:val="FF0000"/>
                <w:kern w:val="0"/>
                <w:sz w:val="22"/>
                <w:szCs w:val="22"/>
                <w:lang w:val="en-US" w:eastAsia="zh-CN" w:bidi="ar"/>
              </w:rPr>
              <w:t>）</w:t>
            </w:r>
            <w:r>
              <w:rPr>
                <w:rFonts w:hint="eastAsia" w:cs="Times New Roman"/>
                <w:b/>
                <w:bCs w:val="0"/>
                <w:color w:val="FF0000"/>
                <w:kern w:val="0"/>
                <w:sz w:val="22"/>
                <w:szCs w:val="22"/>
                <w:lang w:val="en-US" w:eastAsia="zh-CN" w:bidi="ar"/>
              </w:rPr>
              <w:t>所有</w:t>
            </w:r>
            <w:r>
              <w:rPr>
                <w:rFonts w:hint="default" w:ascii="Times New Roman" w:hAnsi="Times New Roman" w:eastAsia="Times New Roman" w:cs="Times New Roman"/>
                <w:b/>
                <w:bCs w:val="0"/>
                <w:color w:val="FF0000"/>
                <w:kern w:val="0"/>
                <w:sz w:val="22"/>
                <w:szCs w:val="22"/>
                <w:lang w:val="en-US" w:eastAsia="zh-CN" w:bidi="ar"/>
              </w:rPr>
              <w:t>设备必须提供</w:t>
            </w:r>
            <w:r>
              <w:rPr>
                <w:rFonts w:hint="eastAsia" w:ascii="宋体" w:hAnsi="宋体" w:eastAsia="宋体" w:cs="宋体"/>
                <w:b/>
                <w:bCs w:val="0"/>
                <w:color w:val="FF0000"/>
                <w:kern w:val="0"/>
                <w:sz w:val="22"/>
                <w:szCs w:val="22"/>
                <w:lang w:val="en-US" w:eastAsia="zh-CN" w:bidi="ar"/>
              </w:rPr>
              <w:t>2</w:t>
            </w:r>
            <w:r>
              <w:rPr>
                <w:rFonts w:hint="default" w:ascii="Times New Roman" w:hAnsi="Times New Roman" w:eastAsia="Times New Roman" w:cs="Times New Roman"/>
                <w:b/>
                <w:bCs w:val="0"/>
                <w:color w:val="FF0000"/>
                <w:kern w:val="0"/>
                <w:sz w:val="22"/>
                <w:szCs w:val="22"/>
                <w:lang w:val="en-US" w:eastAsia="zh-CN" w:bidi="ar"/>
              </w:rPr>
              <w:t>个品牌，不填或填写同一品牌视为</w:t>
            </w:r>
            <w:r>
              <w:rPr>
                <w:rFonts w:hint="eastAsia" w:ascii="宋体" w:hAnsi="宋体" w:eastAsia="宋体" w:cs="宋体"/>
                <w:b/>
                <w:bCs w:val="0"/>
                <w:color w:val="FF0000"/>
                <w:kern w:val="0"/>
                <w:sz w:val="22"/>
                <w:szCs w:val="22"/>
                <w:lang w:val="en-US" w:eastAsia="zh-CN" w:bidi="ar"/>
              </w:rPr>
              <w:t>投标无效</w:t>
            </w:r>
            <w:r>
              <w:rPr>
                <w:rFonts w:hint="default" w:ascii="Times New Roman" w:hAnsi="Times New Roman" w:eastAsia="Times New Roman" w:cs="Times New Roman"/>
                <w:b/>
                <w:bCs w:val="0"/>
                <w:color w:val="FF0000"/>
                <w:kern w:val="0"/>
                <w:sz w:val="22"/>
                <w:szCs w:val="22"/>
                <w:lang w:val="en-US" w:eastAsia="zh-CN" w:bidi="ar"/>
              </w:rPr>
              <w:t>。</w:t>
            </w:r>
          </w:p>
          <w:p w14:paraId="0078F917">
            <w:pPr>
              <w:keepNext w:val="0"/>
              <w:keepLines w:val="0"/>
              <w:widowControl/>
              <w:suppressLineNumbers w:val="0"/>
              <w:spacing w:before="0" w:beforeLines="0" w:beforeAutospacing="0" w:after="0" w:afterLines="0" w:afterAutospacing="0"/>
              <w:ind w:left="0" w:right="0"/>
              <w:jc w:val="left"/>
              <w:rPr>
                <w:rFonts w:hint="eastAsia" w:ascii="宋体" w:hAnsi="宋体"/>
                <w:b/>
                <w:color w:val="000000"/>
                <w:sz w:val="22"/>
                <w:szCs w:val="24"/>
              </w:rPr>
            </w:pPr>
          </w:p>
        </w:tc>
      </w:tr>
    </w:tbl>
    <w:p w14:paraId="046F0779">
      <w:pPr>
        <w:ind w:firstLine="482" w:firstLineChars="200"/>
        <w:jc w:val="both"/>
        <w:rPr>
          <w:rFonts w:hint="eastAsia" w:ascii="宋体" w:hAnsi="宋体" w:eastAsia="宋体" w:cs="Times New Roman"/>
          <w:b/>
          <w:lang w:val="en-US" w:eastAsia="zh-CN" w:bidi="ar-SA"/>
        </w:rPr>
      </w:pPr>
    </w:p>
    <w:p w14:paraId="7B368C38">
      <w:pPr>
        <w:keepNext w:val="0"/>
        <w:keepLines w:val="0"/>
        <w:widowControl/>
        <w:suppressLineNumbers w:val="0"/>
        <w:spacing w:before="0" w:beforeAutospacing="0" w:after="0" w:afterAutospacing="0"/>
        <w:ind w:left="0" w:right="0" w:firstLine="482" w:firstLineChars="200"/>
        <w:jc w:val="both"/>
        <w:rPr>
          <w:rFonts w:hint="eastAsia" w:ascii="宋体" w:hAnsi="宋体" w:eastAsia="宋体" w:cs="Times New Roman"/>
          <w:b/>
          <w:bCs w:val="0"/>
          <w:sz w:val="24"/>
          <w:szCs w:val="24"/>
        </w:rPr>
      </w:pPr>
      <w:r>
        <w:rPr>
          <w:rFonts w:hint="eastAsia" w:ascii="宋体" w:hAnsi="宋体" w:eastAsia="宋体" w:cs="宋体"/>
          <w:b/>
          <w:bCs w:val="0"/>
          <w:kern w:val="0"/>
          <w:sz w:val="24"/>
          <w:szCs w:val="24"/>
          <w:lang w:val="en-US" w:eastAsia="zh-CN" w:bidi="ar"/>
        </w:rPr>
        <w:t>注：</w:t>
      </w:r>
    </w:p>
    <w:p w14:paraId="0FBF6DAD">
      <w:pPr>
        <w:keepNext w:val="0"/>
        <w:keepLines w:val="0"/>
        <w:widowControl/>
        <w:suppressLineNumbers w:val="0"/>
        <w:spacing w:before="0" w:beforeAutospacing="0" w:after="0" w:afterAutospacing="0"/>
        <w:ind w:left="0" w:right="0" w:firstLine="482" w:firstLineChars="200"/>
        <w:jc w:val="both"/>
        <w:rPr>
          <w:rFonts w:hint="default" w:ascii="Times New Roman" w:hAnsi="Times New Roman" w:cs="Times New Roman"/>
          <w:sz w:val="24"/>
          <w:szCs w:val="24"/>
        </w:rPr>
      </w:pPr>
      <w:r>
        <w:rPr>
          <w:rFonts w:hint="eastAsia" w:ascii="宋体" w:hAnsi="宋体" w:eastAsia="宋体" w:cs="宋体"/>
          <w:b/>
          <w:bCs w:val="0"/>
          <w:kern w:val="0"/>
          <w:sz w:val="24"/>
          <w:szCs w:val="24"/>
          <w:lang w:val="en-US" w:eastAsia="zh-CN" w:bidi="ar"/>
        </w:rPr>
        <w:t>1.所有价格应按“招标文件”中规定的货币单位填写；投标总价应为维护服务报价与设备更新采购报价之和；投标总价和项目报价表中单个采购预算条目报价均不得超过对应的财政预算限额，否则将导致</w:t>
      </w:r>
      <w:r>
        <w:rPr>
          <w:rFonts w:hint="eastAsia" w:ascii="宋体" w:hAnsi="宋体" w:eastAsia="宋体" w:cs="宋体"/>
          <w:b/>
          <w:bCs w:val="0"/>
          <w:color w:val="FF0000"/>
          <w:kern w:val="0"/>
          <w:sz w:val="24"/>
          <w:szCs w:val="24"/>
          <w:lang w:val="en-US" w:eastAsia="zh-CN" w:bidi="ar"/>
        </w:rPr>
        <w:t>投标无效</w:t>
      </w:r>
      <w:r>
        <w:rPr>
          <w:rFonts w:hint="eastAsia" w:ascii="宋体" w:hAnsi="宋体" w:eastAsia="宋体" w:cs="宋体"/>
          <w:b/>
          <w:bCs w:val="0"/>
          <w:kern w:val="0"/>
          <w:sz w:val="24"/>
          <w:szCs w:val="24"/>
          <w:lang w:val="en-US" w:eastAsia="zh-CN" w:bidi="ar"/>
        </w:rPr>
        <w:t>。</w:t>
      </w:r>
    </w:p>
    <w:p w14:paraId="0F75165C">
      <w:pPr>
        <w:keepNext w:val="0"/>
        <w:keepLines w:val="0"/>
        <w:widowControl/>
        <w:suppressLineNumbers w:val="0"/>
        <w:spacing w:before="0" w:beforeAutospacing="0" w:after="0" w:afterAutospacing="0"/>
        <w:ind w:left="0" w:right="0" w:firstLine="482" w:firstLineChars="200"/>
        <w:jc w:val="both"/>
        <w:rPr>
          <w:rFonts w:hint="eastAsia" w:ascii="宋体" w:hAnsi="宋体" w:eastAsia="宋体" w:cs="Times New Roman"/>
          <w:b/>
          <w:bCs w:val="0"/>
          <w:sz w:val="24"/>
          <w:szCs w:val="24"/>
        </w:rPr>
      </w:pPr>
      <w:r>
        <w:rPr>
          <w:rFonts w:hint="eastAsia" w:ascii="宋体" w:hAnsi="宋体" w:eastAsia="宋体" w:cs="宋体"/>
          <w:b/>
          <w:bCs w:val="0"/>
          <w:kern w:val="0"/>
          <w:sz w:val="24"/>
          <w:szCs w:val="24"/>
          <w:lang w:val="en-US" w:eastAsia="zh-CN" w:bidi="ar"/>
        </w:rPr>
        <w:t>2.维护服务费用按实际维护数量*单价（投标人投标文件中维护服务报价表综合单价）进行结算，设备用电费用以开具发票（含税价）金额结算，区间测速检定代缴费以实际结算为准。维护服务最终结算金额不超维护服务费用的分项预算金额。</w:t>
      </w:r>
    </w:p>
    <w:p w14:paraId="7950090A">
      <w:pPr>
        <w:keepNext w:val="0"/>
        <w:keepLines w:val="0"/>
        <w:widowControl/>
        <w:suppressLineNumbers w:val="0"/>
        <w:spacing w:before="0" w:beforeAutospacing="0" w:after="0" w:afterAutospacing="0"/>
        <w:ind w:left="0" w:right="0" w:firstLine="482" w:firstLineChars="200"/>
        <w:jc w:val="both"/>
        <w:rPr>
          <w:rFonts w:hint="eastAsia" w:ascii="宋体" w:hAnsi="宋体" w:eastAsia="宋体" w:cs="Times New Roman"/>
          <w:b/>
          <w:bCs w:val="0"/>
          <w:sz w:val="24"/>
          <w:szCs w:val="24"/>
        </w:rPr>
      </w:pPr>
      <w:r>
        <w:rPr>
          <w:rFonts w:hint="eastAsia" w:ascii="宋体" w:hAnsi="宋体" w:eastAsia="宋体" w:cs="宋体"/>
          <w:b/>
          <w:bCs w:val="0"/>
          <w:kern w:val="0"/>
          <w:sz w:val="24"/>
          <w:szCs w:val="24"/>
          <w:lang w:val="en-US" w:eastAsia="zh-CN" w:bidi="ar"/>
        </w:rPr>
        <w:t>3.设备更新采购费用按实际维护数量*单价（投标人投标文件中设备更新采购表综合单价）进行结算，最终结算金额不超设备更新采购报价的分项预算金额。</w:t>
      </w:r>
    </w:p>
    <w:p w14:paraId="2966E8EF">
      <w:pPr>
        <w:rPr>
          <w:rFonts w:hint="eastAsia"/>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br w:type="page"/>
      </w:r>
    </w:p>
    <w:p w14:paraId="0D95884F">
      <w:pPr>
        <w:pStyle w:val="3"/>
        <w:jc w:val="center"/>
        <w:rPr>
          <w:bCs w:val="0"/>
          <w:color w:val="000000" w:themeColor="text1"/>
          <w:sz w:val="24"/>
          <w:szCs w:val="24"/>
          <w14:textFill>
            <w14:solidFill>
              <w14:schemeClr w14:val="tx1"/>
            </w14:solidFill>
          </w14:textFill>
        </w:rPr>
      </w:pPr>
      <w:r>
        <w:rPr>
          <w:rFonts w:hint="eastAsia"/>
          <w:bCs w:val="0"/>
          <w:color w:val="000000" w:themeColor="text1"/>
          <w:sz w:val="24"/>
          <w:szCs w:val="24"/>
          <w:lang w:eastAsia="zh-CN"/>
          <w14:textFill>
            <w14:solidFill>
              <w14:schemeClr w14:val="tx1"/>
            </w14:solidFill>
          </w14:textFill>
        </w:rPr>
        <w:t>六</w:t>
      </w:r>
      <w:r>
        <w:rPr>
          <w:rFonts w:hint="eastAsia"/>
          <w:bCs w:val="0"/>
          <w:color w:val="000000" w:themeColor="text1"/>
          <w:sz w:val="24"/>
          <w:szCs w:val="24"/>
          <w14:textFill>
            <w14:solidFill>
              <w14:schemeClr w14:val="tx1"/>
            </w14:solidFill>
          </w14:textFill>
        </w:rPr>
        <w:t>、供应商资格（资质、认证）情况</w:t>
      </w:r>
    </w:p>
    <w:p w14:paraId="776A17A9">
      <w:pPr>
        <w:pStyle w:val="3"/>
        <w:jc w:val="center"/>
        <w:rPr>
          <w:bCs w:val="0"/>
          <w:color w:val="000000" w:themeColor="text1"/>
          <w:sz w:val="24"/>
          <w:szCs w:val="24"/>
          <w14:textFill>
            <w14:solidFill>
              <w14:schemeClr w14:val="tx1"/>
            </w14:solidFill>
          </w14:textFill>
        </w:rPr>
      </w:pPr>
      <w:r>
        <w:rPr>
          <w:rFonts w:hint="eastAsia"/>
          <w:bCs w:val="0"/>
          <w:sz w:val="24"/>
          <w:szCs w:val="24"/>
          <w:lang w:eastAsia="zh-CN"/>
        </w:rPr>
        <w:t>七</w:t>
      </w:r>
      <w:r>
        <w:rPr>
          <w:rFonts w:hint="eastAsia"/>
          <w:bCs w:val="0"/>
          <w:sz w:val="24"/>
          <w:szCs w:val="24"/>
        </w:rPr>
        <w:t>、投标人同类项目业绩情况</w:t>
      </w:r>
    </w:p>
    <w:p w14:paraId="1837D8CD">
      <w:pPr>
        <w:pStyle w:val="3"/>
        <w:jc w:val="center"/>
        <w:rPr>
          <w:bCs w:val="0"/>
          <w:color w:val="000000" w:themeColor="text1"/>
          <w:sz w:val="24"/>
          <w:szCs w:val="24"/>
          <w14:textFill>
            <w14:solidFill>
              <w14:schemeClr w14:val="tx1"/>
            </w14:solidFill>
          </w14:textFill>
        </w:rPr>
      </w:pPr>
      <w:r>
        <w:rPr>
          <w:rFonts w:hint="eastAsia"/>
          <w:bCs w:val="0"/>
          <w:sz w:val="24"/>
          <w:szCs w:val="24"/>
          <w:lang w:val="en-US" w:eastAsia="zh-CN"/>
        </w:rPr>
        <w:t>八、</w:t>
      </w:r>
      <w:r>
        <w:rPr>
          <w:rFonts w:hint="eastAsia"/>
          <w:bCs w:val="0"/>
          <w:color w:val="000000" w:themeColor="text1"/>
          <w:sz w:val="24"/>
          <w:szCs w:val="24"/>
          <w14:textFill>
            <w14:solidFill>
              <w14:schemeClr w14:val="tx1"/>
            </w14:solidFill>
          </w14:textFill>
        </w:rPr>
        <w:t>投标人认为需要加以说明的其他</w:t>
      </w:r>
      <w:r>
        <w:rPr>
          <w:rFonts w:hint="eastAsia"/>
          <w:bCs w:val="0"/>
          <w:color w:val="000000" w:themeColor="text1"/>
          <w:sz w:val="24"/>
          <w:szCs w:val="24"/>
          <w:lang w:eastAsia="zh-CN"/>
          <w14:textFill>
            <w14:solidFill>
              <w14:schemeClr w14:val="tx1"/>
            </w14:solidFill>
          </w14:textFill>
        </w:rPr>
        <w:t>公开</w:t>
      </w:r>
      <w:r>
        <w:rPr>
          <w:rFonts w:hint="eastAsia"/>
          <w:bCs w:val="0"/>
          <w:color w:val="000000" w:themeColor="text1"/>
          <w:sz w:val="24"/>
          <w:szCs w:val="24"/>
          <w14:textFill>
            <w14:solidFill>
              <w14:schemeClr w14:val="tx1"/>
            </w14:solidFill>
          </w14:textFill>
        </w:rPr>
        <w:t>内容（格式自定）</w:t>
      </w:r>
    </w:p>
    <w:p w14:paraId="574FE683">
      <w:pPr>
        <w:rPr>
          <w:rFonts w:eastAsia="黑体"/>
          <w:bCs/>
        </w:rPr>
      </w:pPr>
    </w:p>
    <w:p w14:paraId="677653A0">
      <w:pPr>
        <w:rPr>
          <w:color w:val="000000" w:themeColor="text1"/>
          <w14:textFill>
            <w14:solidFill>
              <w14:schemeClr w14:val="tx1"/>
            </w14:solidFill>
          </w14:textFill>
        </w:rPr>
      </w:pPr>
    </w:p>
    <w:p w14:paraId="1BBA546E">
      <w:pPr>
        <w:rPr>
          <w:color w:val="000000" w:themeColor="text1"/>
          <w14:textFill>
            <w14:solidFill>
              <w14:schemeClr w14:val="tx1"/>
            </w14:solidFill>
          </w14:textFill>
        </w:rPr>
      </w:pPr>
    </w:p>
    <w:p w14:paraId="5B8AF106">
      <w:pPr>
        <w:ind w:firstLine="1441" w:firstLineChars="600"/>
        <w:rPr>
          <w:b/>
          <w:color w:val="FF0000"/>
        </w:rPr>
      </w:pPr>
      <w:r>
        <w:rPr>
          <w:rFonts w:hint="eastAsia"/>
          <w:b/>
          <w:color w:val="FF0000"/>
        </w:rPr>
        <w:t>（信息公开部分的内容到此为止！以下为信息不公开部分。）</w:t>
      </w:r>
    </w:p>
    <w:p w14:paraId="4DBFAF63">
      <w:pPr>
        <w:ind w:firstLine="1441" w:firstLineChars="600"/>
        <w:rPr>
          <w:b/>
          <w:color w:val="FF0000"/>
        </w:rPr>
      </w:pPr>
    </w:p>
    <w:p w14:paraId="62D2EF9B">
      <w:pPr>
        <w:ind w:firstLine="1441" w:firstLineChars="600"/>
        <w:rPr>
          <w:b/>
          <w:color w:val="FF0000"/>
        </w:rPr>
      </w:pPr>
    </w:p>
    <w:p w14:paraId="1C9CFF10">
      <w:pPr>
        <w:rPr>
          <w:b/>
          <w:color w:val="FF0000"/>
        </w:rPr>
      </w:pPr>
      <w:r>
        <w:rPr>
          <w:b/>
          <w:color w:val="FF0000"/>
        </w:rPr>
        <w:br w:type="page"/>
      </w:r>
    </w:p>
    <w:p w14:paraId="107562CA">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18AC0816">
      <w:pPr>
        <w:pStyle w:val="3"/>
        <w:jc w:val="center"/>
        <w:rPr>
          <w:rFonts w:ascii="黑体" w:eastAsia="黑体"/>
          <w:b w:val="0"/>
          <w:sz w:val="24"/>
          <w:highlight w:val="none"/>
        </w:rPr>
      </w:pPr>
      <w:r>
        <w:rPr>
          <w:rFonts w:hint="eastAsia" w:ascii="黑体" w:eastAsia="黑体"/>
          <w:bCs w:val="0"/>
          <w:color w:val="000000" w:themeColor="text1"/>
          <w:sz w:val="24"/>
          <w14:textFill>
            <w14:solidFill>
              <w14:schemeClr w14:val="tx1"/>
            </w14:solidFill>
          </w14:textFill>
        </w:rPr>
        <w:t>一、</w:t>
      </w:r>
      <w:bookmarkStart w:id="44" w:name="_Hlk72092499"/>
      <w:r>
        <w:rPr>
          <w:rFonts w:hint="eastAsia" w:ascii="黑体" w:eastAsia="黑体"/>
          <w:b w:val="0"/>
          <w:sz w:val="24"/>
          <w:highlight w:val="none"/>
        </w:rPr>
        <w:t>法定代表人（负责人或</w:t>
      </w:r>
      <w:r>
        <w:rPr>
          <w:rFonts w:hint="eastAsia" w:ascii="黑体" w:eastAsia="黑体"/>
          <w:b w:val="0"/>
          <w:color w:val="4F81BD" w:themeColor="accent1"/>
          <w:sz w:val="24"/>
          <w:highlight w:val="none"/>
          <w14:textFill>
            <w14:solidFill>
              <w14:schemeClr w14:val="accent1"/>
            </w14:solidFill>
          </w14:textFill>
        </w:rPr>
        <w:t>执行事务合伙人</w:t>
      </w:r>
      <w:r>
        <w:rPr>
          <w:rFonts w:hint="eastAsia" w:ascii="黑体" w:eastAsia="黑体"/>
          <w:b w:val="0"/>
          <w:sz w:val="24"/>
          <w:highlight w:val="none"/>
        </w:rPr>
        <w:t>）资格证明书</w:t>
      </w:r>
      <w:bookmarkEnd w:id="44"/>
    </w:p>
    <w:p w14:paraId="64D5C8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致友和保险经纪有限公司：</w:t>
      </w:r>
    </w:p>
    <w:p w14:paraId="52180077">
      <w:pPr>
        <w:spacing w:line="480" w:lineRule="exact"/>
        <w:rPr>
          <w:rFonts w:hint="eastAsia" w:asciiTheme="minorEastAsia" w:hAnsiTheme="minorEastAsia" w:eastAsiaTheme="minorEastAsia" w:cstheme="minorEastAsia"/>
          <w:sz w:val="24"/>
        </w:rPr>
      </w:pPr>
    </w:p>
    <w:p w14:paraId="551B3F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单位名称：</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softHyphen/>
      </w:r>
      <w:r>
        <w:rPr>
          <w:rFonts w:hint="eastAsia" w:asciiTheme="minorEastAsia" w:hAnsiTheme="minorEastAsia" w:eastAsiaTheme="minorEastAsia" w:cstheme="minorEastAsia"/>
          <w:color w:val="000000"/>
          <w:sz w:val="24"/>
          <w:u w:val="single"/>
        </w:rPr>
        <w:softHyphen/>
      </w:r>
      <w:r>
        <w:rPr>
          <w:rFonts w:hint="eastAsia" w:asciiTheme="minorEastAsia" w:hAnsiTheme="minorEastAsia" w:eastAsiaTheme="minorEastAsia" w:cstheme="minorEastAsia"/>
          <w:color w:val="000000"/>
          <w:sz w:val="24"/>
          <w:u w:val="single"/>
        </w:rPr>
        <w:softHyphen/>
      </w:r>
      <w:r>
        <w:rPr>
          <w:rFonts w:hint="eastAsia" w:asciiTheme="minorEastAsia" w:hAnsiTheme="minorEastAsia" w:eastAsiaTheme="minorEastAsia" w:cstheme="minorEastAsia"/>
          <w:color w:val="000000"/>
          <w:sz w:val="24"/>
          <w:u w:val="single"/>
        </w:rPr>
        <w:softHyphen/>
      </w:r>
      <w:r>
        <w:rPr>
          <w:rFonts w:hint="eastAsia" w:asciiTheme="minorEastAsia" w:hAnsiTheme="minorEastAsia" w:eastAsiaTheme="minorEastAsia" w:cstheme="minorEastAsia"/>
          <w:color w:val="000000"/>
          <w:sz w:val="24"/>
          <w:u w:val="single"/>
        </w:rPr>
        <w:softHyphen/>
      </w:r>
    </w:p>
    <w:p w14:paraId="1E6240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地    址：</w:t>
      </w:r>
      <w:r>
        <w:rPr>
          <w:rFonts w:hint="eastAsia" w:asciiTheme="minorEastAsia" w:hAnsiTheme="minorEastAsia" w:eastAsiaTheme="minorEastAsia" w:cstheme="minorEastAsia"/>
          <w:color w:val="000000"/>
          <w:sz w:val="24"/>
          <w:u w:val="single"/>
          <w:lang w:val="en-US" w:eastAsia="zh-CN"/>
        </w:rPr>
        <w:t xml:space="preserve">                   </w:t>
      </w:r>
    </w:p>
    <w:p w14:paraId="6C6E03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姓    名：</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性别：</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年龄：</w:t>
      </w:r>
      <w:r>
        <w:rPr>
          <w:rFonts w:hint="eastAsia" w:asciiTheme="minorEastAsia" w:hAnsiTheme="minorEastAsia" w:eastAsiaTheme="minorEastAsia" w:cstheme="minorEastAsia"/>
          <w:color w:val="000000"/>
          <w:sz w:val="24"/>
          <w:u w:val="single"/>
          <w:lang w:val="en-US" w:eastAsia="zh-CN"/>
        </w:rPr>
        <w:t xml:space="preserve">          </w:t>
      </w:r>
    </w:p>
    <w:p w14:paraId="2A2B50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职务：</w:t>
      </w:r>
      <w:r>
        <w:rPr>
          <w:rFonts w:hint="eastAsia" w:asciiTheme="minorEastAsia" w:hAnsiTheme="minorEastAsia" w:eastAsiaTheme="minorEastAsia" w:cstheme="minorEastAsia"/>
          <w:color w:val="000000"/>
          <w:sz w:val="24"/>
          <w:u w:val="single"/>
          <w:lang w:val="en-US" w:eastAsia="zh-CN"/>
        </w:rPr>
        <w:t xml:space="preserve">                   </w:t>
      </w:r>
    </w:p>
    <w:p w14:paraId="7478E0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联系电话或手机号码</w:t>
      </w:r>
      <w:r>
        <w:rPr>
          <w:rFonts w:hint="eastAsia" w:asciiTheme="minorEastAsia" w:hAnsiTheme="minorEastAsia" w:eastAsiaTheme="minorEastAsia" w:cstheme="minorEastAsia"/>
          <w:color w:val="000000"/>
          <w:sz w:val="24"/>
          <w:highlight w:val="yellow"/>
          <w:u w:val="single"/>
          <w:lang w:val="en-US" w:eastAsia="zh-CN"/>
        </w:rPr>
        <w:t>：（如法定代表人为投标人代表，则必须需填写此项）</w:t>
      </w:r>
      <w:r>
        <w:rPr>
          <w:rFonts w:hint="eastAsia" w:asciiTheme="minorEastAsia" w:hAnsiTheme="minorEastAsia" w:eastAsiaTheme="minorEastAsia" w:cstheme="minorEastAsia"/>
          <w:color w:val="000000"/>
          <w:sz w:val="24"/>
          <w:highlight w:val="yellow"/>
          <w:lang w:val="en-US" w:eastAsia="zh-CN"/>
        </w:rPr>
        <w:t>。</w:t>
      </w:r>
    </w:p>
    <w:p w14:paraId="189A93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我系</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投标人名称</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的法定代表人（</w:t>
      </w:r>
      <w:r>
        <w:rPr>
          <w:rFonts w:hint="eastAsia" w:asciiTheme="minorEastAsia" w:hAnsiTheme="minorEastAsia" w:eastAsiaTheme="minorEastAsia" w:cstheme="minorEastAsia"/>
          <w:color w:val="000000"/>
          <w:sz w:val="24"/>
          <w:lang w:eastAsia="zh-CN"/>
        </w:rPr>
        <w:t>负责人或执行事务合伙人</w:t>
      </w:r>
      <w:r>
        <w:rPr>
          <w:rFonts w:hint="eastAsia" w:asciiTheme="minorEastAsia" w:hAnsiTheme="minorEastAsia" w:eastAsiaTheme="minorEastAsia" w:cstheme="minorEastAsia"/>
          <w:color w:val="000000"/>
          <w:sz w:val="24"/>
        </w:rPr>
        <w:t>）。本证明书用于</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lang w:eastAsia="zh-CN"/>
        </w:rPr>
        <w:t>投标人</w:t>
      </w:r>
      <w:r>
        <w:rPr>
          <w:rFonts w:hint="eastAsia" w:asciiTheme="minorEastAsia" w:hAnsiTheme="minorEastAsia" w:eastAsiaTheme="minorEastAsia" w:cstheme="minorEastAsia"/>
          <w:color w:val="000000"/>
          <w:sz w:val="24"/>
          <w:u w:val="single"/>
        </w:rPr>
        <w:t>名称</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签署</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lang w:eastAsia="zh-CN"/>
        </w:rPr>
        <w:t>2025年交通监控设施维护D包</w:t>
      </w:r>
      <w:r>
        <w:rPr>
          <w:rFonts w:hint="eastAsia" w:asciiTheme="minorEastAsia" w:hAnsiTheme="minorEastAsia" w:eastAsiaTheme="minorEastAsia" w:cstheme="minorEastAsia"/>
          <w:color w:val="000000"/>
          <w:sz w:val="24"/>
          <w:u w:val="single"/>
        </w:rPr>
        <w:t>（项目编号</w:t>
      </w:r>
      <w:r>
        <w:rPr>
          <w:rFonts w:hint="eastAsia" w:asciiTheme="minorEastAsia" w:hAnsiTheme="minorEastAsia" w:eastAsiaTheme="minorEastAsia" w:cstheme="minorEastAsia"/>
          <w:color w:val="000000"/>
          <w:sz w:val="24"/>
          <w:u w:val="single"/>
          <w:lang w:eastAsia="zh-CN"/>
        </w:rPr>
        <w:t>：SZDL2025000085</w:t>
      </w:r>
      <w:r>
        <w:rPr>
          <w:rFonts w:hint="eastAsia" w:asciiTheme="minorEastAsia" w:hAnsiTheme="minorEastAsia" w:eastAsiaTheme="minorEastAsia" w:cstheme="minorEastAsia"/>
          <w:color w:val="000000"/>
          <w:sz w:val="24"/>
          <w:u w:val="single"/>
        </w:rPr>
        <w:t>）</w:t>
      </w:r>
      <w:r>
        <w:rPr>
          <w:rFonts w:hint="eastAsia" w:asciiTheme="minorEastAsia" w:hAnsiTheme="minorEastAsia" w:eastAsiaTheme="minorEastAsia" w:cstheme="minorEastAsia"/>
          <w:color w:val="000000"/>
          <w:sz w:val="24"/>
        </w:rPr>
        <w:t>项目的投标文件、进行合同投标、签署合同和处理与之有关的一切事务。</w:t>
      </w:r>
    </w:p>
    <w:p w14:paraId="072305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特此证明。</w:t>
      </w:r>
    </w:p>
    <w:p w14:paraId="715F53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日  期：</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年</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月</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日</w:t>
      </w:r>
    </w:p>
    <w:p w14:paraId="04E1F33E">
      <w:pPr>
        <w:spacing w:line="36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5" name="文本框 5"/>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2142D7">
                            <w:pPr>
                              <w:widowControl/>
                              <w:jc w:val="left"/>
                              <w:rPr>
                                <w:rFonts w:ascii="宋体" w:hAnsi="宋体" w:cs="宋体"/>
                                <w:kern w:val="0"/>
                                <w:sz w:val="24"/>
                              </w:rPr>
                            </w:pPr>
                          </w:p>
                          <w:p w14:paraId="1A4BD847">
                            <w:pPr>
                              <w:widowControl/>
                              <w:jc w:val="left"/>
                            </w:pPr>
                          </w:p>
                          <w:p w14:paraId="4F7D2500">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646BC3D">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59264;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Mnmr1QAAAAcBAAAPAAAAAAAAAAEAIAAAACIAAABkcnMvZG93bnJldi54bWxQSwEC&#10;FAAUAAAACACHTuJAFt58ZDACAAB4BAAADgAAAAAAAAABACAAAAAkAQAAZHJzL2Uyb0RvYy54bWxQ&#10;SwUGAAAAAAYABgBZAQAAxgUAAAAA&#10;">
                <v:fill on="t" focussize="0,0"/>
                <v:stroke color="#000000" joinstyle="miter"/>
                <v:imagedata o:title=""/>
                <o:lock v:ext="edit" aspectratio="f"/>
                <v:textbox>
                  <w:txbxContent>
                    <w:p w14:paraId="0A2142D7">
                      <w:pPr>
                        <w:widowControl/>
                        <w:jc w:val="left"/>
                        <w:rPr>
                          <w:rFonts w:ascii="宋体" w:hAnsi="宋体" w:cs="宋体"/>
                          <w:kern w:val="0"/>
                          <w:sz w:val="24"/>
                        </w:rPr>
                      </w:pPr>
                    </w:p>
                    <w:p w14:paraId="1A4BD847">
                      <w:pPr>
                        <w:widowControl/>
                        <w:jc w:val="left"/>
                      </w:pPr>
                    </w:p>
                    <w:p w14:paraId="4F7D2500">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5646BC3D">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0B7DF9FE">
      <w:pPr>
        <w:spacing w:line="360" w:lineRule="auto"/>
        <w:rPr>
          <w:rFonts w:hint="eastAsia" w:asciiTheme="minorEastAsia" w:hAnsiTheme="minorEastAsia" w:eastAsiaTheme="minorEastAsia" w:cstheme="minorEastAsia"/>
          <w:bCs/>
          <w:color w:val="000000"/>
          <w:sz w:val="24"/>
        </w:rPr>
      </w:pPr>
    </w:p>
    <w:p w14:paraId="3095B158">
      <w:pPr>
        <w:spacing w:line="360" w:lineRule="auto"/>
        <w:rPr>
          <w:rFonts w:hint="eastAsia" w:asciiTheme="minorEastAsia" w:hAnsiTheme="minorEastAsia" w:eastAsiaTheme="minorEastAsia" w:cstheme="minorEastAsia"/>
          <w:bCs/>
          <w:color w:val="000000"/>
          <w:sz w:val="24"/>
        </w:rPr>
      </w:pPr>
    </w:p>
    <w:p w14:paraId="2DAC2947">
      <w:pPr>
        <w:spacing w:line="360" w:lineRule="auto"/>
        <w:rPr>
          <w:rFonts w:hint="eastAsia" w:asciiTheme="minorEastAsia" w:hAnsiTheme="minorEastAsia" w:eastAsiaTheme="minorEastAsia" w:cstheme="minorEastAsia"/>
          <w:bCs/>
          <w:color w:val="000000"/>
          <w:sz w:val="24"/>
        </w:rPr>
      </w:pPr>
    </w:p>
    <w:p w14:paraId="6D030DDC">
      <w:pPr>
        <w:rPr>
          <w:rFonts w:hint="eastAsia" w:asciiTheme="minorEastAsia" w:hAnsiTheme="minorEastAsia" w:eastAsiaTheme="minorEastAsia" w:cstheme="minorEastAsia"/>
          <w:color w:val="000000"/>
          <w:sz w:val="24"/>
        </w:rPr>
      </w:pPr>
    </w:p>
    <w:p w14:paraId="158E540C">
      <w:pPr>
        <w:rPr>
          <w:rFonts w:hint="eastAsia" w:asciiTheme="minorEastAsia" w:hAnsiTheme="minorEastAsia" w:eastAsiaTheme="minorEastAsia" w:cstheme="minorEastAsia"/>
          <w:color w:val="000000"/>
          <w:sz w:val="24"/>
        </w:rPr>
      </w:pPr>
    </w:p>
    <w:p w14:paraId="49AEB888">
      <w:pPr>
        <w:spacing w:after="60"/>
        <w:rPr>
          <w:rFonts w:hint="eastAsia" w:asciiTheme="minorEastAsia" w:hAnsiTheme="minorEastAsia" w:eastAsiaTheme="minorEastAsia" w:cstheme="minorEastAsia"/>
          <w:color w:val="000000"/>
          <w:sz w:val="24"/>
        </w:rPr>
      </w:pPr>
    </w:p>
    <w:p w14:paraId="3C7BCC39">
      <w:pPr>
        <w:rPr>
          <w:rFonts w:hint="eastAsia" w:asciiTheme="minorEastAsia" w:hAnsiTheme="minorEastAsia" w:eastAsiaTheme="minorEastAsia" w:cstheme="minorEastAsia"/>
          <w:color w:val="000000"/>
          <w:sz w:val="24"/>
        </w:rPr>
      </w:pPr>
    </w:p>
    <w:p w14:paraId="3B68AE5B">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E215C8">
                            <w:pPr>
                              <w:widowControl/>
                              <w:jc w:val="left"/>
                              <w:rPr>
                                <w:rFonts w:ascii="宋体" w:hAnsi="宋体" w:cs="宋体"/>
                                <w:kern w:val="0"/>
                                <w:sz w:val="24"/>
                              </w:rPr>
                            </w:pPr>
                          </w:p>
                          <w:p w14:paraId="455489E0">
                            <w:pPr>
                              <w:widowControl/>
                              <w:jc w:val="left"/>
                            </w:pPr>
                          </w:p>
                          <w:p w14:paraId="537248CA">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36392ACE">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0288;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OIGl2QAAAAoBAAAPAAAAAAAAAAEAIAAAACIAAABkcnMvZG93bnJldi54bWxQ&#10;SwECFAAUAAAACACHTuJA0Ql06i8CAAB4BAAADgAAAAAAAAABACAAAAAoAQAAZHJzL2Uyb0RvYy54&#10;bWxQSwUGAAAAAAYABgBZAQAAyQUAAAAA&#10;">
                <v:fill on="t" focussize="0,0"/>
                <v:stroke color="#000000" joinstyle="miter"/>
                <v:imagedata o:title=""/>
                <o:lock v:ext="edit" aspectratio="f"/>
                <v:textbox>
                  <w:txbxContent>
                    <w:p w14:paraId="17E215C8">
                      <w:pPr>
                        <w:widowControl/>
                        <w:jc w:val="left"/>
                        <w:rPr>
                          <w:rFonts w:ascii="宋体" w:hAnsi="宋体" w:cs="宋体"/>
                          <w:kern w:val="0"/>
                          <w:sz w:val="24"/>
                        </w:rPr>
                      </w:pPr>
                    </w:p>
                    <w:p w14:paraId="455489E0">
                      <w:pPr>
                        <w:widowControl/>
                        <w:jc w:val="left"/>
                      </w:pPr>
                    </w:p>
                    <w:p w14:paraId="537248CA">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14:paraId="36392ACE">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p>
    <w:p w14:paraId="59382C0C">
      <w:pPr>
        <w:snapToGrid w:val="0"/>
        <w:ind w:left="840" w:hanging="840" w:hangingChars="35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说明：</w:t>
      </w:r>
    </w:p>
    <w:p w14:paraId="14363C25">
      <w:pPr>
        <w:snapToGrid w:val="0"/>
        <w:ind w:firstLine="480" w:firstLineChars="200"/>
        <w:rPr>
          <w:rFonts w:hint="eastAsia" w:asciiTheme="minorEastAsia" w:hAnsiTheme="minorEastAsia" w:eastAsiaTheme="minorEastAsia" w:cstheme="minorEastAsia"/>
          <w:bCs/>
          <w:color w:val="000000"/>
          <w:sz w:val="24"/>
          <w:lang w:eastAsia="zh-CN"/>
        </w:rPr>
      </w:pPr>
      <w:r>
        <w:rPr>
          <w:rFonts w:hint="eastAsia" w:asciiTheme="minorEastAsia" w:hAnsiTheme="minorEastAsia" w:eastAsiaTheme="minorEastAsia" w:cstheme="minorEastAsia"/>
          <w:bCs/>
          <w:color w:val="000000"/>
          <w:sz w:val="24"/>
        </w:rPr>
        <w:t>1.</w:t>
      </w:r>
      <w:r>
        <w:rPr>
          <w:rFonts w:hint="eastAsia"/>
          <w:szCs w:val="21"/>
          <w:highlight w:val="none"/>
        </w:rPr>
        <w:t>法定代表人（负责人或</w:t>
      </w:r>
      <w:r>
        <w:rPr>
          <w:rFonts w:hint="eastAsia"/>
          <w:color w:val="4F81BD" w:themeColor="accent1"/>
          <w:szCs w:val="21"/>
          <w:highlight w:val="none"/>
          <w14:textFill>
            <w14:solidFill>
              <w14:schemeClr w14:val="accent1"/>
            </w14:solidFill>
          </w14:textFill>
        </w:rPr>
        <w:t>执行事务合伙人</w:t>
      </w:r>
      <w:r>
        <w:rPr>
          <w:rFonts w:hint="eastAsia"/>
          <w:szCs w:val="21"/>
          <w:highlight w:val="none"/>
        </w:rPr>
        <w:t>）为投标人（企业事业单位、国家机关、社会团体）的主要行政负责人。</w:t>
      </w:r>
      <w:r>
        <w:rPr>
          <w:rFonts w:hint="eastAsia" w:asciiTheme="minorEastAsia" w:hAnsiTheme="minorEastAsia" w:eastAsiaTheme="minorEastAsia" w:cstheme="minorEastAsia"/>
          <w:bCs/>
          <w:color w:val="000000"/>
          <w:sz w:val="24"/>
        </w:rPr>
        <w:t>须提供法定代表人（</w:t>
      </w:r>
      <w:r>
        <w:rPr>
          <w:rFonts w:hint="eastAsia" w:asciiTheme="minorEastAsia" w:hAnsiTheme="minorEastAsia" w:eastAsiaTheme="minorEastAsia" w:cstheme="minorEastAsia"/>
          <w:bCs/>
          <w:color w:val="000000"/>
          <w:sz w:val="24"/>
          <w:lang w:eastAsia="zh-CN"/>
        </w:rPr>
        <w:t>负责人或执行事务合伙人</w:t>
      </w:r>
      <w:r>
        <w:rPr>
          <w:rFonts w:hint="eastAsia" w:asciiTheme="minorEastAsia" w:hAnsiTheme="minorEastAsia" w:eastAsiaTheme="minorEastAsia" w:cstheme="minorEastAsia"/>
          <w:bCs/>
          <w:color w:val="000000"/>
          <w:sz w:val="24"/>
        </w:rPr>
        <w:t>）的身份证</w:t>
      </w:r>
      <w:r>
        <w:rPr>
          <w:rFonts w:hint="eastAsia" w:asciiTheme="minorEastAsia" w:hAnsiTheme="minorEastAsia" w:eastAsiaTheme="minorEastAsia" w:cstheme="minorEastAsia"/>
          <w:bCs/>
          <w:color w:val="000000"/>
          <w:sz w:val="24"/>
          <w:lang w:eastAsia="zh-CN"/>
        </w:rPr>
        <w:t>扫描</w:t>
      </w:r>
      <w:r>
        <w:rPr>
          <w:rFonts w:hint="eastAsia" w:asciiTheme="minorEastAsia" w:hAnsiTheme="minorEastAsia" w:eastAsiaTheme="minorEastAsia" w:cstheme="minorEastAsia"/>
          <w:bCs/>
          <w:color w:val="000000"/>
          <w:sz w:val="24"/>
        </w:rPr>
        <w:t>件</w:t>
      </w:r>
      <w:r>
        <w:rPr>
          <w:rFonts w:hint="eastAsia" w:asciiTheme="minorEastAsia" w:hAnsiTheme="minorEastAsia" w:eastAsiaTheme="minorEastAsia" w:cstheme="minorEastAsia"/>
          <w:bCs/>
          <w:color w:val="000000"/>
          <w:sz w:val="24"/>
          <w:lang w:eastAsia="zh-CN"/>
        </w:rPr>
        <w:t>；港澳台居民可提供来往通行证扫描</w:t>
      </w:r>
      <w:r>
        <w:rPr>
          <w:rFonts w:hint="eastAsia" w:asciiTheme="minorEastAsia" w:hAnsiTheme="minorEastAsia" w:eastAsiaTheme="minorEastAsia" w:cstheme="minorEastAsia"/>
          <w:bCs/>
          <w:color w:val="000000"/>
          <w:sz w:val="24"/>
        </w:rPr>
        <w:t>件</w:t>
      </w:r>
      <w:r>
        <w:rPr>
          <w:rFonts w:hint="eastAsia" w:asciiTheme="minorEastAsia" w:hAnsiTheme="minorEastAsia" w:eastAsiaTheme="minorEastAsia" w:cstheme="minorEastAsia"/>
          <w:bCs/>
          <w:color w:val="000000"/>
          <w:sz w:val="24"/>
          <w:lang w:eastAsia="zh-CN"/>
        </w:rPr>
        <w:t>；非中国国籍管辖范围人员，可提供公安部门认可的身份证明材料扫描</w:t>
      </w:r>
      <w:r>
        <w:rPr>
          <w:rFonts w:hint="eastAsia" w:asciiTheme="minorEastAsia" w:hAnsiTheme="minorEastAsia" w:eastAsiaTheme="minorEastAsia" w:cstheme="minorEastAsia"/>
          <w:bCs/>
          <w:color w:val="000000"/>
          <w:sz w:val="24"/>
        </w:rPr>
        <w:t>件</w:t>
      </w:r>
      <w:r>
        <w:rPr>
          <w:rFonts w:hint="eastAsia" w:asciiTheme="minorEastAsia" w:hAnsiTheme="minorEastAsia" w:eastAsiaTheme="minorEastAsia" w:cstheme="minorEastAsia"/>
          <w:bCs/>
          <w:color w:val="000000"/>
          <w:sz w:val="24"/>
          <w:lang w:eastAsia="zh-CN"/>
        </w:rPr>
        <w:t>；</w:t>
      </w:r>
    </w:p>
    <w:p w14:paraId="38FBE4F8">
      <w:pPr>
        <w:snapToGrid w:val="0"/>
        <w:ind w:firstLine="480" w:firstLineChars="200"/>
        <w:rPr>
          <w:rFonts w:hint="eastAsia"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2.招投标文件中涉及需法定代表人之处，非法人组织可由负责人或执行事务合伙人执行。</w:t>
      </w:r>
    </w:p>
    <w:p w14:paraId="3A42E900">
      <w:pPr>
        <w:snapToGrid w:val="0"/>
        <w:ind w:firstLine="480" w:firstLineChars="200"/>
        <w:rPr>
          <w:rFonts w:hint="eastAsia"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3.如是法定代表人（负责人或执行事务合伙人）直接参与投标，必须填写《法定代表人（负责人或执行事务合伙人）资格证明书》，可不用填写《法定代表人（负责人或执行事务合伙人）授权书》。</w:t>
      </w:r>
    </w:p>
    <w:p w14:paraId="6970B3CA">
      <w:pPr>
        <w:pStyle w:val="6"/>
        <w:rPr>
          <w:rFonts w:hint="eastAsia"/>
          <w:lang w:val="en-US" w:eastAsia="zh-CN"/>
        </w:rPr>
      </w:pPr>
      <w:r>
        <w:rPr>
          <w:rFonts w:hint="eastAsia" w:eastAsia="宋体"/>
          <w:szCs w:val="21"/>
          <w:highlight w:val="none"/>
          <w:lang w:val="en-US" w:eastAsia="zh-CN"/>
        </w:rPr>
        <w:t>4.</w:t>
      </w:r>
      <w:r>
        <w:rPr>
          <w:rFonts w:hint="eastAsia"/>
          <w:szCs w:val="21"/>
          <w:highlight w:val="none"/>
        </w:rPr>
        <w:t>内容必须填写真实、清</w:t>
      </w:r>
      <w:r>
        <w:rPr>
          <w:rFonts w:hint="eastAsia"/>
          <w:szCs w:val="21"/>
          <w:highlight w:val="none"/>
          <w:lang w:val="en-US" w:eastAsia="zh-CN"/>
        </w:rPr>
        <w:t>楚，涂改无效，不得转让、买卖。</w:t>
      </w:r>
    </w:p>
    <w:p w14:paraId="011888FD">
      <w:pPr>
        <w:pStyle w:val="6"/>
      </w:pPr>
    </w:p>
    <w:p w14:paraId="16ED1160"/>
    <w:p w14:paraId="4B45F2A4">
      <w:pPr>
        <w:pStyle w:val="3"/>
        <w:spacing w:before="120" w:after="120"/>
        <w:jc w:val="center"/>
        <w:rPr>
          <w:rFonts w:ascii="黑体" w:eastAsia="黑体"/>
          <w:b w:val="0"/>
          <w:sz w:val="24"/>
          <w:highlight w:val="none"/>
        </w:rPr>
      </w:pPr>
      <w:r>
        <w:rPr>
          <w:rFonts w:hint="eastAsia" w:ascii="黑体" w:eastAsia="黑体"/>
          <w:b w:val="0"/>
          <w:sz w:val="24"/>
          <w:highlight w:val="none"/>
        </w:rPr>
        <w:t>二、投标文件签署授权委托书</w:t>
      </w:r>
    </w:p>
    <w:p w14:paraId="475FC2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致友和保险经纪有限公司：</w:t>
      </w:r>
    </w:p>
    <w:p w14:paraId="3AAD9F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本授权委托书声明：我</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姓名</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系</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投标人名称</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的法定代表人（</w:t>
      </w:r>
      <w:r>
        <w:rPr>
          <w:rFonts w:hint="eastAsia" w:asciiTheme="minorEastAsia" w:hAnsiTheme="minorEastAsia" w:eastAsiaTheme="minorEastAsia" w:cstheme="minorEastAsia"/>
          <w:color w:val="000000"/>
          <w:sz w:val="24"/>
          <w:lang w:eastAsia="zh-CN"/>
        </w:rPr>
        <w:t>负责人或执行事务合伙人</w:t>
      </w:r>
      <w:r>
        <w:rPr>
          <w:rFonts w:hint="eastAsia" w:asciiTheme="minorEastAsia" w:hAnsiTheme="minorEastAsia" w:eastAsiaTheme="minorEastAsia" w:cstheme="minorEastAsia"/>
          <w:color w:val="000000"/>
          <w:sz w:val="24"/>
        </w:rPr>
        <w:t>），现授权委托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姓名</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rPr>
        <w:t>为我公司签署本项目已递交的投标文件的法定代表人的授权委托代理人，代理人全权代表我所签署的本项目已递交的投标文件内容我均承认。</w:t>
      </w:r>
    </w:p>
    <w:p w14:paraId="1D131D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代理人无转委托权，特此委托。</w:t>
      </w:r>
    </w:p>
    <w:p w14:paraId="18C57B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p>
    <w:p w14:paraId="525BCF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性别：</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年龄：</w:t>
      </w:r>
      <w:r>
        <w:rPr>
          <w:rFonts w:hint="eastAsia"/>
          <w:szCs w:val="21"/>
          <w:highlight w:val="none"/>
          <w:u w:val="single"/>
        </w:rPr>
        <w:t xml:space="preserve">                  </w:t>
      </w:r>
    </w:p>
    <w:p w14:paraId="5968DD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联系电话：</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手机：</w:t>
      </w:r>
      <w:r>
        <w:rPr>
          <w:rFonts w:hint="eastAsia"/>
          <w:szCs w:val="21"/>
          <w:highlight w:val="none"/>
          <w:u w:val="single"/>
        </w:rPr>
        <w:t xml:space="preserve">                  </w:t>
      </w:r>
    </w:p>
    <w:p w14:paraId="7DB6F7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rPr>
        <w:t>身份证号码：</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职务：</w:t>
      </w:r>
      <w:r>
        <w:rPr>
          <w:rFonts w:hint="eastAsia"/>
          <w:szCs w:val="21"/>
          <w:highlight w:val="none"/>
          <w:u w:val="single"/>
        </w:rPr>
        <w:t xml:space="preserve">                  </w:t>
      </w:r>
    </w:p>
    <w:p w14:paraId="1E4474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p>
    <w:p w14:paraId="792A90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sz w:val="24"/>
        </w:rPr>
        <w:t>授权委托日期：</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年</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月</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eastAsia="zh-CN"/>
        </w:rPr>
        <w:t>，有效期至</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年</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月</w:t>
      </w:r>
      <w:r>
        <w:rPr>
          <w:rFonts w:hint="eastAsia"/>
          <w:szCs w:val="21"/>
          <w:highlight w:val="none"/>
          <w:u w:val="single"/>
        </w:rPr>
        <w:t xml:space="preserve">      </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eastAsia="zh-CN"/>
        </w:rPr>
        <w:t>。</w:t>
      </w:r>
    </w:p>
    <w:p w14:paraId="6673B8D7">
      <w:pPr>
        <w:spacing w:line="360" w:lineRule="auto"/>
        <w:rPr>
          <w:rFonts w:ascii="仿宋" w:hAnsi="仿宋" w:eastAsia="仿宋" w:cs="仿宋"/>
          <w:bCs/>
          <w:color w:val="000000"/>
          <w:sz w:val="24"/>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20955</wp:posOffset>
                </wp:positionV>
                <wp:extent cx="2782570" cy="1920875"/>
                <wp:effectExtent l="5080" t="4445" r="12700" b="17780"/>
                <wp:wrapNone/>
                <wp:docPr id="12" name="文本框 1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9AEBF">
                            <w:pPr>
                              <w:widowControl/>
                              <w:jc w:val="left"/>
                              <w:rPr>
                                <w:rFonts w:ascii="宋体" w:hAnsi="宋体" w:cs="宋体"/>
                                <w:kern w:val="0"/>
                                <w:sz w:val="24"/>
                              </w:rPr>
                            </w:pPr>
                          </w:p>
                          <w:p w14:paraId="66284D77">
                            <w:pPr>
                              <w:widowControl/>
                              <w:jc w:val="left"/>
                            </w:pPr>
                          </w:p>
                          <w:p w14:paraId="7318FF46">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65pt;height:151.25pt;width:219.1pt;z-index:251662336;mso-width-relative:page;mso-height-relative:page;" fillcolor="#FFFFFF" filled="t" stroked="t" coordsize="21600,21600" o:gfxdata="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41nYAAAACQEAAA8AAAAAAAAAAQAgAAAAIgAAAGRycy9kb3ducmV2LnhtbFBL&#10;AQIUABQAAAAIAIdO4kBZsc1XLwIAAHoEAAAOAAAAAAAAAAEAIAAAACcBAABkcnMvZTJvRG9jLnht&#10;bFBLBQYAAAAABgAGAFkBAADIBQAAAAA=&#10;">
                <v:fill on="t" focussize="0,0"/>
                <v:stroke color="#000000" joinstyle="miter"/>
                <v:imagedata o:title=""/>
                <o:lock v:ext="edit" aspectratio="f"/>
                <v:textbox>
                  <w:txbxContent>
                    <w:p w14:paraId="3669AEBF">
                      <w:pPr>
                        <w:widowControl/>
                        <w:jc w:val="left"/>
                        <w:rPr>
                          <w:rFonts w:ascii="宋体" w:hAnsi="宋体" w:cs="宋体"/>
                          <w:kern w:val="0"/>
                          <w:sz w:val="24"/>
                        </w:rPr>
                      </w:pPr>
                    </w:p>
                    <w:p w14:paraId="66284D77">
                      <w:pPr>
                        <w:widowControl/>
                        <w:jc w:val="left"/>
                      </w:pPr>
                    </w:p>
                    <w:p w14:paraId="7318FF46">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20955</wp:posOffset>
                </wp:positionV>
                <wp:extent cx="2830830" cy="1920875"/>
                <wp:effectExtent l="5080" t="4445" r="21590" b="17780"/>
                <wp:wrapNone/>
                <wp:docPr id="11" name="文本框 1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B24044">
                            <w:pPr>
                              <w:widowControl/>
                              <w:jc w:val="left"/>
                              <w:rPr>
                                <w:rFonts w:ascii="宋体" w:hAnsi="宋体" w:cs="宋体"/>
                                <w:kern w:val="0"/>
                                <w:sz w:val="24"/>
                              </w:rPr>
                            </w:pPr>
                          </w:p>
                          <w:p w14:paraId="14CBFD5B">
                            <w:pPr>
                              <w:widowControl/>
                              <w:jc w:val="left"/>
                            </w:pPr>
                          </w:p>
                          <w:p w14:paraId="6AD9D204">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1.65pt;height:151.25pt;width:222.9pt;z-index:251661312;mso-width-relative:page;mso-height-relative:page;" fillcolor="#FFFFFF" filled="t" stroked="t" coordsize="21600,21600" o:gfxdata="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dNwDVAAAABgEAAA8AAAAAAAAAAQAgAAAAIgAAAGRycy9kb3ducmV2LnhtbFBLAQIU&#10;ABQAAAAIAIdO4kDplZsDLwIAAHoEAAAOAAAAAAAAAAEAIAAAACQBAABkcnMvZTJvRG9jLnhtbFBL&#10;BQYAAAAABgAGAFkBAADFBQAAAAA=&#10;">
                <v:fill on="t" focussize="0,0"/>
                <v:stroke color="#000000" joinstyle="miter"/>
                <v:imagedata o:title=""/>
                <o:lock v:ext="edit" aspectratio="f"/>
                <v:textbox>
                  <w:txbxContent>
                    <w:p w14:paraId="22B24044">
                      <w:pPr>
                        <w:widowControl/>
                        <w:jc w:val="left"/>
                        <w:rPr>
                          <w:rFonts w:ascii="宋体" w:hAnsi="宋体" w:cs="宋体"/>
                          <w:kern w:val="0"/>
                          <w:sz w:val="24"/>
                        </w:rPr>
                      </w:pPr>
                    </w:p>
                    <w:p w14:paraId="14CBFD5B">
                      <w:pPr>
                        <w:widowControl/>
                        <w:jc w:val="left"/>
                      </w:pPr>
                    </w:p>
                    <w:p w14:paraId="6AD9D204">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shape>
            </w:pict>
          </mc:Fallback>
        </mc:AlternateContent>
      </w:r>
    </w:p>
    <w:p w14:paraId="2487B4AA">
      <w:pPr>
        <w:spacing w:line="360" w:lineRule="auto"/>
        <w:rPr>
          <w:rFonts w:ascii="仿宋" w:hAnsi="仿宋" w:eastAsia="仿宋" w:cs="仿宋"/>
          <w:bCs/>
          <w:color w:val="000000"/>
          <w:sz w:val="24"/>
        </w:rPr>
      </w:pPr>
    </w:p>
    <w:p w14:paraId="24A6824F">
      <w:pPr>
        <w:spacing w:line="360" w:lineRule="auto"/>
        <w:rPr>
          <w:rFonts w:ascii="仿宋" w:hAnsi="仿宋" w:eastAsia="仿宋" w:cs="仿宋"/>
          <w:bCs/>
          <w:color w:val="000000"/>
          <w:sz w:val="24"/>
        </w:rPr>
      </w:pPr>
    </w:p>
    <w:p w14:paraId="0102AEB1">
      <w:pPr>
        <w:spacing w:line="360" w:lineRule="auto"/>
        <w:rPr>
          <w:rFonts w:ascii="仿宋" w:hAnsi="仿宋" w:eastAsia="仿宋" w:cs="仿宋"/>
          <w:bCs/>
          <w:color w:val="000000"/>
          <w:sz w:val="24"/>
        </w:rPr>
      </w:pPr>
    </w:p>
    <w:p w14:paraId="345964F8">
      <w:pPr>
        <w:rPr>
          <w:rFonts w:ascii="仿宋" w:hAnsi="仿宋" w:eastAsia="仿宋" w:cs="仿宋"/>
          <w:color w:val="000000"/>
          <w:sz w:val="24"/>
        </w:rPr>
      </w:pPr>
    </w:p>
    <w:p w14:paraId="5F5FCD0C">
      <w:pPr>
        <w:rPr>
          <w:rFonts w:ascii="仿宋" w:hAnsi="仿宋" w:eastAsia="仿宋" w:cs="仿宋"/>
          <w:color w:val="000000"/>
          <w:sz w:val="24"/>
        </w:rPr>
      </w:pPr>
    </w:p>
    <w:p w14:paraId="116AC7BA">
      <w:pPr>
        <w:spacing w:after="60"/>
        <w:rPr>
          <w:rFonts w:ascii="仿宋" w:hAnsi="仿宋" w:eastAsia="仿宋" w:cs="仿宋"/>
          <w:color w:val="000000"/>
          <w:sz w:val="24"/>
        </w:rPr>
      </w:pPr>
    </w:p>
    <w:p w14:paraId="7A105164">
      <w:pPr>
        <w:rPr>
          <w:rFonts w:ascii="仿宋" w:hAnsi="仿宋" w:eastAsia="仿宋" w:cs="仿宋"/>
          <w:color w:val="000000"/>
          <w:sz w:val="24"/>
        </w:rPr>
      </w:pPr>
    </w:p>
    <w:p w14:paraId="230F5F76">
      <w:pPr>
        <w:spacing w:line="360" w:lineRule="auto"/>
        <w:jc w:val="both"/>
        <w:rPr>
          <w:rFonts w:hint="eastAsia"/>
          <w:szCs w:val="21"/>
          <w:highlight w:val="none"/>
          <w:lang w:val="en-US" w:eastAsia="zh-CN"/>
        </w:rPr>
      </w:pPr>
      <w:r>
        <w:rPr>
          <w:rFonts w:hint="eastAsia"/>
          <w:szCs w:val="21"/>
          <w:highlight w:val="none"/>
          <w:lang w:val="en-US" w:eastAsia="zh-CN"/>
        </w:rPr>
        <w:t>说明：</w:t>
      </w:r>
    </w:p>
    <w:p w14:paraId="228AF891">
      <w:pPr>
        <w:spacing w:line="360" w:lineRule="auto"/>
        <w:jc w:val="both"/>
        <w:rPr>
          <w:rFonts w:hint="default"/>
          <w:szCs w:val="21"/>
          <w:highlight w:val="none"/>
          <w:lang w:val="en-US" w:eastAsia="zh-CN"/>
        </w:rPr>
      </w:pPr>
      <w:r>
        <w:rPr>
          <w:rFonts w:hint="eastAsia"/>
          <w:szCs w:val="21"/>
          <w:highlight w:val="none"/>
          <w:lang w:val="en-US" w:eastAsia="zh-CN"/>
        </w:rPr>
        <w:t>1.如是代理人（受托人）参与投标，则必须提供《法定代表人（负责人或执行事务合伙人）证明书》和《投标文件签署授权委托书》，且《投标函》的委托代理人与《投标文件签署授权委托书》的代理人（受托人）必须一致。</w:t>
      </w:r>
    </w:p>
    <w:p w14:paraId="56D0B8DB">
      <w:pPr>
        <w:spacing w:line="360" w:lineRule="auto"/>
        <w:jc w:val="both"/>
        <w:rPr>
          <w:rFonts w:hint="eastAsia"/>
          <w:szCs w:val="21"/>
          <w:highlight w:val="none"/>
          <w:lang w:val="en-US" w:eastAsia="zh-CN"/>
        </w:rPr>
      </w:pPr>
      <w:r>
        <w:rPr>
          <w:rFonts w:hint="eastAsia"/>
          <w:szCs w:val="21"/>
          <w:highlight w:val="none"/>
          <w:lang w:val="en-US" w:eastAsia="zh-CN"/>
        </w:rPr>
        <w:t>2.请提供代理人身份证扫描件（正反两面）；港澳台居民可提供来往通行证扫描件；非中国国籍管辖范围人员，可提供公安部门认可的身份证明材料扫描件。</w:t>
      </w:r>
    </w:p>
    <w:p w14:paraId="7B5CB5A0">
      <w:pPr>
        <w:pStyle w:val="6"/>
      </w:pPr>
    </w:p>
    <w:p w14:paraId="1D5EC9B9">
      <w:pPr>
        <w:rPr>
          <w:rFonts w:ascii="黑体" w:hAnsi="宋体" w:eastAsia="黑体"/>
          <w:color w:val="000000" w:themeColor="text1"/>
          <w:szCs w:val="20"/>
          <w14:textFill>
            <w14:solidFill>
              <w14:schemeClr w14:val="tx1"/>
            </w14:solidFill>
          </w14:textFill>
        </w:rPr>
      </w:pPr>
    </w:p>
    <w:p w14:paraId="14C83C03">
      <w:pPr>
        <w:rPr>
          <w:rFonts w:ascii="黑体" w:hAnsi="宋体" w:eastAsia="黑体"/>
          <w:color w:val="000000" w:themeColor="text1"/>
          <w:szCs w:val="20"/>
          <w14:textFill>
            <w14:solidFill>
              <w14:schemeClr w14:val="tx1"/>
            </w14:solidFill>
          </w14:textFill>
        </w:rPr>
      </w:pPr>
    </w:p>
    <w:p w14:paraId="414122BF">
      <w:pPr>
        <w:rPr>
          <w:rFonts w:ascii="黑体" w:hAnsi="宋体" w:eastAsia="黑体"/>
          <w:color w:val="000000" w:themeColor="text1"/>
          <w:szCs w:val="20"/>
          <w14:textFill>
            <w14:solidFill>
              <w14:schemeClr w14:val="tx1"/>
            </w14:solidFill>
          </w14:textFill>
        </w:rPr>
      </w:pPr>
    </w:p>
    <w:p w14:paraId="630C962B">
      <w:pPr>
        <w:rPr>
          <w:rFonts w:ascii="黑体" w:hAnsi="宋体" w:eastAsia="黑体"/>
          <w:color w:val="000000" w:themeColor="text1"/>
          <w:szCs w:val="20"/>
          <w14:textFill>
            <w14:solidFill>
              <w14:schemeClr w14:val="tx1"/>
            </w14:solidFill>
          </w14:textFill>
        </w:rPr>
      </w:pPr>
    </w:p>
    <w:p w14:paraId="27D8F083">
      <w:pPr>
        <w:rPr>
          <w:rFonts w:ascii="黑体" w:hAnsi="宋体" w:eastAsia="黑体"/>
          <w:color w:val="000000" w:themeColor="text1"/>
          <w:szCs w:val="20"/>
          <w14:textFill>
            <w14:solidFill>
              <w14:schemeClr w14:val="tx1"/>
            </w14:solidFill>
          </w14:textFill>
        </w:rPr>
      </w:pPr>
    </w:p>
    <w:p w14:paraId="5A238C6D">
      <w:pPr>
        <w:pStyle w:val="3"/>
        <w:spacing w:before="120" w:after="120"/>
        <w:jc w:val="center"/>
        <w:rPr>
          <w:rFonts w:hint="eastAsia" w:ascii="黑体" w:hAnsi="宋体" w:eastAsia="黑体" w:cs="Times New Roman"/>
          <w:b w:val="0"/>
          <w:sz w:val="24"/>
          <w:highlight w:val="none"/>
          <w:lang w:eastAsia="zh-CN"/>
        </w:rPr>
      </w:pPr>
      <w:r>
        <w:rPr>
          <w:rFonts w:hint="eastAsia" w:ascii="黑体" w:hAnsi="宋体" w:eastAsia="黑体" w:cs="Times New Roman"/>
          <w:b w:val="0"/>
          <w:sz w:val="24"/>
          <w:highlight w:val="none"/>
          <w:lang w:eastAsia="zh-CN"/>
        </w:rPr>
        <w:t>三、供应商法定代表人等缴纳社会保险情况一览表</w:t>
      </w:r>
    </w:p>
    <w:p w14:paraId="2568F10C">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textAlignment w:val="auto"/>
        <w:outlineLvl w:val="9"/>
        <w:rPr>
          <w:rFonts w:hint="eastAsia" w:ascii="仿宋" w:hAnsi="仿宋" w:eastAsia="仿宋" w:cs="仿宋"/>
          <w:b/>
          <w:bCs w:val="0"/>
          <w:color w:val="auto"/>
          <w:szCs w:val="21"/>
          <w:lang w:eastAsia="zh-CN"/>
        </w:rPr>
      </w:pPr>
      <w:r>
        <w:rPr>
          <w:rFonts w:hint="eastAsia" w:ascii="仿宋" w:hAnsi="仿宋" w:eastAsia="仿宋" w:cs="仿宋"/>
          <w:b/>
          <w:bCs w:val="0"/>
          <w:color w:val="auto"/>
          <w:szCs w:val="21"/>
          <w:lang w:eastAsia="zh-CN"/>
        </w:rPr>
        <w:t>根据《深圳经济特区政府采购条例实施细则》第七十五条第一款（二）规定，存在“不同投标供应商的法定代表人、主要经营负责人、项目投标授权代表人、项目负责人、主要技术人员为同一人、属同一单位或者在同一单位缴纳社会保险”情形的，属于串通投标行为。</w:t>
      </w:r>
    </w:p>
    <w:p w14:paraId="03B4D0D1">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textAlignment w:val="auto"/>
        <w:outlineLvl w:val="9"/>
        <w:rPr>
          <w:rFonts w:hint="eastAsia" w:ascii="仿宋" w:hAnsi="仿宋" w:eastAsia="仿宋" w:cs="仿宋"/>
          <w:b/>
          <w:bCs w:val="0"/>
          <w:color w:val="auto"/>
          <w:szCs w:val="21"/>
          <w:highlight w:val="yellow"/>
          <w:lang w:eastAsia="zh-CN"/>
        </w:rPr>
      </w:pPr>
      <w:r>
        <w:rPr>
          <w:rFonts w:hint="eastAsia" w:ascii="仿宋" w:hAnsi="仿宋" w:eastAsia="仿宋" w:cs="仿宋"/>
          <w:b/>
          <w:bCs w:val="0"/>
          <w:color w:val="auto"/>
          <w:szCs w:val="21"/>
          <w:lang w:eastAsia="zh-CN"/>
        </w:rPr>
        <w:t>请供应商按以下格式提供上述法规涉及人员开标前一个月的社保缴纳情况。（注：以下内容将作为评审委员会和主管部门判定本项目不同投标供应商是否涉嫌、属于串通投标的重要依据，请供应商认真填报，并保证所填信息的真实、准确和完整。）</w:t>
      </w:r>
    </w:p>
    <w:p w14:paraId="42E93B4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p>
    <w:p w14:paraId="33824F7D">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1.情况一览表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2346"/>
        <w:gridCol w:w="1009"/>
        <w:gridCol w:w="1677"/>
        <w:gridCol w:w="2087"/>
        <w:gridCol w:w="1030"/>
      </w:tblGrid>
      <w:tr w14:paraId="1F1F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Align w:val="center"/>
          </w:tcPr>
          <w:p w14:paraId="09E4976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序号</w:t>
            </w:r>
          </w:p>
        </w:tc>
        <w:tc>
          <w:tcPr>
            <w:tcW w:w="2346" w:type="dxa"/>
            <w:vAlign w:val="center"/>
          </w:tcPr>
          <w:p w14:paraId="312D2449">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内容</w:t>
            </w:r>
          </w:p>
        </w:tc>
        <w:tc>
          <w:tcPr>
            <w:tcW w:w="1009" w:type="dxa"/>
            <w:vAlign w:val="center"/>
          </w:tcPr>
          <w:p w14:paraId="7E8C9BF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姓名</w:t>
            </w:r>
          </w:p>
        </w:tc>
        <w:tc>
          <w:tcPr>
            <w:tcW w:w="1677" w:type="dxa"/>
            <w:vAlign w:val="center"/>
          </w:tcPr>
          <w:p w14:paraId="283602A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身份证号</w:t>
            </w:r>
          </w:p>
        </w:tc>
        <w:tc>
          <w:tcPr>
            <w:tcW w:w="2087" w:type="dxa"/>
            <w:vAlign w:val="center"/>
          </w:tcPr>
          <w:p w14:paraId="2CCA6FB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社保缴纳单位</w:t>
            </w:r>
          </w:p>
        </w:tc>
        <w:tc>
          <w:tcPr>
            <w:tcW w:w="1030" w:type="dxa"/>
            <w:vAlign w:val="center"/>
          </w:tcPr>
          <w:p w14:paraId="59AA4315">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社保缴纳年月</w:t>
            </w:r>
          </w:p>
        </w:tc>
      </w:tr>
      <w:tr w14:paraId="2B83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3A827CF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1</w:t>
            </w:r>
          </w:p>
        </w:tc>
        <w:tc>
          <w:tcPr>
            <w:tcW w:w="2346" w:type="dxa"/>
          </w:tcPr>
          <w:p w14:paraId="4AF324A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color w:val="auto"/>
                <w:vertAlign w:val="baseline"/>
                <w:lang w:eastAsia="zh-CN"/>
              </w:rPr>
            </w:pPr>
            <w:r>
              <w:rPr>
                <w:rFonts w:hint="eastAsia" w:ascii="仿宋" w:hAnsi="仿宋" w:eastAsia="仿宋" w:cs="仿宋"/>
                <w:b/>
                <w:color w:val="auto"/>
                <w:szCs w:val="21"/>
                <w:lang w:eastAsia="zh-CN"/>
              </w:rPr>
              <w:t>法定代表人（负责人）</w:t>
            </w:r>
          </w:p>
        </w:tc>
        <w:tc>
          <w:tcPr>
            <w:tcW w:w="1009" w:type="dxa"/>
          </w:tcPr>
          <w:p w14:paraId="14560075">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68BFF40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3715ADD2">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776B464F">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r>
      <w:tr w14:paraId="5FED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22629DB6">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2</w:t>
            </w:r>
          </w:p>
        </w:tc>
        <w:tc>
          <w:tcPr>
            <w:tcW w:w="2346" w:type="dxa"/>
          </w:tcPr>
          <w:p w14:paraId="12CF5A4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主要经营负责人</w:t>
            </w:r>
          </w:p>
        </w:tc>
        <w:tc>
          <w:tcPr>
            <w:tcW w:w="1009" w:type="dxa"/>
          </w:tcPr>
          <w:p w14:paraId="61731E36">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5963B738">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5250331C">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6CC93592">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r>
      <w:tr w14:paraId="1938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5011A9F2">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3</w:t>
            </w:r>
          </w:p>
        </w:tc>
        <w:tc>
          <w:tcPr>
            <w:tcW w:w="2346" w:type="dxa"/>
          </w:tcPr>
          <w:p w14:paraId="3C8B098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项目投标授权代表人</w:t>
            </w:r>
          </w:p>
        </w:tc>
        <w:tc>
          <w:tcPr>
            <w:tcW w:w="1009" w:type="dxa"/>
          </w:tcPr>
          <w:p w14:paraId="74DFF76A">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75A0D91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04AE84DD">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174116F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r>
      <w:tr w14:paraId="2CEC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7F80FE18">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4</w:t>
            </w:r>
          </w:p>
        </w:tc>
        <w:tc>
          <w:tcPr>
            <w:tcW w:w="2346" w:type="dxa"/>
          </w:tcPr>
          <w:p w14:paraId="4BE04335">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项目负责人</w:t>
            </w:r>
          </w:p>
        </w:tc>
        <w:tc>
          <w:tcPr>
            <w:tcW w:w="1009" w:type="dxa"/>
          </w:tcPr>
          <w:p w14:paraId="1C596F2B">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4DE53681">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4BCFBF73">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641D8F45">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r>
      <w:tr w14:paraId="0809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6539BB74">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5</w:t>
            </w:r>
          </w:p>
        </w:tc>
        <w:tc>
          <w:tcPr>
            <w:tcW w:w="2346" w:type="dxa"/>
          </w:tcPr>
          <w:p w14:paraId="69310CBA">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eastAsia="zh-CN"/>
              </w:rPr>
              <w:t>主要技术人员</w:t>
            </w:r>
            <w:r>
              <w:rPr>
                <w:rFonts w:hint="eastAsia" w:ascii="仿宋" w:hAnsi="仿宋" w:eastAsia="仿宋" w:cs="仿宋"/>
                <w:b/>
                <w:color w:val="auto"/>
                <w:szCs w:val="21"/>
                <w:lang w:val="en-US" w:eastAsia="zh-CN"/>
              </w:rPr>
              <w:t>1</w:t>
            </w:r>
          </w:p>
        </w:tc>
        <w:tc>
          <w:tcPr>
            <w:tcW w:w="1009" w:type="dxa"/>
          </w:tcPr>
          <w:p w14:paraId="3FD3D527">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767EAB6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235CE9D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0AB2688F">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r>
      <w:tr w14:paraId="1DD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528B63C2">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6</w:t>
            </w:r>
          </w:p>
        </w:tc>
        <w:tc>
          <w:tcPr>
            <w:tcW w:w="2346" w:type="dxa"/>
          </w:tcPr>
          <w:p w14:paraId="425A1CF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主要技术人员</w:t>
            </w:r>
            <w:r>
              <w:rPr>
                <w:rFonts w:hint="eastAsia" w:ascii="仿宋" w:hAnsi="仿宋" w:eastAsia="仿宋" w:cs="仿宋"/>
                <w:b/>
                <w:color w:val="auto"/>
                <w:szCs w:val="21"/>
                <w:lang w:val="en-US" w:eastAsia="zh-CN"/>
              </w:rPr>
              <w:t>2</w:t>
            </w:r>
          </w:p>
        </w:tc>
        <w:tc>
          <w:tcPr>
            <w:tcW w:w="1009" w:type="dxa"/>
          </w:tcPr>
          <w:p w14:paraId="1C1F9ACB">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27A7E5BF">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079B2CC7">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2ED5B6C8">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r>
      <w:tr w14:paraId="378D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14:paraId="79DB6784">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7</w:t>
            </w:r>
          </w:p>
        </w:tc>
        <w:tc>
          <w:tcPr>
            <w:tcW w:w="2346" w:type="dxa"/>
          </w:tcPr>
          <w:p w14:paraId="362A7255">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w:t>
            </w:r>
          </w:p>
        </w:tc>
        <w:tc>
          <w:tcPr>
            <w:tcW w:w="1009" w:type="dxa"/>
          </w:tcPr>
          <w:p w14:paraId="3EA6C901">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677" w:type="dxa"/>
          </w:tcPr>
          <w:p w14:paraId="1CFDE97E">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2087" w:type="dxa"/>
          </w:tcPr>
          <w:p w14:paraId="28E75661">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c>
          <w:tcPr>
            <w:tcW w:w="1030" w:type="dxa"/>
          </w:tcPr>
          <w:p w14:paraId="54693E80">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leftChars="0" w:right="0" w:firstLine="0" w:firstLineChars="0"/>
              <w:jc w:val="center"/>
              <w:textAlignment w:val="auto"/>
              <w:outlineLvl w:val="9"/>
              <w:rPr>
                <w:rFonts w:hint="eastAsia" w:ascii="仿宋" w:hAnsi="仿宋" w:eastAsia="仿宋" w:cs="仿宋"/>
                <w:b/>
                <w:color w:val="auto"/>
                <w:szCs w:val="21"/>
                <w:lang w:eastAsia="zh-CN"/>
              </w:rPr>
            </w:pPr>
          </w:p>
        </w:tc>
      </w:tr>
    </w:tbl>
    <w:p w14:paraId="52BB18A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p>
    <w:p w14:paraId="0CD1DB1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default" w:ascii="仿宋" w:hAnsi="仿宋" w:eastAsia="仿宋" w:cs="仿宋"/>
          <w:b/>
          <w:color w:val="auto"/>
          <w:szCs w:val="21"/>
          <w:lang w:val="en-US" w:eastAsia="zh-CN"/>
        </w:rPr>
      </w:pPr>
      <w:r>
        <w:rPr>
          <w:rFonts w:hint="eastAsia" w:ascii="仿宋" w:hAnsi="仿宋" w:eastAsia="仿宋" w:cs="仿宋"/>
          <w:b/>
          <w:color w:val="auto"/>
          <w:szCs w:val="21"/>
          <w:lang w:val="en-US" w:eastAsia="zh-CN"/>
        </w:rPr>
        <w:t>2.证明材料：</w:t>
      </w:r>
    </w:p>
    <w:p w14:paraId="4B6563E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（1）</w:t>
      </w:r>
      <w:r>
        <w:rPr>
          <w:rFonts w:hint="eastAsia" w:ascii="仿宋" w:hAnsi="仿宋" w:eastAsia="仿宋" w:cs="仿宋"/>
          <w:b/>
          <w:color w:val="auto"/>
          <w:szCs w:val="21"/>
          <w:lang w:eastAsia="zh-CN"/>
        </w:rPr>
        <w:t>法定代表人（负责人）</w:t>
      </w:r>
    </w:p>
    <w:p w14:paraId="5A129F9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开标前一个月的社保缴纳凭证：</w:t>
      </w:r>
    </w:p>
    <w:p w14:paraId="06A650A6">
      <w:pPr>
        <w:pStyle w:val="6"/>
        <w:keepNext w:val="0"/>
        <w:keepLines w:val="0"/>
        <w:pageBreakBefore w:val="0"/>
        <w:widowControl/>
        <w:kinsoku/>
        <w:wordWrap/>
        <w:overflowPunct/>
        <w:topLinePunct w:val="0"/>
        <w:autoSpaceDE/>
        <w:autoSpaceDN/>
        <w:bidi w:val="0"/>
        <w:adjustRightInd/>
        <w:textAlignment w:val="auto"/>
        <w:outlineLvl w:val="9"/>
        <w:rPr>
          <w:rFonts w:hint="default"/>
          <w:color w:val="auto"/>
          <w:lang w:val="en-US" w:eastAsia="zh-CN"/>
        </w:rPr>
      </w:pPr>
    </w:p>
    <w:p w14:paraId="72A517D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（2）</w:t>
      </w:r>
      <w:r>
        <w:rPr>
          <w:rFonts w:hint="eastAsia" w:ascii="仿宋" w:hAnsi="仿宋" w:eastAsia="仿宋" w:cs="仿宋"/>
          <w:b/>
          <w:color w:val="auto"/>
          <w:szCs w:val="21"/>
          <w:lang w:eastAsia="zh-CN"/>
        </w:rPr>
        <w:t>主要经营负责人</w:t>
      </w:r>
    </w:p>
    <w:p w14:paraId="706D94C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身份证复印件（正反面）：</w:t>
      </w:r>
    </w:p>
    <w:p w14:paraId="612D268A">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开标前一个月的社保缴纳凭证：</w:t>
      </w:r>
    </w:p>
    <w:p w14:paraId="79CB5F32">
      <w:pPr>
        <w:pStyle w:val="6"/>
        <w:keepNext w:val="0"/>
        <w:keepLines w:val="0"/>
        <w:pageBreakBefore w:val="0"/>
        <w:widowControl/>
        <w:kinsoku/>
        <w:wordWrap/>
        <w:overflowPunct/>
        <w:topLinePunct w:val="0"/>
        <w:autoSpaceDE/>
        <w:autoSpaceDN/>
        <w:bidi w:val="0"/>
        <w:adjustRightInd/>
        <w:textAlignment w:val="auto"/>
        <w:outlineLvl w:val="9"/>
        <w:rPr>
          <w:rFonts w:hint="default"/>
          <w:color w:val="auto"/>
          <w:lang w:val="en-US" w:eastAsia="zh-CN"/>
        </w:rPr>
      </w:pPr>
    </w:p>
    <w:p w14:paraId="7A05A70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（3）</w:t>
      </w:r>
      <w:r>
        <w:rPr>
          <w:rFonts w:hint="eastAsia" w:ascii="仿宋" w:hAnsi="仿宋" w:eastAsia="仿宋" w:cs="仿宋"/>
          <w:b/>
          <w:color w:val="auto"/>
          <w:szCs w:val="21"/>
          <w:lang w:eastAsia="zh-CN"/>
        </w:rPr>
        <w:t>项目投标授权代表人</w:t>
      </w:r>
    </w:p>
    <w:p w14:paraId="72553A17">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开标前一个月的社保缴纳凭证：</w:t>
      </w:r>
    </w:p>
    <w:p w14:paraId="6AE752E6">
      <w:pPr>
        <w:pStyle w:val="6"/>
        <w:keepNext w:val="0"/>
        <w:keepLines w:val="0"/>
        <w:pageBreakBefore w:val="0"/>
        <w:widowControl/>
        <w:kinsoku/>
        <w:wordWrap/>
        <w:overflowPunct/>
        <w:topLinePunct w:val="0"/>
        <w:autoSpaceDE/>
        <w:autoSpaceDN/>
        <w:bidi w:val="0"/>
        <w:adjustRightInd/>
        <w:textAlignment w:val="auto"/>
        <w:outlineLvl w:val="9"/>
        <w:rPr>
          <w:rFonts w:hint="default"/>
          <w:color w:val="auto"/>
          <w:lang w:val="en-US" w:eastAsia="zh-CN"/>
        </w:rPr>
      </w:pPr>
    </w:p>
    <w:p w14:paraId="5CCAF619">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（4）</w:t>
      </w:r>
      <w:r>
        <w:rPr>
          <w:rFonts w:hint="eastAsia" w:ascii="仿宋" w:hAnsi="仿宋" w:eastAsia="仿宋" w:cs="仿宋"/>
          <w:b/>
          <w:color w:val="auto"/>
          <w:szCs w:val="21"/>
          <w:lang w:eastAsia="zh-CN"/>
        </w:rPr>
        <w:t>项目负责人</w:t>
      </w:r>
    </w:p>
    <w:p w14:paraId="40CFB02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身份证复印件（正反面）：</w:t>
      </w:r>
    </w:p>
    <w:p w14:paraId="26066CB1">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开标前一个月的社保缴纳凭证：</w:t>
      </w:r>
    </w:p>
    <w:p w14:paraId="115FFC4C">
      <w:pPr>
        <w:pStyle w:val="6"/>
        <w:keepNext w:val="0"/>
        <w:keepLines w:val="0"/>
        <w:pageBreakBefore w:val="0"/>
        <w:widowControl/>
        <w:kinsoku/>
        <w:wordWrap/>
        <w:overflowPunct/>
        <w:topLinePunct w:val="0"/>
        <w:autoSpaceDE/>
        <w:autoSpaceDN/>
        <w:bidi w:val="0"/>
        <w:adjustRightInd/>
        <w:textAlignment w:val="auto"/>
        <w:outlineLvl w:val="9"/>
        <w:rPr>
          <w:rFonts w:hint="default"/>
          <w:color w:val="auto"/>
          <w:lang w:val="en-US" w:eastAsia="zh-CN"/>
        </w:rPr>
      </w:pPr>
    </w:p>
    <w:p w14:paraId="60AD9E8F">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（5）</w:t>
      </w:r>
      <w:r>
        <w:rPr>
          <w:rFonts w:hint="eastAsia" w:ascii="仿宋" w:hAnsi="仿宋" w:eastAsia="仿宋" w:cs="仿宋"/>
          <w:b/>
          <w:color w:val="auto"/>
          <w:szCs w:val="21"/>
          <w:lang w:eastAsia="zh-CN"/>
        </w:rPr>
        <w:t>主要技术人员</w:t>
      </w:r>
      <w:r>
        <w:rPr>
          <w:rFonts w:hint="eastAsia" w:ascii="仿宋" w:hAnsi="仿宋" w:eastAsia="仿宋" w:cs="仿宋"/>
          <w:b/>
          <w:color w:val="auto"/>
          <w:szCs w:val="21"/>
          <w:lang w:val="en-US" w:eastAsia="zh-CN"/>
        </w:rPr>
        <w:t>1</w:t>
      </w:r>
    </w:p>
    <w:p w14:paraId="4442BE65">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身份证复印件（正反面）：</w:t>
      </w:r>
    </w:p>
    <w:p w14:paraId="553452D2">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开标前一个月的社保缴纳凭证：</w:t>
      </w:r>
    </w:p>
    <w:p w14:paraId="564A10DE">
      <w:pPr>
        <w:pStyle w:val="6"/>
        <w:keepNext w:val="0"/>
        <w:keepLines w:val="0"/>
        <w:pageBreakBefore w:val="0"/>
        <w:widowControl/>
        <w:kinsoku/>
        <w:wordWrap/>
        <w:overflowPunct/>
        <w:topLinePunct w:val="0"/>
        <w:autoSpaceDE/>
        <w:autoSpaceDN/>
        <w:bidi w:val="0"/>
        <w:adjustRightInd/>
        <w:textAlignment w:val="auto"/>
        <w:outlineLvl w:val="9"/>
        <w:rPr>
          <w:rFonts w:hint="default"/>
          <w:color w:val="auto"/>
          <w:lang w:val="en-US" w:eastAsia="zh-CN"/>
        </w:rPr>
      </w:pPr>
    </w:p>
    <w:p w14:paraId="0196D214">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（6）</w:t>
      </w:r>
      <w:r>
        <w:rPr>
          <w:rFonts w:hint="eastAsia" w:ascii="仿宋" w:hAnsi="仿宋" w:eastAsia="仿宋" w:cs="仿宋"/>
          <w:b/>
          <w:color w:val="auto"/>
          <w:szCs w:val="21"/>
          <w:lang w:eastAsia="zh-CN"/>
        </w:rPr>
        <w:t>主要技术人员</w:t>
      </w:r>
      <w:r>
        <w:rPr>
          <w:rFonts w:hint="eastAsia" w:ascii="仿宋" w:hAnsi="仿宋" w:eastAsia="仿宋" w:cs="仿宋"/>
          <w:b/>
          <w:color w:val="auto"/>
          <w:szCs w:val="21"/>
          <w:lang w:val="en-US" w:eastAsia="zh-CN"/>
        </w:rPr>
        <w:t>2</w:t>
      </w:r>
    </w:p>
    <w:p w14:paraId="4FD8F82E">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身份证复印件（正反面）：</w:t>
      </w:r>
    </w:p>
    <w:p w14:paraId="382D304C">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开标前一个月的社保缴纳凭证：</w:t>
      </w:r>
    </w:p>
    <w:p w14:paraId="17B07210">
      <w:pPr>
        <w:pStyle w:val="6"/>
        <w:keepNext w:val="0"/>
        <w:keepLines w:val="0"/>
        <w:pageBreakBefore w:val="0"/>
        <w:widowControl/>
        <w:kinsoku/>
        <w:wordWrap/>
        <w:overflowPunct/>
        <w:topLinePunct w:val="0"/>
        <w:autoSpaceDE/>
        <w:autoSpaceDN/>
        <w:bidi w:val="0"/>
        <w:adjustRightInd/>
        <w:textAlignment w:val="auto"/>
        <w:outlineLvl w:val="9"/>
        <w:rPr>
          <w:rFonts w:hint="default"/>
          <w:color w:val="auto"/>
          <w:lang w:val="en-US" w:eastAsia="zh-CN"/>
        </w:rPr>
      </w:pPr>
    </w:p>
    <w:p w14:paraId="497729CB">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（7）……</w:t>
      </w:r>
    </w:p>
    <w:p w14:paraId="2A9DA6D6">
      <w:pPr>
        <w:pStyle w:val="3"/>
        <w:jc w:val="center"/>
        <w:rPr>
          <w:rFonts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eastAsia="zh-CN"/>
          <w14:textFill>
            <w14:solidFill>
              <w14:schemeClr w14:val="tx1"/>
            </w14:solidFill>
          </w14:textFill>
        </w:rPr>
        <w:t>四</w:t>
      </w:r>
      <w:r>
        <w:rPr>
          <w:rFonts w:hint="eastAsia" w:ascii="黑体" w:eastAsia="黑体"/>
          <w:bCs w:val="0"/>
          <w:color w:val="000000" w:themeColor="text1"/>
          <w:sz w:val="24"/>
          <w14:textFill>
            <w14:solidFill>
              <w14:schemeClr w14:val="tx1"/>
            </w14:solidFill>
          </w14:textFill>
        </w:rPr>
        <w:t>、</w:t>
      </w:r>
      <w:bookmarkStart w:id="45" w:name="_Hlk72092634"/>
      <w:r>
        <w:rPr>
          <w:rFonts w:hint="eastAsia" w:ascii="黑体" w:eastAsia="黑体"/>
          <w:bCs w:val="0"/>
          <w:color w:val="000000" w:themeColor="text1"/>
          <w:sz w:val="24"/>
          <w14:textFill>
            <w14:solidFill>
              <w14:schemeClr w14:val="tx1"/>
            </w14:solidFill>
          </w14:textFill>
        </w:rPr>
        <w:t>实质性条款响应情况表</w:t>
      </w:r>
      <w:bookmarkEnd w:id="45"/>
    </w:p>
    <w:tbl>
      <w:tblPr>
        <w:tblStyle w:val="17"/>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837"/>
        <w:gridCol w:w="3487"/>
        <w:gridCol w:w="1195"/>
        <w:gridCol w:w="676"/>
      </w:tblGrid>
      <w:tr w14:paraId="2ED0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2" w:type="dxa"/>
            <w:vAlign w:val="center"/>
          </w:tcPr>
          <w:p w14:paraId="70BCC05B">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b/>
                <w:bCs/>
                <w:color w:val="000000" w:themeColor="text1"/>
                <w:sz w:val="21"/>
                <w:szCs w:val="21"/>
                <w14:textFill>
                  <w14:solidFill>
                    <w14:schemeClr w14:val="tx1"/>
                  </w14:solidFill>
                </w14:textFill>
              </w:rPr>
            </w:pPr>
            <w:bookmarkStart w:id="46" w:name="_Hlk72092651"/>
            <w:r>
              <w:rPr>
                <w:rFonts w:hint="eastAsia" w:asciiTheme="minorEastAsia" w:hAnsiTheme="minorEastAsia"/>
                <w:b/>
                <w:bCs/>
                <w:color w:val="000000" w:themeColor="text1"/>
                <w:sz w:val="21"/>
                <w:szCs w:val="21"/>
                <w14:textFill>
                  <w14:solidFill>
                    <w14:schemeClr w14:val="tx1"/>
                  </w14:solidFill>
                </w14:textFill>
              </w:rPr>
              <w:t>序号</w:t>
            </w:r>
          </w:p>
        </w:tc>
        <w:tc>
          <w:tcPr>
            <w:tcW w:w="3837" w:type="dxa"/>
            <w:vAlign w:val="center"/>
          </w:tcPr>
          <w:p w14:paraId="62131953">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实质性条款具体内容</w:t>
            </w:r>
          </w:p>
        </w:tc>
        <w:tc>
          <w:tcPr>
            <w:tcW w:w="3487" w:type="dxa"/>
            <w:vAlign w:val="center"/>
          </w:tcPr>
          <w:p w14:paraId="27898FAA">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投标响应</w:t>
            </w:r>
          </w:p>
        </w:tc>
        <w:tc>
          <w:tcPr>
            <w:tcW w:w="1195" w:type="dxa"/>
            <w:vAlign w:val="center"/>
          </w:tcPr>
          <w:p w14:paraId="04A854C6">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偏离情况</w:t>
            </w:r>
          </w:p>
        </w:tc>
        <w:tc>
          <w:tcPr>
            <w:tcW w:w="676" w:type="dxa"/>
            <w:vAlign w:val="center"/>
          </w:tcPr>
          <w:p w14:paraId="18A97B73">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说明</w:t>
            </w:r>
          </w:p>
        </w:tc>
      </w:tr>
      <w:bookmarkEnd w:id="46"/>
      <w:tr w14:paraId="5A56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top"/>
          </w:tcPr>
          <w:p w14:paraId="217CDB68">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themeColor="text1"/>
                <w:sz w:val="21"/>
                <w:szCs w:val="21"/>
                <w14:textFill>
                  <w14:solidFill>
                    <w14:schemeClr w14:val="tx1"/>
                  </w14:solidFill>
                </w14:textFill>
              </w:rPr>
            </w:pPr>
            <w:r>
              <w:rPr>
                <w:rFonts w:hint="eastAsia" w:ascii="宋体" w:hAnsi="宋体" w:eastAsia="宋体"/>
                <w:szCs w:val="21"/>
              </w:rPr>
              <w:t>1</w:t>
            </w:r>
          </w:p>
        </w:tc>
        <w:tc>
          <w:tcPr>
            <w:tcW w:w="3837" w:type="dxa"/>
            <w:vAlign w:val="top"/>
          </w:tcPr>
          <w:p w14:paraId="3D8852D7">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color w:val="000000" w:themeColor="text1"/>
                <w:sz w:val="21"/>
                <w:szCs w:val="21"/>
                <w14:textFill>
                  <w14:solidFill>
                    <w14:schemeClr w14:val="tx1"/>
                  </w14:solidFill>
                </w14:textFill>
              </w:rPr>
            </w:pPr>
            <w:r>
              <w:rPr>
                <w:rFonts w:hint="eastAsia" w:ascii="宋体" w:hAnsi="宋体" w:eastAsia="宋体" w:cs="宋体"/>
                <w:kern w:val="0"/>
                <w:sz w:val="24"/>
                <w:szCs w:val="24"/>
                <w:lang w:val="en-US" w:eastAsia="zh-CN" w:bidi="ar"/>
              </w:rPr>
              <w:t>满足本项目标</w:t>
            </w:r>
            <w:r>
              <w:rPr>
                <w:rFonts w:hint="eastAsia" w:ascii="Times New Roman" w:hAnsi="Times New Roman" w:eastAsia="宋体" w:cs="Times New Roman"/>
                <w:kern w:val="0"/>
                <w:sz w:val="24"/>
                <w:szCs w:val="24"/>
                <w:lang w:val="en-US" w:eastAsia="zh-CN" w:bidi="ar"/>
              </w:rPr>
              <w:t>★的条款要求</w:t>
            </w:r>
          </w:p>
        </w:tc>
        <w:tc>
          <w:tcPr>
            <w:tcW w:w="3487" w:type="dxa"/>
          </w:tcPr>
          <w:p w14:paraId="29C1F5EC">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69916C00">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0559EC0C">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r w14:paraId="7B28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14:paraId="4CF2ED95">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2</w:t>
            </w:r>
          </w:p>
        </w:tc>
        <w:tc>
          <w:tcPr>
            <w:tcW w:w="3837" w:type="dxa"/>
            <w:vAlign w:val="top"/>
          </w:tcPr>
          <w:p w14:paraId="5F5889BE">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4.</w:t>
            </w:r>
            <w:r>
              <w:rPr>
                <w:rFonts w:hint="eastAsia" w:ascii="宋体" w:hAnsi="宋体" w:eastAsia="宋体" w:cs="宋体"/>
                <w:kern w:val="0"/>
                <w:sz w:val="24"/>
                <w:szCs w:val="24"/>
                <w:lang w:val="en-US" w:eastAsia="zh-CN" w:bidi="ar"/>
              </w:rPr>
              <w:t>★团队人员要求</w:t>
            </w:r>
          </w:p>
          <w:p w14:paraId="7B41D86B">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z w:val="24"/>
                <w:szCs w:val="24"/>
              </w:rPr>
            </w:pPr>
            <w:r>
              <w:rPr>
                <w:rFonts w:hint="eastAsia" w:ascii="宋体" w:hAnsi="宋体" w:eastAsia="宋体" w:cs="宋体"/>
                <w:kern w:val="0"/>
                <w:sz w:val="24"/>
                <w:szCs w:val="24"/>
                <w:lang w:val="en-US" w:eastAsia="zh-CN" w:bidi="ar"/>
              </w:rPr>
              <w:t>团队成员中至少</w:t>
            </w:r>
            <w:r>
              <w:rPr>
                <w:rFonts w:hint="default" w:ascii="Times New Roman" w:hAnsi="Times New Roman" w:eastAsia="宋体" w:cs="Times New Roman"/>
                <w:kern w:val="0"/>
                <w:sz w:val="24"/>
                <w:szCs w:val="24"/>
                <w:lang w:val="en-US" w:eastAsia="zh-CN" w:bidi="ar"/>
              </w:rPr>
              <w:t>13</w:t>
            </w:r>
            <w:r>
              <w:rPr>
                <w:rFonts w:hint="eastAsia" w:ascii="宋体" w:hAnsi="宋体" w:eastAsia="宋体" w:cs="宋体"/>
                <w:kern w:val="0"/>
                <w:sz w:val="24"/>
                <w:szCs w:val="24"/>
                <w:lang w:val="en-US" w:eastAsia="zh-CN" w:bidi="ar"/>
              </w:rPr>
              <w:t>人具有政府部门颁发的特种作业操作证（电工作业），至少</w:t>
            </w:r>
            <w:r>
              <w:rPr>
                <w:rFonts w:hint="default" w:ascii="Times New Roman" w:hAnsi="Times New Roman" w:eastAsia="宋体" w:cs="Times New Roman"/>
                <w:kern w:val="0"/>
                <w:sz w:val="24"/>
                <w:szCs w:val="24"/>
                <w:lang w:val="en-US" w:eastAsia="zh-CN" w:bidi="ar"/>
              </w:rPr>
              <w:t>3</w:t>
            </w:r>
            <w:r>
              <w:rPr>
                <w:rFonts w:hint="eastAsia" w:ascii="宋体" w:hAnsi="宋体" w:eastAsia="宋体" w:cs="宋体"/>
                <w:kern w:val="0"/>
                <w:sz w:val="24"/>
                <w:szCs w:val="24"/>
                <w:lang w:val="en-US" w:eastAsia="zh-CN" w:bidi="ar"/>
              </w:rPr>
              <w:t>人具有政府部门颁发的特种作业操作证（高处作业），员工须为投标单位自有员工。</w:t>
            </w:r>
          </w:p>
          <w:p w14:paraId="4F1946FB">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z w:val="24"/>
                <w:szCs w:val="24"/>
              </w:rPr>
            </w:pPr>
            <w:r>
              <w:rPr>
                <w:rFonts w:hint="eastAsia" w:ascii="宋体" w:hAnsi="宋体" w:eastAsia="宋体" w:cs="宋体"/>
                <w:kern w:val="0"/>
                <w:sz w:val="24"/>
                <w:szCs w:val="24"/>
                <w:lang w:val="en-US" w:eastAsia="zh-CN" w:bidi="ar"/>
              </w:rPr>
              <w:t>要求提供：</w:t>
            </w:r>
          </w:p>
          <w:p w14:paraId="2F3DD3D6">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社保证明。社保证明具体要求：投标人缴纳的近三个月的任意一个月的社保证明；若供应商成立不足三个月的，需提供成立情况说明函（格式自拟），无需提供相关人员社保；若为退休返聘人员，需提供说明函，格式自拟）</w:t>
            </w:r>
          </w:p>
          <w:p w14:paraId="2E5AB743">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sz w:val="21"/>
                <w:szCs w:val="21"/>
              </w:rPr>
            </w:pPr>
            <w:r>
              <w:rPr>
                <w:rFonts w:hint="default" w:ascii="Times New Roman" w:hAnsi="Times New Roman"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相关证书及官网查询截图。</w:t>
            </w:r>
          </w:p>
        </w:tc>
        <w:tc>
          <w:tcPr>
            <w:tcW w:w="3487" w:type="dxa"/>
          </w:tcPr>
          <w:p w14:paraId="31F7BC94">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597EE7E7">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7101AEA5">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r w14:paraId="1C42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14:paraId="38575EE1">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3</w:t>
            </w:r>
          </w:p>
        </w:tc>
        <w:tc>
          <w:tcPr>
            <w:tcW w:w="3837" w:type="dxa"/>
            <w:vAlign w:val="top"/>
          </w:tcPr>
          <w:p w14:paraId="2E3F2B9D">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sz w:val="21"/>
                <w:szCs w:val="21"/>
              </w:rPr>
            </w:pP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 xml:space="preserve">2.1 </w:t>
            </w:r>
            <w:r>
              <w:rPr>
                <w:rFonts w:hint="eastAsia" w:ascii="宋体" w:hAnsi="宋体" w:eastAsia="宋体" w:cs="宋体"/>
                <w:kern w:val="0"/>
                <w:sz w:val="24"/>
                <w:szCs w:val="24"/>
                <w:lang w:val="en-US" w:eastAsia="zh-CN" w:bidi="ar"/>
              </w:rPr>
              <w:t>投标人须向具有相关设备、设施供货资格的供应商购置材料、设备，并保证按时、按质、按量提供采购器材，其型号、技术规格等须与采购人当前使用的设备型号、技术规格相同或采购人认同的可向上兼容的设备，不得使用低配置的设备。具体供货数量及型号以采购人下达的采购通知为准，采购完成到货验收合格后即安排安装更换，并做好更换记录及相关清单台账（具体参数以采购文件提供的设备技术参数表中《详细功能参数要求》为准</w:t>
            </w:r>
            <w:r>
              <w:rPr>
                <w:rFonts w:hint="eastAsia" w:ascii="宋体" w:hAnsi="宋体" w:eastAsia="宋体" w:cs="宋体"/>
                <w:b/>
                <w:bCs/>
                <w:kern w:val="0"/>
                <w:sz w:val="24"/>
                <w:szCs w:val="24"/>
                <w:lang w:val="en-US" w:eastAsia="zh-CN" w:bidi="ar"/>
              </w:rPr>
              <w:t>，提供承诺函，格式自拟）</w:t>
            </w:r>
          </w:p>
        </w:tc>
        <w:tc>
          <w:tcPr>
            <w:tcW w:w="3487" w:type="dxa"/>
          </w:tcPr>
          <w:p w14:paraId="338D5754">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40953F0A">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78AFC0DA">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r w14:paraId="41A1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14:paraId="4A697D6A">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4</w:t>
            </w:r>
          </w:p>
        </w:tc>
        <w:tc>
          <w:tcPr>
            <w:tcW w:w="3837" w:type="dxa"/>
            <w:vAlign w:val="top"/>
          </w:tcPr>
          <w:p w14:paraId="02C05C3C">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b/>
                <w:bCs/>
                <w:sz w:val="24"/>
                <w:szCs w:val="24"/>
              </w:rPr>
            </w:pPr>
            <w:r>
              <w:rPr>
                <w:rFonts w:hint="eastAsia" w:ascii="宋体" w:hAnsi="宋体" w:eastAsia="宋体" w:cs="宋体"/>
                <w:kern w:val="0"/>
                <w:sz w:val="24"/>
                <w:szCs w:val="24"/>
                <w:lang w:val="en-US" w:eastAsia="zh-CN" w:bidi="ar"/>
              </w:rPr>
              <w:t>完全满足本项目服务期限的要求。</w:t>
            </w:r>
            <w:r>
              <w:rPr>
                <w:rFonts w:hint="eastAsia" w:ascii="宋体" w:hAnsi="宋体" w:eastAsia="宋体" w:cs="宋体"/>
                <w:b/>
                <w:bCs/>
                <w:kern w:val="0"/>
                <w:sz w:val="24"/>
                <w:szCs w:val="24"/>
                <w:lang w:val="en-US" w:eastAsia="zh-CN" w:bidi="ar"/>
              </w:rPr>
              <w:t>（提供承诺函，格式自拟）</w:t>
            </w:r>
          </w:p>
          <w:p w14:paraId="65FAB7E2">
            <w:pPr>
              <w:keepNext w:val="0"/>
              <w:keepLines w:val="0"/>
              <w:widowControl/>
              <w:suppressLineNumbers w:val="0"/>
              <w:adjustRightInd w:val="0"/>
              <w:snapToGrid w:val="0"/>
              <w:spacing w:before="0" w:beforeAutospacing="0" w:after="0" w:afterAutospacing="0" w:line="360" w:lineRule="auto"/>
              <w:ind w:left="0" w:right="0"/>
              <w:jc w:val="left"/>
              <w:rPr>
                <w:rFonts w:hint="eastAsia" w:ascii="Times New Roman" w:hAnsi="Times New Roman" w:eastAsia="宋体" w:cs="Times New Roman"/>
                <w:sz w:val="24"/>
                <w:szCs w:val="24"/>
              </w:rPr>
            </w:pPr>
            <w:r>
              <w:rPr>
                <w:rFonts w:hint="eastAsia" w:ascii="宋体" w:hAnsi="宋体" w:eastAsia="宋体" w:cs="宋体"/>
                <w:kern w:val="0"/>
                <w:sz w:val="24"/>
                <w:szCs w:val="24"/>
                <w:lang w:val="en-US" w:eastAsia="zh-CN" w:bidi="ar"/>
              </w:rPr>
              <w:t>★（一）项目服务期限</w:t>
            </w:r>
          </w:p>
          <w:p w14:paraId="0D270AC5">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sz w:val="21"/>
                <w:szCs w:val="21"/>
              </w:rPr>
            </w:pPr>
            <w:r>
              <w:rPr>
                <w:rFonts w:hint="eastAsia" w:ascii="宋体" w:hAnsi="宋体" w:eastAsia="宋体" w:cs="宋体"/>
                <w:kern w:val="0"/>
                <w:sz w:val="24"/>
                <w:szCs w:val="24"/>
                <w:lang w:val="en-US" w:eastAsia="zh-CN" w:bidi="ar"/>
              </w:rPr>
              <w:t>本项目为长期服务类项目，第一年为本次招标的中标服务期限，采购单位可根据项目需要和中标供应商的履约情况确定合同期限是否延长，但最长不超过三十六个月。若政府采购主管部门发现项目有异常情况，以主管部门意见为准。</w:t>
            </w:r>
          </w:p>
        </w:tc>
        <w:tc>
          <w:tcPr>
            <w:tcW w:w="3487" w:type="dxa"/>
          </w:tcPr>
          <w:p w14:paraId="7296AF75">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5D5F9556">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1413A41A">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r w14:paraId="78B8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14:paraId="2EABDD1C">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eastAsia="宋体" w:asciiTheme="minorEastAsia" w:hAnsiTheme="minorEastAsia"/>
                <w:color w:val="000000" w:themeColor="text1"/>
                <w:sz w:val="21"/>
                <w:szCs w:val="21"/>
                <w:lang w:val="en-US" w:eastAsia="zh-CN"/>
                <w14:textFill>
                  <w14:solidFill>
                    <w14:schemeClr w14:val="tx1"/>
                  </w14:solidFill>
                </w14:textFill>
              </w:rPr>
              <w:t>5</w:t>
            </w:r>
          </w:p>
        </w:tc>
        <w:tc>
          <w:tcPr>
            <w:tcW w:w="3837" w:type="dxa"/>
            <w:vAlign w:val="top"/>
          </w:tcPr>
          <w:p w14:paraId="4B2F185F">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sz w:val="21"/>
                <w:szCs w:val="21"/>
              </w:rPr>
            </w:pPr>
            <w:r>
              <w:rPr>
                <w:rFonts w:hint="eastAsia" w:ascii="宋体" w:hAnsi="宋体" w:eastAsia="宋体" w:cs="宋体"/>
                <w:kern w:val="0"/>
                <w:sz w:val="24"/>
                <w:szCs w:val="24"/>
                <w:lang w:val="en-US" w:eastAsia="zh-CN" w:bidi="ar"/>
              </w:rPr>
              <w:t>投标人在服务期间不得因欠缴电费而导致交通信号设施、电子警察、车牌识别、视频监控、诱导屏等设施中断运行。（提供承诺函，格式自拟）</w:t>
            </w:r>
          </w:p>
        </w:tc>
        <w:tc>
          <w:tcPr>
            <w:tcW w:w="3487" w:type="dxa"/>
          </w:tcPr>
          <w:p w14:paraId="20D9794D">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63534608">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50B03192">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r w14:paraId="7DF2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14:paraId="0E20F9BD">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eastAsia="宋体" w:asciiTheme="minorEastAsia" w:hAnsiTheme="minorEastAsia"/>
                <w:color w:val="000000" w:themeColor="text1"/>
                <w:sz w:val="21"/>
                <w:szCs w:val="21"/>
                <w:lang w:val="en-US" w:eastAsia="zh-CN"/>
                <w14:textFill>
                  <w14:solidFill>
                    <w14:schemeClr w14:val="tx1"/>
                  </w14:solidFill>
                </w14:textFill>
              </w:rPr>
              <w:t>6</w:t>
            </w:r>
          </w:p>
        </w:tc>
        <w:tc>
          <w:tcPr>
            <w:tcW w:w="3837" w:type="dxa"/>
            <w:vAlign w:val="top"/>
          </w:tcPr>
          <w:p w14:paraId="78EAFE78">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sz w:val="21"/>
                <w:szCs w:val="21"/>
              </w:rPr>
            </w:pPr>
            <w:r>
              <w:rPr>
                <w:rFonts w:hint="eastAsia" w:ascii="宋体" w:hAnsi="宋体" w:eastAsia="宋体" w:cs="宋体"/>
                <w:kern w:val="0"/>
                <w:sz w:val="24"/>
                <w:szCs w:val="24"/>
                <w:lang w:val="en-US" w:eastAsia="zh-CN" w:bidi="ar"/>
              </w:rPr>
              <w:t>公司经营状况良好，自</w:t>
            </w:r>
            <w:r>
              <w:rPr>
                <w:rFonts w:hint="default" w:ascii="Times New Roman" w:hAnsi="Times New Roman" w:eastAsia="宋体" w:cs="Times New Roman"/>
                <w:kern w:val="0"/>
                <w:sz w:val="24"/>
                <w:szCs w:val="24"/>
                <w:lang w:val="en-US" w:eastAsia="zh-CN" w:bidi="ar"/>
              </w:rPr>
              <w:t>2023</w:t>
            </w:r>
            <w:r>
              <w:rPr>
                <w:rFonts w:hint="eastAsia" w:ascii="宋体" w:hAnsi="宋体" w:eastAsia="宋体" w:cs="宋体"/>
                <w:kern w:val="0"/>
                <w:sz w:val="24"/>
                <w:szCs w:val="24"/>
                <w:lang w:val="en-US" w:eastAsia="zh-CN" w:bidi="ar"/>
              </w:rPr>
              <w:t>年</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月</w:t>
            </w:r>
            <w:r>
              <w:rPr>
                <w:rFonts w:hint="default" w:ascii="Times New Roman" w:hAnsi="Times New Roman"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日至今未出现因拖欠员工工资而造成社会不良影响的情形。（提供承诺函，格式自拟）</w:t>
            </w:r>
          </w:p>
        </w:tc>
        <w:tc>
          <w:tcPr>
            <w:tcW w:w="3487" w:type="dxa"/>
          </w:tcPr>
          <w:p w14:paraId="40AA6E3C">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49343D80">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3E2C6132">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r w14:paraId="3A09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14:paraId="63E2AE4C">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eastAsia="宋体" w:asciiTheme="minorEastAsia" w:hAnsiTheme="minorEastAsia"/>
                <w:color w:val="000000" w:themeColor="text1"/>
                <w:sz w:val="21"/>
                <w:szCs w:val="21"/>
                <w:lang w:val="en-US" w:eastAsia="zh-CN"/>
                <w14:textFill>
                  <w14:solidFill>
                    <w14:schemeClr w14:val="tx1"/>
                  </w14:solidFill>
                </w14:textFill>
              </w:rPr>
              <w:t>7</w:t>
            </w:r>
          </w:p>
        </w:tc>
        <w:tc>
          <w:tcPr>
            <w:tcW w:w="3837" w:type="dxa"/>
            <w:vAlign w:val="top"/>
          </w:tcPr>
          <w:p w14:paraId="4E33C85E">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sz w:val="21"/>
                <w:szCs w:val="21"/>
              </w:rPr>
            </w:pPr>
            <w:r>
              <w:rPr>
                <w:rFonts w:hint="eastAsia" w:ascii="宋体" w:hAnsi="宋体" w:eastAsia="宋体" w:cs="宋体"/>
                <w:kern w:val="0"/>
                <w:sz w:val="24"/>
                <w:szCs w:val="24"/>
                <w:lang w:val="en-US" w:eastAsia="zh-CN" w:bidi="ar"/>
              </w:rPr>
              <w:t>项目资金专款专用，投标人服务期间不得拖欠项目团队员工工资。（提供承诺函，格式自拟）</w:t>
            </w:r>
          </w:p>
        </w:tc>
        <w:tc>
          <w:tcPr>
            <w:tcW w:w="3487" w:type="dxa"/>
          </w:tcPr>
          <w:p w14:paraId="631DBF7E">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4875B18E">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2D6BD134">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r w14:paraId="3880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14:paraId="273D6C88">
            <w:pPr>
              <w:keepNext w:val="0"/>
              <w:keepLines w:val="0"/>
              <w:widowControl/>
              <w:suppressLineNumbers w:val="0"/>
              <w:adjustRightInd w:val="0"/>
              <w:snapToGrid w:val="0"/>
              <w:spacing w:before="0" w:beforeAutospacing="0" w:after="0" w:afterAutospacing="0" w:line="360" w:lineRule="auto"/>
              <w:ind w:left="0" w:right="0"/>
              <w:jc w:val="center"/>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eastAsia="宋体" w:asciiTheme="minorEastAsia" w:hAnsiTheme="minorEastAsia"/>
                <w:color w:val="000000" w:themeColor="text1"/>
                <w:sz w:val="21"/>
                <w:szCs w:val="21"/>
                <w:lang w:val="en-US" w:eastAsia="zh-CN"/>
                <w14:textFill>
                  <w14:solidFill>
                    <w14:schemeClr w14:val="tx1"/>
                  </w14:solidFill>
                </w14:textFill>
              </w:rPr>
              <w:t>8</w:t>
            </w:r>
          </w:p>
        </w:tc>
        <w:tc>
          <w:tcPr>
            <w:tcW w:w="3837" w:type="dxa"/>
            <w:vAlign w:val="top"/>
          </w:tcPr>
          <w:p w14:paraId="59E4933C">
            <w:pPr>
              <w:keepNext w:val="0"/>
              <w:keepLines w:val="0"/>
              <w:widowControl/>
              <w:suppressLineNumbers w:val="0"/>
              <w:adjustRightInd w:val="0"/>
              <w:snapToGrid w:val="0"/>
              <w:spacing w:before="0" w:beforeAutospacing="0" w:after="0" w:afterAutospacing="0" w:line="360" w:lineRule="auto"/>
              <w:ind w:left="0" w:leftChars="0" w:right="0" w:rightChars="0"/>
              <w:jc w:val="left"/>
              <w:rPr>
                <w:rFonts w:hint="default" w:asciiTheme="minorEastAsia" w:hAnsiTheme="minorEastAsia"/>
                <w:sz w:val="21"/>
                <w:szCs w:val="21"/>
              </w:rPr>
            </w:pPr>
            <w:r>
              <w:rPr>
                <w:rFonts w:hint="eastAsia" w:ascii="宋体" w:hAnsi="宋体" w:eastAsia="宋体" w:cs="宋体"/>
                <w:kern w:val="0"/>
                <w:sz w:val="24"/>
                <w:szCs w:val="24"/>
                <w:lang w:val="en-US" w:eastAsia="zh-CN" w:bidi="ar"/>
              </w:rPr>
              <w:t>承诺在未经采购人书面同意前，须保持实际服务团队成员与投标服务团队成员须保持一致，否则视为主动放弃中标资格。（提供承诺函，格式自拟）</w:t>
            </w:r>
          </w:p>
        </w:tc>
        <w:tc>
          <w:tcPr>
            <w:tcW w:w="3487" w:type="dxa"/>
          </w:tcPr>
          <w:p w14:paraId="1A41382F">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1195" w:type="dxa"/>
          </w:tcPr>
          <w:p w14:paraId="6C024E9E">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c>
          <w:tcPr>
            <w:tcW w:w="676" w:type="dxa"/>
          </w:tcPr>
          <w:p w14:paraId="73D19A46">
            <w:pPr>
              <w:keepNext w:val="0"/>
              <w:keepLines w:val="0"/>
              <w:widowControl/>
              <w:suppressLineNumbers w:val="0"/>
              <w:adjustRightInd w:val="0"/>
              <w:snapToGrid w:val="0"/>
              <w:spacing w:before="0" w:beforeAutospacing="0" w:after="0" w:afterAutospacing="0" w:line="360" w:lineRule="auto"/>
              <w:ind w:left="0" w:right="0"/>
              <w:rPr>
                <w:rFonts w:hint="default" w:asciiTheme="minorEastAsia" w:hAnsiTheme="minorEastAsia"/>
                <w:color w:val="000000" w:themeColor="text1"/>
                <w:sz w:val="21"/>
                <w:szCs w:val="21"/>
                <w14:textFill>
                  <w14:solidFill>
                    <w14:schemeClr w14:val="tx1"/>
                  </w14:solidFill>
                </w14:textFill>
              </w:rPr>
            </w:pPr>
          </w:p>
        </w:tc>
      </w:tr>
    </w:tbl>
    <w:p w14:paraId="44AA765C">
      <w:pPr>
        <w:rPr>
          <w:b/>
          <w:color w:val="FF0000"/>
          <w:szCs w:val="22"/>
        </w:rPr>
      </w:pPr>
      <w:r>
        <w:rPr>
          <w:rFonts w:hint="eastAsia"/>
          <w:b/>
          <w:color w:val="FF0000"/>
          <w:szCs w:val="22"/>
        </w:rPr>
        <w:t>证明资料【如有的话，供应商提供的证明资料应统一编号（排序），格式自定】：</w:t>
      </w:r>
    </w:p>
    <w:p w14:paraId="640CC371">
      <w:pPr>
        <w:ind w:firstLine="480" w:firstLineChars="200"/>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注：</w:t>
      </w:r>
    </w:p>
    <w:p w14:paraId="4456A763">
      <w:pPr>
        <w:ind w:firstLine="480" w:firstLineChars="200"/>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1. 上表所列各项均为不可负偏离条款。</w:t>
      </w:r>
    </w:p>
    <w:p w14:paraId="490A7265">
      <w:pPr>
        <w:ind w:firstLine="480" w:firstLineChars="200"/>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2.“投标响应”一栏应当详细填写投标人自身响应情况，而不能不合理照搬照抄招实质性条款具体内容。</w:t>
      </w:r>
    </w:p>
    <w:p w14:paraId="05C0D148">
      <w:pPr>
        <w:ind w:firstLine="480" w:firstLineChars="200"/>
        <w:rPr>
          <w:b/>
          <w:color w:val="000000" w:themeColor="text1"/>
          <w:szCs w:val="22"/>
          <w14:textFill>
            <w14:solidFill>
              <w14:schemeClr w14:val="tx1"/>
            </w14:solidFill>
          </w14:textFill>
        </w:rPr>
      </w:pPr>
      <w:r>
        <w:rPr>
          <w:rFonts w:hint="eastAsia"/>
          <w:b/>
          <w:color w:val="000000" w:themeColor="text1"/>
          <w:szCs w:val="22"/>
          <w14:textFill>
            <w14:solidFill>
              <w14:schemeClr w14:val="tx1"/>
            </w14:solidFill>
          </w14:textFill>
        </w:rPr>
        <w:t>3</w:t>
      </w:r>
      <w:r>
        <w:rPr>
          <w:b/>
          <w:color w:val="000000" w:themeColor="text1"/>
          <w:szCs w:val="22"/>
          <w14:textFill>
            <w14:solidFill>
              <w14:schemeClr w14:val="tx1"/>
            </w14:solidFill>
          </w14:textFill>
        </w:rPr>
        <w:t>.</w:t>
      </w:r>
      <w:r>
        <w:rPr>
          <w:rFonts w:hint="eastAsia"/>
          <w:b/>
          <w:color w:val="000000" w:themeColor="text1"/>
          <w:szCs w:val="22"/>
          <w14:textFill>
            <w14:solidFill>
              <w14:schemeClr w14:val="tx1"/>
            </w14:solidFill>
          </w14:textFill>
        </w:rPr>
        <w:t>“偏离情况”一栏应填写“正偏离”、“负偏离”或“无偏离”，</w:t>
      </w:r>
      <w:r>
        <w:rPr>
          <w:rFonts w:hint="eastAsia"/>
          <w:b/>
          <w:color w:val="000000" w:themeColor="text1"/>
          <w14:textFill>
            <w14:solidFill>
              <w14:schemeClr w14:val="tx1"/>
            </w14:solidFill>
          </w14:textFill>
        </w:rPr>
        <w:t>“正偏离”表示“投标响应优于实质性条款具体内容要求”，“负偏离”表示“投标响应不满足实质性条款具体内容要求”，“无偏离”表示“投标响应与实质性条款具体内容要求一致”。</w:t>
      </w:r>
    </w:p>
    <w:p w14:paraId="40D6FEED">
      <w:pPr>
        <w:ind w:firstLine="480" w:firstLineChars="200"/>
        <w:rPr>
          <w:b/>
          <w:color w:val="000000" w:themeColor="text1"/>
          <w14:textFill>
            <w14:solidFill>
              <w14:schemeClr w14:val="tx1"/>
            </w14:solidFill>
          </w14:textFill>
        </w:rPr>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评审委员会有权对投标响应情况作出判断（作出评审结论）。</w:t>
      </w:r>
    </w:p>
    <w:p w14:paraId="2B4F92B4">
      <w:pPr>
        <w:ind w:firstLine="480" w:firstLineChars="200"/>
        <w:rPr>
          <w:color w:val="000000" w:themeColor="text1"/>
          <w14:textFill>
            <w14:solidFill>
              <w14:schemeClr w14:val="tx1"/>
            </w14:solidFill>
          </w14:textFill>
        </w:rPr>
      </w:pPr>
      <w:r>
        <w:rPr>
          <w:b/>
          <w:color w:val="000000" w:themeColor="text1"/>
          <w:szCs w:val="22"/>
          <w14:textFill>
            <w14:solidFill>
              <w14:schemeClr w14:val="tx1"/>
            </w14:solidFill>
          </w14:textFill>
        </w:rPr>
        <w:t>5</w:t>
      </w:r>
      <w:r>
        <w:rPr>
          <w:rFonts w:hint="eastAsia"/>
          <w:b/>
          <w:color w:val="000000" w:themeColor="text1"/>
          <w:szCs w:val="22"/>
          <w14:textFill>
            <w14:solidFill>
              <w14:schemeClr w14:val="tx1"/>
            </w14:solidFill>
          </w14:textFill>
        </w:rPr>
        <w:t>.实质性响应条款“投标响应情况”与投标文件其它内容冲突的，以实质性响应条款“投标响应情况”为准。</w:t>
      </w:r>
    </w:p>
    <w:p w14:paraId="019DF59B">
      <w:pPr>
        <w:rPr>
          <w:rFonts w:eastAsia="黑体"/>
        </w:rPr>
      </w:pPr>
    </w:p>
    <w:p w14:paraId="1FD5622E">
      <w:pPr>
        <w:rPr>
          <w:rFonts w:hint="eastAsia" w:ascii="黑体" w:eastAsia="黑体"/>
          <w:bCs w:val="0"/>
          <w:color w:val="000000" w:themeColor="text1"/>
          <w:sz w:val="24"/>
          <w:lang w:eastAsia="zh-CN"/>
          <w14:textFill>
            <w14:solidFill>
              <w14:schemeClr w14:val="tx1"/>
            </w14:solidFill>
          </w14:textFill>
        </w:rPr>
      </w:pPr>
      <w:r>
        <w:rPr>
          <w:rFonts w:hint="eastAsia" w:ascii="黑体" w:eastAsia="黑体"/>
          <w:bCs w:val="0"/>
          <w:color w:val="000000" w:themeColor="text1"/>
          <w:sz w:val="24"/>
          <w:lang w:eastAsia="zh-CN"/>
          <w14:textFill>
            <w14:solidFill>
              <w14:schemeClr w14:val="tx1"/>
            </w14:solidFill>
          </w14:textFill>
        </w:rPr>
        <w:br w:type="page"/>
      </w:r>
    </w:p>
    <w:p w14:paraId="1333C7E2">
      <w:pPr>
        <w:pStyle w:val="3"/>
        <w:jc w:val="center"/>
        <w:rPr>
          <w:rFonts w:hint="eastAsia" w:ascii="黑体" w:eastAsia="黑体"/>
          <w:bCs w:val="0"/>
          <w:color w:val="000000" w:themeColor="text1"/>
          <w:sz w:val="24"/>
          <w:lang w:eastAsia="zh-CN"/>
          <w14:textFill>
            <w14:solidFill>
              <w14:schemeClr w14:val="tx1"/>
            </w14:solidFill>
          </w14:textFill>
        </w:rPr>
      </w:pPr>
      <w:r>
        <w:rPr>
          <w:rFonts w:hint="eastAsia" w:ascii="黑体" w:eastAsia="黑体"/>
          <w:bCs w:val="0"/>
          <w:color w:val="000000" w:themeColor="text1"/>
          <w:sz w:val="24"/>
          <w:lang w:eastAsia="zh-CN"/>
          <w14:textFill>
            <w14:solidFill>
              <w14:schemeClr w14:val="tx1"/>
            </w14:solidFill>
          </w14:textFill>
        </w:rPr>
        <w:t>五</w:t>
      </w:r>
      <w:r>
        <w:rPr>
          <w:rFonts w:hint="eastAsia" w:ascii="黑体" w:eastAsia="黑体"/>
          <w:bCs w:val="0"/>
          <w:color w:val="000000" w:themeColor="text1"/>
          <w:sz w:val="24"/>
          <w14:textFill>
            <w14:solidFill>
              <w14:schemeClr w14:val="tx1"/>
            </w14:solidFill>
          </w14:textFill>
        </w:rPr>
        <w:t>、</w:t>
      </w:r>
      <w:r>
        <w:rPr>
          <w:rFonts w:hint="eastAsia" w:ascii="黑体" w:eastAsia="黑体"/>
          <w:bCs w:val="0"/>
          <w:color w:val="000000" w:themeColor="text1"/>
          <w:sz w:val="24"/>
          <w:lang w:eastAsia="zh-CN"/>
          <w14:textFill>
            <w14:solidFill>
              <w14:schemeClr w14:val="tx1"/>
            </w14:solidFill>
          </w14:textFill>
        </w:rPr>
        <w:t>承诺函</w:t>
      </w:r>
    </w:p>
    <w:p w14:paraId="11293A4F">
      <w:pPr>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致：深圳市公安局交通警察局</w:t>
      </w:r>
      <w:r>
        <w:rPr>
          <w:rFonts w:hint="eastAsia" w:ascii="宋体" w:hAnsi="宋体" w:eastAsia="宋体"/>
          <w:color w:val="000000" w:themeColor="text1"/>
          <w:lang w:val="en-US" w:eastAsia="zh-CN"/>
          <w14:textFill>
            <w14:solidFill>
              <w14:schemeClr w14:val="tx1"/>
            </w14:solidFill>
          </w14:textFill>
        </w:rPr>
        <w:t>/</w:t>
      </w:r>
      <w:r>
        <w:rPr>
          <w:rFonts w:hint="eastAsia" w:ascii="宋体" w:hAnsi="宋体" w:eastAsia="宋体"/>
          <w:color w:val="000000" w:themeColor="text1"/>
          <w:u w:val="single"/>
          <w14:textFill>
            <w14:solidFill>
              <w14:schemeClr w14:val="tx1"/>
            </w14:solidFill>
          </w14:textFill>
        </w:rPr>
        <w:t>友和保险经纪有限公司</w:t>
      </w:r>
    </w:p>
    <w:p w14:paraId="048A86A4">
      <w:pPr>
        <w:ind w:right="-815" w:firstLine="48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我单位承诺</w:t>
      </w:r>
      <w:r>
        <w:rPr>
          <w:rFonts w:hint="eastAsia" w:ascii="宋体" w:hAnsi="宋体" w:eastAsia="宋体"/>
          <w:color w:val="000000" w:themeColor="text1"/>
          <w:lang w:eastAsia="zh-CN"/>
          <w14:textFill>
            <w14:solidFill>
              <w14:schemeClr w14:val="tx1"/>
            </w14:solidFill>
          </w14:textFill>
        </w:rPr>
        <w:t>：</w:t>
      </w:r>
    </w:p>
    <w:p w14:paraId="49A3509C">
      <w:pPr>
        <w:ind w:right="-815" w:firstLine="48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我单位将向具有相关设备、设施供货资格的供应商购置材料、设备，并保证按时、按质、按量提供采购器材，其型号、技术规格等与采购人当前使用的设备型号、技术规格相同或采购人认同的可向上兼容的设备，我单位不使用低配置的设备。具体供货数量及型号以采购人下达的采购通知为准，采购完成到货验收合格后即安排安装更换，并做好更换记录及相关清单台账（具体参数以采购文件提供的设备技术参数表中《详细功能参数要求》为准。</w:t>
      </w:r>
    </w:p>
    <w:p w14:paraId="5A7D8A2C">
      <w:pPr>
        <w:ind w:right="-815" w:firstLine="48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2.我单位承诺完全满足本项目服务期限的要求。</w:t>
      </w:r>
    </w:p>
    <w:p w14:paraId="5D256561">
      <w:pPr>
        <w:ind w:right="-815" w:firstLine="48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3.我单位在服务期间不会因欠缴电费而导致交通信号设施、电子警察、车牌识别、视频监控、诱导屏等设施中断运行。</w:t>
      </w:r>
    </w:p>
    <w:p w14:paraId="1165B554">
      <w:pPr>
        <w:ind w:right="-815" w:firstLine="48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4.我单位公司经营状况良好，自2023年1月1日至今未出现因拖欠员工工资而造成社会不良影响的情形。</w:t>
      </w:r>
    </w:p>
    <w:p w14:paraId="23ED3003">
      <w:pPr>
        <w:ind w:right="-815" w:firstLine="48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5.我单位承诺本项目资金专款专用，服务期间不会出现拖欠项目团队员工工资的情形。</w:t>
      </w:r>
    </w:p>
    <w:p w14:paraId="31980FD6">
      <w:pPr>
        <w:ind w:right="-815" w:firstLine="480" w:firstLineChars="2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6.我单位承诺在未经采购人书面同意前，将保持实际服务团队成员与投标服务团队成员须保持一致，否则我单位将主动放弃中标资格。</w:t>
      </w:r>
    </w:p>
    <w:p w14:paraId="54E94503">
      <w:pPr>
        <w:spacing w:before="60" w:beforeLines="25" w:after="60" w:afterLines="25"/>
        <w:ind w:firstLine="6240" w:firstLineChars="2600"/>
        <w:rPr>
          <w:rFonts w:hint="eastAsia" w:ascii="宋体" w:hAnsi="宋体" w:eastAsia="宋体"/>
          <w:color w:val="000000" w:themeColor="text1"/>
          <w14:textFill>
            <w14:solidFill>
              <w14:schemeClr w14:val="tx1"/>
            </w14:solidFill>
          </w14:textFill>
        </w:rPr>
      </w:pPr>
    </w:p>
    <w:p w14:paraId="0BF17379">
      <w:pPr>
        <w:spacing w:before="60" w:beforeLines="25" w:after="60" w:afterLines="25"/>
        <w:ind w:firstLine="6240" w:firstLineChars="26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w:t>
      </w:r>
    </w:p>
    <w:p w14:paraId="7F213C65">
      <w:pPr>
        <w:spacing w:before="60" w:beforeLines="25" w:after="60" w:afterLines="25"/>
        <w:ind w:left="0" w:leftChars="0" w:firstLine="5520" w:firstLineChars="230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投标人：</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u w:val="single"/>
          <w:lang w:val="en-US" w:eastAsia="zh-CN"/>
          <w14:textFill>
            <w14:solidFill>
              <w14:schemeClr w14:val="tx1"/>
            </w14:solidFill>
          </w14:textFill>
        </w:rPr>
        <w:t xml:space="preserve"> </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u w:val="single"/>
          <w:lang w:val="en-US" w:eastAsia="zh-CN"/>
          <w14:textFill>
            <w14:solidFill>
              <w14:schemeClr w14:val="tx1"/>
            </w14:solidFill>
          </w14:textFill>
        </w:rPr>
        <w:t xml:space="preserve"> </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lang w:val="en-US" w:eastAsia="zh-CN"/>
          <w14:textFill>
            <w14:solidFill>
              <w14:schemeClr w14:val="tx1"/>
            </w14:solidFill>
          </w14:textFill>
        </w:rPr>
        <w:t xml:space="preserve">          </w:t>
      </w:r>
    </w:p>
    <w:p w14:paraId="043A721F">
      <w:pPr>
        <w:keepNext w:val="0"/>
        <w:keepLines w:val="0"/>
        <w:pageBreakBefore w:val="0"/>
        <w:widowControl/>
        <w:kinsoku/>
        <w:wordWrap/>
        <w:overflowPunct/>
        <w:topLinePunct w:val="0"/>
        <w:autoSpaceDE/>
        <w:autoSpaceDN/>
        <w:bidi w:val="0"/>
        <w:adjustRightInd/>
        <w:snapToGrid/>
        <w:spacing w:before="60" w:beforeLines="25" w:after="60" w:afterLines="25"/>
        <w:ind w:left="0" w:leftChars="0" w:right="240" w:rightChars="100" w:firstLine="0" w:firstLineChars="0"/>
        <w:jc w:val="right"/>
        <w:textAlignment w:val="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日期：</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年</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月</w:t>
      </w:r>
      <w:r>
        <w:rPr>
          <w:rFonts w:hint="eastAsia" w:ascii="宋体" w:hAnsi="宋体" w:eastAsia="宋体"/>
          <w:color w:val="000000" w:themeColor="text1"/>
          <w:u w:val="single"/>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日</w:t>
      </w:r>
    </w:p>
    <w:p w14:paraId="736D4D6F">
      <w:pPr>
        <w:ind w:right="-815" w:firstLine="480" w:firstLineChars="200"/>
        <w:rPr>
          <w:rFonts w:hint="default" w:ascii="宋体" w:hAnsi="宋体" w:eastAsia="宋体"/>
          <w:color w:val="000000" w:themeColor="text1"/>
          <w:lang w:val="en-US" w:eastAsia="zh-CN"/>
          <w14:textFill>
            <w14:solidFill>
              <w14:schemeClr w14:val="tx1"/>
            </w14:solidFill>
          </w14:textFill>
        </w:rPr>
      </w:pPr>
    </w:p>
    <w:p w14:paraId="1E2AF10C">
      <w:pPr>
        <w:rPr>
          <w:rFonts w:hint="eastAsia" w:ascii="黑体" w:eastAsia="黑体"/>
          <w:bCs w:val="0"/>
          <w:color w:val="000000" w:themeColor="text1"/>
          <w:sz w:val="24"/>
          <w:lang w:eastAsia="zh-CN"/>
          <w14:textFill>
            <w14:solidFill>
              <w14:schemeClr w14:val="tx1"/>
            </w14:solidFill>
          </w14:textFill>
        </w:rPr>
      </w:pPr>
      <w:r>
        <w:rPr>
          <w:rFonts w:hint="eastAsia" w:ascii="黑体" w:eastAsia="黑体"/>
          <w:bCs w:val="0"/>
          <w:color w:val="000000" w:themeColor="text1"/>
          <w:sz w:val="24"/>
          <w:lang w:eastAsia="zh-CN"/>
          <w14:textFill>
            <w14:solidFill>
              <w14:schemeClr w14:val="tx1"/>
            </w14:solidFill>
          </w14:textFill>
        </w:rPr>
        <w:br w:type="page"/>
      </w:r>
    </w:p>
    <w:p w14:paraId="6124D5FC">
      <w:pPr>
        <w:pStyle w:val="3"/>
        <w:jc w:val="center"/>
        <w:rPr>
          <w:rFonts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eastAsia="zh-CN"/>
          <w14:textFill>
            <w14:solidFill>
              <w14:schemeClr w14:val="tx1"/>
            </w14:solidFill>
          </w14:textFill>
        </w:rPr>
        <w:t>六</w:t>
      </w:r>
      <w:r>
        <w:rPr>
          <w:rFonts w:hint="eastAsia" w:ascii="黑体" w:eastAsia="黑体"/>
          <w:bCs w:val="0"/>
          <w:color w:val="000000" w:themeColor="text1"/>
          <w:sz w:val="24"/>
          <w14:textFill>
            <w14:solidFill>
              <w14:schemeClr w14:val="tx1"/>
            </w14:solidFill>
          </w14:textFill>
        </w:rPr>
        <w:t>、商务、</w:t>
      </w:r>
      <w:r>
        <w:rPr>
          <w:rFonts w:hint="eastAsia" w:ascii="黑体" w:eastAsia="黑体"/>
          <w:bCs w:val="0"/>
          <w:color w:val="000000" w:themeColor="text1"/>
          <w:sz w:val="24"/>
          <w:lang w:eastAsia="zh-CN"/>
          <w14:textFill>
            <w14:solidFill>
              <w14:schemeClr w14:val="tx1"/>
            </w14:solidFill>
          </w14:textFill>
        </w:rPr>
        <w:t>服务</w:t>
      </w:r>
      <w:r>
        <w:rPr>
          <w:rFonts w:hint="eastAsia" w:ascii="黑体" w:eastAsia="黑体"/>
          <w:bCs w:val="0"/>
          <w:color w:val="000000" w:themeColor="text1"/>
          <w:sz w:val="24"/>
          <w14:textFill>
            <w14:solidFill>
              <w14:schemeClr w14:val="tx1"/>
            </w14:solidFill>
          </w14:textFill>
        </w:rPr>
        <w:t>条款偏离表</w:t>
      </w:r>
    </w:p>
    <w:p w14:paraId="017A843A">
      <w:pPr>
        <w:snapToGrid w:val="0"/>
        <w:spacing w:line="360" w:lineRule="auto"/>
        <w:rPr>
          <w:rFonts w:ascii="Arial" w:hAnsi="Arial" w:eastAsia="宋体" w:cs="Arial"/>
          <w:color w:val="000000"/>
          <w:u w:val="single"/>
        </w:rPr>
      </w:pPr>
      <w:r>
        <w:rPr>
          <w:rFonts w:hint="eastAsia" w:ascii="Arial" w:hAnsi="Arial" w:eastAsia="宋体" w:cs="Arial"/>
          <w:color w:val="000000"/>
        </w:rPr>
        <w:t>投标单位（投标人）名称：</w:t>
      </w:r>
    </w:p>
    <w:tbl>
      <w:tblPr>
        <w:tblStyle w:val="17"/>
        <w:tblW w:w="968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0"/>
        <w:gridCol w:w="4732"/>
        <w:gridCol w:w="3053"/>
        <w:gridCol w:w="1262"/>
      </w:tblGrid>
      <w:tr w14:paraId="15CDC67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640" w:type="dxa"/>
            <w:vAlign w:val="center"/>
          </w:tcPr>
          <w:p w14:paraId="2FA94D55">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b/>
                <w:sz w:val="21"/>
                <w:szCs w:val="21"/>
              </w:rPr>
            </w:pPr>
            <w:r>
              <w:rPr>
                <w:rFonts w:hint="eastAsia" w:cs="Arial" w:asciiTheme="minorEastAsia" w:hAnsiTheme="minorEastAsia"/>
                <w:b/>
                <w:sz w:val="21"/>
                <w:szCs w:val="21"/>
              </w:rPr>
              <w:t>序号</w:t>
            </w:r>
          </w:p>
        </w:tc>
        <w:tc>
          <w:tcPr>
            <w:tcW w:w="4732" w:type="dxa"/>
            <w:vAlign w:val="center"/>
          </w:tcPr>
          <w:p w14:paraId="537776EC">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b/>
                <w:sz w:val="21"/>
                <w:szCs w:val="21"/>
              </w:rPr>
            </w:pPr>
            <w:r>
              <w:rPr>
                <w:rFonts w:hint="eastAsia" w:cs="Arial" w:asciiTheme="minorEastAsia" w:hAnsiTheme="minorEastAsia"/>
                <w:b/>
                <w:sz w:val="21"/>
                <w:szCs w:val="21"/>
              </w:rPr>
              <w:t>招标文件要求</w:t>
            </w:r>
          </w:p>
        </w:tc>
        <w:tc>
          <w:tcPr>
            <w:tcW w:w="3053" w:type="dxa"/>
            <w:vAlign w:val="center"/>
          </w:tcPr>
          <w:p w14:paraId="432A3336">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b/>
                <w:sz w:val="21"/>
                <w:szCs w:val="21"/>
              </w:rPr>
            </w:pPr>
            <w:r>
              <w:rPr>
                <w:rFonts w:hint="eastAsia" w:cs="Arial" w:asciiTheme="minorEastAsia" w:hAnsiTheme="minorEastAsia"/>
                <w:b/>
                <w:sz w:val="21"/>
                <w:szCs w:val="21"/>
              </w:rPr>
              <w:t>投标文件响应</w:t>
            </w:r>
          </w:p>
        </w:tc>
        <w:tc>
          <w:tcPr>
            <w:tcW w:w="1262" w:type="dxa"/>
            <w:vAlign w:val="center"/>
          </w:tcPr>
          <w:p w14:paraId="7190289C">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b/>
                <w:sz w:val="21"/>
                <w:szCs w:val="21"/>
              </w:rPr>
            </w:pPr>
            <w:r>
              <w:rPr>
                <w:rFonts w:hint="eastAsia" w:cs="Arial" w:asciiTheme="minorEastAsia" w:hAnsiTheme="minorEastAsia"/>
                <w:b/>
                <w:sz w:val="21"/>
                <w:szCs w:val="21"/>
              </w:rPr>
              <w:t>说明</w:t>
            </w:r>
          </w:p>
        </w:tc>
      </w:tr>
      <w:tr w14:paraId="498927C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640" w:type="dxa"/>
            <w:vAlign w:val="center"/>
          </w:tcPr>
          <w:p w14:paraId="0983ED8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sz w:val="21"/>
                <w:szCs w:val="21"/>
              </w:rPr>
            </w:pPr>
            <w:r>
              <w:rPr>
                <w:rFonts w:hint="eastAsia" w:asciiTheme="minorEastAsia" w:hAnsiTheme="minorEastAsia"/>
                <w:sz w:val="21"/>
                <w:szCs w:val="21"/>
              </w:rPr>
              <w:t>1</w:t>
            </w:r>
          </w:p>
        </w:tc>
        <w:tc>
          <w:tcPr>
            <w:tcW w:w="4732" w:type="dxa"/>
            <w:vAlign w:val="center"/>
          </w:tcPr>
          <w:p w14:paraId="2E7A5715">
            <w:pPr>
              <w:keepNext w:val="0"/>
              <w:keepLines w:val="0"/>
              <w:widowControl/>
              <w:suppressLineNumbers w:val="0"/>
              <w:spacing w:before="0" w:beforeAutospacing="0" w:after="0" w:afterAutospacing="0" w:line="360" w:lineRule="auto"/>
              <w:ind w:left="0" w:right="0"/>
              <w:rPr>
                <w:rFonts w:hint="default" w:asciiTheme="minorEastAsia" w:hAnsiTheme="minorEastAsia"/>
                <w:b/>
                <w:color w:val="FF0000"/>
                <w:sz w:val="21"/>
                <w:szCs w:val="21"/>
              </w:rPr>
            </w:pPr>
            <w:r>
              <w:rPr>
                <w:rFonts w:hint="eastAsia" w:asciiTheme="minorEastAsia" w:hAnsiTheme="minorEastAsia"/>
                <w:b/>
                <w:color w:val="FF0000"/>
                <w:sz w:val="21"/>
                <w:szCs w:val="21"/>
              </w:rPr>
              <w:t>《第三章 用户需求书：四、项目服务要求》中所有条款要求。</w:t>
            </w:r>
          </w:p>
        </w:tc>
        <w:tc>
          <w:tcPr>
            <w:tcW w:w="3053" w:type="dxa"/>
            <w:vAlign w:val="center"/>
          </w:tcPr>
          <w:p w14:paraId="2EC9BB7F">
            <w:pPr>
              <w:keepNext w:val="0"/>
              <w:keepLines w:val="0"/>
              <w:widowControl/>
              <w:suppressLineNumbers w:val="0"/>
              <w:spacing w:before="0" w:beforeAutospacing="0" w:after="0" w:afterAutospacing="0" w:line="360" w:lineRule="auto"/>
              <w:ind w:left="0" w:right="0"/>
              <w:rPr>
                <w:rFonts w:hint="default" w:cs="Arial" w:asciiTheme="minorEastAsia" w:hAnsiTheme="minorEastAsia"/>
                <w:sz w:val="21"/>
                <w:szCs w:val="21"/>
              </w:rPr>
            </w:pPr>
            <w:r>
              <w:rPr>
                <w:rFonts w:hint="eastAsia" w:cs="Arial" w:asciiTheme="minorEastAsia" w:hAnsiTheme="minorEastAsia"/>
                <w:sz w:val="21"/>
                <w:szCs w:val="21"/>
              </w:rPr>
              <w:t>我公司完全响应满足招标文件中此项要求。</w:t>
            </w:r>
          </w:p>
        </w:tc>
        <w:tc>
          <w:tcPr>
            <w:tcW w:w="1262" w:type="dxa"/>
            <w:vAlign w:val="center"/>
          </w:tcPr>
          <w:p w14:paraId="2DA3A11D">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sz w:val="21"/>
                <w:szCs w:val="21"/>
              </w:rPr>
            </w:pPr>
            <w:r>
              <w:rPr>
                <w:rFonts w:hint="eastAsia" w:cs="Arial" w:asciiTheme="minorEastAsia" w:hAnsiTheme="minorEastAsia"/>
                <w:sz w:val="21"/>
                <w:szCs w:val="21"/>
              </w:rPr>
              <w:t>无偏离</w:t>
            </w:r>
          </w:p>
        </w:tc>
      </w:tr>
      <w:tr w14:paraId="5267E15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4" w:hRule="atLeast"/>
          <w:jc w:val="center"/>
        </w:trPr>
        <w:tc>
          <w:tcPr>
            <w:tcW w:w="640" w:type="dxa"/>
            <w:vAlign w:val="center"/>
          </w:tcPr>
          <w:p w14:paraId="3711B3A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sz w:val="21"/>
                <w:szCs w:val="21"/>
              </w:rPr>
            </w:pPr>
            <w:r>
              <w:rPr>
                <w:rFonts w:hint="eastAsia" w:asciiTheme="minorEastAsia" w:hAnsiTheme="minorEastAsia"/>
                <w:sz w:val="21"/>
                <w:szCs w:val="21"/>
              </w:rPr>
              <w:t>2</w:t>
            </w:r>
          </w:p>
        </w:tc>
        <w:tc>
          <w:tcPr>
            <w:tcW w:w="4732" w:type="dxa"/>
          </w:tcPr>
          <w:p w14:paraId="398D83FF">
            <w:pPr>
              <w:keepNext w:val="0"/>
              <w:keepLines w:val="0"/>
              <w:widowControl/>
              <w:suppressLineNumbers w:val="0"/>
              <w:spacing w:before="0" w:beforeAutospacing="0" w:after="0" w:afterAutospacing="0" w:line="360" w:lineRule="auto"/>
              <w:ind w:left="0" w:right="0"/>
              <w:rPr>
                <w:rFonts w:hint="default" w:asciiTheme="minorEastAsia" w:hAnsiTheme="minorEastAsia"/>
                <w:b/>
                <w:color w:val="FF0000"/>
                <w:sz w:val="21"/>
                <w:szCs w:val="21"/>
                <w:highlight w:val="green"/>
              </w:rPr>
            </w:pPr>
            <w:r>
              <w:rPr>
                <w:rFonts w:hint="eastAsia" w:asciiTheme="minorEastAsia" w:hAnsiTheme="minorEastAsia"/>
                <w:b/>
                <w:color w:val="FF0000"/>
                <w:sz w:val="21"/>
                <w:szCs w:val="21"/>
              </w:rPr>
              <w:t>《第三章 用户需求书：五、项目商务要求》中所有条款要求。</w:t>
            </w:r>
          </w:p>
        </w:tc>
        <w:tc>
          <w:tcPr>
            <w:tcW w:w="3053" w:type="dxa"/>
            <w:vAlign w:val="center"/>
          </w:tcPr>
          <w:p w14:paraId="15E8AF04">
            <w:pPr>
              <w:keepNext w:val="0"/>
              <w:keepLines w:val="0"/>
              <w:widowControl/>
              <w:suppressLineNumbers w:val="0"/>
              <w:spacing w:before="0" w:beforeAutospacing="0" w:after="0" w:afterAutospacing="0" w:line="360" w:lineRule="auto"/>
              <w:ind w:left="0" w:right="0"/>
              <w:rPr>
                <w:rFonts w:hint="default" w:cs="Arial" w:asciiTheme="minorEastAsia" w:hAnsiTheme="minorEastAsia"/>
                <w:sz w:val="21"/>
                <w:szCs w:val="21"/>
              </w:rPr>
            </w:pPr>
            <w:r>
              <w:rPr>
                <w:rFonts w:hint="eastAsia" w:cs="Arial" w:asciiTheme="minorEastAsia" w:hAnsiTheme="minorEastAsia"/>
                <w:sz w:val="21"/>
                <w:szCs w:val="21"/>
              </w:rPr>
              <w:t>我公司完全响应满足招标文件中此项要求。</w:t>
            </w:r>
          </w:p>
        </w:tc>
        <w:tc>
          <w:tcPr>
            <w:tcW w:w="1262" w:type="dxa"/>
            <w:vAlign w:val="center"/>
          </w:tcPr>
          <w:p w14:paraId="5D7B9EE6">
            <w:pPr>
              <w:keepNext w:val="0"/>
              <w:keepLines w:val="0"/>
              <w:widowControl/>
              <w:suppressLineNumbers w:val="0"/>
              <w:spacing w:before="0" w:beforeAutospacing="0" w:after="0" w:afterAutospacing="0" w:line="360" w:lineRule="auto"/>
              <w:ind w:left="0" w:right="0"/>
              <w:jc w:val="center"/>
              <w:rPr>
                <w:rFonts w:hint="default" w:cs="Arial" w:asciiTheme="minorEastAsia" w:hAnsiTheme="minorEastAsia"/>
                <w:sz w:val="21"/>
                <w:szCs w:val="21"/>
              </w:rPr>
            </w:pPr>
            <w:r>
              <w:rPr>
                <w:rFonts w:hint="eastAsia" w:cs="Arial" w:asciiTheme="minorEastAsia" w:hAnsiTheme="minorEastAsia"/>
                <w:sz w:val="21"/>
                <w:szCs w:val="21"/>
              </w:rPr>
              <w:t>无偏离</w:t>
            </w:r>
          </w:p>
        </w:tc>
      </w:tr>
    </w:tbl>
    <w:p w14:paraId="56CC529F">
      <w:pPr>
        <w:snapToGrid w:val="0"/>
        <w:spacing w:line="360" w:lineRule="auto"/>
        <w:rPr>
          <w:rFonts w:asciiTheme="minorEastAsia" w:hAnsiTheme="minorEastAsia"/>
          <w:b/>
        </w:rPr>
      </w:pPr>
    </w:p>
    <w:p w14:paraId="52D79A53">
      <w:pPr>
        <w:snapToGrid w:val="0"/>
        <w:spacing w:line="360" w:lineRule="auto"/>
        <w:rPr>
          <w:rFonts w:asciiTheme="minorEastAsia" w:hAnsiTheme="minorEastAsia"/>
          <w:b/>
        </w:rPr>
      </w:pPr>
      <w:r>
        <w:rPr>
          <w:rFonts w:hint="eastAsia" w:ascii="宋体" w:hAnsi="宋体" w:eastAsia="宋体"/>
          <w:b/>
        </w:rPr>
        <w:t>填写说明：</w:t>
      </w:r>
    </w:p>
    <w:p w14:paraId="776AA94E">
      <w:pPr>
        <w:numPr>
          <w:ilvl w:val="0"/>
          <w:numId w:val="12"/>
        </w:numPr>
        <w:snapToGrid w:val="0"/>
        <w:spacing w:after="60" w:afterLines="25" w:line="360" w:lineRule="auto"/>
        <w:ind w:left="360" w:hanging="360"/>
        <w:rPr>
          <w:rFonts w:asciiTheme="majorEastAsia" w:hAnsiTheme="majorEastAsia" w:eastAsiaTheme="majorEastAsia"/>
        </w:rPr>
      </w:pPr>
      <w:r>
        <w:rPr>
          <w:rFonts w:hint="eastAsia" w:asciiTheme="majorEastAsia" w:hAnsiTheme="majorEastAsia" w:eastAsiaTheme="majorEastAsia"/>
        </w:rPr>
        <w:t>如投标人完全响应满足本表【招标文件要求】栏中内容的，建议投标人在对应的【投标文件响应】栏中填写“我公司完全响应满足招标文件中此项要求”即可，除招标文件另有注明外，不强制要求逐条列出响应；</w:t>
      </w:r>
    </w:p>
    <w:p w14:paraId="3398074F">
      <w:pPr>
        <w:numPr>
          <w:ilvl w:val="0"/>
          <w:numId w:val="12"/>
        </w:numPr>
        <w:snapToGrid w:val="0"/>
        <w:spacing w:after="60" w:afterLines="25" w:line="360" w:lineRule="auto"/>
        <w:ind w:left="360" w:hanging="360"/>
        <w:rPr>
          <w:rFonts w:asciiTheme="majorEastAsia" w:hAnsiTheme="majorEastAsia" w:eastAsiaTheme="majorEastAsia"/>
        </w:rPr>
      </w:pPr>
      <w:r>
        <w:rPr>
          <w:rFonts w:hint="eastAsia" w:asciiTheme="majorEastAsia" w:hAnsiTheme="majorEastAsia" w:eastAsiaTheme="majorEastAsia"/>
        </w:rPr>
        <w:t>如投标人响应情况优于或低于招标要求的，应在【投标文件响应】栏中作详细说明，如完全满足或符合招标文件要求的则无需说明，参照上一条填写内容即可，</w:t>
      </w:r>
      <w:r>
        <w:rPr>
          <w:rFonts w:hint="eastAsia" w:asciiTheme="majorEastAsia" w:hAnsiTheme="majorEastAsia" w:eastAsiaTheme="majorEastAsia"/>
          <w:lang w:eastAsia="zh-CN"/>
        </w:rPr>
        <w:t>评审委员会</w:t>
      </w:r>
      <w:r>
        <w:rPr>
          <w:rFonts w:asciiTheme="majorEastAsia" w:hAnsiTheme="majorEastAsia" w:eastAsiaTheme="majorEastAsia"/>
        </w:rPr>
        <w:t>将根据具体情况给予是否偏离的认定，并以此认定</w:t>
      </w:r>
      <w:r>
        <w:rPr>
          <w:rFonts w:hint="eastAsia" w:asciiTheme="majorEastAsia" w:hAnsiTheme="majorEastAsia" w:eastAsiaTheme="majorEastAsia"/>
        </w:rPr>
        <w:t>标准</w:t>
      </w:r>
      <w:r>
        <w:rPr>
          <w:rFonts w:asciiTheme="majorEastAsia" w:hAnsiTheme="majorEastAsia" w:eastAsiaTheme="majorEastAsia"/>
        </w:rPr>
        <w:t>为最终评判标准</w:t>
      </w:r>
      <w:r>
        <w:rPr>
          <w:rFonts w:hint="eastAsia" w:asciiTheme="majorEastAsia" w:hAnsiTheme="majorEastAsia" w:eastAsiaTheme="majorEastAsia"/>
        </w:rPr>
        <w:t>；</w:t>
      </w:r>
    </w:p>
    <w:p w14:paraId="63FDFC59">
      <w:pPr>
        <w:pStyle w:val="3"/>
        <w:jc w:val="center"/>
        <w:rPr>
          <w:rFonts w:hint="eastAsia"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eastAsia="zh-CN"/>
          <w14:textFill>
            <w14:solidFill>
              <w14:schemeClr w14:val="tx1"/>
            </w14:solidFill>
          </w14:textFill>
        </w:rPr>
        <w:t>七</w:t>
      </w:r>
      <w:r>
        <w:rPr>
          <w:rFonts w:hint="eastAsia" w:ascii="黑体" w:eastAsia="黑体"/>
          <w:bCs w:val="0"/>
          <w:color w:val="000000" w:themeColor="text1"/>
          <w:sz w:val="24"/>
          <w14:textFill>
            <w14:solidFill>
              <w14:schemeClr w14:val="tx1"/>
            </w14:solidFill>
          </w14:textFill>
        </w:rPr>
        <w:t>、拟安排的项目负责人情况（仅限一人）</w:t>
      </w:r>
    </w:p>
    <w:p w14:paraId="100482AC">
      <w:pPr>
        <w:pStyle w:val="3"/>
        <w:jc w:val="center"/>
        <w:rPr>
          <w:rFonts w:hint="eastAsia"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t>八、</w:t>
      </w:r>
      <w:r>
        <w:rPr>
          <w:rFonts w:hint="eastAsia" w:ascii="黑体" w:eastAsia="黑体"/>
          <w:bCs w:val="0"/>
          <w:color w:val="000000" w:themeColor="text1"/>
          <w:sz w:val="24"/>
          <w14:textFill>
            <w14:solidFill>
              <w14:schemeClr w14:val="tx1"/>
            </w14:solidFill>
          </w14:textFill>
        </w:rPr>
        <w:t>拟安排的项目主要团队成员（主要技术人员）情况（项目负责人除外）</w:t>
      </w:r>
    </w:p>
    <w:p w14:paraId="759975AE">
      <w:pPr>
        <w:pStyle w:val="3"/>
        <w:jc w:val="center"/>
        <w:rPr>
          <w:rFonts w:hint="eastAsia"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t>九、实施方案</w:t>
      </w:r>
      <w:r>
        <w:rPr>
          <w:rFonts w:hint="eastAsia" w:ascii="黑体" w:eastAsia="黑体"/>
          <w:bCs w:val="0"/>
          <w:color w:val="000000" w:themeColor="text1"/>
          <w:sz w:val="24"/>
          <w14:textFill>
            <w14:solidFill>
              <w14:schemeClr w14:val="tx1"/>
            </w14:solidFill>
          </w14:textFill>
        </w:rPr>
        <w:t>（格式自定）</w:t>
      </w:r>
    </w:p>
    <w:p w14:paraId="72001CAE">
      <w:pPr>
        <w:pStyle w:val="3"/>
        <w:jc w:val="center"/>
        <w:rPr>
          <w:rFonts w:hint="eastAsia"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t>十、安全方案（格式自定）</w:t>
      </w:r>
    </w:p>
    <w:p w14:paraId="396126AD">
      <w:pPr>
        <w:pStyle w:val="3"/>
        <w:jc w:val="center"/>
        <w:rPr>
          <w:rFonts w:hint="eastAsia"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t>十一、项目重点难点分析、应对措施及相关的合理化建议（格式自定）</w:t>
      </w:r>
    </w:p>
    <w:p w14:paraId="4EAA3353">
      <w:pPr>
        <w:pStyle w:val="3"/>
        <w:jc w:val="center"/>
        <w:rPr>
          <w:rFonts w:hint="eastAsia" w:ascii="黑体" w:eastAsia="黑体"/>
          <w:bCs w:val="0"/>
          <w:color w:val="000000" w:themeColor="text1"/>
          <w:sz w:val="24"/>
          <w:lang w:val="en-US" w:eastAsia="zh-CN"/>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t>十二、质量（完成时间、安全、环保）保障措施及方案（格式自定）</w:t>
      </w:r>
    </w:p>
    <w:p w14:paraId="4350EB8D">
      <w:pPr>
        <w:pStyle w:val="3"/>
        <w:jc w:val="center"/>
        <w:rPr>
          <w:rFonts w:hint="eastAsia" w:ascii="黑体" w:hAnsi="宋体" w:eastAsia="黑体" w:cs="Times New Roman"/>
          <w:bCs w:val="0"/>
          <w:color w:val="000000" w:themeColor="text1"/>
          <w:sz w:val="24"/>
          <w:lang w:val="en-US" w:eastAsia="zh-CN"/>
          <w14:textFill>
            <w14:solidFill>
              <w14:schemeClr w14:val="tx1"/>
            </w14:solidFill>
          </w14:textFill>
        </w:rPr>
      </w:pPr>
      <w:r>
        <w:rPr>
          <w:rFonts w:hint="eastAsia" w:ascii="黑体" w:hAnsi="宋体" w:eastAsia="黑体" w:cs="Times New Roman"/>
          <w:bCs w:val="0"/>
          <w:color w:val="000000" w:themeColor="text1"/>
          <w:sz w:val="24"/>
          <w:lang w:val="en-US" w:eastAsia="zh-CN"/>
          <w14:textFill>
            <w14:solidFill>
              <w14:schemeClr w14:val="tx1"/>
            </w14:solidFill>
          </w14:textFill>
        </w:rPr>
        <w:t>十</w:t>
      </w:r>
      <w:r>
        <w:rPr>
          <w:rFonts w:hint="eastAsia" w:ascii="黑体" w:eastAsia="黑体" w:cs="Times New Roman"/>
          <w:bCs w:val="0"/>
          <w:color w:val="000000" w:themeColor="text1"/>
          <w:sz w:val="24"/>
          <w:lang w:val="en-US" w:eastAsia="zh-CN"/>
          <w14:textFill>
            <w14:solidFill>
              <w14:schemeClr w14:val="tx1"/>
            </w14:solidFill>
          </w14:textFill>
        </w:rPr>
        <w:t>三</w:t>
      </w:r>
      <w:r>
        <w:rPr>
          <w:rFonts w:hint="eastAsia" w:ascii="黑体" w:hAnsi="宋体" w:eastAsia="黑体" w:cs="Times New Roman"/>
          <w:bCs w:val="0"/>
          <w:color w:val="000000" w:themeColor="text1"/>
          <w:sz w:val="24"/>
          <w:lang w:val="en-US" w:eastAsia="zh-CN"/>
          <w14:textFill>
            <w14:solidFill>
              <w14:schemeClr w14:val="tx1"/>
            </w14:solidFill>
          </w14:textFill>
        </w:rPr>
        <w:t>、项目完成（服务期满）后的服务承诺（格式自定）</w:t>
      </w:r>
    </w:p>
    <w:p w14:paraId="65C17B58">
      <w:pPr>
        <w:pStyle w:val="3"/>
        <w:jc w:val="center"/>
        <w:rPr>
          <w:rFonts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t>十四、履约承诺（格式自定）</w:t>
      </w:r>
    </w:p>
    <w:p w14:paraId="76C65805">
      <w:pPr>
        <w:keepNext/>
        <w:keepLines/>
        <w:pageBreakBefore w:val="0"/>
        <w:widowControl/>
        <w:kinsoku/>
        <w:wordWrap/>
        <w:overflowPunct/>
        <w:topLinePunct w:val="0"/>
        <w:autoSpaceDE/>
        <w:autoSpaceDN/>
        <w:bidi w:val="0"/>
        <w:adjustRightInd/>
        <w:snapToGrid/>
        <w:jc w:val="center"/>
        <w:textAlignment w:val="auto"/>
        <w:outlineLvl w:val="9"/>
        <w:rPr>
          <w:rFonts w:hint="eastAsia" w:ascii="黑体" w:eastAsia="黑体"/>
          <w:bCs w:val="0"/>
          <w:color w:val="000000" w:themeColor="text1"/>
          <w:sz w:val="24"/>
          <w:lang w:val="en-US" w:eastAsia="zh-CN"/>
          <w14:textFill>
            <w14:solidFill>
              <w14:schemeClr w14:val="tx1"/>
            </w14:solidFill>
          </w14:textFill>
        </w:rPr>
      </w:pPr>
    </w:p>
    <w:p w14:paraId="77095C11">
      <w:pPr>
        <w:rPr>
          <w:rFonts w:hint="eastAsia" w:ascii="黑体" w:eastAsia="黑体"/>
          <w:bCs w:val="0"/>
          <w:color w:val="000000" w:themeColor="text1"/>
          <w:sz w:val="24"/>
          <w:lang w:val="en-US" w:eastAsia="zh-CN"/>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br w:type="page"/>
      </w:r>
    </w:p>
    <w:p w14:paraId="1C7B0442">
      <w:pPr>
        <w:pStyle w:val="3"/>
        <w:jc w:val="center"/>
        <w:rPr>
          <w:rFonts w:hint="eastAsia" w:ascii="黑体" w:eastAsia="黑体"/>
          <w:bCs w:val="0"/>
          <w:color w:val="000000" w:themeColor="text1"/>
          <w:sz w:val="24"/>
          <w14:textFill>
            <w14:solidFill>
              <w14:schemeClr w14:val="tx1"/>
            </w14:solidFill>
          </w14:textFill>
        </w:rPr>
      </w:pPr>
      <w:r>
        <w:rPr>
          <w:rFonts w:hint="eastAsia" w:ascii="黑体" w:eastAsia="黑体"/>
          <w:bCs w:val="0"/>
          <w:color w:val="000000" w:themeColor="text1"/>
          <w:sz w:val="24"/>
          <w:lang w:val="en-US" w:eastAsia="zh-CN"/>
          <w14:textFill>
            <w14:solidFill>
              <w14:schemeClr w14:val="tx1"/>
            </w14:solidFill>
          </w14:textFill>
        </w:rPr>
        <w:t>十五</w:t>
      </w:r>
      <w:r>
        <w:rPr>
          <w:rFonts w:ascii="黑体" w:eastAsia="黑体"/>
          <w:bCs w:val="0"/>
          <w:color w:val="000000" w:themeColor="text1"/>
          <w:sz w:val="24"/>
          <w14:textFill>
            <w14:solidFill>
              <w14:schemeClr w14:val="tx1"/>
            </w14:solidFill>
          </w14:textFill>
        </w:rPr>
        <w:t>、</w:t>
      </w:r>
      <w:r>
        <w:rPr>
          <w:rFonts w:hint="eastAsia" w:ascii="黑体" w:eastAsia="黑体"/>
          <w:bCs w:val="0"/>
          <w:color w:val="000000" w:themeColor="text1"/>
          <w:sz w:val="24"/>
          <w14:textFill>
            <w14:solidFill>
              <w14:schemeClr w14:val="tx1"/>
            </w14:solidFill>
          </w14:textFill>
        </w:rPr>
        <w:t>投标人认为需要加以说明的其他</w:t>
      </w:r>
      <w:r>
        <w:rPr>
          <w:rFonts w:hint="eastAsia" w:ascii="黑体" w:eastAsia="黑体"/>
          <w:bCs w:val="0"/>
          <w:color w:val="000000" w:themeColor="text1"/>
          <w:sz w:val="24"/>
          <w:lang w:eastAsia="zh-CN"/>
          <w14:textFill>
            <w14:solidFill>
              <w14:schemeClr w14:val="tx1"/>
            </w14:solidFill>
          </w14:textFill>
        </w:rPr>
        <w:t>非公开</w:t>
      </w:r>
      <w:r>
        <w:rPr>
          <w:rFonts w:hint="eastAsia" w:ascii="黑体" w:eastAsia="黑体"/>
          <w:bCs w:val="0"/>
          <w:color w:val="000000" w:themeColor="text1"/>
          <w:sz w:val="24"/>
          <w14:textFill>
            <w14:solidFill>
              <w14:schemeClr w14:val="tx1"/>
            </w14:solidFill>
          </w14:textFill>
        </w:rPr>
        <w:t>内容（格式自定）</w:t>
      </w:r>
    </w:p>
    <w:p w14:paraId="5902FF65">
      <w:pPr>
        <w:rPr>
          <w:rFonts w:hint="eastAsia" w:asciiTheme="majorEastAsia" w:hAnsiTheme="majorEastAsia" w:eastAsiaTheme="majorEastAsia" w:cstheme="majorEastAsia"/>
          <w:b/>
          <w:bCs/>
          <w:sz w:val="24"/>
          <w:szCs w:val="20"/>
          <w:lang w:eastAsia="zh-CN"/>
        </w:rPr>
      </w:pPr>
      <w:r>
        <w:rPr>
          <w:rFonts w:hint="eastAsia" w:asciiTheme="majorEastAsia" w:hAnsiTheme="majorEastAsia" w:eastAsiaTheme="majorEastAsia" w:cstheme="majorEastAsia"/>
          <w:b/>
          <w:bCs/>
          <w:sz w:val="24"/>
          <w:szCs w:val="20"/>
          <w:lang w:eastAsia="zh-CN"/>
        </w:rPr>
        <w:t>（</w:t>
      </w:r>
      <w:r>
        <w:rPr>
          <w:rFonts w:hint="eastAsia" w:asciiTheme="majorEastAsia" w:hAnsiTheme="majorEastAsia" w:eastAsiaTheme="majorEastAsia" w:cstheme="majorEastAsia"/>
          <w:b/>
          <w:bCs/>
          <w:sz w:val="24"/>
          <w:szCs w:val="20"/>
          <w:lang w:val="en-US" w:eastAsia="zh-CN"/>
        </w:rPr>
        <w:t>1</w:t>
      </w:r>
      <w:r>
        <w:rPr>
          <w:rFonts w:hint="eastAsia" w:asciiTheme="majorEastAsia" w:hAnsiTheme="majorEastAsia" w:eastAsiaTheme="majorEastAsia" w:cstheme="majorEastAsia"/>
          <w:b/>
          <w:bCs/>
          <w:sz w:val="24"/>
          <w:szCs w:val="20"/>
          <w:lang w:eastAsia="zh-CN"/>
        </w:rPr>
        <w:t>）政府采购违法行为风险知悉确认书</w:t>
      </w:r>
    </w:p>
    <w:p w14:paraId="4090FC2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本公司在投标前已充分知悉以下情形为参与政府采购活动时的重大风险事项，并承诺已对下述风险提示事项重点排查，做到严谨、诚信、依法依规参与政府采购活动。</w:t>
      </w:r>
    </w:p>
    <w:p w14:paraId="6D4E83B0">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一、本公司已充分知悉“隐瞒真实情况，提供虚假资料”的法定情形，相关情形包括但不限于：</w:t>
      </w:r>
    </w:p>
    <w:p w14:paraId="68883876">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（一）通过转让或者租借等方式从其他单位获取资格或者资质证书投标的。</w:t>
      </w:r>
    </w:p>
    <w:p w14:paraId="234475C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（二）由其他单位或者其他单位负责人在投标供应商编制的投标文件上加盖印章或者签字的。</w:t>
      </w:r>
    </w:p>
    <w:p w14:paraId="16B2EF7B">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（三）项目负责人或者主要技术人员不是本单位人员的。</w:t>
      </w:r>
    </w:p>
    <w:p w14:paraId="268C5ED5">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（四）投标保证金不是从投标供应商基本账户转出的。</w:t>
      </w:r>
    </w:p>
    <w:p w14:paraId="16DCC3C0">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（五）其他隐瞒真实情况、提供虚假资料的行为。</w:t>
      </w:r>
    </w:p>
    <w:p w14:paraId="3011D598">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二、本公司已充分知悉“与其他采购参加人串通投标”的法定情形，相关情形包括但不限于：</w:t>
      </w:r>
    </w:p>
    <w:p w14:paraId="18863A22">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（一）投标供应商之间相互约定给予未中标的供应商利益补偿。</w:t>
      </w:r>
    </w:p>
    <w:p w14:paraId="729ADB8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（二）不同投标供应商的法定代表人、主要经营负责人、项目投标授权代表人、项目负责人、主要技术人员为同一人、属同一单位或者在同一单位缴纳社会保险。</w:t>
      </w:r>
    </w:p>
    <w:p w14:paraId="087CED78">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（三）不同投标供应商的投标文件由同一单位或者同一人编制，或者由同一人分阶段参与编制的。</w:t>
      </w:r>
    </w:p>
    <w:p w14:paraId="5367E6A3">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（四）不同投标供应商的投标文件或部分投标文件相互混装。</w:t>
      </w:r>
    </w:p>
    <w:p w14:paraId="5D84069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（五）不同投标供应商的投标文件内容存在非正常一致。</w:t>
      </w:r>
    </w:p>
    <w:p w14:paraId="2448998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（六）由同一单位工作人员为两家以上（含两家）供应商进行同一项投标活动的。</w:t>
      </w:r>
    </w:p>
    <w:p w14:paraId="258E3A8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（七）不同投标人的投标报价呈规律性差异。</w:t>
      </w:r>
    </w:p>
    <w:p w14:paraId="68186232">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（八）不同投标人的投标保证金从同一单位或者个人的账户转出。</w:t>
      </w:r>
    </w:p>
    <w:p w14:paraId="6D7E944E">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（九）主管部门依照法律、法规认定的其他情形。</w:t>
      </w:r>
    </w:p>
    <w:p w14:paraId="625B9C8A">
      <w:pPr>
        <w:keepNext w:val="0"/>
        <w:keepLines w:val="0"/>
        <w:pageBreakBefore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三、本公司已充分知悉下列情形所对应的法律风险，并在投标前已对相关风险事项进行排查。</w:t>
      </w:r>
    </w:p>
    <w:p w14:paraId="013F95C7">
      <w:pPr>
        <w:keepNext w:val="0"/>
        <w:keepLines w:val="0"/>
        <w:pageBreakBefore w:val="0"/>
        <w:kinsoku/>
        <w:wordWrap/>
        <w:overflowPunct/>
        <w:topLinePunct w:val="0"/>
        <w:autoSpaceDE w:val="0"/>
        <w:autoSpaceDN w:val="0"/>
        <w:bidi w:val="0"/>
        <w:adjustRightInd/>
        <w:snapToGrid/>
        <w:spacing w:beforeAutospacing="0" w:afterAutospacing="0" w:line="240" w:lineRule="auto"/>
        <w:ind w:right="0" w:rightChars="0" w:firstLine="404" w:firstLineChars="200"/>
        <w:textAlignment w:val="auto"/>
        <w:rPr>
          <w:rFonts w:hint="eastAsia" w:ascii="宋体" w:hAnsi="宋体" w:eastAsia="宋体" w:cs="宋体"/>
          <w:b/>
          <w:bCs/>
          <w:spacing w:val="-4"/>
          <w:kern w:val="0"/>
          <w:sz w:val="21"/>
          <w:szCs w:val="21"/>
          <w:highlight w:val="yellow"/>
        </w:rPr>
      </w:pPr>
      <w:r>
        <w:rPr>
          <w:rFonts w:hint="eastAsia" w:ascii="宋体" w:hAnsi="宋体" w:eastAsia="宋体" w:cs="宋体"/>
          <w:spacing w:val="-4"/>
          <w:kern w:val="0"/>
          <w:sz w:val="21"/>
          <w:szCs w:val="21"/>
          <w:highlight w:val="yellow"/>
        </w:rPr>
        <w:t>（一）对于从其他主体获取的投标资料，供应商应审慎核查，确保投标资料的真实性。</w:t>
      </w:r>
      <w:r>
        <w:rPr>
          <w:rFonts w:hint="eastAsia" w:ascii="宋体" w:hAnsi="宋体" w:eastAsia="宋体" w:cs="宋体"/>
          <w:b/>
          <w:bCs/>
          <w:spacing w:val="-4"/>
          <w:kern w:val="0"/>
          <w:sz w:val="21"/>
          <w:szCs w:val="21"/>
          <w:highlight w:val="yellow"/>
        </w:rPr>
        <w:t>如主管部门查实投标文件中存在虚假资料的，无论相关资料是否由第三方或本公司员工提供，均不影响主管部门对供应商存在“隐瞒真实情况，提供虚假资料”违法行为的认定。</w:t>
      </w:r>
    </w:p>
    <w:p w14:paraId="0D409E56">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（二）对于涉及国家机关出具的公文、证件、证明材料等文件，一旦涉嫌虚假，经查实，主管部门将依法从严处理，并移送有关部门追究法律责任；涉嫌犯罪的，主管部门将一并移送司法机关追究法律责任。</w:t>
      </w:r>
    </w:p>
    <w:p w14:paraId="43920749">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（三）对于涉及安全生产、特种作业、抢险救灾、防疫等政府采购项目，供应商实施提供虚假资料、串通投标等违法行为的，主管部门将依法从严处理。</w:t>
      </w:r>
    </w:p>
    <w:p w14:paraId="0F606EA7">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F8EC962">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7F003EE">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E7CB97E">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22" w:firstLineChars="200"/>
        <w:jc w:val="left"/>
        <w:textAlignment w:val="auto"/>
        <w:rPr>
          <w:rFonts w:hint="eastAsia" w:ascii="宋体" w:hAnsi="宋体" w:eastAsia="宋体" w:cs="宋体"/>
          <w:b/>
          <w:bCs/>
          <w:kern w:val="0"/>
          <w:sz w:val="21"/>
          <w:szCs w:val="21"/>
          <w:highlight w:val="yellow"/>
          <w:lang w:val="en-US" w:eastAsia="zh-CN" w:bidi="ar-SA"/>
        </w:rPr>
      </w:pPr>
      <w:r>
        <w:rPr>
          <w:rFonts w:hint="eastAsia" w:ascii="宋体" w:hAnsi="宋体" w:eastAsia="宋体" w:cs="宋体"/>
          <w:b/>
          <w:bCs/>
          <w:kern w:val="0"/>
          <w:sz w:val="21"/>
          <w:szCs w:val="21"/>
          <w:highlight w:val="yellow"/>
          <w:lang w:val="en-US" w:eastAsia="zh-CN" w:bidi="ar-SA"/>
        </w:rPr>
        <w:t>四、本公司已充分知悉政府采购违法、违规行为的法律后果。</w:t>
      </w:r>
    </w:p>
    <w:p w14:paraId="3BD20F6A">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b/>
          <w:bCs/>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eastAsia="宋体" w:cs="宋体"/>
          <w:b/>
          <w:bCs/>
          <w:spacing w:val="-4"/>
          <w:kern w:val="0"/>
          <w:sz w:val="21"/>
          <w:szCs w:val="21"/>
          <w:highlight w:val="yellow"/>
          <w:lang w:val="en-US" w:eastAsia="zh-CN" w:bidi="ar-SA"/>
        </w:rPr>
        <w:t>以下文字请投标供应商抄写并确认：“本公司已仔细阅读《政府采购违法行为风险知悉确认书》，充分知悉违法行为的法律后果，并承诺将严谨、诚信、依法依规参与政府采购活动”。</w:t>
      </w:r>
    </w:p>
    <w:tbl>
      <w:tblPr>
        <w:tblStyle w:val="18"/>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14:paraId="56566F0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913DB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rightChars="0"/>
              <w:jc w:val="left"/>
              <w:textAlignment w:val="auto"/>
              <w:rPr>
                <w:rFonts w:hint="eastAsia" w:ascii="宋体" w:hAnsi="宋体" w:eastAsia="宋体" w:cs="宋体"/>
                <w:spacing w:val="-4"/>
                <w:kern w:val="0"/>
                <w:sz w:val="21"/>
                <w:szCs w:val="21"/>
                <w:highlight w:val="green"/>
                <w:vertAlign w:val="baseline"/>
                <w:lang w:val="en-US" w:eastAsia="zh-CN" w:bidi="ar-SA"/>
              </w:rPr>
            </w:pPr>
          </w:p>
        </w:tc>
      </w:tr>
      <w:tr w14:paraId="29D1181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54028D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rightChars="0"/>
              <w:jc w:val="left"/>
              <w:textAlignment w:val="auto"/>
              <w:rPr>
                <w:rFonts w:hint="eastAsia" w:ascii="宋体" w:hAnsi="宋体" w:eastAsia="宋体" w:cs="宋体"/>
                <w:spacing w:val="-4"/>
                <w:kern w:val="0"/>
                <w:sz w:val="21"/>
                <w:szCs w:val="21"/>
                <w:highlight w:val="green"/>
                <w:vertAlign w:val="baseline"/>
                <w:lang w:val="en-US" w:eastAsia="zh-CN" w:bidi="ar-SA"/>
              </w:rPr>
            </w:pPr>
          </w:p>
        </w:tc>
      </w:tr>
      <w:tr w14:paraId="3841015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78E052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rightChars="0"/>
              <w:jc w:val="left"/>
              <w:textAlignment w:val="auto"/>
              <w:rPr>
                <w:rFonts w:hint="eastAsia" w:ascii="宋体" w:hAnsi="宋体" w:eastAsia="宋体" w:cs="宋体"/>
                <w:spacing w:val="-4"/>
                <w:kern w:val="0"/>
                <w:sz w:val="21"/>
                <w:szCs w:val="21"/>
                <w:highlight w:val="green"/>
                <w:vertAlign w:val="baseline"/>
                <w:lang w:val="en-US" w:eastAsia="zh-CN" w:bidi="ar-SA"/>
              </w:rPr>
            </w:pPr>
          </w:p>
        </w:tc>
      </w:tr>
      <w:tr w14:paraId="355A881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C9105C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rightChars="0"/>
              <w:jc w:val="left"/>
              <w:textAlignment w:val="auto"/>
              <w:rPr>
                <w:rFonts w:hint="eastAsia" w:ascii="宋体" w:hAnsi="宋体" w:eastAsia="宋体" w:cs="宋体"/>
                <w:spacing w:val="-4"/>
                <w:kern w:val="0"/>
                <w:sz w:val="21"/>
                <w:szCs w:val="21"/>
                <w:highlight w:val="green"/>
                <w:vertAlign w:val="baseline"/>
                <w:lang w:val="en-US" w:eastAsia="zh-CN" w:bidi="ar-SA"/>
              </w:rPr>
            </w:pPr>
          </w:p>
        </w:tc>
      </w:tr>
    </w:tbl>
    <w:p w14:paraId="16710A51">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b/>
          <w:bCs/>
          <w:color w:val="FF0000"/>
          <w:spacing w:val="-4"/>
          <w:kern w:val="0"/>
          <w:sz w:val="21"/>
          <w:szCs w:val="21"/>
          <w:highlight w:val="yellow"/>
          <w:lang w:val="en-US" w:eastAsia="zh-CN" w:bidi="ar-SA"/>
        </w:rPr>
      </w:pPr>
      <w:r>
        <w:rPr>
          <w:rFonts w:hint="eastAsia" w:ascii="宋体" w:hAnsi="宋体" w:eastAsia="宋体" w:cs="宋体"/>
          <w:b/>
          <w:bCs/>
          <w:color w:val="FF0000"/>
          <w:spacing w:val="-4"/>
          <w:kern w:val="0"/>
          <w:sz w:val="21"/>
          <w:szCs w:val="21"/>
          <w:highlight w:val="yellow"/>
          <w:lang w:val="en-US" w:eastAsia="zh-CN" w:bidi="ar-SA"/>
        </w:rPr>
        <w:t>注：1.政府采购违法行为风险知悉确认书不作为资格性审查及符合性审查条件。</w:t>
      </w:r>
    </w:p>
    <w:p w14:paraId="30E0ABC4">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color w:val="FF0000"/>
          <w:spacing w:val="-4"/>
          <w:kern w:val="0"/>
          <w:sz w:val="21"/>
          <w:szCs w:val="21"/>
          <w:highlight w:val="yellow"/>
          <w:lang w:val="en-US" w:eastAsia="zh-CN" w:bidi="ar-SA"/>
        </w:rPr>
      </w:pPr>
      <w:r>
        <w:rPr>
          <w:rFonts w:hint="eastAsia" w:ascii="宋体" w:hAnsi="宋体" w:eastAsia="宋体" w:cs="宋体"/>
          <w:b/>
          <w:bCs/>
          <w:color w:val="FF0000"/>
          <w:spacing w:val="-4"/>
          <w:kern w:val="0"/>
          <w:sz w:val="21"/>
          <w:szCs w:val="21"/>
          <w:highlight w:val="yellow"/>
          <w:lang w:val="en-US" w:eastAsia="zh-CN" w:bidi="ar-SA"/>
        </w:rPr>
        <w:t>2.投标供应商负责人或投标授权代表签字并加盖单位公章后，扫描上传至投标文件一并提交。</w:t>
      </w:r>
    </w:p>
    <w:p w14:paraId="2E1B9D07">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 xml:space="preserve">负责人/投标授权代表签名：     </w:t>
      </w:r>
    </w:p>
    <w:p w14:paraId="2901FB90">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spacing w:val="-4"/>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 xml:space="preserve">知悉人（公章）：     </w:t>
      </w:r>
    </w:p>
    <w:p w14:paraId="60FE31EC">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kern w:val="0"/>
          <w:sz w:val="21"/>
          <w:szCs w:val="21"/>
          <w:highlight w:val="yellow"/>
          <w:lang w:val="en-US" w:eastAsia="zh-CN" w:bidi="ar-SA"/>
        </w:rPr>
      </w:pPr>
      <w:r>
        <w:rPr>
          <w:rFonts w:hint="eastAsia" w:ascii="宋体" w:hAnsi="宋体" w:eastAsia="宋体" w:cs="宋体"/>
          <w:spacing w:val="-4"/>
          <w:kern w:val="0"/>
          <w:sz w:val="21"/>
          <w:szCs w:val="21"/>
          <w:highlight w:val="yellow"/>
          <w:lang w:val="en-US" w:eastAsia="zh-CN" w:bidi="ar-SA"/>
        </w:rPr>
        <w:t xml:space="preserve">日期：     </w:t>
      </w:r>
    </w:p>
    <w:p w14:paraId="2DF255FA">
      <w:pPr>
        <w:widowControl w:val="0"/>
        <w:spacing w:line="360" w:lineRule="auto"/>
        <w:jc w:val="both"/>
        <w:rPr>
          <w:rFonts w:hint="eastAsia" w:ascii="Times New Roman" w:hAnsi="Times New Roman" w:eastAsia="宋体" w:cs="Times New Roman"/>
          <w:b/>
          <w:bCs/>
          <w:kern w:val="2"/>
          <w:sz w:val="24"/>
          <w:szCs w:val="24"/>
          <w:lang w:val="en-US" w:eastAsia="zh-CN" w:bidi="ar-SA"/>
        </w:rPr>
      </w:pPr>
    </w:p>
    <w:p w14:paraId="3BA292F1">
      <w:pPr>
        <w:rPr>
          <w:rFonts w:hint="eastAsia" w:ascii="黑体" w:hAnsi="宋体" w:eastAsia="黑体" w:cs="Times New Roman"/>
          <w:sz w:val="24"/>
          <w:szCs w:val="20"/>
          <w:lang w:eastAsia="zh-CN"/>
        </w:rPr>
      </w:pPr>
    </w:p>
    <w:p w14:paraId="5CCE31F9">
      <w:pP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z w:val="24"/>
          <w:szCs w:val="20"/>
          <w:lang w:eastAsia="zh-CN"/>
        </w:rPr>
        <w:t>（</w:t>
      </w:r>
      <w:r>
        <w:rPr>
          <w:rFonts w:hint="eastAsia" w:asciiTheme="majorEastAsia" w:hAnsiTheme="majorEastAsia" w:eastAsiaTheme="majorEastAsia" w:cstheme="majorEastAsia"/>
          <w:b/>
          <w:bCs/>
          <w:sz w:val="24"/>
          <w:szCs w:val="20"/>
          <w:lang w:val="en-US" w:eastAsia="zh-CN"/>
        </w:rPr>
        <w:t>2</w:t>
      </w:r>
      <w:r>
        <w:rPr>
          <w:rFonts w:hint="eastAsia" w:asciiTheme="majorEastAsia" w:hAnsiTheme="majorEastAsia" w:eastAsiaTheme="majorEastAsia" w:cstheme="majorEastAsia"/>
          <w:b/>
          <w:bCs/>
          <w:sz w:val="24"/>
          <w:szCs w:val="20"/>
          <w:lang w:eastAsia="zh-CN"/>
        </w:rPr>
        <w:t>）</w:t>
      </w:r>
      <w:r>
        <w:rPr>
          <w:rFonts w:hint="eastAsia" w:asciiTheme="majorEastAsia" w:hAnsiTheme="majorEastAsia" w:eastAsiaTheme="majorEastAsia" w:cstheme="majorEastAsia"/>
          <w:b/>
          <w:bCs/>
          <w:sz w:val="24"/>
          <w:szCs w:val="20"/>
        </w:rPr>
        <w:t>投标人认为需要加以说明的其他内容</w:t>
      </w:r>
    </w:p>
    <w:p w14:paraId="4B68CD68">
      <w:pPr>
        <w:pStyle w:val="6"/>
      </w:pPr>
    </w:p>
    <w:p w14:paraId="73E9C7F2"/>
    <w:p w14:paraId="309B9D3A">
      <w:pPr>
        <w:pStyle w:val="6"/>
      </w:pPr>
    </w:p>
    <w:p w14:paraId="799A521C"/>
    <w:p w14:paraId="0EE9F487">
      <w:pPr>
        <w:pStyle w:val="6"/>
      </w:pPr>
    </w:p>
    <w:p w14:paraId="5B9B26F4">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第五章  合同条款及格式</w:t>
      </w:r>
    </w:p>
    <w:p w14:paraId="3C70748C">
      <w:pPr>
        <w:spacing w:line="360" w:lineRule="auto"/>
        <w:jc w:val="center"/>
        <w:rPr>
          <w:rFonts w:ascii="宋体" w:hAnsi="宋体" w:eastAsia="黑体"/>
          <w:bCs/>
          <w:kern w:val="44"/>
          <w:sz w:val="28"/>
          <w:szCs w:val="44"/>
        </w:rPr>
      </w:pPr>
      <w:bookmarkStart w:id="47" w:name="_Hlk72574405"/>
      <w:r>
        <w:rPr>
          <w:rFonts w:hint="eastAsia" w:ascii="宋体" w:hAnsi="宋体" w:eastAsia="宋体" w:cs="宋体"/>
          <w:b/>
        </w:rPr>
        <w:t>（仅供参考，具体以项目需求及采购结果为准）</w:t>
      </w:r>
      <w:bookmarkEnd w:id="47"/>
    </w:p>
    <w:p w14:paraId="09887292">
      <w:pPr>
        <w:snapToGrid w:val="0"/>
        <w:spacing w:line="300" w:lineRule="auto"/>
        <w:rPr>
          <w:rFonts w:ascii="宋体" w:hAnsi="宋体" w:eastAsia="宋体"/>
          <w:u w:val="single"/>
        </w:rPr>
      </w:pPr>
      <w:r>
        <w:rPr>
          <w:rFonts w:hint="eastAsia" w:ascii="宋体" w:hAnsi="宋体" w:eastAsia="宋体"/>
        </w:rPr>
        <w:t>甲方：</w:t>
      </w:r>
      <w:r>
        <w:rPr>
          <w:rFonts w:hint="eastAsia" w:ascii="宋体" w:hAnsi="宋体" w:eastAsia="宋体"/>
          <w:u w:val="single"/>
        </w:rPr>
        <w:t xml:space="preserve">                </w:t>
      </w:r>
      <w:r>
        <w:rPr>
          <w:rFonts w:hint="eastAsia" w:ascii="宋体" w:hAnsi="宋体" w:eastAsia="宋体"/>
          <w:u w:val="single"/>
        </w:rPr>
        <w:tab/>
      </w:r>
      <w:r>
        <w:rPr>
          <w:rFonts w:hint="eastAsia" w:ascii="宋体" w:hAnsi="宋体" w:eastAsia="宋体"/>
          <w:u w:val="single"/>
        </w:rPr>
        <w:tab/>
      </w:r>
      <w:r>
        <w:rPr>
          <w:rFonts w:hint="eastAsia" w:ascii="宋体" w:hAnsi="宋体" w:eastAsia="宋体"/>
          <w:u w:val="single"/>
        </w:rPr>
        <w:t xml:space="preserve"> </w:t>
      </w:r>
      <w:r>
        <w:rPr>
          <w:rFonts w:hint="eastAsia" w:ascii="宋体" w:hAnsi="宋体" w:eastAsia="宋体"/>
        </w:rPr>
        <w:t xml:space="preserve">   乙方: </w:t>
      </w:r>
      <w:r>
        <w:rPr>
          <w:rFonts w:hint="eastAsia" w:ascii="宋体" w:hAnsi="宋体" w:eastAsia="宋体"/>
          <w:u w:val="single"/>
        </w:rPr>
        <w:t xml:space="preserve">   </w:t>
      </w:r>
      <w:r>
        <w:rPr>
          <w:rFonts w:hint="eastAsia" w:ascii="宋体" w:hAnsi="宋体" w:eastAsia="宋体"/>
          <w:u w:val="single"/>
        </w:rPr>
        <w:tab/>
      </w:r>
      <w:r>
        <w:rPr>
          <w:rFonts w:hint="eastAsia" w:ascii="宋体" w:hAnsi="宋体" w:eastAsia="宋体"/>
          <w:u w:val="single"/>
        </w:rPr>
        <w:tab/>
      </w:r>
      <w:r>
        <w:rPr>
          <w:rFonts w:hint="eastAsia" w:ascii="宋体" w:hAnsi="宋体" w:eastAsia="宋体"/>
          <w:u w:val="single"/>
        </w:rPr>
        <w:t xml:space="preserve">   </w:t>
      </w:r>
      <w:r>
        <w:rPr>
          <w:rFonts w:hint="eastAsia" w:ascii="宋体" w:hAnsi="宋体" w:eastAsia="宋体"/>
          <w:u w:val="single"/>
        </w:rPr>
        <w:tab/>
      </w:r>
      <w:r>
        <w:rPr>
          <w:rFonts w:hint="eastAsia" w:ascii="宋体" w:hAnsi="宋体" w:eastAsia="宋体"/>
          <w:u w:val="single"/>
        </w:rPr>
        <w:t xml:space="preserve">   </w:t>
      </w:r>
      <w:r>
        <w:rPr>
          <w:rFonts w:hint="eastAsia" w:ascii="宋体" w:hAnsi="宋体" w:eastAsia="宋体"/>
          <w:u w:val="single"/>
        </w:rPr>
        <w:tab/>
      </w:r>
      <w:r>
        <w:rPr>
          <w:rFonts w:hint="eastAsia" w:ascii="宋体" w:hAnsi="宋体" w:eastAsia="宋体"/>
          <w:u w:val="single"/>
        </w:rPr>
        <w:t xml:space="preserve">  </w:t>
      </w:r>
    </w:p>
    <w:p w14:paraId="0C0CE861">
      <w:pPr>
        <w:snapToGrid w:val="0"/>
        <w:spacing w:line="300" w:lineRule="auto"/>
        <w:rPr>
          <w:rFonts w:ascii="宋体" w:hAnsi="宋体" w:eastAsia="宋体"/>
        </w:rPr>
      </w:pPr>
      <w:r>
        <w:rPr>
          <w:rFonts w:hint="eastAsia" w:ascii="宋体" w:hAnsi="宋体" w:eastAsia="宋体"/>
        </w:rPr>
        <w:t>住所地：</w:t>
      </w:r>
      <w:r>
        <w:rPr>
          <w:rFonts w:hint="eastAsia" w:ascii="宋体" w:hAnsi="宋体" w:eastAsia="宋体"/>
          <w:u w:val="single"/>
        </w:rPr>
        <w:t xml:space="preserve">                    </w:t>
      </w:r>
      <w:r>
        <w:rPr>
          <w:rFonts w:hint="eastAsia" w:ascii="宋体" w:hAnsi="宋体" w:eastAsia="宋体"/>
        </w:rPr>
        <w:t xml:space="preserve">   住所地：</w:t>
      </w:r>
      <w:r>
        <w:rPr>
          <w:rFonts w:hint="eastAsia" w:ascii="宋体" w:hAnsi="宋体" w:eastAsia="宋体"/>
          <w:u w:val="single"/>
        </w:rPr>
        <w:t xml:space="preserve">                    </w:t>
      </w:r>
    </w:p>
    <w:p w14:paraId="49C54D0F">
      <w:pPr>
        <w:snapToGrid w:val="0"/>
        <w:spacing w:line="300" w:lineRule="auto"/>
        <w:rPr>
          <w:rFonts w:ascii="宋体" w:hAnsi="宋体" w:eastAsia="宋体"/>
        </w:rPr>
      </w:pPr>
      <w:r>
        <w:rPr>
          <w:rFonts w:hint="eastAsia" w:ascii="宋体" w:hAnsi="宋体" w:eastAsia="宋体"/>
        </w:rPr>
        <w:t>法定代表人：</w:t>
      </w:r>
      <w:r>
        <w:rPr>
          <w:rFonts w:hint="eastAsia" w:ascii="宋体" w:hAnsi="宋体" w:eastAsia="宋体"/>
          <w:u w:val="single"/>
        </w:rPr>
        <w:t xml:space="preserve">                </w:t>
      </w:r>
      <w:r>
        <w:rPr>
          <w:rFonts w:hint="eastAsia" w:ascii="宋体" w:hAnsi="宋体" w:eastAsia="宋体"/>
        </w:rPr>
        <w:t xml:space="preserve">   法定代表人：</w:t>
      </w:r>
      <w:r>
        <w:rPr>
          <w:rFonts w:hint="eastAsia" w:ascii="宋体" w:hAnsi="宋体" w:eastAsia="宋体"/>
          <w:u w:val="single"/>
        </w:rPr>
        <w:t xml:space="preserve">                </w:t>
      </w:r>
    </w:p>
    <w:p w14:paraId="67E673CB">
      <w:pPr>
        <w:snapToGrid w:val="0"/>
        <w:spacing w:line="300" w:lineRule="auto"/>
        <w:rPr>
          <w:rFonts w:ascii="宋体" w:hAnsi="宋体" w:eastAsia="宋体"/>
        </w:rPr>
      </w:pPr>
      <w:r>
        <w:rPr>
          <w:rFonts w:hint="eastAsia" w:ascii="宋体" w:hAnsi="宋体" w:eastAsia="宋体"/>
        </w:rPr>
        <w:t>联系人：</w:t>
      </w:r>
      <w:r>
        <w:rPr>
          <w:rFonts w:hint="eastAsia" w:ascii="宋体" w:hAnsi="宋体" w:eastAsia="宋体"/>
          <w:u w:val="single"/>
        </w:rPr>
        <w:tab/>
      </w:r>
      <w:r>
        <w:rPr>
          <w:rFonts w:hint="eastAsia" w:ascii="宋体" w:hAnsi="宋体" w:eastAsia="宋体"/>
          <w:u w:val="single"/>
        </w:rPr>
        <w:tab/>
      </w:r>
      <w:r>
        <w:rPr>
          <w:rFonts w:hint="eastAsia" w:ascii="宋体" w:hAnsi="宋体" w:eastAsia="宋体"/>
          <w:u w:val="single"/>
        </w:rPr>
        <w:t xml:space="preserve">                </w:t>
      </w:r>
      <w:r>
        <w:rPr>
          <w:rFonts w:hint="eastAsia" w:ascii="宋体" w:hAnsi="宋体" w:eastAsia="宋体"/>
        </w:rPr>
        <w:t xml:space="preserve">   联系人：</w:t>
      </w:r>
      <w:r>
        <w:rPr>
          <w:rFonts w:hint="eastAsia" w:ascii="宋体" w:hAnsi="宋体" w:eastAsia="宋体"/>
          <w:u w:val="single"/>
        </w:rPr>
        <w:t xml:space="preserve">                    </w:t>
      </w:r>
    </w:p>
    <w:p w14:paraId="07265368">
      <w:pPr>
        <w:snapToGrid w:val="0"/>
        <w:spacing w:line="300" w:lineRule="auto"/>
        <w:rPr>
          <w:rFonts w:ascii="宋体" w:hAnsi="宋体" w:eastAsia="宋体"/>
        </w:rPr>
      </w:pPr>
      <w:r>
        <w:rPr>
          <w:rFonts w:hint="eastAsia" w:ascii="宋体" w:hAnsi="宋体" w:eastAsia="宋体"/>
        </w:rPr>
        <w:t>电话：</w:t>
      </w:r>
      <w:r>
        <w:rPr>
          <w:rFonts w:hint="eastAsia" w:ascii="宋体" w:hAnsi="宋体" w:eastAsia="宋体"/>
          <w:u w:val="single"/>
        </w:rPr>
        <w:tab/>
      </w:r>
      <w:r>
        <w:rPr>
          <w:rFonts w:hint="eastAsia" w:ascii="宋体" w:hAnsi="宋体" w:eastAsia="宋体"/>
          <w:u w:val="single"/>
        </w:rPr>
        <w:tab/>
      </w:r>
      <w:r>
        <w:rPr>
          <w:rFonts w:hint="eastAsia" w:ascii="宋体" w:hAnsi="宋体" w:eastAsia="宋体"/>
          <w:u w:val="single"/>
        </w:rPr>
        <w:t xml:space="preserve">                </w:t>
      </w:r>
      <w:r>
        <w:rPr>
          <w:rFonts w:hint="eastAsia" w:ascii="宋体" w:hAnsi="宋体" w:eastAsia="宋体"/>
        </w:rPr>
        <w:t xml:space="preserve">   电话：</w:t>
      </w:r>
      <w:r>
        <w:rPr>
          <w:rFonts w:hint="eastAsia" w:ascii="宋体" w:hAnsi="宋体" w:eastAsia="宋体"/>
          <w:u w:val="single"/>
        </w:rPr>
        <w:t xml:space="preserve">                      </w:t>
      </w:r>
    </w:p>
    <w:p w14:paraId="2D18FC6E">
      <w:pPr>
        <w:snapToGrid w:val="0"/>
        <w:spacing w:line="300" w:lineRule="auto"/>
        <w:rPr>
          <w:rFonts w:ascii="宋体" w:hAnsi="宋体" w:eastAsia="宋体"/>
        </w:rPr>
      </w:pPr>
      <w:r>
        <w:rPr>
          <w:rFonts w:hint="eastAsia" w:ascii="宋体" w:hAnsi="宋体" w:eastAsia="宋体"/>
        </w:rPr>
        <w:t>传真：</w:t>
      </w:r>
      <w:r>
        <w:rPr>
          <w:rFonts w:hint="eastAsia" w:ascii="宋体" w:hAnsi="宋体" w:eastAsia="宋体"/>
          <w:u w:val="single"/>
        </w:rPr>
        <w:t xml:space="preserve">                      </w:t>
      </w:r>
      <w:r>
        <w:rPr>
          <w:rFonts w:hint="eastAsia" w:ascii="宋体" w:hAnsi="宋体" w:eastAsia="宋体"/>
        </w:rPr>
        <w:t xml:space="preserve">   传真：</w:t>
      </w:r>
      <w:r>
        <w:rPr>
          <w:rFonts w:hint="eastAsia" w:ascii="宋体" w:hAnsi="宋体" w:eastAsia="宋体"/>
          <w:u w:val="single"/>
        </w:rPr>
        <w:t xml:space="preserve">                      </w:t>
      </w:r>
    </w:p>
    <w:p w14:paraId="18E5F23A">
      <w:pPr>
        <w:snapToGrid w:val="0"/>
        <w:spacing w:line="360" w:lineRule="auto"/>
        <w:rPr>
          <w:rFonts w:ascii="宋体" w:hAnsi="宋体" w:eastAsia="宋体"/>
        </w:rPr>
      </w:pPr>
    </w:p>
    <w:p w14:paraId="6CCC0898">
      <w:pPr>
        <w:tabs>
          <w:tab w:val="left" w:pos="0"/>
        </w:tabs>
        <w:snapToGrid w:val="0"/>
        <w:spacing w:line="360" w:lineRule="auto"/>
        <w:rPr>
          <w:rFonts w:ascii="宋体" w:hAnsi="宋体" w:eastAsia="宋体"/>
          <w:b/>
        </w:rPr>
      </w:pPr>
      <w:r>
        <w:rPr>
          <w:rFonts w:hint="eastAsia" w:ascii="宋体" w:hAnsi="宋体" w:eastAsia="宋体"/>
          <w:b/>
        </w:rPr>
        <w:t>第一条 项目基本情况</w:t>
      </w:r>
    </w:p>
    <w:p w14:paraId="33E9DC79">
      <w:pPr>
        <w:tabs>
          <w:tab w:val="left" w:pos="0"/>
        </w:tabs>
        <w:snapToGrid w:val="0"/>
        <w:spacing w:line="300" w:lineRule="auto"/>
        <w:ind w:firstLine="555"/>
        <w:rPr>
          <w:rFonts w:ascii="宋体" w:hAnsi="宋体" w:eastAsia="宋体"/>
        </w:rPr>
      </w:pPr>
      <w:r>
        <w:rPr>
          <w:rFonts w:hint="eastAsia" w:ascii="宋体" w:hAnsi="宋体" w:eastAsia="宋体"/>
        </w:rPr>
        <w:t>根据友和保险经纪有限公司</w:t>
      </w:r>
      <w:r>
        <w:rPr>
          <w:rFonts w:hint="eastAsia" w:ascii="宋体" w:hAnsi="宋体" w:eastAsia="宋体"/>
          <w:u w:val="single"/>
        </w:rPr>
        <w:t xml:space="preserve"> </w:t>
      </w:r>
      <w:r>
        <w:rPr>
          <w:rFonts w:hint="eastAsia" w:ascii="宋体" w:hAnsi="宋体" w:eastAsia="宋体"/>
          <w:u w:val="single"/>
          <w:lang w:eastAsia="zh-CN"/>
        </w:rPr>
        <w:t>2025年交通监控设施维护D包</w:t>
      </w:r>
      <w:r>
        <w:rPr>
          <w:rFonts w:hint="eastAsia" w:ascii="宋体" w:hAnsi="宋体" w:eastAsia="宋体"/>
          <w:u w:val="single"/>
        </w:rPr>
        <w:t xml:space="preserve"> </w:t>
      </w:r>
      <w:r>
        <w:rPr>
          <w:rFonts w:hint="eastAsia" w:ascii="宋体" w:hAnsi="宋体" w:eastAsia="宋体"/>
        </w:rPr>
        <w:t>项目（招标编号：</w:t>
      </w:r>
      <w:r>
        <w:rPr>
          <w:rFonts w:hint="eastAsia" w:ascii="宋体" w:hAnsi="宋体" w:eastAsia="宋体"/>
          <w:u w:val="single"/>
          <w:lang w:eastAsia="zh-CN"/>
        </w:rPr>
        <w:t>SZDL2025000085</w:t>
      </w:r>
      <w:r>
        <w:rPr>
          <w:rFonts w:hint="eastAsia" w:ascii="宋体" w:hAnsi="宋体" w:eastAsia="宋体"/>
        </w:rPr>
        <w:t>）结果，</w:t>
      </w:r>
      <w:r>
        <w:rPr>
          <w:rFonts w:hint="eastAsia" w:ascii="宋体" w:hAnsi="宋体" w:eastAsia="宋体"/>
          <w:u w:val="single"/>
        </w:rPr>
        <w:t xml:space="preserve">        </w:t>
      </w:r>
      <w:r>
        <w:rPr>
          <w:rFonts w:hint="eastAsia" w:ascii="宋体" w:hAnsi="宋体" w:eastAsia="宋体"/>
        </w:rPr>
        <w:t>为中标人。按照《中华人民共和国民法典》（第三编 合同）》和《深圳经济特区政府采购条例》，经</w:t>
      </w:r>
      <w:r>
        <w:rPr>
          <w:rFonts w:hint="eastAsia" w:ascii="宋体" w:hAnsi="宋体" w:eastAsia="宋体"/>
          <w:u w:val="single"/>
        </w:rPr>
        <w:t xml:space="preserve">        </w:t>
      </w:r>
      <w:r>
        <w:rPr>
          <w:rFonts w:hint="eastAsia" w:ascii="宋体" w:hAnsi="宋体" w:eastAsia="宋体"/>
        </w:rPr>
        <w:t>（以下简称甲方）和</w:t>
      </w:r>
      <w:r>
        <w:rPr>
          <w:rFonts w:hint="eastAsia" w:ascii="宋体" w:hAnsi="宋体" w:eastAsia="宋体"/>
          <w:u w:val="single"/>
        </w:rPr>
        <w:t xml:space="preserve">        </w:t>
      </w:r>
      <w:r>
        <w:rPr>
          <w:rFonts w:hint="eastAsia" w:ascii="宋体" w:hAnsi="宋体" w:eastAsia="宋体"/>
        </w:rPr>
        <w:t>（以下简称乙方）协商，达成本合同条款。</w:t>
      </w:r>
    </w:p>
    <w:p w14:paraId="7184A157">
      <w:pPr>
        <w:tabs>
          <w:tab w:val="left" w:pos="0"/>
        </w:tabs>
        <w:snapToGrid w:val="0"/>
        <w:spacing w:line="360" w:lineRule="auto"/>
        <w:rPr>
          <w:rFonts w:ascii="宋体" w:hAnsi="宋体" w:eastAsia="宋体"/>
        </w:rPr>
      </w:pPr>
      <w:r>
        <w:rPr>
          <w:rFonts w:hint="eastAsia" w:ascii="宋体" w:hAnsi="宋体" w:eastAsia="宋体"/>
          <w:b/>
        </w:rPr>
        <w:t>第二条 合同标的内容（标的数量或质量等）</w:t>
      </w:r>
    </w:p>
    <w:p w14:paraId="5B02854B">
      <w:pPr>
        <w:tabs>
          <w:tab w:val="left" w:pos="0"/>
        </w:tabs>
        <w:snapToGrid w:val="0"/>
        <w:spacing w:line="360" w:lineRule="auto"/>
        <w:rPr>
          <w:rFonts w:ascii="宋体" w:hAnsi="宋体" w:eastAsia="宋体"/>
          <w:b/>
        </w:rPr>
      </w:pPr>
      <w:r>
        <w:rPr>
          <w:rFonts w:hint="eastAsia" w:ascii="宋体" w:hAnsi="宋体" w:eastAsia="宋体"/>
          <w:b/>
        </w:rPr>
        <w:t>第三条 合同价款（金额）</w:t>
      </w:r>
    </w:p>
    <w:p w14:paraId="1CC26167">
      <w:pPr>
        <w:tabs>
          <w:tab w:val="left" w:pos="0"/>
        </w:tabs>
        <w:snapToGrid w:val="0"/>
        <w:spacing w:line="360" w:lineRule="auto"/>
        <w:rPr>
          <w:rFonts w:ascii="宋体" w:hAnsi="宋体" w:eastAsia="宋体"/>
          <w:b/>
        </w:rPr>
      </w:pPr>
      <w:r>
        <w:rPr>
          <w:rFonts w:hint="eastAsia" w:ascii="宋体" w:hAnsi="宋体" w:eastAsia="宋体"/>
          <w:b/>
        </w:rPr>
        <w:t>第四条 项目履约（交付、交货）地点</w:t>
      </w:r>
    </w:p>
    <w:p w14:paraId="4C46931F">
      <w:pPr>
        <w:tabs>
          <w:tab w:val="left" w:pos="0"/>
        </w:tabs>
        <w:snapToGrid w:val="0"/>
        <w:spacing w:line="360" w:lineRule="auto"/>
        <w:ind w:left="-1" w:firstLine="480" w:firstLineChars="200"/>
        <w:rPr>
          <w:rFonts w:ascii="宋体" w:hAnsi="宋体" w:eastAsia="宋体"/>
        </w:rPr>
      </w:pPr>
      <w:r>
        <w:rPr>
          <w:rFonts w:hint="eastAsia" w:ascii="宋体" w:hAnsi="宋体" w:eastAsia="宋体"/>
        </w:rPr>
        <w:t>深圳市</w:t>
      </w:r>
      <w:r>
        <w:rPr>
          <w:rFonts w:hint="eastAsia" w:ascii="宋体" w:hAnsi="宋体" w:eastAsia="宋体"/>
          <w:u w:val="single"/>
        </w:rPr>
        <w:t xml:space="preserve">      </w:t>
      </w:r>
      <w:r>
        <w:rPr>
          <w:rFonts w:hint="eastAsia" w:ascii="宋体" w:hAnsi="宋体" w:eastAsia="宋体"/>
        </w:rPr>
        <w:t>区。</w:t>
      </w:r>
    </w:p>
    <w:p w14:paraId="15C373A2">
      <w:pPr>
        <w:tabs>
          <w:tab w:val="left" w:pos="0"/>
        </w:tabs>
        <w:snapToGrid w:val="0"/>
        <w:spacing w:line="360" w:lineRule="auto"/>
        <w:rPr>
          <w:rFonts w:ascii="宋体" w:hAnsi="宋体" w:eastAsia="宋体"/>
          <w:b/>
        </w:rPr>
      </w:pPr>
      <w:r>
        <w:rPr>
          <w:rFonts w:hint="eastAsia" w:ascii="宋体" w:hAnsi="宋体" w:eastAsia="宋体"/>
          <w:b/>
        </w:rPr>
        <w:t>第五条 项目服务期（完工期、履约时间、交货时间）</w:t>
      </w:r>
    </w:p>
    <w:p w14:paraId="7419BDAF">
      <w:pPr>
        <w:tabs>
          <w:tab w:val="left" w:pos="0"/>
        </w:tabs>
        <w:snapToGrid w:val="0"/>
        <w:spacing w:line="360" w:lineRule="auto"/>
        <w:ind w:left="-1" w:firstLine="480" w:firstLineChars="200"/>
        <w:rPr>
          <w:rFonts w:ascii="宋体" w:hAnsi="宋体" w:eastAsia="宋体"/>
        </w:rPr>
      </w:pPr>
      <w:r>
        <w:rPr>
          <w:rFonts w:hint="eastAsia" w:ascii="宋体" w:hAnsi="宋体" w:eastAsia="宋体"/>
        </w:rPr>
        <w:t>（具体按本项目需求与投标人承诺内容拟定）</w:t>
      </w:r>
    </w:p>
    <w:p w14:paraId="1645EC18">
      <w:pPr>
        <w:tabs>
          <w:tab w:val="left" w:pos="0"/>
        </w:tabs>
        <w:snapToGrid w:val="0"/>
        <w:spacing w:line="360" w:lineRule="auto"/>
        <w:rPr>
          <w:rFonts w:ascii="宋体" w:hAnsi="宋体" w:eastAsia="宋体"/>
          <w:b/>
        </w:rPr>
      </w:pPr>
      <w:r>
        <w:rPr>
          <w:rFonts w:hint="eastAsia" w:ascii="宋体" w:hAnsi="宋体" w:eastAsia="宋体"/>
          <w:b/>
        </w:rPr>
        <w:t>第六条 付款期限及方式</w:t>
      </w:r>
    </w:p>
    <w:p w14:paraId="21098327">
      <w:pPr>
        <w:tabs>
          <w:tab w:val="left" w:pos="0"/>
        </w:tabs>
        <w:snapToGrid w:val="0"/>
        <w:spacing w:line="360" w:lineRule="auto"/>
        <w:ind w:left="-1" w:firstLine="480" w:firstLineChars="200"/>
        <w:rPr>
          <w:rFonts w:ascii="宋体" w:hAnsi="宋体" w:eastAsia="宋体"/>
        </w:rPr>
      </w:pPr>
      <w:r>
        <w:rPr>
          <w:rFonts w:hint="eastAsia" w:ascii="宋体" w:hAnsi="宋体" w:eastAsia="宋体"/>
        </w:rPr>
        <w:t>（具体按本项目需求与投标人承诺内容拟定）</w:t>
      </w:r>
    </w:p>
    <w:p w14:paraId="76F63F6C">
      <w:pPr>
        <w:tabs>
          <w:tab w:val="left" w:pos="0"/>
        </w:tabs>
        <w:snapToGrid w:val="0"/>
        <w:spacing w:line="360" w:lineRule="auto"/>
        <w:rPr>
          <w:rFonts w:ascii="宋体" w:hAnsi="宋体" w:eastAsia="宋体"/>
          <w:b/>
        </w:rPr>
      </w:pPr>
      <w:r>
        <w:rPr>
          <w:rFonts w:hint="eastAsia" w:ascii="宋体" w:hAnsi="宋体" w:eastAsia="宋体"/>
          <w:b/>
        </w:rPr>
        <w:t>第七条 项目验收标准及方式</w:t>
      </w:r>
    </w:p>
    <w:p w14:paraId="4D19A53C">
      <w:pPr>
        <w:tabs>
          <w:tab w:val="left" w:pos="0"/>
        </w:tabs>
        <w:snapToGrid w:val="0"/>
        <w:spacing w:line="360" w:lineRule="auto"/>
        <w:ind w:left="-1" w:firstLine="480" w:firstLineChars="200"/>
        <w:rPr>
          <w:rFonts w:ascii="宋体" w:hAnsi="宋体" w:eastAsia="宋体"/>
        </w:rPr>
      </w:pPr>
      <w:r>
        <w:rPr>
          <w:rFonts w:hint="eastAsia" w:ascii="宋体" w:hAnsi="宋体" w:eastAsia="宋体"/>
        </w:rPr>
        <w:t>（具体按本项目需求与投标人承诺内容拟定）</w:t>
      </w:r>
    </w:p>
    <w:p w14:paraId="12C1EBD8">
      <w:pPr>
        <w:tabs>
          <w:tab w:val="left" w:pos="0"/>
        </w:tabs>
        <w:snapToGrid w:val="0"/>
        <w:spacing w:line="360" w:lineRule="auto"/>
        <w:rPr>
          <w:rFonts w:ascii="宋体" w:hAnsi="宋体" w:eastAsia="宋体"/>
          <w:b/>
        </w:rPr>
      </w:pPr>
      <w:r>
        <w:rPr>
          <w:rFonts w:hint="eastAsia" w:ascii="宋体" w:hAnsi="宋体" w:eastAsia="宋体"/>
          <w:b/>
        </w:rPr>
        <w:t>第八条 甲方的权利和义务</w:t>
      </w:r>
    </w:p>
    <w:p w14:paraId="06F441A8">
      <w:pPr>
        <w:tabs>
          <w:tab w:val="left" w:pos="0"/>
        </w:tabs>
        <w:snapToGrid w:val="0"/>
        <w:spacing w:line="360" w:lineRule="auto"/>
        <w:rPr>
          <w:rFonts w:ascii="宋体" w:hAnsi="宋体" w:eastAsia="宋体"/>
          <w:b/>
        </w:rPr>
      </w:pPr>
      <w:r>
        <w:rPr>
          <w:rFonts w:hint="eastAsia" w:ascii="宋体" w:hAnsi="宋体" w:eastAsia="宋体"/>
          <w:b/>
        </w:rPr>
        <w:t>第九条 乙方的权利和义务</w:t>
      </w:r>
    </w:p>
    <w:p w14:paraId="1B945C6A">
      <w:pPr>
        <w:tabs>
          <w:tab w:val="left" w:pos="0"/>
        </w:tabs>
        <w:snapToGrid w:val="0"/>
        <w:spacing w:line="360" w:lineRule="auto"/>
        <w:rPr>
          <w:rFonts w:ascii="宋体" w:hAnsi="宋体" w:eastAsia="宋体"/>
          <w:b/>
        </w:rPr>
      </w:pPr>
      <w:r>
        <w:rPr>
          <w:rFonts w:hint="eastAsia" w:ascii="宋体" w:hAnsi="宋体" w:eastAsia="宋体"/>
          <w:b/>
        </w:rPr>
        <w:t>第十条 违约责任与争议解决办法</w:t>
      </w:r>
    </w:p>
    <w:p w14:paraId="4D2D33F7">
      <w:pPr>
        <w:tabs>
          <w:tab w:val="left" w:pos="0"/>
        </w:tabs>
        <w:snapToGrid w:val="0"/>
        <w:spacing w:line="360" w:lineRule="auto"/>
        <w:ind w:firstLine="480" w:firstLineChars="200"/>
        <w:rPr>
          <w:rFonts w:ascii="宋体" w:hAnsi="宋体" w:eastAsia="宋体"/>
        </w:rPr>
      </w:pPr>
      <w:r>
        <w:rPr>
          <w:rFonts w:hint="eastAsia" w:ascii="宋体" w:hAnsi="宋体" w:eastAsia="宋体"/>
        </w:rPr>
        <w:t>1、合同双方之任何一方不能全面履行合同条款，均属违约。违约所造成的经济损失概由违约方承担赔偿。违约造成工期延误责任分担：甲方违约，工期相应顺延；乙方违约，工期不得顺延。</w:t>
      </w:r>
    </w:p>
    <w:p w14:paraId="3A940AEC">
      <w:pPr>
        <w:tabs>
          <w:tab w:val="left" w:pos="0"/>
        </w:tabs>
        <w:snapToGrid w:val="0"/>
        <w:spacing w:line="360" w:lineRule="auto"/>
        <w:ind w:firstLine="480" w:firstLineChars="200"/>
        <w:rPr>
          <w:rFonts w:ascii="宋体" w:hAnsi="宋体" w:eastAsia="宋体"/>
        </w:rPr>
      </w:pPr>
      <w:r>
        <w:rPr>
          <w:rFonts w:hint="eastAsia" w:ascii="宋体" w:hAnsi="宋体" w:eastAsia="宋体"/>
        </w:rPr>
        <w:t>2、协商或仲裁：如果发生与本合同的解释或执行中的有关争议，双方首先应通过友好协商解决，否则任何一方可将该争议提交仲裁。仲裁事项应提交深圳仲裁委员会进行裁决。</w:t>
      </w:r>
    </w:p>
    <w:p w14:paraId="3B8D56FC">
      <w:pPr>
        <w:tabs>
          <w:tab w:val="left" w:pos="0"/>
        </w:tabs>
        <w:snapToGrid w:val="0"/>
        <w:spacing w:line="360" w:lineRule="auto"/>
        <w:rPr>
          <w:rFonts w:ascii="宋体" w:hAnsi="宋体" w:eastAsia="宋体"/>
        </w:rPr>
      </w:pPr>
      <w:r>
        <w:rPr>
          <w:rFonts w:hint="eastAsia" w:ascii="宋体" w:hAnsi="宋体" w:eastAsia="宋体"/>
        </w:rPr>
        <w:t>……。</w:t>
      </w:r>
    </w:p>
    <w:p w14:paraId="2701CE47">
      <w:pPr>
        <w:tabs>
          <w:tab w:val="left" w:pos="0"/>
        </w:tabs>
        <w:snapToGrid w:val="0"/>
        <w:spacing w:line="360" w:lineRule="auto"/>
        <w:rPr>
          <w:rFonts w:ascii="宋体" w:hAnsi="宋体" w:eastAsia="宋体"/>
          <w:b/>
        </w:rPr>
      </w:pPr>
      <w:r>
        <w:rPr>
          <w:rFonts w:hint="eastAsia" w:ascii="宋体" w:hAnsi="宋体" w:eastAsia="宋体"/>
          <w:b/>
        </w:rPr>
        <w:t>第十一条 知识产权、保密或其他事项要求</w:t>
      </w:r>
    </w:p>
    <w:p w14:paraId="6C6EC58E">
      <w:pPr>
        <w:tabs>
          <w:tab w:val="left" w:pos="0"/>
        </w:tabs>
        <w:snapToGrid w:val="0"/>
        <w:spacing w:line="360" w:lineRule="auto"/>
        <w:ind w:firstLine="480" w:firstLineChars="200"/>
        <w:rPr>
          <w:rFonts w:ascii="宋体" w:hAnsi="宋体" w:eastAsia="宋体"/>
        </w:rPr>
      </w:pPr>
      <w:r>
        <w:rPr>
          <w:rFonts w:hint="eastAsia" w:ascii="宋体" w:hAnsi="宋体" w:eastAsia="宋体"/>
        </w:rPr>
        <w:t>1、除政府采购合同继续履行将损害国家利益和社会公共利益外，双方不得擅自变更、中止或者终止合同。</w:t>
      </w:r>
    </w:p>
    <w:p w14:paraId="6F2BAA8E">
      <w:pPr>
        <w:tabs>
          <w:tab w:val="left" w:pos="0"/>
        </w:tabs>
        <w:snapToGrid w:val="0"/>
        <w:spacing w:line="360" w:lineRule="auto"/>
        <w:ind w:firstLine="480" w:firstLineChars="200"/>
        <w:rPr>
          <w:rFonts w:ascii="宋体" w:hAnsi="宋体" w:eastAsia="宋体"/>
        </w:rPr>
      </w:pPr>
      <w:r>
        <w:rPr>
          <w:rFonts w:hint="eastAsia" w:ascii="宋体" w:hAnsi="宋体" w:eastAsia="宋体"/>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14:paraId="321DDC7D">
      <w:pPr>
        <w:tabs>
          <w:tab w:val="left" w:pos="0"/>
        </w:tabs>
        <w:snapToGrid w:val="0"/>
        <w:spacing w:line="360" w:lineRule="auto"/>
        <w:rPr>
          <w:rFonts w:ascii="宋体" w:hAnsi="宋体" w:eastAsia="宋体"/>
        </w:rPr>
      </w:pPr>
      <w:r>
        <w:rPr>
          <w:rFonts w:hint="eastAsia" w:ascii="宋体" w:hAnsi="宋体" w:eastAsia="宋体"/>
        </w:rPr>
        <w:t>……。</w:t>
      </w:r>
    </w:p>
    <w:p w14:paraId="36FACF55">
      <w:pPr>
        <w:tabs>
          <w:tab w:val="left" w:pos="0"/>
        </w:tabs>
        <w:snapToGrid w:val="0"/>
        <w:spacing w:line="360" w:lineRule="auto"/>
        <w:rPr>
          <w:rFonts w:ascii="宋体" w:hAnsi="宋体" w:eastAsia="宋体"/>
          <w:b/>
        </w:rPr>
      </w:pPr>
      <w:r>
        <w:rPr>
          <w:rFonts w:hint="eastAsia" w:ascii="宋体" w:hAnsi="宋体" w:eastAsia="宋体"/>
          <w:b/>
        </w:rPr>
        <w:t>第十二条 附件（附录）</w:t>
      </w:r>
      <w:r>
        <w:rPr>
          <w:rFonts w:hint="eastAsia" w:ascii="宋体" w:hAnsi="宋体" w:eastAsia="宋体"/>
        </w:rPr>
        <w:t>（如有，可填写，并附相关内容）</w:t>
      </w:r>
    </w:p>
    <w:p w14:paraId="05528571">
      <w:pPr>
        <w:tabs>
          <w:tab w:val="left" w:pos="0"/>
        </w:tabs>
        <w:snapToGrid w:val="0"/>
        <w:spacing w:line="360" w:lineRule="auto"/>
        <w:rPr>
          <w:rFonts w:ascii="宋体" w:hAnsi="宋体" w:eastAsia="宋体"/>
        </w:rPr>
      </w:pPr>
      <w:r>
        <w:rPr>
          <w:rFonts w:hint="eastAsia" w:ascii="宋体" w:hAnsi="宋体" w:eastAsia="宋体"/>
        </w:rPr>
        <w:t>……。</w:t>
      </w:r>
    </w:p>
    <w:p w14:paraId="7757AF6D">
      <w:pPr>
        <w:snapToGrid w:val="0"/>
        <w:spacing w:line="360" w:lineRule="auto"/>
        <w:ind w:firstLine="200"/>
        <w:rPr>
          <w:rFonts w:ascii="宋体" w:hAnsi="宋体" w:eastAsia="宋体"/>
        </w:rPr>
      </w:pPr>
    </w:p>
    <w:p w14:paraId="730F4048">
      <w:pPr>
        <w:snapToGrid w:val="0"/>
        <w:spacing w:line="360" w:lineRule="auto"/>
        <w:rPr>
          <w:rFonts w:ascii="宋体" w:hAnsi="宋体" w:eastAsia="宋体"/>
        </w:rPr>
      </w:pPr>
      <w:r>
        <w:rPr>
          <w:rFonts w:ascii="宋体" w:hAnsi="宋体" w:eastAsia="宋体"/>
        </w:rPr>
        <w:t>甲方（公章）</w:t>
      </w:r>
      <w:r>
        <w:rPr>
          <w:rFonts w:hint="eastAsia" w:ascii="宋体" w:hAnsi="宋体" w:eastAsia="宋体"/>
        </w:rPr>
        <w:t xml:space="preserve">： </w:t>
      </w:r>
      <w:r>
        <w:rPr>
          <w:rFonts w:ascii="宋体" w:hAnsi="宋体" w:eastAsia="宋体"/>
        </w:rPr>
        <w:t xml:space="preserve">                           乙方（公章）</w:t>
      </w:r>
      <w:r>
        <w:rPr>
          <w:rFonts w:hint="eastAsia" w:ascii="宋体" w:hAnsi="宋体" w:eastAsia="宋体"/>
        </w:rPr>
        <w:t>：</w:t>
      </w:r>
    </w:p>
    <w:p w14:paraId="58338D67">
      <w:pPr>
        <w:snapToGrid w:val="0"/>
        <w:spacing w:line="360" w:lineRule="auto"/>
        <w:rPr>
          <w:rFonts w:ascii="宋体" w:hAnsi="宋体" w:eastAsia="宋体"/>
        </w:rPr>
      </w:pPr>
      <w:r>
        <w:rPr>
          <w:rFonts w:ascii="宋体" w:hAnsi="宋体" w:eastAsia="宋体"/>
        </w:rPr>
        <w:t>法定代表人（签章）</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法定代表人（签章）</w:t>
      </w:r>
    </w:p>
    <w:p w14:paraId="463FDA01">
      <w:pPr>
        <w:snapToGrid w:val="0"/>
        <w:spacing w:line="360" w:lineRule="auto"/>
        <w:rPr>
          <w:rFonts w:ascii="宋体" w:hAnsi="宋体" w:eastAsia="宋体"/>
        </w:rPr>
      </w:pPr>
      <w:r>
        <w:rPr>
          <w:rFonts w:ascii="宋体" w:hAnsi="宋体" w:eastAsia="宋体"/>
        </w:rPr>
        <w:t>或授权代表：</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或授权代表：</w:t>
      </w:r>
    </w:p>
    <w:p w14:paraId="2C96A873">
      <w:pPr>
        <w:snapToGrid w:val="0"/>
        <w:spacing w:line="360" w:lineRule="auto"/>
        <w:rPr>
          <w:rFonts w:ascii="宋体" w:hAnsi="宋体" w:eastAsia="宋体"/>
        </w:rPr>
      </w:pPr>
      <w:r>
        <w:rPr>
          <w:rFonts w:hint="eastAsia" w:ascii="宋体" w:hAnsi="宋体" w:eastAsia="宋体"/>
        </w:rPr>
        <w:t xml:space="preserve">日期： </w:t>
      </w:r>
      <w:r>
        <w:rPr>
          <w:rFonts w:ascii="宋体" w:hAnsi="宋体" w:eastAsia="宋体"/>
        </w:rPr>
        <w:t xml:space="preserve">   年   月   日     </w:t>
      </w:r>
      <w:r>
        <w:rPr>
          <w:rFonts w:ascii="宋体" w:hAnsi="宋体" w:eastAsia="宋体"/>
        </w:rPr>
        <w:tab/>
      </w:r>
      <w:r>
        <w:rPr>
          <w:rFonts w:ascii="宋体" w:hAnsi="宋体" w:eastAsia="宋体"/>
        </w:rPr>
        <w:tab/>
      </w:r>
      <w:r>
        <w:rPr>
          <w:rFonts w:ascii="宋体" w:hAnsi="宋体" w:eastAsia="宋体"/>
        </w:rPr>
        <w:tab/>
      </w:r>
      <w:r>
        <w:rPr>
          <w:rFonts w:hint="eastAsia" w:ascii="宋体" w:hAnsi="宋体" w:eastAsia="宋体"/>
        </w:rPr>
        <w:t xml:space="preserve">日期： </w:t>
      </w:r>
      <w:r>
        <w:rPr>
          <w:rFonts w:ascii="宋体" w:hAnsi="宋体" w:eastAsia="宋体"/>
        </w:rPr>
        <w:t xml:space="preserve">   年   月   日</w:t>
      </w:r>
    </w:p>
    <w:p w14:paraId="4C25E572">
      <w:pPr>
        <w:rPr>
          <w:rFonts w:ascii="宋体" w:hAnsi="宋体"/>
          <w:color w:val="000000" w:themeColor="text1"/>
          <w:szCs w:val="21"/>
          <w14:textFill>
            <w14:solidFill>
              <w14:schemeClr w14:val="tx1"/>
            </w14:solidFill>
          </w14:textFill>
        </w:rPr>
      </w:pPr>
    </w:p>
    <w:p w14:paraId="3AC9B548">
      <w:pPr>
        <w:pStyle w:val="6"/>
      </w:pPr>
    </w:p>
    <w:p w14:paraId="764F8C92"/>
    <w:p w14:paraId="1087668C">
      <w:pPr>
        <w:pStyle w:val="6"/>
      </w:pPr>
    </w:p>
    <w:p w14:paraId="69E981A4"/>
    <w:p w14:paraId="16AF9B3D">
      <w:pPr>
        <w:pStyle w:val="6"/>
      </w:pPr>
    </w:p>
    <w:p w14:paraId="3C3ABDE4"/>
    <w:p w14:paraId="5AD9A13E">
      <w:pPr>
        <w:pStyle w:val="6"/>
      </w:pPr>
    </w:p>
    <w:p w14:paraId="0A98171E"/>
    <w:p w14:paraId="14C5E901">
      <w:pPr>
        <w:pStyle w:val="6"/>
      </w:pPr>
    </w:p>
    <w:p w14:paraId="2F503560"/>
    <w:p w14:paraId="37215116">
      <w:pPr>
        <w:pStyle w:val="6"/>
      </w:pPr>
    </w:p>
    <w:p w14:paraId="3509EDF9"/>
    <w:p w14:paraId="25754D9D">
      <w:pPr>
        <w:pStyle w:val="6"/>
      </w:pPr>
    </w:p>
    <w:p w14:paraId="3BEB3678"/>
    <w:p w14:paraId="45711AB1"/>
    <w:p w14:paraId="66091644">
      <w:pPr>
        <w:pStyle w:val="6"/>
      </w:pPr>
    </w:p>
    <w:p w14:paraId="776DD8F5">
      <w:pPr>
        <w:pStyle w:val="5"/>
        <w:spacing w:before="120" w:beforeLines="50" w:after="120" w:afterLines="50"/>
        <w:ind w:left="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第二册  通用条款（公开招标）</w:t>
      </w:r>
    </w:p>
    <w:p w14:paraId="530C09BF">
      <w:pPr>
        <w:pStyle w:val="5"/>
        <w:numPr>
          <w:ilvl w:val="0"/>
          <w:numId w:val="13"/>
        </w:numPr>
        <w:spacing w:before="120" w:beforeLines="50" w:after="120" w:afterLines="50"/>
        <w:ind w:left="562" w:hanging="562"/>
        <w:rPr>
          <w:color w:val="000000" w:themeColor="text1"/>
          <w:sz w:val="28"/>
          <w:szCs w:val="28"/>
          <w14:textFill>
            <w14:solidFill>
              <w14:schemeClr w14:val="tx1"/>
            </w14:solidFill>
          </w14:textFill>
        </w:rPr>
      </w:pPr>
      <w:bookmarkStart w:id="48" w:name="_Hlk72399513"/>
      <w:r>
        <w:rPr>
          <w:rFonts w:hint="eastAsia"/>
          <w:color w:val="000000" w:themeColor="text1"/>
          <w:sz w:val="28"/>
          <w:szCs w:val="28"/>
          <w14:textFill>
            <w14:solidFill>
              <w14:schemeClr w14:val="tx1"/>
            </w14:solidFill>
          </w14:textFill>
        </w:rPr>
        <w:t>总则</w:t>
      </w:r>
    </w:p>
    <w:bookmarkEnd w:id="48"/>
    <w:p w14:paraId="354C8239">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 通用条款说明</w:t>
      </w:r>
    </w:p>
    <w:p w14:paraId="259D2A5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bookmarkStart w:id="49" w:name="_Hlk72399729"/>
      <w:r>
        <w:rPr>
          <w:rFonts w:hint="eastAsia" w:ascii="宋体" w:hAnsi="宋体"/>
          <w:color w:val="000000" w:themeColor="text1"/>
          <w:szCs w:val="21"/>
          <w14:textFill>
            <w14:solidFill>
              <w14:schemeClr w14:val="tx1"/>
            </w14:solidFill>
          </w14:textFill>
        </w:rPr>
        <w:t>采购机构可以对通用条款的内容进行补充。</w:t>
      </w:r>
      <w:bookmarkEnd w:id="49"/>
    </w:p>
    <w:p w14:paraId="0A63A330">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1.2招标文件分为第一册“专用条款”和第二册“通用条款”。</w:t>
      </w:r>
    </w:p>
    <w:p w14:paraId="214C9C91">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1.3“专用条款”是对本次采购项目的具体要求，包含招标公告、对通用条款的补充内容及其他关键信息、用户需求书、投标文件格式及附件、合同条款及格式等内容。</w:t>
      </w:r>
    </w:p>
    <w:p w14:paraId="620AE51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1.4“通用条款”是适用于政府采购公开招标项目的基础性条款，具有普遍性和通用性。</w:t>
      </w:r>
    </w:p>
    <w:p w14:paraId="74EAC4F6">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 “专用条款”和“通用条款”表述不一致或有冲突时，以“专用条款”为准。</w:t>
      </w:r>
    </w:p>
    <w:p w14:paraId="6E01B3BD">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招标说明</w:t>
      </w:r>
    </w:p>
    <w:p w14:paraId="0BD59F2D">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本项目按照《深圳经济特区政府采购条例》、《深圳经济特区政府采购条例实施细则》及政府采购其他法律法规，通过公开招标方式确定中标供应商。</w:t>
      </w:r>
    </w:p>
    <w:p w14:paraId="019CA01D">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3．定义</w:t>
      </w:r>
    </w:p>
    <w:p w14:paraId="50DB76C0">
      <w:pPr>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招标文件中下列术语应解释为：</w:t>
      </w:r>
    </w:p>
    <w:p w14:paraId="5CB2D48C">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“采购人”：指利用财政性资金依法进行政府采购的国家机关、事业单位、团体组织；</w:t>
      </w:r>
    </w:p>
    <w:p w14:paraId="4593DF28">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 “</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”系指根据采购人的委托，代理政府采购事宜的机构，在此特指拥有采购代理资格的</w:t>
      </w:r>
      <w:r>
        <w:rPr>
          <w:rFonts w:hint="eastAsia" w:ascii="宋体" w:hAnsi="宋体"/>
          <w:b/>
          <w:bCs/>
          <w:color w:val="000000" w:themeColor="text1"/>
          <w:szCs w:val="21"/>
          <w14:textFill>
            <w14:solidFill>
              <w14:schemeClr w14:val="tx1"/>
            </w14:solidFill>
          </w14:textFill>
        </w:rPr>
        <w:t>友和保险经纪有限公司</w:t>
      </w:r>
      <w:r>
        <w:rPr>
          <w:rFonts w:hint="eastAsia" w:ascii="宋体" w:hAnsi="宋体"/>
          <w:color w:val="000000" w:themeColor="text1"/>
          <w:szCs w:val="21"/>
          <w14:textFill>
            <w14:solidFill>
              <w14:schemeClr w14:val="tx1"/>
            </w14:solidFill>
          </w14:textFill>
        </w:rPr>
        <w:t>；</w:t>
      </w:r>
    </w:p>
    <w:p w14:paraId="5F46A0E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3.3“投标人”，即供应商，指参加投标竞争并愿意按照招标文件要求向采购人提供货物、工程或者服务的依法成立的法人、其他组织或者自然人；</w:t>
      </w:r>
    </w:p>
    <w:p w14:paraId="7739BF4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3.4“评审委员会”是依据《深圳经济特区政府采购条例》、《深圳经济特区政府采购条例实施细则》等有关规定组建的专门负责本次招标其评审工作的临时性机构；</w:t>
      </w:r>
    </w:p>
    <w:p w14:paraId="5D484EA9">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3.5“日期”</w:t>
      </w:r>
      <w:r>
        <w:rPr>
          <w:rFonts w:ascii="宋体" w:hAnsi="宋体"/>
          <w:color w:val="000000" w:themeColor="text1"/>
          <w:szCs w:val="21"/>
          <w14:textFill>
            <w14:solidFill>
              <w14:schemeClr w14:val="tx1"/>
            </w14:solidFill>
          </w14:textFill>
        </w:rPr>
        <w:t>指</w:t>
      </w:r>
      <w:r>
        <w:rPr>
          <w:rFonts w:hint="eastAsia" w:ascii="宋体" w:hAnsi="宋体"/>
          <w:color w:val="000000" w:themeColor="text1"/>
          <w:szCs w:val="21"/>
          <w14:textFill>
            <w14:solidFill>
              <w14:schemeClr w14:val="tx1"/>
            </w14:solidFill>
          </w14:textFill>
        </w:rPr>
        <w:t>公历日；</w:t>
      </w:r>
    </w:p>
    <w:p w14:paraId="52A2609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3.6“合同”指由本次招标所产生的合同或合约文件；</w:t>
      </w:r>
    </w:p>
    <w:p w14:paraId="555F016A">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3.7“电子投标文件”指利用</w:t>
      </w:r>
      <w:r>
        <w:rPr>
          <w:rFonts w:hint="eastAsia" w:ascii="宋体" w:hAnsi="宋体"/>
          <w:b/>
          <w:bCs/>
          <w:color w:val="000000" w:themeColor="text1"/>
          <w:szCs w:val="21"/>
          <w14:textFill>
            <w14:solidFill>
              <w14:schemeClr w14:val="tx1"/>
            </w14:solidFill>
          </w14:textFill>
        </w:rPr>
        <w:t>深圳公共资源交易中心（深圳交易集团有限公司政府采购业务分公司）</w:t>
      </w:r>
      <w:r>
        <w:rPr>
          <w:rFonts w:hint="eastAsia" w:ascii="宋体" w:hAnsi="宋体"/>
          <w:color w:val="000000" w:themeColor="text1"/>
          <w:szCs w:val="21"/>
          <w14:textFill>
            <w14:solidFill>
              <w14:schemeClr w14:val="tx1"/>
            </w14:solidFill>
          </w14:textFill>
        </w:rPr>
        <w:t>网站提供的</w:t>
      </w:r>
      <w:r>
        <w:rPr>
          <w:rFonts w:hint="eastAsia" w:ascii="宋体" w:hAnsi="宋体"/>
          <w:color w:val="000000" w:themeColor="text1"/>
          <w14:textFill>
            <w14:solidFill>
              <w14:schemeClr w14:val="tx1"/>
            </w14:solidFill>
          </w14:textFill>
        </w:rPr>
        <w:t>深圳智慧采购平台投标文件制作专用软件（以下简称：投标文件制作软件）制作并</w:t>
      </w:r>
      <w:r>
        <w:rPr>
          <w:rFonts w:hint="eastAsia" w:ascii="宋体" w:hAnsi="宋体"/>
          <w:color w:val="000000" w:themeColor="text1"/>
          <w:szCs w:val="21"/>
          <w14:textFill>
            <w14:solidFill>
              <w14:schemeClr w14:val="tx1"/>
            </w14:solidFill>
          </w14:textFill>
        </w:rPr>
        <w:t>加密的投标文件,适用于网上投标；（投标文件制作软件可从</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下载地址：</w:t>
      </w:r>
      <w:r>
        <w:rPr>
          <w:rFonts w:hint="eastAsia" w:ascii="宋体" w:hAnsi="宋体"/>
          <w:color w:val="000000" w:themeColor="text1"/>
          <w:highlight w:val="yellow"/>
          <w14:textFill>
            <w14:solidFill>
              <w14:schemeClr w14:val="tx1"/>
            </w14:solidFill>
          </w14:textFill>
        </w:rPr>
        <w:t>http://zfcg.szggzy.com:8081/cgxy/013002/20210923/173e0b2c-7a4c-4246-a0c7-e0ea75d84dd6.html</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下载）；</w:t>
      </w:r>
    </w:p>
    <w:p w14:paraId="49FBE60D">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3.8“网上投标”指通过</w:t>
      </w:r>
      <w:r>
        <w:rPr>
          <w:rFonts w:hint="eastAsia" w:ascii="宋体" w:hAnsi="宋体"/>
          <w:b/>
          <w:bCs/>
          <w:color w:val="000000" w:themeColor="text1"/>
          <w:szCs w:val="21"/>
          <w14:textFill>
            <w14:solidFill>
              <w14:schemeClr w14:val="tx1"/>
            </w14:solidFill>
          </w14:textFill>
        </w:rPr>
        <w:t>深圳公共资源交易中心（深圳交易集团有限公司政府采购业务分公司）</w:t>
      </w:r>
      <w:r>
        <w:rPr>
          <w:rFonts w:hint="eastAsia" w:ascii="宋体" w:hAnsi="宋体"/>
          <w:color w:val="000000" w:themeColor="text1"/>
          <w:szCs w:val="21"/>
          <w14:textFill>
            <w14:solidFill>
              <w14:schemeClr w14:val="tx1"/>
            </w14:solidFill>
          </w14:textFill>
        </w:rPr>
        <w:t>网站上传电子投标文件；</w:t>
      </w:r>
    </w:p>
    <w:p w14:paraId="03653071">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3.9招标文件中的标题或题名仅起引导作用，而不应视为对招标文件内容的理解和解释。</w:t>
      </w:r>
    </w:p>
    <w:p w14:paraId="1DC3114A">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 xml:space="preserve">4. </w:t>
      </w:r>
      <w:bookmarkStart w:id="50" w:name="_Hlk72398643"/>
      <w:r>
        <w:rPr>
          <w:rFonts w:hint="eastAsia" w:ascii="黑体" w:hAnsi="宋体" w:eastAsia="黑体"/>
          <w:color w:val="000000" w:themeColor="text1"/>
          <w14:textFill>
            <w14:solidFill>
              <w14:schemeClr w14:val="tx1"/>
            </w14:solidFill>
          </w14:textFill>
        </w:rPr>
        <w:t>政府采购供应商责任</w:t>
      </w:r>
    </w:p>
    <w:p w14:paraId="4A5524C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4.1欢迎诚信、有实力和有社会责任心的供应商参与政府采购事业。</w:t>
      </w:r>
    </w:p>
    <w:p w14:paraId="617B17E3">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4.2投标人应当遵循公平竞争的原则，不得恶意串通，不得妨碍其他投标人的竞争行为，不得损害采购人或者其他投标人的合法权益。如违反上述要求，经核实后，供应商的投标无效。</w:t>
      </w:r>
    </w:p>
    <w:p w14:paraId="77448B88">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5．投标人参加政府采购的条件</w:t>
      </w:r>
    </w:p>
    <w:p w14:paraId="76EC645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5.1投标人应在投标前到</w:t>
      </w:r>
      <w:r>
        <w:rPr>
          <w:rFonts w:hint="eastAsia" w:ascii="宋体" w:hAnsi="宋体"/>
          <w:b/>
          <w:bCs/>
          <w:color w:val="000000" w:themeColor="text1"/>
          <w:szCs w:val="21"/>
          <w14:textFill>
            <w14:solidFill>
              <w14:schemeClr w14:val="tx1"/>
            </w14:solidFill>
          </w14:textFill>
        </w:rPr>
        <w:t>深圳公共资源交易中心（具体在深圳交易集团有限公司政府采购业务分公司进行办理）</w:t>
      </w:r>
      <w:r>
        <w:rPr>
          <w:rFonts w:hint="eastAsia" w:ascii="宋体" w:hAnsi="宋体"/>
          <w:color w:val="000000" w:themeColor="text1"/>
          <w:szCs w:val="21"/>
          <w14:textFill>
            <w14:solidFill>
              <w14:schemeClr w14:val="tx1"/>
            </w14:solidFill>
          </w14:textFill>
        </w:rPr>
        <w:t>进行注册并办理电子密钥。《</w:t>
      </w:r>
      <w:r>
        <w:fldChar w:fldCharType="begin"/>
      </w:r>
      <w:r>
        <w:instrText xml:space="preserve"> HYPERLINK "http://www.szzfcg.cn/viewer.do?id=2455258" \t "documentViewer2455258" </w:instrText>
      </w:r>
      <w:r>
        <w:fldChar w:fldCharType="separate"/>
      </w:r>
      <w:r>
        <w:rPr>
          <w:rFonts w:ascii="宋体" w:hAnsi="宋体"/>
          <w:color w:val="000000" w:themeColor="text1"/>
          <w:szCs w:val="21"/>
          <w14:textFill>
            <w14:solidFill>
              <w14:schemeClr w14:val="tx1"/>
            </w14:solidFill>
          </w14:textFill>
        </w:rPr>
        <w:t>供应商注册及电子密钥新申请指引</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》详见http://zfcg.szggzy.com:8081/。</w:t>
      </w:r>
    </w:p>
    <w:p w14:paraId="1267CE4E">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5.2投标人资格要求</w:t>
      </w:r>
    </w:p>
    <w:p w14:paraId="7992098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参加本项目的投标人应具备的资格条件详见本项目招标公告中 “投标人资格要求”（即申请人的资格要求）的内容。</w:t>
      </w:r>
    </w:p>
    <w:p w14:paraId="75E4EA05">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5.3联合体投标</w:t>
      </w:r>
    </w:p>
    <w:p w14:paraId="28C8C15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5.3.1以下有关联合体投标的条款仅适用于允许投标人组成联合体投标的项目。</w:t>
      </w:r>
    </w:p>
    <w:p w14:paraId="4D051A63">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5.3.2由两个或两个以上的自然人、法人或者其他组织可以组成一个联合体，以一个供应商的身份共同投标时，应符合以下原则：</w:t>
      </w:r>
    </w:p>
    <w:p w14:paraId="375CFE5D">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（1）投标联合体各方参加政府采购活动应当具备下列条件：</w:t>
      </w:r>
    </w:p>
    <w:p w14:paraId="66D76915">
      <w:pPr>
        <w:ind w:left="480" w:leftChars="2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1、具有独立承担民事责任的能力；</w:t>
      </w:r>
    </w:p>
    <w:p w14:paraId="259C7597">
      <w:pPr>
        <w:ind w:left="480" w:leftChars="2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2、有良好的商业信誉和健全的财务会计制度；</w:t>
      </w:r>
    </w:p>
    <w:p w14:paraId="318BCBA4">
      <w:pPr>
        <w:ind w:left="480" w:leftChars="2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3、具有履行合同所必需的设备和专业技术能力；</w:t>
      </w:r>
    </w:p>
    <w:p w14:paraId="49C07B0F">
      <w:pPr>
        <w:ind w:left="480" w:leftChars="2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4、有依法缴纳税收和社会保障资金的良好记录；</w:t>
      </w:r>
    </w:p>
    <w:p w14:paraId="7C1AB8CC">
      <w:pPr>
        <w:ind w:left="480" w:leftChars="2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5、参加政府采购活动前三年内，在经营活动中没有重大违法记录；</w:t>
      </w:r>
    </w:p>
    <w:p w14:paraId="6FE8E6FD">
      <w:pPr>
        <w:ind w:left="480" w:leftChars="2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6、法律、行政法规规定的其他条件。</w:t>
      </w:r>
    </w:p>
    <w:p w14:paraId="3ED21650">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（2）在投标截止前，投标联合体各方均应注册成</w:t>
      </w:r>
      <w:r>
        <w:rPr>
          <w:rFonts w:hint="eastAsia" w:ascii="宋体" w:hAnsi="宋体" w:eastAsia="宋体"/>
          <w:color w:val="000000" w:themeColor="text1"/>
          <w:lang w:eastAsia="zh-CN"/>
          <w14:textFill>
            <w14:solidFill>
              <w14:schemeClr w14:val="tx1"/>
            </w14:solidFill>
          </w14:textFill>
        </w:rPr>
        <w:t>政府采购</w:t>
      </w:r>
      <w:r>
        <w:rPr>
          <w:rFonts w:hint="eastAsia" w:ascii="宋体" w:hAnsi="宋体"/>
          <w:color w:val="000000" w:themeColor="text1"/>
          <w14:textFill>
            <w14:solidFill>
              <w14:schemeClr w14:val="tx1"/>
            </w14:solidFill>
          </w14:textFill>
        </w:rPr>
        <w:t>供应商；</w:t>
      </w:r>
    </w:p>
    <w:p w14:paraId="37C77E9B">
      <w:pPr>
        <w:ind w:firstLine="470" w:firstLineChars="19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（3）联合体中有同类资质的供应商按照联合体分工承担相同工作的，应当按照资质等级较低的供应商确定资质等级；</w:t>
      </w:r>
    </w:p>
    <w:p w14:paraId="764AD6C1">
      <w:pPr>
        <w:ind w:firstLine="470" w:firstLineChars="19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（4）是否允许联合体参加投标，应当由采购人和采购代理机构根据项目的实际情况和潜在供应商的数量自主决定，如果决定接受联合体投标则应当在招标公告中明示；</w:t>
      </w:r>
    </w:p>
    <w:p w14:paraId="3C65AB66">
      <w:pPr>
        <w:ind w:firstLine="470" w:firstLineChars="19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（5）投标人的投标文件及中标后签署的合同协议对联合体各方均具法律约束力；</w:t>
      </w:r>
    </w:p>
    <w:p w14:paraId="6B09BA18">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（6）联合体各方应当签订联合体投标协议，明确约定各方拟承担的工作和责任，并将该协议随投标文件一并递交给</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w:t>
      </w:r>
    </w:p>
    <w:p w14:paraId="442ABB60">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（7）联合体中标后，联合体各方应当共同与采购人签订合同，就中标项目向采购人承担连带责任；</w:t>
      </w:r>
    </w:p>
    <w:p w14:paraId="660D44A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22B5A5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（9）本通用条款中“投标人”一词亦指联合体各方，专用条款另有规定或说明的除外。</w:t>
      </w:r>
    </w:p>
    <w:p w14:paraId="56AD3E20">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6．政策导向</w:t>
      </w:r>
    </w:p>
    <w:p w14:paraId="5352A58A">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6.1政府采购扶持贫困地区、中小企业、监狱企业和残疾人福利性单位发展，支持节能减排、环境保护。</w:t>
      </w:r>
    </w:p>
    <w:p w14:paraId="0587BB88">
      <w:pPr>
        <w:ind w:firstLine="405"/>
        <w:rPr>
          <w:color w:val="000000" w:themeColor="text1"/>
          <w:shd w:val="clear" w:color="auto" w:fill="FFFFFF"/>
          <w14:textFill>
            <w14:solidFill>
              <w14:schemeClr w14:val="tx1"/>
            </w14:solidFill>
          </w14:textFill>
        </w:rPr>
      </w:pPr>
      <w:r>
        <w:rPr>
          <w:rFonts w:hint="eastAsia" w:ascii="宋体" w:hAnsi="宋体"/>
          <w:color w:val="000000" w:themeColor="text1"/>
          <w14:textFill>
            <w14:solidFill>
              <w14:schemeClr w14:val="tx1"/>
            </w14:solidFill>
          </w14:textFill>
        </w:rPr>
        <w:t>6.2本项目落实深圳市政府采购供应商诚信管理政策要求。</w:t>
      </w:r>
    </w:p>
    <w:p w14:paraId="6B981126">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7. 本项目若涉及采购货物，则合格的货物及相应服务应满足以下要求：</w:t>
      </w:r>
    </w:p>
    <w:p w14:paraId="70C23330">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必须是全新、未使用过的原装合格正品（包括零部件），如安装或配置了软件的，须为正版软件。</w:t>
      </w:r>
    </w:p>
    <w:p w14:paraId="766C2D50">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7.2国产的货物及其有关服务必须符合中华人民共和国的设计、制造生产标准及行业标准。招标公告有其他要求的，亦应符合其要求。</w:t>
      </w:r>
    </w:p>
    <w:p w14:paraId="340FE061">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905CCFF">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4投标人</w:t>
      </w:r>
      <w:bookmarkStart w:id="51" w:name="_Hlk72152753"/>
      <w:r>
        <w:rPr>
          <w:rFonts w:hint="eastAsia" w:ascii="宋体" w:hAnsi="宋体"/>
          <w:color w:val="000000" w:themeColor="text1"/>
          <w14:textFill>
            <w14:solidFill>
              <w14:schemeClr w14:val="tx1"/>
            </w14:solidFill>
          </w14:textFill>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14:paraId="2A608C18">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82DC69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7.6工期要求：投标人在投标时对其所投项目应提交交货进度、交货计划等，在合同规定的时间内完成项目实施工作。</w:t>
      </w:r>
    </w:p>
    <w:p w14:paraId="3929D5A0">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7.7投标人必须承担的设备运输、安装调试、验收检测和提供设备操作说明书、图纸等其他相关及类似的义务。</w:t>
      </w:r>
    </w:p>
    <w:p w14:paraId="7B382F7A">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8．投标费用</w:t>
      </w:r>
    </w:p>
    <w:p w14:paraId="41714C3A">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不论投标结果如何，投标人应承担其编制投标文件与递交投标文件所涉及的一切费用。</w:t>
      </w:r>
    </w:p>
    <w:p w14:paraId="5909721C">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9．踏勘现场</w:t>
      </w:r>
    </w:p>
    <w:p w14:paraId="7D8DC31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9.1如有需要（详见专用条款），采购人或</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09127D10">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9.2投标人及其人员经过采购人的允许，可以进入采购人的项目现场踏勘。若招标文件要求投标人于统一时间地点踏勘现场的，投标人应当按时前往。</w:t>
      </w:r>
    </w:p>
    <w:p w14:paraId="6966E8EA">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9.3采购人应当通过</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向投标人提供有关现场的书面资料和数据。</w:t>
      </w:r>
    </w:p>
    <w:p w14:paraId="37230215">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9.4任何人或任何组织在踏勘现场时向投标人提供的任何书面资料或口头承诺，未经</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在网上发布或书面通知，均作无效处理。</w:t>
      </w:r>
    </w:p>
    <w:p w14:paraId="0862EB39">
      <w:pPr>
        <w:ind w:firstLine="470" w:firstLineChars="196"/>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未参与踏勘现场不作为否定投标人资格的理由。</w:t>
      </w:r>
    </w:p>
    <w:p w14:paraId="49F6C459">
      <w:pPr>
        <w:rPr>
          <w:rFonts w:ascii="宋体" w:hAnsi="宋体"/>
          <w:color w:val="000000" w:themeColor="text1"/>
          <w:szCs w:val="21"/>
          <w14:textFill>
            <w14:solidFill>
              <w14:schemeClr w14:val="tx1"/>
            </w14:solidFill>
          </w14:textFill>
        </w:rPr>
      </w:pP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0</w:t>
      </w:r>
      <w:r>
        <w:rPr>
          <w:rFonts w:hint="eastAsia" w:ascii="黑体" w:hAnsi="宋体" w:eastAsia="黑体"/>
          <w:color w:val="000000" w:themeColor="text1"/>
          <w14:textFill>
            <w14:solidFill>
              <w14:schemeClr w14:val="tx1"/>
            </w14:solidFill>
          </w14:textFill>
        </w:rPr>
        <w:t>．标前会议</w:t>
      </w:r>
    </w:p>
    <w:p w14:paraId="417BD6B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如采购人或</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认为有必要组织标前会议，投标人应按照招标文件规定的时间或</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另行书面通知（包括</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网站发布方式，如更正公告等）的时间和地点，参与标前会议。</w:t>
      </w:r>
    </w:p>
    <w:p w14:paraId="3493E51B">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任何人或任何组织在标前会议时向投标人提供的任何书面资料或口头承诺，未经</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在网上发布或书面通知，均作无效处理。</w:t>
      </w:r>
    </w:p>
    <w:p w14:paraId="5AB1055E">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未参与标前会议不作为否定投标人资格的理由。</w:t>
      </w:r>
    </w:p>
    <w:p w14:paraId="32DF3452">
      <w:pPr>
        <w:pStyle w:val="6"/>
      </w:pPr>
    </w:p>
    <w:p w14:paraId="26D26853"/>
    <w:bookmarkEnd w:id="50"/>
    <w:p w14:paraId="7E119561">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招标文件</w:t>
      </w:r>
    </w:p>
    <w:p w14:paraId="376AE38B">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1</w:t>
      </w:r>
      <w:r>
        <w:rPr>
          <w:rFonts w:hint="eastAsia" w:ascii="黑体" w:hAnsi="宋体" w:eastAsia="黑体"/>
          <w:color w:val="000000" w:themeColor="text1"/>
          <w14:textFill>
            <w14:solidFill>
              <w14:schemeClr w14:val="tx1"/>
            </w14:solidFill>
          </w14:textFill>
        </w:rPr>
        <w:t>．</w:t>
      </w:r>
      <w:bookmarkStart w:id="52" w:name="_Hlk72399819"/>
      <w:r>
        <w:rPr>
          <w:rFonts w:hint="eastAsia" w:ascii="黑体" w:hAnsi="宋体" w:eastAsia="黑体"/>
          <w:color w:val="000000" w:themeColor="text1"/>
          <w14:textFill>
            <w14:solidFill>
              <w14:schemeClr w14:val="tx1"/>
            </w14:solidFill>
          </w14:textFill>
        </w:rPr>
        <w:t>招标文件的编制与组成</w:t>
      </w:r>
    </w:p>
    <w:p w14:paraId="7872FB2C">
      <w:pPr>
        <w:snapToGrid w:val="0"/>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.1招标文件除以下内容外，</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在招标期间发出的澄清或修改等相关公告或通知内容，均是招标文件的组成部分，对投标人起约束作用；</w:t>
      </w:r>
    </w:p>
    <w:p w14:paraId="22B5F5ED">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招标文件包括下列内容：</w:t>
      </w:r>
    </w:p>
    <w:p w14:paraId="03BE5F3D">
      <w:pPr>
        <w:ind w:left="480" w:leftChars="200" w:firstLine="471"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第一册  专用条款</w:t>
      </w:r>
    </w:p>
    <w:p w14:paraId="6770CC86">
      <w:pPr>
        <w:ind w:left="1234" w:leftChars="514"/>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关键信息</w:t>
      </w:r>
    </w:p>
    <w:p w14:paraId="7387BCCE">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  招标公告</w:t>
      </w:r>
    </w:p>
    <w:p w14:paraId="79A22FB3">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  对通用条款的补充内容及其他关键信息</w:t>
      </w:r>
    </w:p>
    <w:p w14:paraId="54176033">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  用户需求书</w:t>
      </w:r>
    </w:p>
    <w:p w14:paraId="3144875A">
      <w:pPr>
        <w:ind w:left="720" w:leftChars="300" w:firstLine="470" w:firstLineChars="196"/>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第四章 投标文件格式及附件</w:t>
      </w:r>
    </w:p>
    <w:p w14:paraId="13BB9D87">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  合同条款及格式</w:t>
      </w:r>
    </w:p>
    <w:p w14:paraId="60656FA4">
      <w:pPr>
        <w:ind w:left="480" w:leftChars="200" w:firstLine="471"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第二册  通用条款</w:t>
      </w:r>
    </w:p>
    <w:p w14:paraId="4CB4A727">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  总则</w:t>
      </w:r>
    </w:p>
    <w:p w14:paraId="70D475AA">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  招标文件</w:t>
      </w:r>
    </w:p>
    <w:p w14:paraId="34A591C6">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  投标文件的编制</w:t>
      </w:r>
    </w:p>
    <w:p w14:paraId="3029BC16">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  投标文件的递交</w:t>
      </w:r>
    </w:p>
    <w:p w14:paraId="37765EF6">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  开标</w:t>
      </w:r>
    </w:p>
    <w:p w14:paraId="6B3DF9A5">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  评审要求</w:t>
      </w:r>
    </w:p>
    <w:p w14:paraId="4E6E37EF">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第七章  评审程序及评审方法</w:t>
      </w:r>
    </w:p>
    <w:p w14:paraId="0D8AFD9D">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第八章  定标及公示</w:t>
      </w:r>
    </w:p>
    <w:p w14:paraId="7450B08C">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第九章  公开招标失败的后续处理</w:t>
      </w:r>
    </w:p>
    <w:p w14:paraId="4DFE5FF0">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第十章  合同的授予与备案</w:t>
      </w:r>
    </w:p>
    <w:p w14:paraId="775B7F20">
      <w:pPr>
        <w:ind w:left="720" w:leftChars="300"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第十一章  质疑处理</w:t>
      </w:r>
    </w:p>
    <w:p w14:paraId="6C27B935">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.2投标人下载招标文件后，应仔细检查招标文件的所有内容，如有疑问应在答疑截止时间之前向</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B13ECEE">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14:textFill>
            <w14:solidFill>
              <w14:schemeClr w14:val="tx1"/>
            </w14:solidFill>
          </w14:textFill>
        </w:rPr>
        <w:t>任何人或任何组织向投标人提交的任何书面或口头资料，未经</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在网上发布或书面通知，均作无效处理，不得作为招标文件的组成部分。</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对投标人由此而做出的推论、理解和结论概不负责。</w:t>
      </w:r>
    </w:p>
    <w:p w14:paraId="58F0A976">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2</w:t>
      </w:r>
      <w:r>
        <w:rPr>
          <w:rFonts w:hint="eastAsia" w:ascii="黑体" w:hAnsi="宋体" w:eastAsia="黑体"/>
          <w:color w:val="000000" w:themeColor="text1"/>
          <w14:textFill>
            <w14:solidFill>
              <w14:schemeClr w14:val="tx1"/>
            </w14:solidFill>
          </w14:textFill>
        </w:rPr>
        <w:t>．招标文件的澄清</w:t>
      </w:r>
    </w:p>
    <w:p w14:paraId="67F94CA7">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.1招标文件澄清的目的是澄清、解答投标人在查阅招标文件后或现场踏勘中可能提出的与投标有关的疑问或询问。</w:t>
      </w:r>
    </w:p>
    <w:p w14:paraId="452FC2C0">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.2投标人如对招标文件内容有疑问，应当在招标公告规定的澄清（提问）截止时间前以网上提问的形式通过网上政府采购系统提交</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w:t>
      </w:r>
    </w:p>
    <w:p w14:paraId="234E7BF3">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3不论是招标机构根据需要主动对招标文件进行必要的澄清或是根据投标人的要求对招标文件做出澄清，招标机构都将在投标截止日期前以书面形式（包括招标机构网站发布方式）答复或发送给所有投标人。答复内容是招标文件的组成部分，对投标人起约束作用，其有效性按照本通用条款第1</w:t>
      </w:r>
      <w:r>
        <w:rPr>
          <w:rFonts w:ascii="宋体" w:hAnsi="宋体"/>
          <w:color w:val="000000" w:themeColor="text1"/>
          <w:szCs w:val="21"/>
          <w14:textFill>
            <w14:solidFill>
              <w14:schemeClr w14:val="tx1"/>
            </w14:solidFill>
          </w14:textFill>
        </w:rPr>
        <w:t>3.3</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3.4</w:t>
      </w:r>
      <w:r>
        <w:rPr>
          <w:rFonts w:hint="eastAsia" w:ascii="宋体" w:hAnsi="宋体"/>
          <w:color w:val="000000" w:themeColor="text1"/>
          <w:szCs w:val="21"/>
          <w14:textFill>
            <w14:solidFill>
              <w14:schemeClr w14:val="tx1"/>
            </w14:solidFill>
          </w14:textFill>
        </w:rPr>
        <w:t>款规定执行。</w:t>
      </w:r>
    </w:p>
    <w:p w14:paraId="15FCE622">
      <w:pPr>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1</w:t>
      </w:r>
      <w:r>
        <w:rPr>
          <w:rFonts w:hint="eastAsia" w:ascii="黑体" w:hAnsi="宋体" w:eastAsia="黑体"/>
          <w:color w:val="000000" w:themeColor="text1"/>
          <w14:textFill>
            <w14:solidFill>
              <w14:schemeClr w14:val="tx1"/>
            </w14:solidFill>
          </w14:textFill>
        </w:rPr>
        <w:t>3．招标文件的修改</w:t>
      </w:r>
    </w:p>
    <w:p w14:paraId="32ACD741">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3.1招标文件发出后，在投标截止日期前任何时候，确需要变更招标文件内容的，招标机构可主动或在解答投标人提出的澄清问题时对招标文件进行修改。</w:t>
      </w:r>
    </w:p>
    <w:p w14:paraId="1E6FBED1">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3.2招标文件的修改以书面形式（包括招标机构网站发布方式，如更正公告等）发送给所有投标人，招标文件的修改内容作为招标文件的组成部分，并具有约束力。</w:t>
      </w:r>
    </w:p>
    <w:p w14:paraId="21782B3C">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3.3招标文件、招标文件澄清答复内容、招标文件修改补充内容均以书面形式（包括招标机构网站公开发布方式，如更正公告等）明确的内容为准。当招标文件、修改补充通知、招标文件澄清答复内容相互矛盾时，以最后发出的内容为准。</w:t>
      </w:r>
    </w:p>
    <w:p w14:paraId="512B8B81">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3.4招标机构保证招标文件澄清答复内容和招标文件修改补充内容在投标截止时间前以书面形式（包括招标机构网站发布方式，如更正公告等）发送给所有投标人。为使投标人在编制投标文件时有充分时间对招标文件的修改部分进行研究，招标机构可以酌情延长递交投标文件的截止日期。</w:t>
      </w:r>
      <w:bookmarkEnd w:id="52"/>
    </w:p>
    <w:p w14:paraId="28B5BB90">
      <w:pPr>
        <w:pStyle w:val="6"/>
      </w:pPr>
    </w:p>
    <w:p w14:paraId="441AE02A">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投标文件的编制</w:t>
      </w:r>
    </w:p>
    <w:p w14:paraId="23F5E3E9">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14．</w:t>
      </w:r>
      <w:bookmarkStart w:id="53" w:name="_Hlk72400236"/>
      <w:r>
        <w:rPr>
          <w:rFonts w:hint="eastAsia" w:ascii="黑体" w:hAnsi="宋体" w:eastAsia="黑体"/>
          <w:color w:val="000000" w:themeColor="text1"/>
          <w14:textFill>
            <w14:solidFill>
              <w14:schemeClr w14:val="tx1"/>
            </w14:solidFill>
          </w14:textFill>
        </w:rPr>
        <w:t>投标文件的语言及度量单位</w:t>
      </w:r>
    </w:p>
    <w:p w14:paraId="3B5D151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投标人与招标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6620B85">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14.2除技术规范另有规定外，投标文件使用的度量单位，均采用中华人民共和国法定计量单位。</w:t>
      </w:r>
    </w:p>
    <w:bookmarkEnd w:id="53"/>
    <w:p w14:paraId="6838C680">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15．</w:t>
      </w:r>
      <w:bookmarkStart w:id="54" w:name="_Hlk72401567"/>
      <w:r>
        <w:rPr>
          <w:rFonts w:hint="eastAsia" w:ascii="黑体" w:hAnsi="宋体" w:eastAsia="黑体"/>
          <w:color w:val="000000" w:themeColor="text1"/>
          <w14:textFill>
            <w14:solidFill>
              <w14:schemeClr w14:val="tx1"/>
            </w14:solidFill>
          </w14:textFill>
        </w:rPr>
        <w:t>投标文件的组成</w:t>
      </w:r>
    </w:p>
    <w:p w14:paraId="4E642517">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具体内容在招标文件专用条款中进行规定。</w:t>
      </w:r>
    </w:p>
    <w:p w14:paraId="3F97AE21">
      <w:pPr>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16．投标文件格式</w:t>
      </w:r>
    </w:p>
    <w:p w14:paraId="1468FC2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投标文件包括本通用条款第</w:t>
      </w:r>
      <w:r>
        <w:rPr>
          <w:rFonts w:ascii="宋体" w:hAnsi="宋体"/>
          <w:color w:val="000000" w:themeColor="text1"/>
          <w:szCs w:val="21"/>
          <w14:textFill>
            <w14:solidFill>
              <w14:schemeClr w14:val="tx1"/>
            </w14:solidFill>
          </w14:textFill>
        </w:rPr>
        <w:t>15条中规定的内容。如招标文件提供了投标文件格式，则</w:t>
      </w:r>
      <w:r>
        <w:rPr>
          <w:rFonts w:hint="eastAsia" w:ascii="宋体" w:hAnsi="宋体"/>
          <w:b/>
          <w:bCs/>
          <w:color w:val="000000" w:themeColor="text1"/>
          <w:szCs w:val="21"/>
          <w14:textFill>
            <w14:solidFill>
              <w14:schemeClr w14:val="tx1"/>
            </w14:solidFill>
          </w14:textFill>
        </w:rPr>
        <w:t>投标人提交的投标文件应毫无例外地使用招标文件所提供的相应格式</w:t>
      </w:r>
      <w:r>
        <w:rPr>
          <w:rFonts w:hint="eastAsia" w:ascii="宋体" w:hAnsi="宋体"/>
          <w:color w:val="000000" w:themeColor="text1"/>
          <w:szCs w:val="21"/>
          <w14:textFill>
            <w14:solidFill>
              <w14:schemeClr w14:val="tx1"/>
            </w14:solidFill>
          </w14:textFill>
        </w:rPr>
        <w:t>（表格均可按同样格式扩展）。</w:t>
      </w:r>
    </w:p>
    <w:p w14:paraId="3FF30EA7">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17．投标货币</w:t>
      </w:r>
    </w:p>
    <w:p w14:paraId="687192C2">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本项目的投标报价应以人民币计。</w:t>
      </w:r>
    </w:p>
    <w:bookmarkEnd w:id="54"/>
    <w:p w14:paraId="68B5D600">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18．</w:t>
      </w:r>
      <w:bookmarkStart w:id="55" w:name="_Hlk72401735"/>
      <w:r>
        <w:rPr>
          <w:rFonts w:hint="eastAsia" w:ascii="黑体" w:hAnsi="宋体" w:eastAsia="黑体"/>
          <w:color w:val="000000" w:themeColor="text1"/>
          <w14:textFill>
            <w14:solidFill>
              <w14:schemeClr w14:val="tx1"/>
            </w14:solidFill>
          </w14:textFill>
        </w:rPr>
        <w:t>证明投标文件投标技术方案的合格性和符合招标文件规定的文件要求</w:t>
      </w:r>
    </w:p>
    <w:p w14:paraId="6FFBB459">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投标人应提交证明文件，证明其投标技术方案项下的货物和服务的合格性符合招标文件规定。该投标技术方案及其证明文件均作为投标文件组成部分。</w:t>
      </w:r>
    </w:p>
    <w:p w14:paraId="3829D900">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3D3E77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18.2.1主要技术指标和性能的详细说明。</w:t>
      </w:r>
    </w:p>
    <w:p w14:paraId="052CC5A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投标产品从采购人开始使用至招标文件中规定的周期内正常、连续地使用所必须的备件和专用工具清单，包括备件和专用工具的货源及现行价格。</w:t>
      </w:r>
    </w:p>
    <w:p w14:paraId="638B61AC">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5DB54A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000000" w:themeColor="text1"/>
          <w14:textFill>
            <w14:solidFill>
              <w14:schemeClr w14:val="tx1"/>
            </w14:solidFill>
          </w14:textFill>
        </w:rPr>
        <w:t>清晰度要求能够使用电脑阅读、识别和判断</w:t>
      </w:r>
      <w:r>
        <w:rPr>
          <w:rFonts w:hint="eastAsia" w:ascii="宋体" w:hAnsi="宋体"/>
          <w:color w:val="000000" w:themeColor="text1"/>
          <w:szCs w:val="21"/>
          <w14:textFill>
            <w14:solidFill>
              <w14:schemeClr w14:val="tx1"/>
            </w14:solidFill>
          </w14:textFill>
        </w:rPr>
        <w:t>；</w:t>
      </w:r>
    </w:p>
    <w:p w14:paraId="3BDECD6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18.2.5我国政府机构出具的产品检验和核准证件应为证件正面、背面和附件标注的全部具体内容；产品检验和核准证件的尺寸和清晰度应该能够在电脑上被阅读、识别和判断，提供原件扫描件。</w:t>
      </w:r>
    </w:p>
    <w:p w14:paraId="4A65CF1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18.3相关资料不符合18.2款要求的，评审委员会有权认定为投标技术方案不合格响应，其相关分数予以扣减或作投标无效处理。</w:t>
      </w:r>
    </w:p>
    <w:p w14:paraId="3CE2F7B5">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000000" w:themeColor="text1"/>
          <w14:textFill>
            <w14:solidFill>
              <w14:schemeClr w14:val="tx1"/>
            </w14:solidFill>
          </w14:textFill>
        </w:rPr>
        <w:t>满足要求</w:t>
      </w:r>
      <w:r>
        <w:rPr>
          <w:rFonts w:hint="eastAsia" w:ascii="宋体" w:hAnsi="宋体"/>
          <w:color w:val="000000" w:themeColor="text1"/>
          <w:szCs w:val="21"/>
          <w14:textFill>
            <w14:solidFill>
              <w14:schemeClr w14:val="tx1"/>
            </w14:solidFill>
          </w14:textFill>
        </w:rPr>
        <w:t>，由评审委员会来评判。</w:t>
      </w:r>
    </w:p>
    <w:p w14:paraId="2B96CB9C">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18.5除非另有规定或说明，投标人对同一项目投标时，不得同时提供两套或两套以上的投标方案。</w:t>
      </w:r>
    </w:p>
    <w:bookmarkEnd w:id="55"/>
    <w:p w14:paraId="116B15F7">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19．</w:t>
      </w:r>
      <w:bookmarkStart w:id="56" w:name="_Hlk72402034"/>
      <w:r>
        <w:rPr>
          <w:rFonts w:hint="eastAsia" w:ascii="黑体" w:hAnsi="宋体" w:eastAsia="黑体"/>
          <w:color w:val="000000" w:themeColor="text1"/>
          <w14:textFill>
            <w14:solidFill>
              <w14:schemeClr w14:val="tx1"/>
            </w14:solidFill>
          </w14:textFill>
        </w:rPr>
        <w:t>投标文件其他证明文件的要求</w:t>
      </w:r>
    </w:p>
    <w:p w14:paraId="7256036E">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14:paraId="3F301CC2">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6C4E0CF">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20．投标有效期</w:t>
      </w:r>
    </w:p>
    <w:bookmarkEnd w:id="56"/>
    <w:p w14:paraId="00C4EB2D">
      <w:pPr>
        <w:ind w:firstLine="470" w:firstLineChars="196"/>
        <w:rPr>
          <w:rFonts w:ascii="宋体" w:hAnsi="宋体"/>
          <w:color w:val="000000" w:themeColor="text1"/>
          <w:szCs w:val="21"/>
          <w14:textFill>
            <w14:solidFill>
              <w14:schemeClr w14:val="tx1"/>
            </w14:solidFill>
          </w14:textFill>
        </w:rPr>
      </w:pPr>
      <w:bookmarkStart w:id="58" w:name="_Hlk72402214"/>
      <w:r>
        <w:rPr>
          <w:rFonts w:hint="eastAsia" w:ascii="宋体" w:hAnsi="宋体"/>
          <w:color w:val="000000" w:themeColor="text1"/>
          <w:szCs w:val="21"/>
          <w14:textFill>
            <w14:solidFill>
              <w14:schemeClr w14:val="tx1"/>
            </w14:solidFill>
          </w14:textFill>
        </w:rPr>
        <w:t>20.1投标有效期为从投标截止之日算起的日历天数。在此期限内，所有投标文件均保持有效。</w:t>
      </w:r>
    </w:p>
    <w:p w14:paraId="01D96EA3">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 在特殊情况下，</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在原定的投标有效期满之前，</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可以根据需要以书面形式（包括</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网站公开发布方式）向投标人提出延长投标有效期的要求，对此要求投标人须以书面形式予以答复，投标人可以拒绝</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此项要求，其投标在原投标有效期满后不再有效。同意延长投标有效期的投标人不能要求也不允许修改其投标文件。</w:t>
      </w:r>
    </w:p>
    <w:p w14:paraId="2B78525C">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中标供应商的投标文件有效期，截止于完成本招标文件规定的全部项目内容，并通过竣工验收及保修期结束。</w:t>
      </w:r>
    </w:p>
    <w:bookmarkEnd w:id="58"/>
    <w:p w14:paraId="066E6190">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21．</w:t>
      </w:r>
      <w:bookmarkStart w:id="59" w:name="_Hlk72402325"/>
      <w:r>
        <w:rPr>
          <w:rFonts w:hint="eastAsia" w:ascii="黑体" w:hAnsi="宋体" w:eastAsia="黑体"/>
          <w:color w:val="000000" w:themeColor="text1"/>
          <w14:textFill>
            <w14:solidFill>
              <w14:schemeClr w14:val="tx1"/>
            </w14:solidFill>
          </w14:textFill>
        </w:rPr>
        <w:t xml:space="preserve">关于投标保证金 </w:t>
      </w:r>
    </w:p>
    <w:p w14:paraId="400440BB">
      <w:pPr>
        <w:rPr>
          <w:rFonts w:ascii="宋体" w:hAnsi="宋体" w:eastAsia="宋体"/>
          <w:szCs w:val="21"/>
        </w:rPr>
      </w:pPr>
      <w:r>
        <w:rPr>
          <w:rFonts w:hint="eastAsia" w:ascii="宋体" w:hAnsi="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szCs w:val="21"/>
        </w:rPr>
        <w:t xml:space="preserve">21.1 </w:t>
      </w:r>
      <w:r>
        <w:rPr>
          <w:rFonts w:hint="eastAsia" w:ascii="宋体" w:hAnsi="宋体" w:eastAsia="宋体"/>
        </w:rPr>
        <w:t>根据《深圳市财政局关于明确政府采购保证金管理工作的通知》（深财购</w:t>
      </w:r>
      <w:r>
        <w:rPr>
          <w:rFonts w:ascii="宋体" w:hAnsi="宋体" w:eastAsia="宋体"/>
        </w:rPr>
        <w:t>[2019]42</w:t>
      </w:r>
      <w:r>
        <w:rPr>
          <w:rFonts w:hint="eastAsia" w:ascii="宋体" w:hAnsi="宋体" w:eastAsia="宋体"/>
        </w:rPr>
        <w:t>号）文的规定，本项目不收取投标保证金。</w:t>
      </w:r>
    </w:p>
    <w:p w14:paraId="2A2A49C2">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22．投标人的替代方案</w:t>
      </w:r>
    </w:p>
    <w:p w14:paraId="12185C35">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D1085F1">
      <w:pPr>
        <w:ind w:firstLine="48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9"/>
    <w:p w14:paraId="194FA3F3">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23．</w:t>
      </w:r>
      <w:bookmarkStart w:id="60" w:name="_Hlk72402860"/>
      <w:r>
        <w:rPr>
          <w:rFonts w:ascii="黑体" w:hAnsi="宋体" w:eastAsia="黑体"/>
          <w:color w:val="000000" w:themeColor="text1"/>
          <w14:textFill>
            <w14:solidFill>
              <w14:schemeClr w14:val="tx1"/>
            </w14:solidFill>
          </w14:textFill>
        </w:rPr>
        <w:t>投标文件的</w:t>
      </w:r>
      <w:r>
        <w:rPr>
          <w:rFonts w:hint="eastAsia" w:ascii="黑体" w:hAnsi="宋体" w:eastAsia="黑体"/>
          <w:color w:val="000000" w:themeColor="text1"/>
          <w14:textFill>
            <w14:solidFill>
              <w14:schemeClr w14:val="tx1"/>
            </w14:solidFill>
          </w14:textFill>
        </w:rPr>
        <w:t>制作</w:t>
      </w:r>
      <w:r>
        <w:rPr>
          <w:rFonts w:ascii="黑体" w:hAnsi="宋体" w:eastAsia="黑体"/>
          <w:color w:val="000000" w:themeColor="text1"/>
          <w14:textFill>
            <w14:solidFill>
              <w14:schemeClr w14:val="tx1"/>
            </w14:solidFill>
          </w14:textFill>
        </w:rPr>
        <w:t>要求</w:t>
      </w:r>
    </w:p>
    <w:p w14:paraId="6D67FB31">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23.1投标人应准备所投项目的电子投标文件一份。此电子投标文件须由投标人根据</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提供的后缀名为.szczf的电子招标文件，下载并使用相应的深圳智慧采购平台投标文件制作专用软件打开招标文件（.szczf格式）【下载地址：</w:t>
      </w:r>
      <w:r>
        <w:rPr>
          <w:rFonts w:hint="eastAsia" w:ascii="宋体" w:hAnsi="宋体"/>
          <w:color w:val="000000" w:themeColor="text1"/>
          <w:highlight w:val="yellow"/>
          <w14:textFill>
            <w14:solidFill>
              <w14:schemeClr w14:val="tx1"/>
            </w14:solidFill>
          </w14:textFill>
        </w:rPr>
        <w:t>http://zfcg.szggzy.com:8081/cgxy/013002/20210923/173e0b2c-7a4c-4246-a0c7-e0ea75d84dd6.html</w:t>
      </w:r>
      <w:r>
        <w:rPr>
          <w:rFonts w:hint="eastAsia" w:ascii="宋体" w:hAnsi="宋体"/>
          <w:color w:val="000000" w:themeColor="text1"/>
          <w14:textFill>
            <w14:solidFill>
              <w14:schemeClr w14:val="tx1"/>
            </w14:solidFill>
          </w14:textFill>
        </w:rPr>
        <w:t>】。</w:t>
      </w:r>
    </w:p>
    <w:p w14:paraId="108EC282">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23.2投标人在使用《投标文件制作软件》编制投标书时须注意：</w:t>
      </w:r>
    </w:p>
    <w:p w14:paraId="53C65AB7">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23.2.1导入《投标文件制作软件》的招标文件项目编号、包号应与以此制作的投标文件项目编号、包号一致。例如，不能将甲项目A包的招标书导入《投标文件制作软件》，制作乙项目B包的投标书。</w:t>
      </w:r>
    </w:p>
    <w:p w14:paraId="0A35ED0D">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23.2.2不能用非本公司的电子密钥加密本公司的投标文件，或者用其它公司的登录用户上传本公司的投标文件。</w:t>
      </w:r>
    </w:p>
    <w:p w14:paraId="05A10B8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23.2.3要求用《投标文件制作软件》编制投标书的包，不能用其它方式编制投标书。编制投标文件时，电脑须连通互联网。</w:t>
      </w:r>
    </w:p>
    <w:p w14:paraId="64BE9EF2">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23.2.4投标文件不能带病毒。招标机构将用专业杀毒软件对投标文件进行病毒检测，如果这两种软件均报告发现病毒，则招标机构认为该投标文件带病毒。</w:t>
      </w:r>
    </w:p>
    <w:p w14:paraId="04613AC7">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23.2.5完整填写“投标关键信息”，如下图所示：</w:t>
      </w:r>
    </w:p>
    <w:p w14:paraId="6F0B5115">
      <w:pPr>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5278755" cy="2721610"/>
            <wp:effectExtent l="0" t="0" r="0"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25E9EDFC">
      <w:pPr>
        <w:ind w:firstLine="471"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备注：上述“开标一览表”中的“投标总价”将作为价格分计算依据；其它信息仅是对投标文件相关内容的概括性表述，不作为评审依据。</w:t>
      </w:r>
    </w:p>
    <w:p w14:paraId="4DCBB66D">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23.2.6投标人在编辑投标文件时，</w:t>
      </w:r>
      <w:r>
        <w:rPr>
          <w:rFonts w:hint="eastAsia" w:ascii="宋体" w:hAnsi="宋体"/>
          <w:b/>
          <w:color w:val="000000" w:themeColor="text1"/>
          <w14:textFill>
            <w14:solidFill>
              <w14:schemeClr w14:val="tx1"/>
            </w14:solidFill>
          </w14:textFill>
        </w:rPr>
        <w:t>在投标文件目录中属于本节点内容的必须在本节点中填写，填写到其他节点或附件，</w:t>
      </w:r>
      <w:r>
        <w:rPr>
          <w:rFonts w:hint="eastAsia" w:ascii="宋体" w:hAnsi="宋体"/>
          <w:color w:val="000000" w:themeColor="text1"/>
          <w14:textFill>
            <w14:solidFill>
              <w14:schemeClr w14:val="tx1"/>
            </w14:solidFill>
          </w14:textFill>
        </w:rPr>
        <w:t>一切后果由供应商自行承担。</w:t>
      </w:r>
    </w:p>
    <w:p w14:paraId="195F9F68">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23.2.7投标文件编写完成后，</w:t>
      </w:r>
      <w:r>
        <w:rPr>
          <w:rFonts w:hint="eastAsia" w:ascii="宋体" w:hAnsi="宋体"/>
          <w:b/>
          <w:color w:val="000000" w:themeColor="text1"/>
          <w14:textFill>
            <w14:solidFill>
              <w14:schemeClr w14:val="tx1"/>
            </w14:solidFill>
          </w14:textFill>
        </w:rPr>
        <w:t>必须用属于投标人的电子密钥进行加密，否则视同未盖公章，将导致投标文件无效。</w:t>
      </w:r>
    </w:p>
    <w:p w14:paraId="72235190">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23.2.8招标机构不接受投标截止时间后递交的纸质、电子、传真等所有形式的投标文件。由于对网上政府采购系统操作不熟悉或自身电脑、网络等原因导致不能在投标截止时间之前上传投标文件，招标机构概不负责。建议于开标前一个工作日完成投标文件的制作与上传，如上传确有困难，请及时咨询。</w:t>
      </w:r>
    </w:p>
    <w:p w14:paraId="3DE14F87">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23.2.9如果开标时出现网络故障、技术故障，影响了政府采购活动，招标机构有权采取措施如延期、接受无法从网上上传的投标书等，以保障政府采购活动的公开、公平和公正。</w:t>
      </w:r>
    </w:p>
    <w:p w14:paraId="129B2F6A">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23.3电报、电话、传真形式的投标概不接受。</w:t>
      </w:r>
    </w:p>
    <w:p w14:paraId="6C1B3714">
      <w:pPr>
        <w:ind w:firstLine="471"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23.4经投标人电子密钥加密的投标文件无须盖章或签字，</w:t>
      </w:r>
      <w:r>
        <w:rPr>
          <w:rFonts w:hint="eastAsia" w:ascii="宋体" w:hAnsi="宋体"/>
          <w:color w:val="000000" w:themeColor="text1"/>
          <w14:textFill>
            <w14:solidFill>
              <w14:schemeClr w14:val="tx1"/>
            </w14:solidFill>
          </w14:textFill>
        </w:rPr>
        <w:t>专用条款另有要求的除外。</w:t>
      </w:r>
    </w:p>
    <w:p w14:paraId="7B286FB6">
      <w:pPr>
        <w:ind w:firstLine="471" w:firstLineChars="196"/>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23.5</w:t>
      </w:r>
      <w:r>
        <w:rPr>
          <w:rFonts w:hint="eastAsia" w:ascii="宋体" w:hAnsi="宋体"/>
          <w:color w:val="000000" w:themeColor="text1"/>
          <w14:textFill>
            <w14:solidFill>
              <w14:schemeClr w14:val="tx1"/>
            </w14:solidFill>
          </w14:textFill>
        </w:rPr>
        <w:t xml:space="preserve"> 各类资格（资质）文件提供扫描件，专用条款另有要求的除外。</w:t>
      </w:r>
      <w:bookmarkEnd w:id="60"/>
    </w:p>
    <w:p w14:paraId="112A7963">
      <w:pPr>
        <w:pStyle w:val="6"/>
      </w:pPr>
    </w:p>
    <w:p w14:paraId="09DADD46"/>
    <w:p w14:paraId="701415F9">
      <w:pPr>
        <w:pStyle w:val="6"/>
      </w:pPr>
    </w:p>
    <w:p w14:paraId="75929D05"/>
    <w:p w14:paraId="4776CD17">
      <w:pPr>
        <w:pStyle w:val="6"/>
      </w:pPr>
    </w:p>
    <w:p w14:paraId="3D8CE428"/>
    <w:p w14:paraId="5CC28422">
      <w:pPr>
        <w:pStyle w:val="6"/>
      </w:pPr>
    </w:p>
    <w:p w14:paraId="0689EFA5"/>
    <w:p w14:paraId="27F5293E">
      <w:pPr>
        <w:pStyle w:val="6"/>
      </w:pPr>
    </w:p>
    <w:p w14:paraId="2DD815B4"/>
    <w:p w14:paraId="634772BC">
      <w:pPr>
        <w:pStyle w:val="6"/>
      </w:pPr>
    </w:p>
    <w:p w14:paraId="45BB2DAD"/>
    <w:p w14:paraId="7C17285F">
      <w:pPr>
        <w:pStyle w:val="6"/>
      </w:pPr>
    </w:p>
    <w:p w14:paraId="1BD6EEDF">
      <w:pPr>
        <w:pStyle w:val="6"/>
      </w:pPr>
    </w:p>
    <w:p w14:paraId="1B0DA1CC">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投标文件的递交</w:t>
      </w:r>
      <w:bookmarkStart w:id="61" w:name="_Hlk72405459"/>
    </w:p>
    <w:p w14:paraId="063EA588">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24．投标书的保密</w:t>
      </w:r>
    </w:p>
    <w:p w14:paraId="66FBA7A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2CE8D8BC">
      <w:pPr>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50330A45">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在投标文件制作软件点击【生成标书】按钮进入【填写开标一览表界面】界面，在该界面填写完开标一览表信息后点击【确定】，进入投标文件生成环节。</w:t>
      </w:r>
      <w:r>
        <w:rPr>
          <w:rFonts w:ascii="宋体" w:hAnsi="宋体"/>
          <w:color w:val="000000" w:themeColor="text1"/>
          <w14:textFill>
            <w14:solidFill>
              <w14:schemeClr w14:val="tx1"/>
            </w14:solidFill>
          </w14:textFill>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1866A9A5">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投标文件制作软件会在投标文件生成过程中，提示用户输入密码，输入密码后对标文件自动进行加密。</w:t>
      </w:r>
    </w:p>
    <w:p w14:paraId="6A2FA2DC">
      <w:pPr>
        <w:ind w:firstLine="480" w:firstLineChars="2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24.2若采购项目出现延期情况：</w:t>
      </w:r>
    </w:p>
    <w:p w14:paraId="6DF8CF4C">
      <w:pPr>
        <w:ind w:firstLine="480" w:firstLineChars="200"/>
        <w:rPr>
          <w:rFonts w:ascii="宋体" w:hAnsi="宋体" w:eastAsia="宋体" w:cs="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如果供下载的招标文件（后缀名为.</w:t>
      </w:r>
      <w:r>
        <w:rPr>
          <w:rFonts w:ascii="宋体" w:hAnsi="宋体"/>
          <w:b/>
          <w:color w:val="000000" w:themeColor="text1"/>
          <w14:textFill>
            <w14:solidFill>
              <w14:schemeClr w14:val="tx1"/>
            </w14:solidFill>
          </w14:textFill>
        </w:rPr>
        <w:t>szczf</w:t>
      </w:r>
      <w:r>
        <w:rPr>
          <w:rFonts w:hint="eastAsia" w:ascii="宋体" w:hAnsi="宋体"/>
          <w:b/>
          <w:color w:val="000000" w:themeColor="text1"/>
          <w14:textFill>
            <w14:solidFill>
              <w14:schemeClr w14:val="tx1"/>
            </w14:solidFill>
          </w14:textFill>
        </w:rPr>
        <w:t>）有更新，投标人必须重新下载招标文件、重新制作投标文件、重新加密投标文件、重新上传投标文件；如果供下载的招标文件（后缀名为.</w:t>
      </w:r>
      <w:r>
        <w:rPr>
          <w:rFonts w:ascii="宋体" w:hAnsi="宋体"/>
          <w:b/>
          <w:color w:val="000000" w:themeColor="text1"/>
          <w14:textFill>
            <w14:solidFill>
              <w14:schemeClr w14:val="tx1"/>
            </w14:solidFill>
          </w14:textFill>
        </w:rPr>
        <w:t>szczf</w:t>
      </w:r>
      <w:r>
        <w:rPr>
          <w:rFonts w:hint="eastAsia" w:ascii="宋体" w:hAnsi="宋体"/>
          <w:b/>
          <w:color w:val="000000" w:themeColor="text1"/>
          <w14:textFill>
            <w14:solidFill>
              <w14:schemeClr w14:val="tx1"/>
            </w14:solidFill>
          </w14:textFill>
        </w:rPr>
        <w:t>）没有更新，投标人必须重新加密投标文件、重新上传投标文件（是否重新制作投标文件根据项目实际情况定）。否则，投标人自行承担投标文件无法解密导致投标无效的后果。</w:t>
      </w:r>
    </w:p>
    <w:p w14:paraId="5BBD76D5">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25．上传投标文件及投标截止日期</w:t>
      </w:r>
    </w:p>
    <w:p w14:paraId="7144707B">
      <w:pPr>
        <w:ind w:firstLine="480" w:firstLineChars="200"/>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25.1实行网上投标，投标人必须在招标文件规定的投标截止时间前用电子密钥登录“深圳政府采购智慧平台用户网上办事子系统（</w:t>
      </w:r>
      <w:r>
        <w:rPr>
          <w:rFonts w:hint="eastAsia" w:ascii="宋体" w:hAnsi="宋体" w:eastAsia="宋体" w:cs="宋体"/>
          <w:bCs/>
          <w:color w:val="000000" w:themeColor="text1"/>
          <w:highlight w:val="yellow"/>
          <w14:textFill>
            <w14:solidFill>
              <w14:schemeClr w14:val="tx1"/>
            </w14:solidFill>
          </w14:textFill>
        </w:rPr>
        <w:t>http://zfcg.szggzy.com:8081/TPBidder/memberLogin</w:t>
      </w:r>
      <w:r>
        <w:rPr>
          <w:rFonts w:hint="eastAsia" w:ascii="宋体" w:hAnsi="宋体" w:eastAsia="宋体" w:cs="宋体"/>
          <w:bCs/>
          <w:color w:val="000000" w:themeColor="text1"/>
          <w14:textFill>
            <w14:solidFill>
              <w14:schemeClr w14:val="tx1"/>
            </w14:solidFill>
          </w14:textFill>
        </w:rPr>
        <w:t>）”，用“【我的项目】→【项目流程】→【递交投标(应答)文件】”功能点上传投标文件。如上传过程中遇到问题，可拨打技术支持电话，联系方式：</w:t>
      </w:r>
      <w:r>
        <w:rPr>
          <w:rFonts w:hint="eastAsia" w:ascii="宋体" w:hAnsi="宋体"/>
          <w:highlight w:val="yellow"/>
          <w:lang w:eastAsia="zh-CN"/>
        </w:rPr>
        <w:t>0755-88653300</w:t>
      </w:r>
      <w:r>
        <w:rPr>
          <w:rFonts w:hint="eastAsia" w:ascii="宋体" w:hAnsi="宋体"/>
          <w:highlight w:val="yellow"/>
          <w:lang w:val="en-US" w:eastAsia="zh-CN"/>
        </w:rPr>
        <w:t>-</w:t>
      </w:r>
      <w:r>
        <w:rPr>
          <w:rFonts w:hint="eastAsia" w:ascii="宋体" w:hAnsi="宋体"/>
          <w:highlight w:val="yellow"/>
          <w:lang w:eastAsia="zh-CN"/>
        </w:rPr>
        <w:t>6</w:t>
      </w:r>
      <w:r>
        <w:rPr>
          <w:rFonts w:hint="eastAsia" w:ascii="宋体" w:hAnsi="宋体" w:eastAsia="宋体" w:cs="宋体"/>
          <w:bCs/>
          <w:color w:val="000000" w:themeColor="text1"/>
          <w14:textFill>
            <w14:solidFill>
              <w14:schemeClr w14:val="tx1"/>
            </w14:solidFill>
          </w14:textFill>
        </w:rPr>
        <w:t>。</w:t>
      </w:r>
    </w:p>
    <w:p w14:paraId="2C05F85C">
      <w:pPr>
        <w:ind w:firstLine="48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25.2招标机构可以按本通用条款第13条规定，通过修改招标文件自行决定酌情延长投标截止期。在此情况下，招标机构、采购人和投标人受投标截止期制约的所有权利和义务均应延长至新的截止期。</w:t>
      </w:r>
    </w:p>
    <w:p w14:paraId="7B1A3039">
      <w:pPr>
        <w:ind w:firstLine="48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w:t>
      </w:r>
      <w:r>
        <w:rPr>
          <w:rFonts w:ascii="宋体" w:hAnsi="宋体" w:eastAsia="宋体" w:cs="宋体"/>
          <w:bCs/>
          <w:color w:val="000000" w:themeColor="text1"/>
          <w14:textFill>
            <w14:solidFill>
              <w14:schemeClr w14:val="tx1"/>
            </w14:solidFill>
          </w14:textFill>
        </w:rPr>
        <w:t>.</w:t>
      </w:r>
      <w:r>
        <w:rPr>
          <w:rFonts w:hint="eastAsia" w:ascii="宋体" w:hAnsi="宋体" w:eastAsia="宋体" w:cs="宋体"/>
          <w:bCs/>
          <w:color w:val="000000" w:themeColor="text1"/>
          <w14:textFill>
            <w14:solidFill>
              <w14:schemeClr w14:val="tx1"/>
            </w14:solidFill>
          </w14:textFill>
        </w:rPr>
        <w:t>3投标截止时间以后不得上传投标文件。</w:t>
      </w:r>
    </w:p>
    <w:p w14:paraId="567A020B">
      <w:pPr>
        <w:ind w:firstLine="48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bookmarkEnd w:id="61"/>
    <w:p w14:paraId="53414B57">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26. 样品、现场演示、方案讲解</w:t>
      </w:r>
    </w:p>
    <w:p w14:paraId="46D6842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26.1 样品、现场演示、方案讲解等事项在招标文件专用条款中进行规定。</w:t>
      </w:r>
    </w:p>
    <w:p w14:paraId="2308CE62">
      <w:pPr>
        <w:rPr>
          <w:rFonts w:ascii="黑体" w:hAnsi="宋体" w:eastAsia="黑体"/>
          <w:color w:val="000000" w:themeColor="text1"/>
          <w14:textFill>
            <w14:solidFill>
              <w14:schemeClr w14:val="tx1"/>
            </w14:solidFill>
          </w14:textFill>
        </w:rPr>
      </w:pPr>
      <w:bookmarkStart w:id="62" w:name="_Hlk72428346"/>
      <w:r>
        <w:rPr>
          <w:rFonts w:ascii="黑体" w:hAnsi="宋体" w:eastAsia="黑体"/>
          <w:color w:val="000000" w:themeColor="text1"/>
          <w14:textFill>
            <w14:solidFill>
              <w14:schemeClr w14:val="tx1"/>
            </w14:solidFill>
          </w14:textFill>
        </w:rPr>
        <w:t>2</w:t>
      </w:r>
      <w:r>
        <w:rPr>
          <w:rFonts w:hint="eastAsia" w:ascii="黑体" w:hAnsi="宋体" w:eastAsia="黑体"/>
          <w:color w:val="000000" w:themeColor="text1"/>
          <w14:textFill>
            <w14:solidFill>
              <w14:schemeClr w14:val="tx1"/>
            </w14:solidFill>
          </w14:textFill>
        </w:rPr>
        <w:t>7．</w:t>
      </w:r>
      <w:r>
        <w:rPr>
          <w:rFonts w:ascii="黑体" w:hAnsi="宋体" w:eastAsia="黑体"/>
          <w:color w:val="000000" w:themeColor="text1"/>
          <w14:textFill>
            <w14:solidFill>
              <w14:schemeClr w14:val="tx1"/>
            </w14:solidFill>
          </w14:textFill>
        </w:rPr>
        <w:t>投标文件的修改和撤销</w:t>
      </w:r>
    </w:p>
    <w:p w14:paraId="47D9103A">
      <w:pPr>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投标方在提交投标文件后可对其投标文件进行修改</w:t>
      </w:r>
      <w:r>
        <w:rPr>
          <w:rFonts w:hint="eastAsia" w:ascii="宋体" w:hAnsi="宋体"/>
          <w:color w:val="000000" w:themeColor="text1"/>
          <w14:textFill>
            <w14:solidFill>
              <w14:schemeClr w14:val="tx1"/>
            </w14:solidFill>
          </w14:textFill>
        </w:rPr>
        <w:t>并重新上传投标文件</w:t>
      </w:r>
      <w:r>
        <w:rPr>
          <w:rFonts w:ascii="宋体" w:hAnsi="宋体"/>
          <w:color w:val="000000" w:themeColor="text1"/>
          <w14:textFill>
            <w14:solidFill>
              <w14:schemeClr w14:val="tx1"/>
            </w14:solidFill>
          </w14:textFill>
        </w:rPr>
        <w:t>或</w:t>
      </w:r>
      <w:r>
        <w:rPr>
          <w:rFonts w:hint="eastAsia" w:ascii="宋体" w:hAnsi="宋体"/>
          <w:color w:val="000000" w:themeColor="text1"/>
          <w14:textFill>
            <w14:solidFill>
              <w14:schemeClr w14:val="tx1"/>
            </w14:solidFill>
          </w14:textFill>
        </w:rPr>
        <w:t>在网上进行</w:t>
      </w:r>
      <w:r>
        <w:rPr>
          <w:rFonts w:ascii="宋体" w:hAnsi="宋体"/>
          <w:color w:val="000000" w:themeColor="text1"/>
          <w14:textFill>
            <w14:solidFill>
              <w14:schemeClr w14:val="tx1"/>
            </w14:solidFill>
          </w14:textFill>
        </w:rPr>
        <w:t>撤销</w:t>
      </w:r>
      <w:r>
        <w:rPr>
          <w:rFonts w:hint="eastAsia" w:ascii="宋体" w:hAnsi="宋体"/>
          <w:color w:val="000000" w:themeColor="text1"/>
          <w14:textFill>
            <w14:solidFill>
              <w14:schemeClr w14:val="tx1"/>
            </w14:solidFill>
          </w14:textFill>
        </w:rPr>
        <w:t>投标的操作</w:t>
      </w:r>
      <w:r>
        <w:rPr>
          <w:rFonts w:ascii="宋体" w:hAnsi="宋体"/>
          <w:color w:val="000000" w:themeColor="text1"/>
          <w14:textFill>
            <w14:solidFill>
              <w14:schemeClr w14:val="tx1"/>
            </w14:solidFill>
          </w14:textFill>
        </w:rPr>
        <w:t>。</w:t>
      </w:r>
    </w:p>
    <w:p w14:paraId="51344A14">
      <w:pPr>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投标截止时间以后不得修改投标文件。</w:t>
      </w:r>
    </w:p>
    <w:p w14:paraId="6BCF69C5">
      <w:pPr>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3从投标截止期至投标人在投标文件中确定的投标有效期之间的这段时间内，投标人不得撤回其投标。</w:t>
      </w:r>
    </w:p>
    <w:p w14:paraId="59C3ACC8">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27.4</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不退还投标文件，专用条款另有规定的除外。</w:t>
      </w:r>
    </w:p>
    <w:bookmarkEnd w:id="62"/>
    <w:p w14:paraId="7E2F6CDD">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开标</w:t>
      </w:r>
    </w:p>
    <w:p w14:paraId="698BB3D2">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28．开标</w:t>
      </w:r>
    </w:p>
    <w:p w14:paraId="17CA639B">
      <w:pPr>
        <w:ind w:firstLine="480" w:firstLineChars="200"/>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14:textFill>
            <w14:solidFill>
              <w14:schemeClr w14:val="tx1"/>
            </w14:solidFill>
          </w14:textFill>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14:paraId="06568940">
      <w:pPr>
        <w:ind w:firstLine="410" w:firstLineChars="17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8.2 </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将在满足开标条件（</w:t>
      </w:r>
      <w:r>
        <w:rPr>
          <w:rFonts w:hint="eastAsia" w:ascii="宋体" w:hAnsi="宋体" w:cs="宋体"/>
          <w:color w:val="000000" w:themeColor="text1"/>
          <w:sz w:val="20"/>
          <w:szCs w:val="20"/>
          <w:shd w:val="clear" w:color="auto" w:fill="FFFFFF"/>
          <w14:textFill>
            <w14:solidFill>
              <w14:schemeClr w14:val="tx1"/>
            </w14:solidFill>
          </w14:textFill>
        </w:rPr>
        <w:t>①</w:t>
      </w:r>
      <w:r>
        <w:rPr>
          <w:rFonts w:hint="eastAsia" w:ascii="宋体" w:hAnsi="宋体"/>
          <w:color w:val="000000" w:themeColor="text1"/>
          <w:szCs w:val="21"/>
          <w14:textFill>
            <w14:solidFill>
              <w14:schemeClr w14:val="tx1"/>
            </w14:solidFill>
          </w14:textFill>
        </w:rPr>
        <w:t>解密时间结束，解密后的投标供应商数量满足开标要求或</w:t>
      </w:r>
      <w:r>
        <w:rPr>
          <w:rFonts w:hint="eastAsia" w:ascii="宋体" w:hAnsi="宋体" w:cs="宋体"/>
          <w:color w:val="000000" w:themeColor="text1"/>
          <w:sz w:val="20"/>
          <w:szCs w:val="20"/>
          <w:shd w:val="clear" w:color="auto" w:fill="FFFFFF"/>
          <w14:textFill>
            <w14:solidFill>
              <w14:schemeClr w14:val="tx1"/>
            </w14:solidFill>
          </w14:textFill>
        </w:rPr>
        <w:t>②</w:t>
      </w:r>
      <w:r>
        <w:rPr>
          <w:rFonts w:hint="eastAsia" w:ascii="宋体" w:hAnsi="宋体"/>
          <w:color w:val="000000" w:themeColor="text1"/>
          <w:szCs w:val="21"/>
          <w14:textFill>
            <w14:solidFill>
              <w14:schemeClr w14:val="tx1"/>
            </w14:solidFill>
          </w14:textFill>
        </w:rPr>
        <w:t>解密时间结束前所有投标供应商均完成投标文件解密）后，对投标文件进行开标，并在网上公布开标结果。</w:t>
      </w:r>
    </w:p>
    <w:p w14:paraId="54FA09E9">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评审要求</w:t>
      </w:r>
    </w:p>
    <w:p w14:paraId="20E11566">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29．评审委员会组成</w:t>
      </w:r>
    </w:p>
    <w:p w14:paraId="1D26B449">
      <w:pPr>
        <w:ind w:firstLine="470" w:firstLineChars="196"/>
        <w:rPr>
          <w:rFonts w:ascii="宋体" w:hAnsi="宋体" w:eastAsia="宋体"/>
        </w:rPr>
      </w:pPr>
      <w:r>
        <w:rPr>
          <w:rFonts w:hint="eastAsia" w:ascii="宋体" w:hAnsi="宋体" w:eastAsia="宋体"/>
        </w:rPr>
        <w:t>29.1网上开标结束后召开评审会议，</w:t>
      </w:r>
      <w:r>
        <w:rPr>
          <w:rFonts w:hint="eastAsia" w:ascii="宋体" w:hAnsi="宋体" w:eastAsia="宋体"/>
          <w:szCs w:val="21"/>
        </w:rPr>
        <w:t>评审委员会</w:t>
      </w:r>
      <w:r>
        <w:rPr>
          <w:rFonts w:hint="eastAsia" w:ascii="宋体" w:hAnsi="宋体" w:eastAsia="宋体"/>
        </w:rPr>
        <w:t>由</w:t>
      </w:r>
      <w:r>
        <w:rPr>
          <w:rFonts w:hint="eastAsia" w:ascii="宋体" w:hAnsi="宋体" w:eastAsia="宋体"/>
          <w:lang w:eastAsia="zh-CN"/>
        </w:rPr>
        <w:t>政府采购代理机构</w:t>
      </w:r>
      <w:r>
        <w:rPr>
          <w:rFonts w:hint="eastAsia" w:ascii="宋体" w:hAnsi="宋体" w:eastAsia="宋体"/>
        </w:rPr>
        <w:t>依法组建，负责评审活动。</w:t>
      </w:r>
    </w:p>
    <w:p w14:paraId="529DDCC8">
      <w:pPr>
        <w:ind w:firstLine="470" w:firstLineChars="196"/>
        <w:rPr>
          <w:rFonts w:ascii="宋体" w:hAnsi="宋体" w:eastAsia="宋体"/>
        </w:rPr>
      </w:pPr>
      <w:bookmarkStart w:id="63"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63"/>
      <w:r>
        <w:rPr>
          <w:rFonts w:hint="eastAsia" w:ascii="宋体" w:hAnsi="宋体" w:eastAsia="宋体"/>
        </w:rPr>
        <w:t>评定</w:t>
      </w:r>
      <w:r>
        <w:rPr>
          <w:rFonts w:hint="eastAsia" w:eastAsia="宋体"/>
        </w:rPr>
        <w:t>分离项目评审专家均由评审专家组成。</w:t>
      </w:r>
      <w:r>
        <w:rPr>
          <w:rFonts w:hint="eastAsia" w:ascii="宋体" w:hAnsi="宋体" w:eastAsia="宋体"/>
          <w:szCs w:val="21"/>
        </w:rPr>
        <w:t>评审专家一般是</w:t>
      </w:r>
      <w:r>
        <w:rPr>
          <w:rFonts w:hint="eastAsia" w:ascii="宋体" w:hAnsi="宋体" w:eastAsia="宋体"/>
        </w:rPr>
        <w:t>从深圳市政府采购评审专家库中随机抽取。采购人代表须持本单位签发的《评审授权书》参加评审。</w:t>
      </w:r>
    </w:p>
    <w:p w14:paraId="13427D16">
      <w:pPr>
        <w:ind w:firstLine="470" w:firstLineChars="196"/>
        <w:rPr>
          <w:rFonts w:ascii="宋体" w:hAnsi="宋体" w:eastAsia="宋体"/>
        </w:rPr>
      </w:pPr>
      <w:r>
        <w:rPr>
          <w:rFonts w:hint="eastAsia" w:ascii="宋体" w:hAnsi="宋体" w:eastAsia="宋体"/>
        </w:rPr>
        <w:t>29.2评审定标应当遵循公平、公正、科学、择优的原则。</w:t>
      </w:r>
    </w:p>
    <w:p w14:paraId="321DEE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534E9621">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61BDF662">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7ECE3D5E">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30．向评审委员会提供的资料</w:t>
      </w:r>
    </w:p>
    <w:p w14:paraId="782D0019">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30.1公开发布的招标文件，包括图纸、服务清单、答疑文件等；</w:t>
      </w:r>
    </w:p>
    <w:p w14:paraId="3EA06161">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30.2其他评标必须的资料。</w:t>
      </w:r>
    </w:p>
    <w:p w14:paraId="21202F1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30.3</w:t>
      </w:r>
      <w:r>
        <w:rPr>
          <w:rFonts w:hint="eastAsia" w:ascii="宋体" w:hAnsi="宋体"/>
          <w:color w:val="000000" w:themeColor="text1"/>
          <w:szCs w:val="21"/>
          <w14:textFill>
            <w14:solidFill>
              <w14:schemeClr w14:val="tx1"/>
            </w14:solidFill>
          </w14:textFill>
        </w:rPr>
        <w:t>评审委员会</w:t>
      </w:r>
      <w:r>
        <w:rPr>
          <w:rFonts w:hint="eastAsia" w:ascii="宋体" w:hAnsi="宋体"/>
          <w:color w:val="000000" w:themeColor="text1"/>
          <w14:textFill>
            <w14:solidFill>
              <w14:schemeClr w14:val="tx1"/>
            </w14:solidFill>
          </w14:textFill>
        </w:rPr>
        <w:t>应当认真研究招标文件，至少应了解熟悉以下内容：</w:t>
      </w:r>
    </w:p>
    <w:p w14:paraId="2E6EBB65">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（1）招标的目的；</w:t>
      </w:r>
    </w:p>
    <w:p w14:paraId="5AD84D85">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（2）招标项目需求的范围和性质；</w:t>
      </w:r>
    </w:p>
    <w:p w14:paraId="5CC3DF30">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（3）招标文件规定的投标人的资格、财政预算限额、商务条款；</w:t>
      </w:r>
    </w:p>
    <w:p w14:paraId="1FC70B65">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（4）招标文件规定的评标程序、评标方法和评标因素；</w:t>
      </w:r>
    </w:p>
    <w:p w14:paraId="18A0F5FF">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（5）招标文件所列示的资格性审查表及符合性审查表。</w:t>
      </w:r>
    </w:p>
    <w:p w14:paraId="03AF0626">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31．独立评审</w:t>
      </w:r>
    </w:p>
    <w:p w14:paraId="61859DDB">
      <w:pPr>
        <w:ind w:firstLine="470"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w:t>
      </w:r>
      <w:r>
        <w:rPr>
          <w:rFonts w:ascii="宋体" w:hAnsi="宋体"/>
          <w:bCs/>
          <w:color w:val="000000" w:themeColor="text1"/>
          <w14:textFill>
            <w14:solidFill>
              <w14:schemeClr w14:val="tx1"/>
            </w14:solidFill>
          </w14:textFill>
        </w:rPr>
        <w:t>1</w:t>
      </w:r>
      <w:r>
        <w:rPr>
          <w:rFonts w:hint="eastAsia" w:ascii="宋体" w:hAnsi="宋体"/>
          <w:bCs/>
          <w:color w:val="000000" w:themeColor="text1"/>
          <w14:textFill>
            <w14:solidFill>
              <w14:schemeClr w14:val="tx1"/>
            </w14:solidFill>
          </w14:textFill>
        </w:rPr>
        <w:t>.1</w:t>
      </w:r>
      <w:r>
        <w:rPr>
          <w:rFonts w:hint="eastAsia" w:ascii="宋体" w:hAnsi="宋体"/>
          <w:color w:val="000000" w:themeColor="text1"/>
          <w:szCs w:val="21"/>
          <w14:textFill>
            <w14:solidFill>
              <w14:schemeClr w14:val="tx1"/>
            </w14:solidFill>
          </w14:textFill>
        </w:rPr>
        <w:t>评审委员会</w:t>
      </w:r>
      <w:r>
        <w:rPr>
          <w:rFonts w:hint="eastAsia" w:ascii="宋体" w:hAnsi="宋体"/>
          <w:bCs/>
          <w:color w:val="000000" w:themeColor="text1"/>
          <w14:textFill>
            <w14:solidFill>
              <w14:schemeClr w14:val="tx1"/>
            </w14:solidFill>
          </w14:textFill>
        </w:rPr>
        <w:t>成员的评标活动应当独立进行，并应遵循投标文件初审、澄清有关问题、比较与评价、确定中标供应商、编写评审报告的工作程序。</w:t>
      </w:r>
    </w:p>
    <w:p w14:paraId="4F17C71A">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评审程序及评审方法</w:t>
      </w:r>
    </w:p>
    <w:p w14:paraId="58A7E3B7">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32．投标文件初审</w:t>
      </w:r>
    </w:p>
    <w:p w14:paraId="1237486A">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32.1投标文件初审包括资格性审查和符合性审查。</w:t>
      </w:r>
    </w:p>
    <w:p w14:paraId="526067E5">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资格性审查：依据法律法规和招标文件的规定，对投标文件中的资格证明等进行审查，以确定投标供应商是否具备投标资格。</w:t>
      </w:r>
    </w:p>
    <w:p w14:paraId="7E2455B1">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符合性审查：依据招标文件的规定，对投标文件的有效性、完整性和对招标文件的响应程度进行审查，以确定是否满足符合性审查的要求。</w:t>
      </w:r>
    </w:p>
    <w:p w14:paraId="65CDBAE4">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32.2 投标文件初审内容请详见《资格性审查表》和《符合性审查表》部分。投标人若有一条审查不通过则按投标无效处理。</w:t>
      </w:r>
    </w:p>
    <w:p w14:paraId="016E3560">
      <w:pPr>
        <w:ind w:firstLine="470"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32.3 投标文件初审中关于供应商家数的计算:</w:t>
      </w:r>
    </w:p>
    <w:p w14:paraId="40D1BFAC">
      <w:pPr>
        <w:ind w:firstLine="470"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744A165">
      <w:pPr>
        <w:ind w:firstLine="470"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color w:val="000000" w:themeColor="text1"/>
          <w:szCs w:val="21"/>
          <w14:textFill>
            <w14:solidFill>
              <w14:schemeClr w14:val="tx1"/>
            </w14:solidFill>
          </w14:textFill>
        </w:rPr>
        <w:t>评审委员会</w:t>
      </w:r>
      <w:r>
        <w:rPr>
          <w:rFonts w:hint="eastAsia" w:ascii="宋体" w:hAnsi="宋体"/>
          <w:bCs/>
          <w:color w:val="000000" w:themeColor="text1"/>
          <w14:textFill>
            <w14:solidFill>
              <w14:schemeClr w14:val="tx1"/>
            </w14:solidFill>
          </w14:textFill>
        </w:rPr>
        <w:t>按照招标文件规定的方式确定一个投标人获得中标人推荐资格，招标文件未规定的采取随机抽取方式确定，其他同品牌投标人不作为中标候选人。</w:t>
      </w:r>
    </w:p>
    <w:p w14:paraId="67480F81">
      <w:pPr>
        <w:ind w:firstLine="470" w:firstLineChars="196"/>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32.3.3非单一产品采购项目，采购人应当根据采购项目技术构成、产品价格比重等合理确定核心产品，并在招标文件中载明。多家投标人提供的核心产品品牌相同的，按前两款规定处理。</w:t>
      </w:r>
    </w:p>
    <w:p w14:paraId="3F7E6B13">
      <w:pPr>
        <w:ind w:firstLine="470" w:firstLineChars="196"/>
        <w:rPr>
          <w:rFonts w:ascii="宋体" w:hAnsi="宋体" w:eastAsia="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2.4投标人投标文件作无效处理的情形，具体包括但不限于以下：</w:t>
      </w:r>
    </w:p>
    <w:p w14:paraId="7EB141BA">
      <w:pPr>
        <w:ind w:firstLine="470" w:firstLineChars="19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32.4.1不同投标人的投标文件由同一单位或者同一个人编制，或者由同一个人分阶段参与编制；</w:t>
      </w:r>
    </w:p>
    <w:p w14:paraId="66B60F5F">
      <w:pPr>
        <w:ind w:firstLine="470" w:firstLineChars="196"/>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32.4.</w:t>
      </w:r>
      <w:r>
        <w:rPr>
          <w:rFonts w:hint="eastAsia" w:ascii="宋体" w:hAnsi="宋体" w:eastAsia="宋体"/>
          <w:color w:val="000000" w:themeColor="text1"/>
          <w14:textFill>
            <w14:solidFill>
              <w14:schemeClr w14:val="tx1"/>
            </w14:solidFill>
          </w14:textFill>
        </w:rPr>
        <w:t>2不同投标人委托同一单位或者个人办理投标事宜；</w:t>
      </w:r>
    </w:p>
    <w:p w14:paraId="0699C128">
      <w:pPr>
        <w:ind w:firstLine="470" w:firstLineChars="19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32.4.3不同投标人的投标文件载明的项目管理成员或者联系人员为同一人；</w:t>
      </w:r>
    </w:p>
    <w:p w14:paraId="7109322E">
      <w:pPr>
        <w:ind w:firstLine="470" w:firstLineChars="19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32.4.4不同投标人的投标文件异常一致或者投标报价呈规律性差异；</w:t>
      </w:r>
    </w:p>
    <w:p w14:paraId="7EE1BD58">
      <w:pPr>
        <w:ind w:firstLine="470" w:firstLineChars="19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32.4.5</w:t>
      </w:r>
      <w:r>
        <w:rPr>
          <w:rFonts w:ascii="宋体" w:hAnsi="宋体" w:eastAsia="宋体"/>
          <w:color w:val="000000" w:themeColor="text1"/>
          <w14:textFill>
            <w14:solidFill>
              <w14:schemeClr w14:val="tx1"/>
            </w14:solidFill>
          </w14:textFill>
        </w:rPr>
        <w:t>不同投标供应商的投标文件或部分投标文件相互混装</w:t>
      </w:r>
      <w:r>
        <w:rPr>
          <w:rFonts w:hint="eastAsia" w:ascii="宋体" w:hAnsi="宋体" w:eastAsia="宋体"/>
          <w:color w:val="000000" w:themeColor="text1"/>
          <w14:textFill>
            <w14:solidFill>
              <w14:schemeClr w14:val="tx1"/>
            </w14:solidFill>
          </w14:textFill>
        </w:rPr>
        <w:t>；</w:t>
      </w:r>
    </w:p>
    <w:p w14:paraId="69232BF4">
      <w:pPr>
        <w:ind w:firstLine="470" w:firstLineChars="196"/>
        <w:rPr>
          <w:rFonts w:ascii="宋体" w:hAns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32.4.6投标供应商之间相互约定给予未中标的供应商利</w:t>
      </w:r>
      <w:r>
        <w:rPr>
          <w:rFonts w:hint="eastAsia" w:ascii="宋体" w:hAnsi="宋体"/>
          <w:color w:val="000000" w:themeColor="text1"/>
          <w14:textFill>
            <w14:solidFill>
              <w14:schemeClr w14:val="tx1"/>
            </w14:solidFill>
          </w14:textFill>
        </w:rPr>
        <w:t>益补偿；</w:t>
      </w:r>
    </w:p>
    <w:p w14:paraId="2423DD0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32.4.7不同投标供应商的法定代表人、主要经营负责人、项目投标授权代表人、项目负责人、主要技术人员为同一人、属同一单位或者同一单位缴纳社会保险；</w:t>
      </w:r>
    </w:p>
    <w:p w14:paraId="260C7A36">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32.4.8不同投标供应商的投标文件内容存在非正常一致；</w:t>
      </w:r>
    </w:p>
    <w:p w14:paraId="0946DC04">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32.4.9在同一单位工作人员为两家以上（含两家）供应商进行同一项投标活动；</w:t>
      </w:r>
    </w:p>
    <w:p w14:paraId="6981C90F">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32.4.10主管部门依照法律、法规认定的其他情形。</w:t>
      </w:r>
    </w:p>
    <w:p w14:paraId="406336D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32.5对不属于《资格性审查表》和《符合性审查表》所列的其他情形，除专用条款另有规定和32.4条款所列情形外，不得作为投标无效的理由。</w:t>
      </w:r>
    </w:p>
    <w:p w14:paraId="0073ABB5">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33．澄清有关问题</w:t>
      </w:r>
    </w:p>
    <w:p w14:paraId="18C36BA2">
      <w:pPr>
        <w:ind w:firstLine="470" w:firstLineChars="196"/>
        <w:rPr>
          <w:rFonts w:ascii="宋体" w:hAnsi="宋体"/>
          <w:color w:val="000000" w:themeColor="text1"/>
          <w14:textFill>
            <w14:solidFill>
              <w14:schemeClr w14:val="tx1"/>
            </w14:solidFill>
          </w14:textFill>
        </w:rPr>
      </w:pPr>
      <w:bookmarkStart w:id="64" w:name="_Hlk71407321"/>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3.1</w:t>
      </w:r>
      <w:r>
        <w:rPr>
          <w:rFonts w:hint="eastAsia" w:ascii="宋体" w:hAnsi="宋体"/>
          <w:color w:val="000000" w:themeColor="text1"/>
          <w14:textFill>
            <w14:solidFill>
              <w14:schemeClr w14:val="tx1"/>
            </w14:solidFill>
          </w14:textFill>
        </w:rPr>
        <w:t>对招标文件中描述有歧义或前后不一致的地方（不含</w:t>
      </w:r>
      <w:r>
        <w:rPr>
          <w:color w:val="000000" w:themeColor="text1"/>
          <w:szCs w:val="21"/>
          <w14:textFill>
            <w14:solidFill>
              <w14:schemeClr w14:val="tx1"/>
            </w14:solidFill>
          </w14:textFill>
        </w:rPr>
        <w:t>招标文件存在歧义、重大缺陷导致评</w:t>
      </w:r>
      <w:r>
        <w:rPr>
          <w:rFonts w:hint="eastAsia"/>
          <w:color w:val="000000" w:themeColor="text1"/>
          <w:szCs w:val="21"/>
          <w14:textFill>
            <w14:solidFill>
              <w14:schemeClr w14:val="tx1"/>
            </w14:solidFill>
          </w14:textFill>
        </w:rPr>
        <w:t>审</w:t>
      </w:r>
      <w:r>
        <w:rPr>
          <w:color w:val="000000" w:themeColor="text1"/>
          <w:szCs w:val="21"/>
          <w14:textFill>
            <w14:solidFill>
              <w14:schemeClr w14:val="tx1"/>
            </w14:solidFill>
          </w14:textFill>
        </w:rPr>
        <w:t>工作无法进行</w:t>
      </w:r>
      <w:r>
        <w:rPr>
          <w:rFonts w:hint="eastAsia"/>
          <w:color w:val="000000" w:themeColor="text1"/>
          <w:szCs w:val="21"/>
          <w14:textFill>
            <w14:solidFill>
              <w14:schemeClr w14:val="tx1"/>
            </w14:solidFill>
          </w14:textFill>
        </w:rPr>
        <w:t>的情况）</w:t>
      </w:r>
      <w:r>
        <w:rPr>
          <w:rFonts w:hint="eastAsia" w:ascii="宋体" w:hAnsi="宋体"/>
          <w:color w:val="000000" w:themeColor="text1"/>
          <w14:textFill>
            <w14:solidFill>
              <w14:schemeClr w14:val="tx1"/>
            </w14:solidFill>
          </w14:textFill>
        </w:rPr>
        <w:t>，评审委员会有权进行评判，但对同一条款的评判应适用于每个投标人。</w:t>
      </w:r>
      <w:bookmarkEnd w:id="64"/>
    </w:p>
    <w:p w14:paraId="3EFB1F79">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3.2</w:t>
      </w:r>
      <w:r>
        <w:rPr>
          <w:color w:val="000000" w:themeColor="text1"/>
          <w:szCs w:val="21"/>
          <w14:textFill>
            <w14:solidFill>
              <w14:schemeClr w14:val="tx1"/>
            </w14:solidFill>
          </w14:textFill>
        </w:rPr>
        <w:t>评</w:t>
      </w:r>
      <w:r>
        <w:rPr>
          <w:rFonts w:hint="eastAsia"/>
          <w:color w:val="000000" w:themeColor="text1"/>
          <w:szCs w:val="21"/>
          <w14:textFill>
            <w14:solidFill>
              <w14:schemeClr w14:val="tx1"/>
            </w14:solidFill>
          </w14:textFill>
        </w:rPr>
        <w:t>审</w:t>
      </w:r>
      <w:r>
        <w:rPr>
          <w:color w:val="000000" w:themeColor="text1"/>
          <w:szCs w:val="21"/>
          <w14:textFill>
            <w14:solidFill>
              <w14:schemeClr w14:val="tx1"/>
            </w14:solidFill>
          </w14:textFill>
        </w:rPr>
        <w:t>委员会发现招标文件存在歧义、重大缺陷导致评</w:t>
      </w:r>
      <w:r>
        <w:rPr>
          <w:rFonts w:hint="eastAsia"/>
          <w:color w:val="000000" w:themeColor="text1"/>
          <w:szCs w:val="21"/>
          <w14:textFill>
            <w14:solidFill>
              <w14:schemeClr w14:val="tx1"/>
            </w14:solidFill>
          </w14:textFill>
        </w:rPr>
        <w:t>审</w:t>
      </w:r>
      <w:r>
        <w:rPr>
          <w:color w:val="000000" w:themeColor="text1"/>
          <w:szCs w:val="21"/>
          <w14:textFill>
            <w14:solidFill>
              <w14:schemeClr w14:val="tx1"/>
            </w14:solidFill>
          </w14:textFill>
        </w:rPr>
        <w:t>工作无法进行，或者招标文件内容违反国家有关强制性规定的，应当停止评</w:t>
      </w:r>
      <w:r>
        <w:rPr>
          <w:rFonts w:hint="eastAsia"/>
          <w:color w:val="000000" w:themeColor="text1"/>
          <w:szCs w:val="21"/>
          <w14:textFill>
            <w14:solidFill>
              <w14:schemeClr w14:val="tx1"/>
            </w14:solidFill>
          </w14:textFill>
        </w:rPr>
        <w:t>审</w:t>
      </w:r>
      <w:r>
        <w:rPr>
          <w:color w:val="000000" w:themeColor="text1"/>
          <w:szCs w:val="21"/>
          <w14:textFill>
            <w14:solidFill>
              <w14:schemeClr w14:val="tx1"/>
            </w14:solidFill>
          </w14:textFill>
        </w:rPr>
        <w:t>工作，与</w:t>
      </w:r>
      <w:r>
        <w:rPr>
          <w:rFonts w:hint="eastAsia" w:eastAsia="宋体"/>
          <w:color w:val="000000" w:themeColor="text1"/>
          <w:szCs w:val="21"/>
          <w14:textFill>
            <w14:solidFill>
              <w14:schemeClr w14:val="tx1"/>
            </w14:solidFill>
          </w14:textFill>
        </w:rPr>
        <w:t>招标机构</w:t>
      </w:r>
      <w:r>
        <w:rPr>
          <w:color w:val="000000" w:themeColor="text1"/>
          <w:szCs w:val="21"/>
          <w14:textFill>
            <w14:solidFill>
              <w14:schemeClr w14:val="tx1"/>
            </w14:solidFill>
          </w14:textFill>
        </w:rPr>
        <w:t>沟通并作书面记录。</w:t>
      </w:r>
      <w:r>
        <w:rPr>
          <w:rFonts w:hint="eastAsia"/>
          <w:color w:val="000000" w:themeColor="text1"/>
          <w:szCs w:val="21"/>
          <w14:textFill>
            <w14:solidFill>
              <w14:schemeClr w14:val="tx1"/>
            </w14:solidFill>
          </w14:textFill>
        </w:rPr>
        <w:t>经</w:t>
      </w:r>
      <w:r>
        <w:rPr>
          <w:color w:val="000000" w:themeColor="text1"/>
          <w:szCs w:val="21"/>
          <w14:textFill>
            <w14:solidFill>
              <w14:schemeClr w14:val="tx1"/>
            </w14:solidFill>
          </w14:textFill>
        </w:rPr>
        <w:t>确认后，</w:t>
      </w:r>
      <w:r>
        <w:rPr>
          <w:rFonts w:hint="eastAsia"/>
          <w:color w:val="000000" w:themeColor="text1"/>
          <w:szCs w:val="21"/>
          <w14:textFill>
            <w14:solidFill>
              <w14:schemeClr w14:val="tx1"/>
            </w14:solidFill>
          </w14:textFill>
        </w:rPr>
        <w:t>项目</w:t>
      </w:r>
      <w:r>
        <w:rPr>
          <w:color w:val="000000" w:themeColor="text1"/>
          <w:szCs w:val="21"/>
          <w14:textFill>
            <w14:solidFill>
              <w14:schemeClr w14:val="tx1"/>
            </w14:solidFill>
          </w14:textFill>
        </w:rPr>
        <w:t>应当修改招标文件，重新组织采购活动。</w:t>
      </w:r>
    </w:p>
    <w:p w14:paraId="0D90EAC6">
      <w:pPr>
        <w:ind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33.3</w:t>
      </w:r>
      <w:r>
        <w:rPr>
          <w:rFonts w:hint="eastAsia" w:ascii="宋体" w:hAnsi="宋体"/>
          <w:color w:val="000000" w:themeColor="text1"/>
          <w14:textFill>
            <w14:solidFill>
              <w14:schemeClr w14:val="tx1"/>
            </w14:solidFill>
          </w14:textFill>
        </w:rPr>
        <w:t>对于投标文件中含义不明确、同类问题表述不一致或者有明显文字和计算错误的内容，评审委员会应当以书面形式要求投标人作出必要的澄清、说明或者补正。</w:t>
      </w:r>
    </w:p>
    <w:p w14:paraId="58C37527">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07257E1">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根据本通用条款第34条，凡属于评审委员会在评审中发现的算术错误进行核实的修改不在此列。</w:t>
      </w:r>
    </w:p>
    <w:p w14:paraId="217145A0">
      <w:pPr>
        <w:rPr>
          <w:rFonts w:ascii="黑体" w:hAnsi="宋体" w:eastAsia="黑体"/>
          <w:color w:val="000000" w:themeColor="text1"/>
          <w14:textFill>
            <w14:solidFill>
              <w14:schemeClr w14:val="tx1"/>
            </w14:solidFill>
          </w14:textFill>
        </w:rPr>
      </w:pPr>
      <w:bookmarkStart w:id="65" w:name="_Toc73521669"/>
      <w:bookmarkStart w:id="66" w:name="_Toc73521581"/>
      <w:bookmarkStart w:id="67" w:name="_Toc100052400"/>
      <w:bookmarkStart w:id="68" w:name="_Toc73518151"/>
      <w:bookmarkStart w:id="69" w:name="_Toc73517673"/>
      <w:r>
        <w:rPr>
          <w:rFonts w:hint="eastAsia" w:ascii="黑体" w:hAnsi="宋体" w:eastAsia="黑体"/>
          <w:color w:val="000000" w:themeColor="text1"/>
          <w14:textFill>
            <w14:solidFill>
              <w14:schemeClr w14:val="tx1"/>
            </w14:solidFill>
          </w14:textFill>
        </w:rPr>
        <w:t>34．错误的修正</w:t>
      </w:r>
      <w:bookmarkEnd w:id="65"/>
      <w:bookmarkEnd w:id="66"/>
      <w:bookmarkEnd w:id="67"/>
      <w:bookmarkEnd w:id="68"/>
      <w:bookmarkEnd w:id="69"/>
    </w:p>
    <w:p w14:paraId="13B5FC4C">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投标文件报价出现前后不一致的，除专用条款另有规定外，按照下列规定修正：</w:t>
      </w:r>
    </w:p>
    <w:p w14:paraId="41E7F663">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34.1投标文件中开标一览表投标报价内容与投标文件中投标报价相应内容不一致的，以开标一览表为准；</w:t>
      </w:r>
    </w:p>
    <w:p w14:paraId="5105C676">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34.2大写金额和小写金额不一致的，以大写金额为准；</w:t>
      </w:r>
    </w:p>
    <w:p w14:paraId="5E3ECB7E">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34.3单价金额小数点或者百分比有明显错位，以开标一览表的总价为准，并修改单价；</w:t>
      </w:r>
    </w:p>
    <w:p w14:paraId="1C429151">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34.4总价金额与按单价汇总金额不一致的，以单价金额计算结果为准。</w:t>
      </w:r>
    </w:p>
    <w:p w14:paraId="71CE019C">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34.5同时出现两种以上不一致的，按照前款规定的顺序修正。修正后的报价按照本通用条款33条的规定，经投标人确认后产生约束力，投标人不确认的，其投标无效。</w:t>
      </w:r>
    </w:p>
    <w:p w14:paraId="33F9BF36">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35．投标文件的比较与评价</w:t>
      </w:r>
    </w:p>
    <w:p w14:paraId="0EF6B17A">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439827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评审委员会成员对需要共同认定的事项存在争议的，应当按照少数服从多数的原则作出结论。持不同意见的评审委员会成员应当书面作出说明，否则视为无异议。</w:t>
      </w:r>
    </w:p>
    <w:p w14:paraId="1BBBAB1F">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36. 实地考察或资料查验</w:t>
      </w:r>
    </w:p>
    <w:p w14:paraId="2986804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36.1在评审过程中，评审委员会有权决定是否对本项目投标人进行实地考察或资料查验（原件）。投标人应随时做好接受实地考察或资料查验的准备。</w:t>
      </w:r>
    </w:p>
    <w:p w14:paraId="00B426CF">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37．评审方法</w:t>
      </w:r>
    </w:p>
    <w:p w14:paraId="556E8992">
      <w:pPr>
        <w:ind w:firstLine="471" w:firstLineChars="196"/>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37.1.1最低价法</w:t>
      </w:r>
    </w:p>
    <w:p w14:paraId="50C7B324">
      <w:pPr>
        <w:ind w:firstLine="470" w:firstLineChars="196"/>
        <w:rPr>
          <w:rFonts w:hint="eastAsia" w:ascii="ˎ̥" w:hAnsi="ˎ̥"/>
          <w:color w:val="000000" w:themeColor="text1"/>
          <w14:textFill>
            <w14:solidFill>
              <w14:schemeClr w14:val="tx1"/>
            </w14:solidFill>
          </w14:textFill>
        </w:rPr>
      </w:pPr>
      <w:bookmarkStart w:id="70" w:name="_Hlk72438142"/>
      <w:r>
        <w:rPr>
          <w:rFonts w:ascii="ˎ̥" w:hAnsi="ˎ̥"/>
          <w:color w:val="000000" w:themeColor="text1"/>
          <w14:textFill>
            <w14:solidFill>
              <w14:schemeClr w14:val="tx1"/>
            </w14:solidFill>
          </w14:textFill>
        </w:rPr>
        <w:t>最低价法，是指</w:t>
      </w:r>
      <w:r>
        <w:rPr>
          <w:rFonts w:hint="eastAsia" w:ascii="ˎ̥" w:hAnsi="ˎ̥"/>
          <w:color w:val="000000" w:themeColor="text1"/>
          <w14:textFill>
            <w14:solidFill>
              <w14:schemeClr w14:val="tx1"/>
            </w14:solidFill>
          </w14:textFill>
        </w:rPr>
        <w:t>完全</w:t>
      </w:r>
      <w:r>
        <w:rPr>
          <w:rFonts w:ascii="ˎ̥" w:hAnsi="ˎ̥"/>
          <w:color w:val="000000" w:themeColor="text1"/>
          <w14:textFill>
            <w14:solidFill>
              <w14:schemeClr w14:val="tx1"/>
            </w14:solidFill>
          </w14:textFill>
        </w:rPr>
        <w:t>满足招标文件实质性要求，</w:t>
      </w:r>
      <w:r>
        <w:rPr>
          <w:rFonts w:hint="eastAsia" w:ascii="ˎ̥" w:hAnsi="ˎ̥"/>
          <w:color w:val="000000" w:themeColor="text1"/>
          <w14:textFill>
            <w14:solidFill>
              <w14:schemeClr w14:val="tx1"/>
            </w14:solidFill>
          </w14:textFill>
        </w:rPr>
        <w:t>按照报价由低到高的顺序，依据招标文件中规定的数量或者比例推荐候选中标供应商。</w:t>
      </w:r>
    </w:p>
    <w:p w14:paraId="0DFED0A7">
      <w:pPr>
        <w:ind w:firstLine="471" w:firstLineChars="196"/>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37.1.2综合评分法</w:t>
      </w:r>
    </w:p>
    <w:p w14:paraId="24181C75">
      <w:pPr>
        <w:ind w:firstLine="470" w:firstLineChars="196"/>
        <w:rPr>
          <w:rFonts w:hint="eastAsia" w:ascii="ˎ̥" w:hAnsi="ˎ̥"/>
          <w:color w:val="000000" w:themeColor="text1"/>
          <w14:textFill>
            <w14:solidFill>
              <w14:schemeClr w14:val="tx1"/>
            </w14:solidFill>
          </w14:textFill>
        </w:rPr>
      </w:pPr>
      <w:r>
        <w:rPr>
          <w:rFonts w:ascii="ˎ̥" w:hAnsi="ˎ̥"/>
          <w:color w:val="000000" w:themeColor="text1"/>
          <w14:textFill>
            <w14:solidFill>
              <w14:schemeClr w14:val="tx1"/>
            </w14:solidFill>
          </w14:textFill>
        </w:rPr>
        <w:t>综合评分法，是指</w:t>
      </w:r>
      <w:r>
        <w:rPr>
          <w:rFonts w:hint="eastAsia" w:ascii="ˎ̥" w:hAnsi="ˎ̥"/>
          <w:color w:val="000000" w:themeColor="text1"/>
          <w14:textFill>
            <w14:solidFill>
              <w14:schemeClr w14:val="tx1"/>
            </w14:solidFill>
          </w14:textFill>
        </w:rPr>
        <w:t>在</w:t>
      </w:r>
      <w:r>
        <w:rPr>
          <w:rFonts w:ascii="ˎ̥" w:hAnsi="ˎ̥"/>
          <w:color w:val="000000" w:themeColor="text1"/>
          <w14:textFill>
            <w14:solidFill>
              <w14:schemeClr w14:val="tx1"/>
            </w14:solidFill>
          </w14:textFill>
        </w:rPr>
        <w:t>满足招标文件全部实质性要求</w:t>
      </w:r>
      <w:r>
        <w:rPr>
          <w:rFonts w:hint="eastAsia" w:ascii="ˎ̥" w:hAnsi="ˎ̥"/>
          <w:color w:val="000000" w:themeColor="text1"/>
          <w14:textFill>
            <w14:solidFill>
              <w14:schemeClr w14:val="tx1"/>
            </w14:solidFill>
          </w14:textFill>
        </w:rPr>
        <w:t>的前提下</w:t>
      </w:r>
      <w:r>
        <w:rPr>
          <w:rFonts w:ascii="ˎ̥" w:hAnsi="ˎ̥"/>
          <w:color w:val="000000" w:themeColor="text1"/>
          <w14:textFill>
            <w14:solidFill>
              <w14:schemeClr w14:val="tx1"/>
            </w14:solidFill>
          </w14:textFill>
        </w:rPr>
        <w:t>，</w:t>
      </w:r>
      <w:r>
        <w:rPr>
          <w:rFonts w:hint="eastAsia" w:ascii="ˎ̥" w:hAnsi="ˎ̥"/>
          <w:color w:val="000000" w:themeColor="text1"/>
          <w14:textFill>
            <w14:solidFill>
              <w14:schemeClr w14:val="tx1"/>
            </w14:solidFill>
          </w14:textFill>
        </w:rPr>
        <w:t>按照招标文件中规定的各项因素进行综合评审，评审总得分排名前列的投标人，作为推荐的候选中标供应商。</w:t>
      </w:r>
      <w:bookmarkEnd w:id="70"/>
    </w:p>
    <w:p w14:paraId="26A0489D">
      <w:pPr>
        <w:ind w:firstLine="471" w:firstLineChars="196"/>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37.2 本项目采用的评审方法见本项目招标文件第一册“专用条款”的相关内容。</w:t>
      </w:r>
    </w:p>
    <w:p w14:paraId="0ADB486B">
      <w:pPr>
        <w:ind w:firstLine="471" w:firstLineChars="196"/>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37.3重新评审的情形</w:t>
      </w:r>
    </w:p>
    <w:p w14:paraId="15D0A988">
      <w:pPr>
        <w:ind w:firstLine="470" w:firstLineChars="196"/>
        <w:rPr>
          <w:rFonts w:ascii="宋体" w:hAnsi="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评审结果汇总完成后，除下列情形外，任何人不得修改评审结果：</w:t>
      </w:r>
    </w:p>
    <w:p w14:paraId="11D9B7D1">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37.3.1分值汇总计算错误的；</w:t>
      </w:r>
    </w:p>
    <w:p w14:paraId="6244CC9E">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37.3.2分项评分超出评分标准范围的；</w:t>
      </w:r>
    </w:p>
    <w:p w14:paraId="23FD33D7">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37.3.3评审委员会成员对客观评审因素评分不一致的；</w:t>
      </w:r>
    </w:p>
    <w:p w14:paraId="24EB764F">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37.3.4经评审委员会认定评分畸高、畸低的。</w:t>
      </w:r>
    </w:p>
    <w:p w14:paraId="7704D329">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822BA23">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投标人对本条第一款情形提出质疑的，采购人或者采购代理机构可以组织原评审委员会进行重新评审，重新评审改变评审结果的，应当书面报告本级财政部门。</w:t>
      </w:r>
    </w:p>
    <w:p w14:paraId="2B4C26D3">
      <w:pPr>
        <w:ind w:firstLine="471" w:firstLineChars="196"/>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 37.4重新组建评审委员会的情形</w:t>
      </w:r>
    </w:p>
    <w:p w14:paraId="56516A99">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评审委员会或者其成员存在下列情形导致评审结果无效的，重新组建评审委员会进行评标，并书面报告本级财政部门：</w:t>
      </w:r>
    </w:p>
    <w:p w14:paraId="66B2F232">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37.4.1评审委员会组成不符合《政府采购货物和服务招标投标管理办法》规定的；</w:t>
      </w:r>
    </w:p>
    <w:p w14:paraId="16440DE7">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37.4.2有《政府采购货物和服务招标投标管理办法》第六十二条第一至五项情形的；</w:t>
      </w:r>
    </w:p>
    <w:p w14:paraId="2354E5A8">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37.4.3评审委员会及其成员独立评标受到非法干预的；</w:t>
      </w:r>
    </w:p>
    <w:p w14:paraId="72681BBC">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37.4.4有政府采购法实施条例第七十五条规定的违法行为的。</w:t>
      </w:r>
    </w:p>
    <w:p w14:paraId="23908C93">
      <w:pPr>
        <w:ind w:firstLine="470" w:firstLineChars="19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有违法违规行为的原评审委员会成员不得参加重新组建的评审委员会。</w:t>
      </w:r>
    </w:p>
    <w:p w14:paraId="18850796">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定标及公示</w:t>
      </w:r>
    </w:p>
    <w:p w14:paraId="3190A7AF">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38．定标方法</w:t>
      </w:r>
    </w:p>
    <w:p w14:paraId="0F015680">
      <w:pPr>
        <w:ind w:firstLine="470" w:firstLineChars="196"/>
        <w:rPr>
          <w:rFonts w:ascii="宋体" w:hAnsi="宋体" w:eastAsia="宋体"/>
          <w:szCs w:val="21"/>
        </w:rPr>
      </w:pPr>
      <w:bookmarkStart w:id="71" w:name="_Hlk73782795"/>
      <w:r>
        <w:rPr>
          <w:rFonts w:hint="eastAsia" w:ascii="宋体" w:hAnsi="宋体" w:eastAsia="宋体"/>
          <w:szCs w:val="21"/>
        </w:rPr>
        <w:t>38.1非评定分离项目定标方法</w:t>
      </w:r>
    </w:p>
    <w:p w14:paraId="7F5ACCD2">
      <w:pPr>
        <w:ind w:firstLine="470" w:firstLineChars="196"/>
        <w:rPr>
          <w:rFonts w:ascii="宋体" w:hAnsi="宋体" w:eastAsia="宋体"/>
          <w:szCs w:val="21"/>
        </w:rPr>
      </w:pPr>
      <w:r>
        <w:rPr>
          <w:rFonts w:hint="eastAsia" w:ascii="宋体" w:hAnsi="宋体" w:eastAsia="宋体"/>
          <w:szCs w:val="21"/>
        </w:rPr>
        <w:t>38.1.1评审委员会依据本项目招标文件所约定的评审方法进行评审和比较，向</w:t>
      </w:r>
      <w:r>
        <w:rPr>
          <w:rFonts w:hint="eastAsia" w:ascii="宋体" w:hAnsi="宋体" w:eastAsia="宋体"/>
          <w:szCs w:val="21"/>
          <w:lang w:eastAsia="zh-CN"/>
        </w:rPr>
        <w:t>政府采购代理机构</w:t>
      </w:r>
      <w:r>
        <w:rPr>
          <w:rFonts w:hint="eastAsia" w:ascii="宋体" w:hAnsi="宋体" w:eastAsia="宋体"/>
          <w:szCs w:val="21"/>
        </w:rPr>
        <w:t>提交书面评审报告，并根据评审方法比较评价结果从优到劣进行排序，确定候选中标供应商。</w:t>
      </w:r>
    </w:p>
    <w:p w14:paraId="6816DD13">
      <w:pPr>
        <w:ind w:firstLine="470" w:firstLineChars="196"/>
        <w:rPr>
          <w:rFonts w:hint="eastAsia" w:ascii="ˎ̥" w:hAnsi="ˎ̥" w:eastAsia="宋体"/>
        </w:rPr>
      </w:pPr>
      <w:r>
        <w:rPr>
          <w:rFonts w:hint="eastAsia" w:ascii="宋体" w:hAnsi="宋体" w:eastAsia="宋体"/>
          <w:szCs w:val="21"/>
        </w:rPr>
        <w:t>38.1.2</w:t>
      </w:r>
      <w:r>
        <w:rPr>
          <w:rFonts w:hint="eastAsia" w:ascii="ˎ̥" w:hAnsi="ˎ̥" w:eastAsia="宋体"/>
        </w:rPr>
        <w:t>采用最低价法的，评审结果按投标报价由低到高顺序排列。投标报价相同的并列。投标文件满足招标文件全部实质性要求且投标报价最低的投标人为</w:t>
      </w:r>
      <w:bookmarkStart w:id="72" w:name="_Hlk73821177"/>
      <w:r>
        <w:rPr>
          <w:rFonts w:hint="eastAsia" w:ascii="ˎ̥" w:hAnsi="ˎ̥" w:eastAsia="宋体"/>
        </w:rPr>
        <w:t>中标供应商（排名第二的投标人为第一替补中标候选人、排名第三的投标人为第二替补中标候选人</w:t>
      </w:r>
      <w:bookmarkEnd w:id="72"/>
      <w:r>
        <w:rPr>
          <w:rFonts w:hint="eastAsia" w:ascii="ˎ̥" w:hAnsi="ˎ̥" w:eastAsia="宋体"/>
        </w:rPr>
        <w:t>）。</w:t>
      </w:r>
    </w:p>
    <w:p w14:paraId="199FC905">
      <w:pPr>
        <w:ind w:firstLine="470" w:firstLineChars="196"/>
        <w:rPr>
          <w:rFonts w:hint="eastAsia" w:ascii="ˎ̥" w:hAnsi="ˎ̥" w:eastAsia="宋体"/>
        </w:rPr>
      </w:pPr>
      <w:r>
        <w:rPr>
          <w:rFonts w:hint="eastAsia" w:ascii="宋体" w:hAnsi="宋体" w:eastAsia="宋体"/>
          <w:szCs w:val="21"/>
        </w:rPr>
        <w:t>38.1.3采</w:t>
      </w:r>
      <w:r>
        <w:rPr>
          <w:rFonts w:hint="eastAsia"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具体操作办法及流程由评审委员会确定。</w:t>
      </w:r>
    </w:p>
    <w:p w14:paraId="7B6FAA94">
      <w:pPr>
        <w:ind w:firstLine="470" w:firstLineChars="196"/>
        <w:rPr>
          <w:rFonts w:ascii="宋体" w:hAnsi="宋体" w:eastAsia="宋体"/>
          <w:szCs w:val="21"/>
        </w:rPr>
      </w:pPr>
      <w:r>
        <w:rPr>
          <w:rFonts w:hint="eastAsia" w:ascii="宋体" w:hAnsi="宋体" w:eastAsia="宋体"/>
          <w:szCs w:val="21"/>
        </w:rPr>
        <w:t>38.2评定分离项目定标方法</w:t>
      </w:r>
    </w:p>
    <w:p w14:paraId="569670D9">
      <w:pPr>
        <w:ind w:firstLine="470" w:firstLineChars="196"/>
        <w:rPr>
          <w:rFonts w:ascii="宋体" w:hAnsi="宋体" w:eastAsia="宋体"/>
          <w:szCs w:val="21"/>
        </w:rPr>
      </w:pPr>
      <w:r>
        <w:rPr>
          <w:rFonts w:hint="eastAsia" w:ascii="宋体" w:hAnsi="宋体" w:eastAsia="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A1CE55C">
      <w:pPr>
        <w:ind w:firstLine="470" w:firstLineChars="196"/>
        <w:rPr>
          <w:rFonts w:ascii="宋体" w:hAnsi="宋体" w:eastAsia="宋体"/>
          <w:szCs w:val="21"/>
        </w:rPr>
      </w:pPr>
      <w:r>
        <w:rPr>
          <w:rFonts w:hint="eastAsia" w:ascii="宋体" w:hAnsi="宋体" w:eastAsia="宋体"/>
          <w:szCs w:val="21"/>
        </w:rPr>
        <w:t xml:space="preserve">38.2.2 </w:t>
      </w:r>
      <w:bookmarkStart w:id="73" w:name="_Hlk71469733"/>
      <w:r>
        <w:rPr>
          <w:rFonts w:hint="eastAsia" w:eastAsia="宋体"/>
        </w:rPr>
        <w:t>适用评定分离的政府采购项目，采用综合评分法评审。</w:t>
      </w:r>
      <w:r>
        <w:rPr>
          <w:rFonts w:hint="eastAsia" w:ascii="宋体" w:hAnsi="宋体" w:eastAsia="宋体"/>
          <w:szCs w:val="21"/>
        </w:rPr>
        <w:t>评审委员会按照评审结果，推荐</w:t>
      </w:r>
      <w:r>
        <w:rPr>
          <w:rFonts w:hint="eastAsia" w:eastAsia="宋体"/>
        </w:rPr>
        <w:t>三个合格的候选中标供应商。</w:t>
      </w:r>
    </w:p>
    <w:p w14:paraId="4B9A26BE">
      <w:pPr>
        <w:ind w:firstLine="470" w:firstLineChars="196"/>
        <w:rPr>
          <w:rFonts w:ascii="宋体" w:hAnsi="宋体" w:eastAsia="宋体"/>
          <w:szCs w:val="21"/>
        </w:rPr>
      </w:pPr>
      <w:r>
        <w:rPr>
          <w:rFonts w:hint="eastAsia" w:ascii="宋体" w:hAnsi="宋体" w:eastAsia="宋体"/>
          <w:szCs w:val="21"/>
        </w:rPr>
        <w:t>38.2.3</w:t>
      </w:r>
      <w:bookmarkStart w:id="74" w:name="_Hlk71469688"/>
      <w:r>
        <w:rPr>
          <w:rFonts w:hint="eastAsia" w:eastAsia="宋体"/>
        </w:rPr>
        <w:t>适用评定分离的政府采购项目，</w:t>
      </w:r>
      <w:r>
        <w:rPr>
          <w:rFonts w:hint="eastAsia" w:ascii="宋体" w:hAnsi="宋体" w:eastAsia="宋体"/>
          <w:szCs w:val="21"/>
        </w:rPr>
        <w:t>按照自定法确定中标供应商：自定法是指采购人组织定标委员会，由定标委员会在三家候选中标供应商中确定中标供应商。</w:t>
      </w:r>
      <w:bookmarkEnd w:id="73"/>
      <w:bookmarkEnd w:id="74"/>
    </w:p>
    <w:p w14:paraId="17A7222C">
      <w:pPr>
        <w:ind w:firstLine="470" w:firstLineChars="196"/>
        <w:rPr>
          <w:rFonts w:ascii="宋体" w:hAnsi="宋体" w:eastAsia="宋体"/>
          <w:szCs w:val="21"/>
        </w:rPr>
      </w:pPr>
      <w:r>
        <w:rPr>
          <w:rFonts w:hint="eastAsia" w:ascii="宋体" w:hAnsi="宋体" w:eastAsia="宋体"/>
          <w:szCs w:val="21"/>
        </w:rPr>
        <w:t>38.2.4</w:t>
      </w:r>
      <w:r>
        <w:rPr>
          <w:rFonts w:hint="eastAsia" w:ascii="宋体" w:hAnsi="宋体" w:eastAsia="宋体"/>
          <w:szCs w:val="21"/>
          <w:lang w:eastAsia="zh-CN"/>
        </w:rPr>
        <w:t>政府采购代理机构</w:t>
      </w:r>
      <w:r>
        <w:rPr>
          <w:rFonts w:hint="eastAsia" w:eastAsia="宋体"/>
        </w:rPr>
        <w:t>应当自评审结束之日起两个工作日内将候选中标供应商名单及其投标文件、评审报告送交采购人</w:t>
      </w:r>
      <w:r>
        <w:rPr>
          <w:rFonts w:hint="eastAsia" w:ascii="宋体" w:hAnsi="宋体" w:eastAsia="宋体"/>
          <w:szCs w:val="21"/>
        </w:rPr>
        <w:t>。</w:t>
      </w:r>
      <w:r>
        <w:rPr>
          <w:rFonts w:hint="eastAsia" w:eastAsia="宋体"/>
        </w:rPr>
        <w:t>采购人应当安排专人对定标过程进行书面记录，形成定标报告，作为采购文件的组成部分存档，并及时将定标结果反馈</w:t>
      </w:r>
      <w:r>
        <w:rPr>
          <w:rFonts w:hint="eastAsia" w:eastAsia="宋体"/>
          <w:lang w:eastAsia="zh-CN"/>
        </w:rPr>
        <w:t>政府采购代理机构</w:t>
      </w:r>
      <w:r>
        <w:rPr>
          <w:rFonts w:hint="eastAsia" w:eastAsia="宋体"/>
        </w:rPr>
        <w:t>。具体定标程序及相关要求以按照《深圳市财政局关于印发</w:t>
      </w:r>
      <w:r>
        <w:rPr>
          <w:rFonts w:hint="eastAsia" w:ascii="宋体" w:hAnsi="宋体" w:eastAsia="宋体"/>
        </w:rPr>
        <w:t>〈</w:t>
      </w:r>
      <w:r>
        <w:rPr>
          <w:rFonts w:hint="eastAsia" w:eastAsia="宋体"/>
        </w:rPr>
        <w:t>深圳市政府采购评标定标分离管理办法</w:t>
      </w:r>
      <w:r>
        <w:rPr>
          <w:rFonts w:hint="eastAsia" w:ascii="宋体" w:hAnsi="宋体" w:eastAsia="宋体"/>
        </w:rPr>
        <w:t>〉</w:t>
      </w:r>
      <w:r>
        <w:rPr>
          <w:rFonts w:hint="eastAsia" w:eastAsia="宋体"/>
        </w:rPr>
        <w:t>的通知》（深财规【</w:t>
      </w:r>
      <w:r>
        <w:rPr>
          <w:rFonts w:eastAsia="宋体"/>
        </w:rPr>
        <w:t>2020</w:t>
      </w:r>
      <w:r>
        <w:rPr>
          <w:rFonts w:hint="eastAsia" w:eastAsia="宋体"/>
        </w:rPr>
        <w:t>】</w:t>
      </w:r>
      <w:r>
        <w:rPr>
          <w:rFonts w:eastAsia="宋体"/>
        </w:rPr>
        <w:t>1</w:t>
      </w:r>
      <w:r>
        <w:rPr>
          <w:rFonts w:hint="eastAsia" w:eastAsia="宋体"/>
        </w:rPr>
        <w:t>号）执行。</w:t>
      </w:r>
    </w:p>
    <w:p w14:paraId="745FED54">
      <w:pPr>
        <w:ind w:firstLine="470" w:firstLineChars="196"/>
        <w:rPr>
          <w:rFonts w:ascii="宋体" w:hAnsi="宋体" w:eastAsia="宋体"/>
          <w:szCs w:val="21"/>
        </w:rPr>
      </w:pPr>
      <w:r>
        <w:rPr>
          <w:rFonts w:hint="eastAsia" w:ascii="宋体" w:hAnsi="宋体" w:eastAsia="宋体"/>
          <w:szCs w:val="21"/>
        </w:rPr>
        <w:t>说明：采购人及投标供应商应按照上述方法提前做好相关准备。</w:t>
      </w:r>
    </w:p>
    <w:p w14:paraId="3C00CD39">
      <w:pPr>
        <w:ind w:firstLine="470" w:firstLineChars="196"/>
        <w:rPr>
          <w:rFonts w:ascii="宋体" w:hAnsi="宋体" w:eastAsia="宋体"/>
          <w:szCs w:val="21"/>
        </w:rPr>
      </w:pPr>
      <w:r>
        <w:rPr>
          <w:rFonts w:hint="eastAsia" w:ascii="宋体" w:hAnsi="宋体" w:eastAsia="宋体"/>
          <w:szCs w:val="21"/>
        </w:rPr>
        <w:t>38.3专用条款另有规定的，按专用条款相关要求定标。</w:t>
      </w:r>
      <w:bookmarkEnd w:id="71"/>
    </w:p>
    <w:p w14:paraId="4663F149">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39．编写评审报告</w:t>
      </w:r>
    </w:p>
    <w:p w14:paraId="27552A4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8A19B2F">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40．中标公告</w:t>
      </w:r>
    </w:p>
    <w:p w14:paraId="21E47247">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40.1</w:t>
      </w:r>
      <w:bookmarkStart w:id="75" w:name="_Hlk72438709"/>
      <w:r>
        <w:rPr>
          <w:rFonts w:hint="eastAsia" w:ascii="宋体" w:hAnsi="宋体"/>
          <w:color w:val="000000" w:themeColor="text1"/>
          <w:szCs w:val="21"/>
          <w14:textFill>
            <w14:solidFill>
              <w14:schemeClr w14:val="tx1"/>
            </w14:solidFill>
          </w14:textFill>
        </w:rPr>
        <w:t>为体现“公开、公平、公正”的原则，评审结束后经采购人确认（确定）评审结果，招标机构将在“深圳政府采购智慧平台（http://zfcg.szggzy.com:8081/）”上发布中标结果公告。</w:t>
      </w:r>
      <w:bookmarkEnd w:id="75"/>
      <w:bookmarkStart w:id="76" w:name="_Hlk72438751"/>
      <w:r>
        <w:rPr>
          <w:rFonts w:hint="eastAsia" w:ascii="宋体" w:hAnsi="宋体"/>
          <w:color w:val="000000" w:themeColor="text1"/>
          <w:szCs w:val="21"/>
          <w14:textFill>
            <w14:solidFill>
              <w14:schemeClr w14:val="tx1"/>
            </w14:solidFill>
          </w14:textFill>
        </w:rPr>
        <w:t>供应商如对评审结果有异议，</w:t>
      </w:r>
      <w:r>
        <w:rPr>
          <w:rFonts w:ascii="宋体" w:hAnsi="宋体"/>
          <w:color w:val="000000" w:themeColor="text1"/>
          <w:szCs w:val="21"/>
          <w14:textFill>
            <w14:solidFill>
              <w14:schemeClr w14:val="tx1"/>
            </w14:solidFill>
          </w14:textFill>
        </w:rPr>
        <w:t>可在发布公示日期起</w:t>
      </w:r>
      <w:r>
        <w:rPr>
          <w:rFonts w:hint="eastAsia" w:ascii="宋体" w:hAnsi="宋体"/>
          <w:color w:val="000000" w:themeColor="text1"/>
          <w:szCs w:val="21"/>
          <w14:textFill>
            <w14:solidFill>
              <w14:schemeClr w14:val="tx1"/>
            </w14:solidFill>
          </w14:textFill>
        </w:rPr>
        <w:t>七</w:t>
      </w:r>
      <w:r>
        <w:rPr>
          <w:rFonts w:ascii="宋体" w:hAnsi="宋体"/>
          <w:color w:val="000000" w:themeColor="text1"/>
          <w:szCs w:val="21"/>
          <w14:textFill>
            <w14:solidFill>
              <w14:schemeClr w14:val="tx1"/>
            </w14:solidFill>
          </w14:textFill>
        </w:rPr>
        <w:t>个工作日内向</w:t>
      </w:r>
      <w:r>
        <w:rPr>
          <w:rFonts w:hint="eastAsia" w:ascii="宋体" w:hAnsi="宋体"/>
          <w:color w:val="000000" w:themeColor="text1"/>
          <w:szCs w:val="21"/>
          <w14:textFill>
            <w14:solidFill>
              <w14:schemeClr w14:val="tx1"/>
            </w14:solidFill>
          </w14:textFill>
        </w:rPr>
        <w:t>招标机构</w:t>
      </w:r>
      <w:r>
        <w:rPr>
          <w:rFonts w:ascii="宋体" w:hAnsi="宋体"/>
          <w:color w:val="000000" w:themeColor="text1"/>
          <w:szCs w:val="21"/>
          <w14:textFill>
            <w14:solidFill>
              <w14:schemeClr w14:val="tx1"/>
            </w14:solidFill>
          </w14:textFill>
        </w:rPr>
        <w:t>提出。电话：0755</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8388</w:t>
      </w:r>
      <w:r>
        <w:rPr>
          <w:rFonts w:ascii="宋体" w:hAnsi="宋体"/>
          <w:color w:val="000000" w:themeColor="text1"/>
          <w:szCs w:val="21"/>
          <w14:textFill>
            <w14:solidFill>
              <w14:schemeClr w14:val="tx1"/>
            </w14:solidFill>
          </w14:textFill>
        </w:rPr>
        <w:t>1111。</w:t>
      </w:r>
      <w:r>
        <w:rPr>
          <w:rFonts w:hint="eastAsia" w:ascii="宋体" w:hAnsi="宋体"/>
          <w:color w:val="000000" w:themeColor="text1"/>
          <w:szCs w:val="21"/>
          <w14:textFill>
            <w14:solidFill>
              <w14:schemeClr w14:val="tx1"/>
            </w14:solidFill>
          </w14:textFill>
        </w:rPr>
        <w:t>若在公示期内未提出质疑，则视为认同该评审结果。</w:t>
      </w:r>
    </w:p>
    <w:bookmarkEnd w:id="76"/>
    <w:p w14:paraId="6E15C746">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40.2质疑、投诉供应商应保证质疑、投诉内容的真实性和可靠性，并承担相应的法律责任。</w:t>
      </w:r>
    </w:p>
    <w:p w14:paraId="155DEF8E">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41．中标通知书、招标代理服务费</w:t>
      </w:r>
    </w:p>
    <w:p w14:paraId="5E5C3014">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41.1</w:t>
      </w:r>
      <w:bookmarkStart w:id="77" w:name="_Hlk72438863"/>
      <w:r>
        <w:rPr>
          <w:rFonts w:ascii="宋体" w:hAnsi="宋体"/>
          <w:color w:val="000000" w:themeColor="text1"/>
          <w:szCs w:val="21"/>
          <w14:textFill>
            <w14:solidFill>
              <w14:schemeClr w14:val="tx1"/>
            </w14:solidFill>
          </w14:textFill>
        </w:rPr>
        <w:t>中标公告公布以后无异常的情况下,中标供应商和采购人可自行在“深圳政府采购智慧平台（</w:t>
      </w:r>
      <w:r>
        <w:rPr>
          <w:rFonts w:hint="eastAsia" w:ascii="宋体" w:hAnsi="宋体"/>
          <w:color w:val="000000" w:themeColor="text1"/>
          <w:szCs w:val="21"/>
          <w14:textFill>
            <w14:solidFill>
              <w14:schemeClr w14:val="tx1"/>
            </w14:solidFill>
          </w14:textFill>
        </w:rPr>
        <w:t>http://zfcg.szggzy.com:8081/</w:t>
      </w:r>
      <w:r>
        <w:rPr>
          <w:rFonts w:ascii="宋体" w:hAnsi="宋体"/>
          <w:color w:val="000000" w:themeColor="text1"/>
          <w:szCs w:val="21"/>
          <w14:textFill>
            <w14:solidFill>
              <w14:schemeClr w14:val="tx1"/>
            </w14:solidFill>
          </w14:textFill>
        </w:rPr>
        <w:t>）”上打印</w:t>
      </w:r>
      <w:r>
        <w:rPr>
          <w:rFonts w:ascii="宋体" w:hAnsi="宋体"/>
          <w:b w:val="0"/>
          <w:bCs/>
          <w:color w:val="000000" w:themeColor="text1"/>
          <w:szCs w:val="21"/>
          <w14:textFill>
            <w14:solidFill>
              <w14:schemeClr w14:val="tx1"/>
            </w14:solidFill>
          </w14:textFill>
        </w:rPr>
        <w:t>《数字中标通知书》</w:t>
      </w:r>
      <w:r>
        <w:rPr>
          <w:rFonts w:ascii="宋体" w:hAnsi="宋体"/>
          <w:b/>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咨询电话：</w:t>
      </w:r>
      <w:r>
        <w:rPr>
          <w:rFonts w:ascii="宋体" w:hAnsi="宋体"/>
          <w:b/>
          <w:bCs/>
          <w:color w:val="000000" w:themeColor="text1"/>
          <w:szCs w:val="21"/>
          <w14:textFill>
            <w14:solidFill>
              <w14:schemeClr w14:val="tx1"/>
            </w14:solidFill>
          </w14:textFill>
        </w:rPr>
        <w:t>0755-83881111</w:t>
      </w:r>
      <w:r>
        <w:rPr>
          <w:rFonts w:hint="eastAsia" w:ascii="宋体" w:hAnsi="宋体" w:eastAsia="宋体" w:cs="宋体"/>
          <w:b/>
          <w:bCs/>
          <w:color w:val="000000" w:themeColor="text1"/>
          <w:szCs w:val="21"/>
          <w14:textFill>
            <w14:solidFill>
              <w14:schemeClr w14:val="tx1"/>
            </w14:solidFill>
          </w14:textFill>
        </w:rPr>
        <w:t>、8</w:t>
      </w:r>
      <w:r>
        <w:rPr>
          <w:rFonts w:ascii="宋体" w:hAnsi="宋体" w:eastAsia="宋体" w:cs="宋体"/>
          <w:b/>
          <w:bCs/>
          <w:color w:val="000000" w:themeColor="text1"/>
          <w:szCs w:val="21"/>
          <w14:textFill>
            <w14:solidFill>
              <w14:schemeClr w14:val="tx1"/>
            </w14:solidFill>
          </w14:textFill>
        </w:rPr>
        <w:t>3881995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或</w:t>
      </w:r>
      <w:r>
        <w:rPr>
          <w:rFonts w:hint="eastAsia" w:ascii="宋体" w:hAnsi="宋体"/>
          <w:szCs w:val="21"/>
        </w:rPr>
        <w:t>中标人凭单位证明和本人身份证到友和保险经纪有限公司领取《中标通知书》</w:t>
      </w:r>
      <w:r>
        <w:rPr>
          <w:rFonts w:ascii="宋体" w:hAnsi="宋体"/>
          <w:color w:val="000000" w:themeColor="text1"/>
          <w:szCs w:val="21"/>
          <w14:textFill>
            <w14:solidFill>
              <w14:schemeClr w14:val="tx1"/>
            </w14:solidFill>
          </w14:textFill>
        </w:rPr>
        <w:t>。</w:t>
      </w:r>
      <w:bookmarkEnd w:id="77"/>
    </w:p>
    <w:p w14:paraId="193CCF84">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中标通知书是合同的重要组成部分。</w:t>
      </w:r>
    </w:p>
    <w:p w14:paraId="3DDBE16E">
      <w:pPr>
        <w:ind w:firstLine="470" w:firstLineChars="196"/>
        <w:rPr>
          <w:rFonts w:hint="eastAsia" w:ascii="宋体" w:hAnsi="宋体"/>
          <w:color w:val="000000" w:themeColor="text1"/>
          <w:szCs w:val="21"/>
          <w14:textFill>
            <w14:solidFill>
              <w14:schemeClr w14:val="tx1"/>
            </w14:solidFill>
          </w14:textFill>
        </w:rPr>
      </w:pPr>
      <w:bookmarkStart w:id="78" w:name="_Hlk71407340"/>
      <w:r>
        <w:rPr>
          <w:rFonts w:hint="eastAsia" w:ascii="宋体" w:hAnsi="宋体"/>
          <w:color w:val="000000" w:themeColor="text1"/>
          <w:szCs w:val="21"/>
          <w14:textFill>
            <w14:solidFill>
              <w14:schemeClr w14:val="tx1"/>
            </w14:solidFill>
          </w14:textFill>
        </w:rPr>
        <w:t>41.3因质疑投诉或其它原因导致项目结果变更或采购终止的，</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有权吊销中标通知书。</w:t>
      </w:r>
    </w:p>
    <w:p w14:paraId="42F9E67A">
      <w:pPr>
        <w:ind w:firstLine="470"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41.4.1</w:t>
      </w:r>
      <w:r>
        <w:rPr>
          <w:rFonts w:hint="eastAsia" w:ascii="宋体" w:hAnsi="宋体"/>
          <w:color w:val="000000" w:themeColor="text1"/>
          <w:szCs w:val="21"/>
          <w14:textFill>
            <w14:solidFill>
              <w14:schemeClr w14:val="tx1"/>
            </w14:solidFill>
          </w14:textFill>
        </w:rPr>
        <w:t>代理费由中标人支付，代理费收费标准按《深圳市财政委员会关于规范深圳市社会采购代理机构管理有关事项的补充通知》（深财购〔2018〕27号）执行，收费标准如下表所列。招标代理服务费以中标金额为基数，按差额定率累进法计算</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不足人民币陆仟元的按照固定额陆仟元收取。具体计取费率标准如下表所示：</w:t>
      </w:r>
    </w:p>
    <w:tbl>
      <w:tblPr>
        <w:tblStyle w:val="17"/>
        <w:tblW w:w="78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47"/>
        <w:gridCol w:w="1788"/>
        <w:gridCol w:w="1788"/>
        <w:gridCol w:w="1788"/>
      </w:tblGrid>
      <w:tr w14:paraId="725E4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 w:hRule="atLeast"/>
          <w:jc w:val="center"/>
        </w:trPr>
        <w:tc>
          <w:tcPr>
            <w:tcW w:w="2447" w:type="dxa"/>
            <w:tcBorders>
              <w:tl2br w:val="single" w:color="auto" w:sz="8" w:space="0"/>
            </w:tcBorders>
            <w:vAlign w:val="center"/>
          </w:tcPr>
          <w:p w14:paraId="79B923B7">
            <w:pPr>
              <w:keepNext w:val="0"/>
              <w:keepLines w:val="0"/>
              <w:widowControl/>
              <w:suppressLineNumbers w:val="0"/>
              <w:snapToGrid w:val="0"/>
              <w:spacing w:before="0" w:beforeAutospacing="0" w:after="0" w:afterAutospacing="0" w:line="360" w:lineRule="auto"/>
              <w:ind w:left="0" w:right="0" w:firstLine="1200" w:firstLineChars="500"/>
              <w:jc w:val="center"/>
              <w:rPr>
                <w:rFonts w:hint="default" w:ascii="宋体" w:hAnsi="宋体"/>
                <w:szCs w:val="21"/>
              </w:rPr>
            </w:pPr>
            <w:r>
              <w:rPr>
                <w:rFonts w:hint="eastAsia" w:ascii="宋体" w:hAnsi="宋体"/>
                <w:szCs w:val="21"/>
              </w:rPr>
              <w:t>服务类型</w:t>
            </w:r>
          </w:p>
          <w:p w14:paraId="41872185">
            <w:pPr>
              <w:pStyle w:val="6"/>
              <w:keepNext w:val="0"/>
              <w:keepLines w:val="0"/>
              <w:widowControl/>
              <w:suppressLineNumbers w:val="0"/>
              <w:spacing w:before="0" w:beforeAutospacing="0" w:after="0" w:afterAutospacing="0"/>
              <w:ind w:left="0" w:right="0" w:firstLine="0"/>
              <w:jc w:val="both"/>
              <w:rPr>
                <w:rFonts w:hint="default" w:ascii="宋体" w:hAnsi="宋体"/>
                <w:szCs w:val="21"/>
              </w:rPr>
            </w:pPr>
            <w:r>
              <w:rPr>
                <w:rFonts w:hint="eastAsia" w:ascii="宋体" w:hAnsi="宋体"/>
                <w:szCs w:val="21"/>
              </w:rPr>
              <w:t>中标金额</w:t>
            </w:r>
            <w:r>
              <w:rPr>
                <w:rFonts w:hint="default" w:ascii="宋体" w:hAnsi="宋体"/>
                <w:szCs w:val="21"/>
              </w:rPr>
              <w:t>(</w:t>
            </w:r>
            <w:r>
              <w:rPr>
                <w:rFonts w:hint="eastAsia" w:ascii="宋体" w:hAnsi="宋体"/>
                <w:szCs w:val="21"/>
              </w:rPr>
              <w:t>万元</w:t>
            </w:r>
            <w:r>
              <w:rPr>
                <w:rFonts w:hint="default" w:ascii="宋体" w:hAnsi="宋体"/>
                <w:szCs w:val="21"/>
              </w:rPr>
              <w:t>)</w:t>
            </w:r>
          </w:p>
        </w:tc>
        <w:tc>
          <w:tcPr>
            <w:tcW w:w="1788" w:type="dxa"/>
            <w:vAlign w:val="center"/>
          </w:tcPr>
          <w:p w14:paraId="1377A95D">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货物招标</w:t>
            </w:r>
          </w:p>
        </w:tc>
        <w:tc>
          <w:tcPr>
            <w:tcW w:w="1788" w:type="dxa"/>
            <w:vAlign w:val="center"/>
          </w:tcPr>
          <w:p w14:paraId="01C17F3F">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服务招标</w:t>
            </w:r>
          </w:p>
        </w:tc>
        <w:tc>
          <w:tcPr>
            <w:tcW w:w="1788" w:type="dxa"/>
            <w:vAlign w:val="center"/>
          </w:tcPr>
          <w:p w14:paraId="5A0E8618">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eastAsia" w:ascii="宋体" w:hAnsi="宋体"/>
                <w:szCs w:val="21"/>
              </w:rPr>
              <w:t>工程招标</w:t>
            </w:r>
          </w:p>
        </w:tc>
      </w:tr>
      <w:tr w14:paraId="7885E1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4FF4D849">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100</w:t>
            </w:r>
            <w:r>
              <w:rPr>
                <w:rFonts w:hint="eastAsia" w:ascii="宋体" w:hAnsi="宋体"/>
                <w:szCs w:val="21"/>
              </w:rPr>
              <w:t>以下</w:t>
            </w:r>
          </w:p>
        </w:tc>
        <w:tc>
          <w:tcPr>
            <w:tcW w:w="1788" w:type="dxa"/>
          </w:tcPr>
          <w:p w14:paraId="1663ED27">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1.50%</w:t>
            </w:r>
          </w:p>
        </w:tc>
        <w:tc>
          <w:tcPr>
            <w:tcW w:w="1788" w:type="dxa"/>
          </w:tcPr>
          <w:p w14:paraId="5CF96F53">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1.50%</w:t>
            </w:r>
          </w:p>
        </w:tc>
        <w:tc>
          <w:tcPr>
            <w:tcW w:w="1788" w:type="dxa"/>
          </w:tcPr>
          <w:p w14:paraId="49531B1A">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1.00%</w:t>
            </w:r>
          </w:p>
        </w:tc>
      </w:tr>
      <w:tr w14:paraId="22B63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0690A01F">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100-500</w:t>
            </w:r>
          </w:p>
        </w:tc>
        <w:tc>
          <w:tcPr>
            <w:tcW w:w="1788" w:type="dxa"/>
          </w:tcPr>
          <w:p w14:paraId="7D28E53D">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1.10%</w:t>
            </w:r>
          </w:p>
        </w:tc>
        <w:tc>
          <w:tcPr>
            <w:tcW w:w="1788" w:type="dxa"/>
          </w:tcPr>
          <w:p w14:paraId="37F3853F">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0.80%</w:t>
            </w:r>
          </w:p>
        </w:tc>
        <w:tc>
          <w:tcPr>
            <w:tcW w:w="1788" w:type="dxa"/>
          </w:tcPr>
          <w:p w14:paraId="63FE7D02">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0.70%</w:t>
            </w:r>
          </w:p>
        </w:tc>
      </w:tr>
      <w:tr w14:paraId="075E0A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4ECC19AD">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500-1000</w:t>
            </w:r>
          </w:p>
        </w:tc>
        <w:tc>
          <w:tcPr>
            <w:tcW w:w="1788" w:type="dxa"/>
          </w:tcPr>
          <w:p w14:paraId="6411DF1E">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0.80%</w:t>
            </w:r>
          </w:p>
        </w:tc>
        <w:tc>
          <w:tcPr>
            <w:tcW w:w="1788" w:type="dxa"/>
          </w:tcPr>
          <w:p w14:paraId="1FD0B147">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0.45%</w:t>
            </w:r>
          </w:p>
        </w:tc>
        <w:tc>
          <w:tcPr>
            <w:tcW w:w="1788" w:type="dxa"/>
          </w:tcPr>
          <w:p w14:paraId="0A589BE1">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0.55%</w:t>
            </w:r>
          </w:p>
        </w:tc>
      </w:tr>
      <w:tr w14:paraId="380E39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4B2CDCF2">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1000-5000</w:t>
            </w:r>
          </w:p>
        </w:tc>
        <w:tc>
          <w:tcPr>
            <w:tcW w:w="1788" w:type="dxa"/>
          </w:tcPr>
          <w:p w14:paraId="7AA99320">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0.50%</w:t>
            </w:r>
          </w:p>
        </w:tc>
        <w:tc>
          <w:tcPr>
            <w:tcW w:w="1788" w:type="dxa"/>
          </w:tcPr>
          <w:p w14:paraId="78ACE108">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0.25%</w:t>
            </w:r>
          </w:p>
        </w:tc>
        <w:tc>
          <w:tcPr>
            <w:tcW w:w="1788" w:type="dxa"/>
          </w:tcPr>
          <w:p w14:paraId="33DD9358">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0.35%</w:t>
            </w:r>
          </w:p>
        </w:tc>
      </w:tr>
      <w:tr w14:paraId="6D1C8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5D1FC9C7">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5000-10000</w:t>
            </w:r>
          </w:p>
        </w:tc>
        <w:tc>
          <w:tcPr>
            <w:tcW w:w="1788" w:type="dxa"/>
          </w:tcPr>
          <w:p w14:paraId="162EE69E">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0.25%</w:t>
            </w:r>
          </w:p>
        </w:tc>
        <w:tc>
          <w:tcPr>
            <w:tcW w:w="1788" w:type="dxa"/>
          </w:tcPr>
          <w:p w14:paraId="4E3E4323">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0.10%</w:t>
            </w:r>
          </w:p>
        </w:tc>
        <w:tc>
          <w:tcPr>
            <w:tcW w:w="1788" w:type="dxa"/>
          </w:tcPr>
          <w:p w14:paraId="74417844">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0.20%</w:t>
            </w:r>
          </w:p>
        </w:tc>
      </w:tr>
      <w:tr w14:paraId="2EEE5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3D3B0F7B">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10000-100000</w:t>
            </w:r>
          </w:p>
        </w:tc>
        <w:tc>
          <w:tcPr>
            <w:tcW w:w="1788" w:type="dxa"/>
          </w:tcPr>
          <w:p w14:paraId="4CFE8579">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0.05%</w:t>
            </w:r>
          </w:p>
        </w:tc>
        <w:tc>
          <w:tcPr>
            <w:tcW w:w="1788" w:type="dxa"/>
          </w:tcPr>
          <w:p w14:paraId="48727A5B">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0.05%</w:t>
            </w:r>
          </w:p>
        </w:tc>
        <w:tc>
          <w:tcPr>
            <w:tcW w:w="1788" w:type="dxa"/>
          </w:tcPr>
          <w:p w14:paraId="3B8988D6">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0.05%</w:t>
            </w:r>
          </w:p>
        </w:tc>
      </w:tr>
      <w:tr w14:paraId="59132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447" w:type="dxa"/>
            <w:vAlign w:val="center"/>
          </w:tcPr>
          <w:p w14:paraId="62875D2A">
            <w:pPr>
              <w:keepNext w:val="0"/>
              <w:keepLines w:val="0"/>
              <w:widowControl/>
              <w:suppressLineNumbers w:val="0"/>
              <w:snapToGrid w:val="0"/>
              <w:spacing w:before="0" w:beforeAutospacing="0" w:after="0" w:afterAutospacing="0" w:line="360" w:lineRule="auto"/>
              <w:ind w:left="0" w:right="0"/>
              <w:jc w:val="center"/>
              <w:rPr>
                <w:rFonts w:hint="default" w:ascii="宋体" w:hAnsi="宋体"/>
                <w:szCs w:val="21"/>
              </w:rPr>
            </w:pPr>
            <w:r>
              <w:rPr>
                <w:rFonts w:hint="default" w:ascii="宋体" w:hAnsi="宋体"/>
                <w:szCs w:val="21"/>
              </w:rPr>
              <w:t>1000000</w:t>
            </w:r>
            <w:r>
              <w:rPr>
                <w:rFonts w:hint="eastAsia" w:ascii="宋体" w:hAnsi="宋体"/>
                <w:szCs w:val="21"/>
              </w:rPr>
              <w:t>以上</w:t>
            </w:r>
          </w:p>
        </w:tc>
        <w:tc>
          <w:tcPr>
            <w:tcW w:w="1788" w:type="dxa"/>
          </w:tcPr>
          <w:p w14:paraId="6BBCF759">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0.01%</w:t>
            </w:r>
          </w:p>
        </w:tc>
        <w:tc>
          <w:tcPr>
            <w:tcW w:w="1788" w:type="dxa"/>
          </w:tcPr>
          <w:p w14:paraId="27765D91">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0.01%</w:t>
            </w:r>
          </w:p>
        </w:tc>
        <w:tc>
          <w:tcPr>
            <w:tcW w:w="1788" w:type="dxa"/>
          </w:tcPr>
          <w:p w14:paraId="3B5AA6D7">
            <w:pPr>
              <w:keepNext w:val="0"/>
              <w:keepLines w:val="0"/>
              <w:widowControl/>
              <w:suppressLineNumbers w:val="0"/>
              <w:spacing w:before="0" w:beforeAutospacing="0" w:after="0" w:afterAutospacing="0" w:line="360" w:lineRule="auto"/>
              <w:ind w:left="0" w:right="0"/>
              <w:jc w:val="center"/>
              <w:rPr>
                <w:rFonts w:hint="default" w:ascii="宋体" w:hAnsi="宋体"/>
              </w:rPr>
            </w:pPr>
            <w:r>
              <w:rPr>
                <w:rFonts w:hint="default" w:ascii="宋体" w:hAnsi="宋体"/>
              </w:rPr>
              <w:t>0.01%</w:t>
            </w:r>
          </w:p>
        </w:tc>
      </w:tr>
    </w:tbl>
    <w:p w14:paraId="0A847739">
      <w:pPr>
        <w:ind w:firstLine="470"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例如：某服务招标代理业务中标金额为600万元，计算招标代理服务收费额如下：</w:t>
      </w:r>
    </w:p>
    <w:p w14:paraId="2084405C">
      <w:pPr>
        <w:ind w:firstLine="470"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100万元×1.5%=1.5万元</w:t>
      </w:r>
    </w:p>
    <w:p w14:paraId="0E016DEF">
      <w:pPr>
        <w:ind w:firstLine="470"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（500-100）万元×0.8%=3.2万元</w:t>
      </w:r>
    </w:p>
    <w:p w14:paraId="742F5FAD">
      <w:pPr>
        <w:ind w:firstLine="470"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（600-500）万元×0.45%=0.45万元</w:t>
      </w:r>
    </w:p>
    <w:p w14:paraId="2897FE92">
      <w:pPr>
        <w:ind w:firstLine="470" w:firstLineChars="196"/>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合计收费=1.5+3.2+0.45=5.15万元：</w:t>
      </w:r>
    </w:p>
    <w:p w14:paraId="21845235">
      <w:pPr>
        <w:ind w:firstLine="470"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中标人须在中标公告公示期结束后，领取《中标通知书》前，向招标代理机构缴纳中标服务费。</w:t>
      </w:r>
    </w:p>
    <w:p w14:paraId="676272E2">
      <w:pPr>
        <w:ind w:firstLine="470" w:firstLineChars="196"/>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4.2</w:t>
      </w:r>
      <w:r>
        <w:rPr>
          <w:rFonts w:hint="eastAsia" w:ascii="宋体" w:hAnsi="宋体"/>
          <w:color w:val="000000" w:themeColor="text1"/>
          <w:szCs w:val="21"/>
          <w14:textFill>
            <w14:solidFill>
              <w14:schemeClr w14:val="tx1"/>
            </w14:solidFill>
          </w14:textFill>
        </w:rPr>
        <w:t xml:space="preserve"> 招标代理服务费以转账、现金形式交付。</w:t>
      </w:r>
    </w:p>
    <w:p w14:paraId="14A6FF39"/>
    <w:bookmarkEnd w:id="78"/>
    <w:p w14:paraId="6C02D7FF">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公开招标失败的后续处理</w:t>
      </w:r>
    </w:p>
    <w:p w14:paraId="00AB0A51">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42．公开招标失败的处理</w:t>
      </w:r>
    </w:p>
    <w:p w14:paraId="130E695B">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42.1本项目公开招标过程中若由于投标截止后</w:t>
      </w:r>
      <w:r>
        <w:rPr>
          <w:rFonts w:hint="eastAsia" w:ascii="宋体" w:hAnsi="宋体"/>
          <w:color w:val="000000" w:themeColor="text1"/>
          <w14:textFill>
            <w14:solidFill>
              <w14:schemeClr w14:val="tx1"/>
            </w14:solidFill>
          </w14:textFill>
        </w:rPr>
        <w:t>实际递交</w:t>
      </w:r>
      <w:r>
        <w:rPr>
          <w:rFonts w:ascii="宋体" w:hAnsi="宋体"/>
          <w:color w:val="000000" w:themeColor="text1"/>
          <w14:textFill>
            <w14:solidFill>
              <w14:schemeClr w14:val="tx1"/>
            </w14:solidFill>
          </w14:textFill>
        </w:rPr>
        <w:t>投标</w:t>
      </w:r>
      <w:r>
        <w:rPr>
          <w:rFonts w:hint="eastAsia" w:ascii="宋体" w:hAnsi="宋体"/>
          <w:color w:val="000000" w:themeColor="text1"/>
          <w14:textFill>
            <w14:solidFill>
              <w14:schemeClr w14:val="tx1"/>
            </w14:solidFill>
          </w14:textFill>
        </w:rPr>
        <w:t>文件的供应商数量不足、经</w:t>
      </w:r>
      <w:r>
        <w:rPr>
          <w:rFonts w:hint="eastAsia" w:ascii="宋体" w:hAnsi="宋体"/>
          <w:color w:val="000000" w:themeColor="text1"/>
          <w:szCs w:val="21"/>
          <w14:textFill>
            <w14:solidFill>
              <w14:schemeClr w14:val="tx1"/>
            </w14:solidFill>
          </w14:textFill>
        </w:rPr>
        <w:t>评审委员会</w:t>
      </w:r>
      <w:r>
        <w:rPr>
          <w:rFonts w:hint="eastAsia" w:ascii="宋体" w:hAnsi="宋体"/>
          <w:color w:val="000000" w:themeColor="text1"/>
          <w14:textFill>
            <w14:solidFill>
              <w14:schemeClr w14:val="tx1"/>
            </w14:solidFill>
          </w14:textFill>
        </w:rPr>
        <w:t>评审对招标文件作实质响应的供应商不足等原因造成公开招标失败，可由</w:t>
      </w:r>
      <w:r>
        <w:rPr>
          <w:rFonts w:hint="eastAsia" w:ascii="宋体" w:hAnsi="宋体" w:eastAsia="宋体" w:cs="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重新组织采购。</w:t>
      </w:r>
    </w:p>
    <w:p w14:paraId="1F0896B5">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42.2对公开招标失败的项目，评审委员会在出具该项目招标失败结论的同时，可以提出重新采购组织形式的建议，以及进一步完善招标文件的资格、技术、商务要求的修改建议。</w:t>
      </w:r>
    </w:p>
    <w:p w14:paraId="02A5824C">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42.3重新组织采购有以下两种组织形式：</w:t>
      </w:r>
    </w:p>
    <w:p w14:paraId="584B33E9">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（1）由</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重新组织公开招标；</w:t>
      </w:r>
    </w:p>
    <w:p w14:paraId="328FE119">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（2）根据实际情况需要向同级财政部门提出非公开招标方式申请，经同级财政部门批准，公开招标失败采购项目可转为竞争性谈判或单一来源谈判方式采购。</w:t>
      </w:r>
    </w:p>
    <w:p w14:paraId="4AD13A97">
      <w:pPr>
        <w:ind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42.4公开招标失败的采购项目重新组织公开招标，由</w:t>
      </w:r>
      <w:r>
        <w:rPr>
          <w:rFonts w:hint="eastAsia" w:ascii="宋体" w:hAnsi="宋体" w:eastAsia="宋体"/>
          <w:color w:val="000000" w:themeColor="text1"/>
          <w14:textFill>
            <w14:solidFill>
              <w14:schemeClr w14:val="tx1"/>
            </w14:solidFill>
          </w14:textFill>
        </w:rPr>
        <w:t>招标机构</w:t>
      </w:r>
      <w:r>
        <w:rPr>
          <w:rFonts w:hint="eastAsia" w:ascii="宋体" w:hAnsi="宋体"/>
          <w:color w:val="000000" w:themeColor="text1"/>
          <w14:textFill>
            <w14:solidFill>
              <w14:schemeClr w14:val="tx1"/>
            </w14:solidFill>
          </w14:textFill>
        </w:rPr>
        <w:t>重新按公开招标流程组织采购活动。</w:t>
      </w:r>
    </w:p>
    <w:p w14:paraId="096D63DF">
      <w:pPr>
        <w:ind w:firstLine="470" w:firstLineChars="19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42.5公开招标失败的采购项目经同级财政部门批准转为竞争性谈判或单一来源谈判方式采购的，按规定要求组织政府采购工作。</w:t>
      </w:r>
    </w:p>
    <w:p w14:paraId="07164459">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bookmarkStart w:id="79" w:name="_Hlk72439043"/>
      <w:r>
        <w:rPr>
          <w:rFonts w:hint="eastAsia"/>
          <w:color w:val="000000" w:themeColor="text1"/>
          <w:sz w:val="28"/>
          <w:szCs w:val="28"/>
          <w14:textFill>
            <w14:solidFill>
              <w14:schemeClr w14:val="tx1"/>
            </w14:solidFill>
          </w14:textFill>
        </w:rPr>
        <w:t>合同的授予与备案</w:t>
      </w:r>
      <w:bookmarkEnd w:id="79"/>
    </w:p>
    <w:p w14:paraId="7ED2CA6A">
      <w:pPr>
        <w:rPr>
          <w:rFonts w:ascii="黑体" w:hAnsi="宋体" w:eastAsia="黑体"/>
          <w:color w:val="000000" w:themeColor="text1"/>
          <w14:textFill>
            <w14:solidFill>
              <w14:schemeClr w14:val="tx1"/>
            </w14:solidFill>
          </w14:textFill>
        </w:rPr>
      </w:pPr>
      <w:bookmarkStart w:id="80" w:name="_Toc73521586"/>
      <w:bookmarkStart w:id="81" w:name="_Toc73517679"/>
      <w:bookmarkStart w:id="82" w:name="_Toc100052408"/>
      <w:bookmarkStart w:id="83" w:name="_Toc73518157"/>
      <w:bookmarkStart w:id="84" w:name="_Toc73521674"/>
      <w:bookmarkStart w:id="85" w:name="_Hlk72439088"/>
      <w:r>
        <w:rPr>
          <w:rFonts w:hint="eastAsia" w:ascii="黑体" w:hAnsi="宋体" w:eastAsia="黑体"/>
          <w:color w:val="000000" w:themeColor="text1"/>
          <w14:textFill>
            <w14:solidFill>
              <w14:schemeClr w14:val="tx1"/>
            </w14:solidFill>
          </w14:textFill>
        </w:rPr>
        <w:t>43．合同授予标准</w:t>
      </w:r>
      <w:bookmarkEnd w:id="80"/>
      <w:bookmarkEnd w:id="81"/>
      <w:bookmarkEnd w:id="82"/>
      <w:bookmarkEnd w:id="83"/>
      <w:bookmarkEnd w:id="84"/>
    </w:p>
    <w:p w14:paraId="20BC5429">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本项目的合同将授予经本招标文件规定评审确定的中标供应商。</w:t>
      </w:r>
    </w:p>
    <w:p w14:paraId="7A00232F">
      <w:pPr>
        <w:rPr>
          <w:rFonts w:ascii="黑体" w:hAnsi="宋体" w:eastAsia="黑体"/>
          <w:color w:val="000000" w:themeColor="text1"/>
          <w14:textFill>
            <w14:solidFill>
              <w14:schemeClr w14:val="tx1"/>
            </w14:solidFill>
          </w14:textFill>
        </w:rPr>
      </w:pPr>
      <w:bookmarkStart w:id="86" w:name="_Toc73521675"/>
      <w:bookmarkStart w:id="87" w:name="_Toc73518158"/>
      <w:bookmarkStart w:id="88" w:name="_Toc100052409"/>
      <w:bookmarkStart w:id="89" w:name="_Toc73517680"/>
      <w:bookmarkStart w:id="90" w:name="_Toc73521587"/>
      <w:r>
        <w:rPr>
          <w:rFonts w:hint="eastAsia" w:ascii="黑体" w:hAnsi="宋体" w:eastAsia="黑体"/>
          <w:color w:val="000000" w:themeColor="text1"/>
          <w14:textFill>
            <w14:solidFill>
              <w14:schemeClr w14:val="tx1"/>
            </w14:solidFill>
          </w14:textFill>
        </w:rPr>
        <w:t>44．</w:t>
      </w:r>
      <w:bookmarkEnd w:id="86"/>
      <w:bookmarkEnd w:id="87"/>
      <w:bookmarkEnd w:id="88"/>
      <w:bookmarkEnd w:id="89"/>
      <w:bookmarkEnd w:id="90"/>
      <w:r>
        <w:rPr>
          <w:rFonts w:hint="eastAsia" w:ascii="黑体" w:hAnsi="宋体" w:eastAsia="黑体"/>
          <w:color w:val="000000" w:themeColor="text1"/>
          <w14:textFill>
            <w14:solidFill>
              <w14:schemeClr w14:val="tx1"/>
            </w14:solidFill>
          </w14:textFill>
        </w:rPr>
        <w:t>接受和拒绝任何或所有投标的权力</w:t>
      </w:r>
    </w:p>
    <w:p w14:paraId="3D94C89E">
      <w:pPr>
        <w:ind w:firstLine="470" w:firstLineChars="196"/>
        <w:rPr>
          <w:rFonts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和采购人保留在投标之前任何时候接受或拒绝任何投标或所有投标，以及宣布招标无效的权力，对受影响的投标人不承担任何责任，也无义务向受影响的投标人解释采取这一行动的理由。</w:t>
      </w:r>
    </w:p>
    <w:p w14:paraId="3A759087">
      <w:pPr>
        <w:rPr>
          <w:rFonts w:ascii="黑体" w:hAnsi="宋体" w:eastAsia="黑体"/>
          <w:color w:val="000000" w:themeColor="text1"/>
          <w14:textFill>
            <w14:solidFill>
              <w14:schemeClr w14:val="tx1"/>
            </w14:solidFill>
          </w14:textFill>
        </w:rPr>
      </w:pPr>
      <w:bookmarkStart w:id="91" w:name="_Toc73521589"/>
      <w:bookmarkStart w:id="92" w:name="_Toc73521677"/>
      <w:bookmarkStart w:id="93" w:name="_Toc73517682"/>
      <w:bookmarkStart w:id="94" w:name="_Toc73518160"/>
      <w:bookmarkStart w:id="95" w:name="_Toc100052410"/>
      <w:r>
        <w:rPr>
          <w:rFonts w:hint="eastAsia" w:ascii="黑体" w:hAnsi="宋体" w:eastAsia="黑体"/>
          <w:color w:val="000000" w:themeColor="text1"/>
          <w14:textFill>
            <w14:solidFill>
              <w14:schemeClr w14:val="tx1"/>
            </w14:solidFill>
          </w14:textFill>
        </w:rPr>
        <w:t>45．合同的签订</w:t>
      </w:r>
      <w:bookmarkEnd w:id="91"/>
      <w:bookmarkEnd w:id="92"/>
      <w:bookmarkEnd w:id="93"/>
      <w:bookmarkEnd w:id="94"/>
      <w:bookmarkEnd w:id="95"/>
    </w:p>
    <w:p w14:paraId="394EAE60">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45.1中标人将于中标通知书发出之日起十个工作日内，按照采购文件（招标文件和投标文件等）内容与采购人签订政府采购合同；合同的实质性内容应当符合招标文件的规定；</w:t>
      </w:r>
    </w:p>
    <w:p w14:paraId="37CCACA9">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45.2中标人如不按本通用条款第45</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款的规定与采购人签订合同，</w:t>
      </w:r>
      <w:r>
        <w:rPr>
          <w:rFonts w:ascii="宋体" w:hAnsi="宋体" w:cs="宋体"/>
          <w:color w:val="000000" w:themeColor="text1"/>
          <w:szCs w:val="21"/>
          <w14:textFill>
            <w14:solidFill>
              <w14:schemeClr w14:val="tx1"/>
            </w14:solidFill>
          </w14:textFill>
        </w:rPr>
        <w:t>情节严重的，由</w:t>
      </w:r>
      <w:r>
        <w:rPr>
          <w:rFonts w:hint="eastAsia" w:ascii="宋体" w:hAnsi="宋体" w:cs="宋体"/>
          <w:color w:val="000000" w:themeColor="text1"/>
          <w:szCs w:val="21"/>
          <w14:textFill>
            <w14:solidFill>
              <w14:schemeClr w14:val="tx1"/>
            </w14:solidFill>
          </w14:textFill>
        </w:rPr>
        <w:t>同级财政</w:t>
      </w:r>
      <w:r>
        <w:rPr>
          <w:rFonts w:ascii="宋体" w:hAnsi="宋体" w:cs="宋体"/>
          <w:color w:val="000000" w:themeColor="text1"/>
          <w:szCs w:val="21"/>
          <w14:textFill>
            <w14:solidFill>
              <w14:schemeClr w14:val="tx1"/>
            </w14:solidFill>
          </w14:textFill>
        </w:rPr>
        <w:t>部门记入供应商诚信档案，予以通报</w:t>
      </w:r>
      <w:r>
        <w:rPr>
          <w:rFonts w:hint="eastAsia" w:ascii="宋体" w:hAnsi="宋体"/>
          <w:color w:val="000000" w:themeColor="text1"/>
          <w:szCs w:val="21"/>
          <w14:textFill>
            <w14:solidFill>
              <w14:schemeClr w14:val="tx1"/>
            </w14:solidFill>
          </w14:textFill>
        </w:rPr>
        <w:t>；</w:t>
      </w:r>
    </w:p>
    <w:p w14:paraId="3862F1FD">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45.3中标人应当按照合同约定履行义务，完成中标项目，不得将中标项目转让（转包）给他人。</w:t>
      </w:r>
    </w:p>
    <w:p w14:paraId="2DD3FBED">
      <w:pPr>
        <w:rPr>
          <w:rFonts w:ascii="黑体" w:hAnsi="宋体" w:eastAsia="黑体"/>
          <w:color w:val="000000" w:themeColor="text1"/>
          <w14:textFill>
            <w14:solidFill>
              <w14:schemeClr w14:val="tx1"/>
            </w14:solidFill>
          </w14:textFill>
        </w:rPr>
      </w:pPr>
      <w:bookmarkStart w:id="96" w:name="_Toc73518161"/>
      <w:bookmarkStart w:id="97" w:name="_Toc73517683"/>
      <w:bookmarkStart w:id="98" w:name="_Toc100052411"/>
      <w:bookmarkStart w:id="99" w:name="_Toc73521590"/>
      <w:bookmarkStart w:id="100" w:name="_Toc73521678"/>
      <w:r>
        <w:rPr>
          <w:rFonts w:hint="eastAsia" w:ascii="黑体" w:hAnsi="宋体" w:eastAsia="黑体"/>
          <w:color w:val="000000" w:themeColor="text1"/>
          <w14:textFill>
            <w14:solidFill>
              <w14:schemeClr w14:val="tx1"/>
            </w14:solidFill>
          </w14:textFill>
        </w:rPr>
        <w:t>46．履约担保</w:t>
      </w:r>
      <w:bookmarkEnd w:id="96"/>
      <w:bookmarkEnd w:id="97"/>
      <w:bookmarkEnd w:id="98"/>
      <w:bookmarkEnd w:id="99"/>
      <w:bookmarkEnd w:id="100"/>
    </w:p>
    <w:p w14:paraId="74558E60">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46.1在签订项目合同的同时，中标人应按“对通用条款的补充内容”中规定的金额向采购人提交履约担保；</w:t>
      </w:r>
    </w:p>
    <w:p w14:paraId="154C7CF2">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46.2允许供应商自主选择以支票、汇票、本票、保函等非现金方式提交履约担保；</w:t>
      </w:r>
      <w:r>
        <w:rPr>
          <w:color w:val="000000" w:themeColor="text1"/>
          <w14:textFill>
            <w14:solidFill>
              <w14:schemeClr w14:val="tx1"/>
            </w14:solidFill>
          </w14:textFill>
        </w:rPr>
        <w:t>中标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提交履约</w:t>
      </w:r>
      <w:r>
        <w:rPr>
          <w:rFonts w:hint="eastAsia"/>
          <w:color w:val="000000" w:themeColor="text1"/>
          <w14:textFill>
            <w14:solidFill>
              <w14:schemeClr w14:val="tx1"/>
            </w14:solidFill>
          </w14:textFill>
        </w:rPr>
        <w:t>担保不是</w:t>
      </w:r>
      <w:r>
        <w:rPr>
          <w:color w:val="000000" w:themeColor="text1"/>
          <w14:textFill>
            <w14:solidFill>
              <w14:schemeClr w14:val="tx1"/>
            </w14:solidFill>
          </w14:textFill>
        </w:rPr>
        <w:t>合同签订的</w:t>
      </w:r>
      <w:r>
        <w:rPr>
          <w:rFonts w:hint="eastAsia"/>
          <w:color w:val="000000" w:themeColor="text1"/>
          <w14:textFill>
            <w14:solidFill>
              <w14:schemeClr w14:val="tx1"/>
            </w14:solidFill>
          </w14:textFill>
        </w:rPr>
        <w:t>前提</w:t>
      </w:r>
      <w:r>
        <w:rPr>
          <w:color w:val="000000" w:themeColor="text1"/>
          <w14:textFill>
            <w14:solidFill>
              <w14:schemeClr w14:val="tx1"/>
            </w14:solidFill>
          </w14:textFill>
        </w:rPr>
        <w:t>条件，不要求中标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提供除法律、法规明确规定外的其他担保</w:t>
      </w:r>
      <w:r>
        <w:rPr>
          <w:rFonts w:hint="eastAsia"/>
          <w:color w:val="000000" w:themeColor="text1"/>
          <w14:textFill>
            <w14:solidFill>
              <w14:schemeClr w14:val="tx1"/>
            </w14:solidFill>
          </w14:textFill>
        </w:rPr>
        <w:t>。</w:t>
      </w:r>
    </w:p>
    <w:p w14:paraId="5CFEC2A3">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47. 合同备案</w:t>
      </w:r>
    </w:p>
    <w:p w14:paraId="452AC295">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采购人与中标人应于合同签订之日起</w:t>
      </w:r>
      <w:r>
        <w:rPr>
          <w:rFonts w:hint="eastAsia" w:ascii="宋体" w:hAnsi="宋体" w:eastAsia="宋体"/>
          <w:color w:val="000000" w:themeColor="text1"/>
          <w:szCs w:val="21"/>
          <w14:textFill>
            <w14:solidFill>
              <w14:schemeClr w14:val="tx1"/>
            </w14:solidFill>
          </w14:textFill>
        </w:rPr>
        <w:t>十日</w:t>
      </w:r>
      <w:r>
        <w:rPr>
          <w:rFonts w:hint="eastAsia" w:ascii="宋体" w:hAnsi="宋体"/>
          <w:color w:val="000000" w:themeColor="text1"/>
          <w:szCs w:val="21"/>
          <w14:textFill>
            <w14:solidFill>
              <w14:schemeClr w14:val="tx1"/>
            </w14:solidFill>
          </w14:textFill>
        </w:rPr>
        <w:t>内，由采购人或委托中标人将采购合同副本抄送合同备案工作实施机构备案。</w:t>
      </w:r>
    </w:p>
    <w:p w14:paraId="6C9CCE06">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48. 合同变更</w:t>
      </w:r>
    </w:p>
    <w:p w14:paraId="77D841CD">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合同变更事宜按《深圳市财政局 深圳市政府采购中心关于进一步加强市本级政府采购合同备案管理工作的通知》（深财购〔2019〕43号）相关规定执行。</w:t>
      </w:r>
    </w:p>
    <w:p w14:paraId="5657A573">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49. 项目验收</w:t>
      </w:r>
    </w:p>
    <w:p w14:paraId="789185EF">
      <w:pPr>
        <w:ind w:right="176"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49.1采购人应当按照招标文件和合同规定的标准和方法，及时组织验收。</w:t>
      </w:r>
    </w:p>
    <w:p w14:paraId="2F12E52C">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50. 宣传</w:t>
      </w:r>
    </w:p>
    <w:p w14:paraId="62A7E66F">
      <w:pPr>
        <w:ind w:left="240" w:leftChars="1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凡与政府采购活动有关的宣传或广告，若当中提及政府采购，</w:t>
      </w:r>
      <w:r>
        <w:rPr>
          <w:rFonts w:ascii="宋体" w:hAnsi="宋体"/>
          <w:color w:val="000000" w:themeColor="text1"/>
          <w14:textFill>
            <w14:solidFill>
              <w14:schemeClr w14:val="tx1"/>
            </w14:solidFill>
          </w14:textFill>
        </w:rPr>
        <w:t>必须事先将具体对外宣传方案报</w:t>
      </w:r>
      <w:r>
        <w:rPr>
          <w:rFonts w:hint="eastAsia" w:ascii="宋体" w:hAnsi="宋体"/>
          <w:color w:val="000000" w:themeColor="text1"/>
          <w14:textFill>
            <w14:solidFill>
              <w14:schemeClr w14:val="tx1"/>
            </w14:solidFill>
          </w14:textFill>
        </w:rPr>
        <w:t>同级财政部门</w:t>
      </w:r>
      <w:r>
        <w:rPr>
          <w:rFonts w:ascii="宋体" w:hAnsi="宋体"/>
          <w:color w:val="000000" w:themeColor="text1"/>
          <w14:textFill>
            <w14:solidFill>
              <w14:schemeClr w14:val="tx1"/>
            </w14:solidFill>
          </w14:textFill>
        </w:rPr>
        <w:t>和</w:t>
      </w:r>
      <w:r>
        <w:rPr>
          <w:rFonts w:hint="eastAsia" w:ascii="宋体" w:hAnsi="宋体" w:eastAsia="宋体"/>
          <w:color w:val="000000" w:themeColor="text1"/>
          <w14:textFill>
            <w14:solidFill>
              <w14:schemeClr w14:val="tx1"/>
            </w14:solidFill>
          </w14:textFill>
        </w:rPr>
        <w:t>招标机构</w:t>
      </w:r>
      <w:r>
        <w:rPr>
          <w:rFonts w:ascii="宋体" w:hAnsi="宋体"/>
          <w:color w:val="000000" w:themeColor="text1"/>
          <w14:textFill>
            <w14:solidFill>
              <w14:schemeClr w14:val="tx1"/>
            </w14:solidFill>
          </w14:textFill>
        </w:rPr>
        <w:t>，并征得其同意。对外市场宣传包括但不限于以下形式：</w:t>
      </w:r>
    </w:p>
    <w:p w14:paraId="14F0A536">
      <w:pPr>
        <w:ind w:left="240" w:leftChars="100"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a.名片、宣传册、广告标语等；</w:t>
      </w:r>
    </w:p>
    <w:p w14:paraId="171F674E">
      <w:pPr>
        <w:ind w:left="240" w:leftChars="100" w:firstLine="470" w:firstLineChars="19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b.案例介绍、推广等；</w:t>
      </w:r>
    </w:p>
    <w:p w14:paraId="78EA0635">
      <w:pPr>
        <w:ind w:left="240" w:leftChars="100" w:firstLine="470" w:firstLineChars="19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c.工作</w:t>
      </w:r>
      <w:r>
        <w:rPr>
          <w:rFonts w:ascii="宋体" w:hAnsi="宋体"/>
          <w:color w:val="000000" w:themeColor="text1"/>
          <w14:textFill>
            <w14:solidFill>
              <w14:schemeClr w14:val="tx1"/>
            </w14:solidFill>
          </w14:textFill>
        </w:rPr>
        <w:t>人员向其他消费群体宣传。</w:t>
      </w:r>
    </w:p>
    <w:p w14:paraId="4764F446">
      <w:pPr>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51. 供应商违法责任</w:t>
      </w:r>
    </w:p>
    <w:p w14:paraId="07844D1A">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092689B">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（1）在采购活动中应当回避而未回避的；</w:t>
      </w:r>
    </w:p>
    <w:p w14:paraId="352D2486">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（2）未按本条例规定签订、履行采购合同，造成严重后果的；</w:t>
      </w:r>
    </w:p>
    <w:p w14:paraId="63B05AE0">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（3）隐瞒真实情况，提供虚假资料的；</w:t>
      </w:r>
    </w:p>
    <w:p w14:paraId="7846D382">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（4）以非法手段排斥其他供应商参与竞争的；</w:t>
      </w:r>
    </w:p>
    <w:p w14:paraId="04B890BF">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（5）与其他采购参加人串通投标的；</w:t>
      </w:r>
    </w:p>
    <w:p w14:paraId="7FF2489D">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（6）恶意投诉的；</w:t>
      </w:r>
    </w:p>
    <w:p w14:paraId="58EB0F9E">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（7）向采购项目相关人行贿或者提供其他不当利益的；</w:t>
      </w:r>
    </w:p>
    <w:p w14:paraId="702D8A60">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（8）阻碍、抗拒主管部门监督检查的；</w:t>
      </w:r>
    </w:p>
    <w:p w14:paraId="1F01F779">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（9）其他违反本条例规定的行为。</w:t>
      </w:r>
    </w:p>
    <w:p w14:paraId="7CF1D198">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 xml:space="preserve">1.2 </w:t>
      </w:r>
      <w:r>
        <w:rPr>
          <w:rFonts w:hint="eastAsia" w:ascii="宋体" w:hAnsi="宋体"/>
          <w:color w:val="000000" w:themeColor="text1"/>
          <w:szCs w:val="21"/>
          <w14:textFill>
            <w14:solidFill>
              <w14:schemeClr w14:val="tx1"/>
            </w14:solidFill>
          </w14:textFill>
        </w:rPr>
        <w:t>根据《深圳市财政局关于明确政府采购保证金管理工作的通知》（深财购[2019]42号）的要求，供应商在政府采购活动中出现《深圳经济特区政府采购条例实施细则》第八十四条所列情形的，</w:t>
      </w:r>
      <w:bookmarkStart w:id="101" w:name="_Hlk72440769"/>
      <w:r>
        <w:rPr>
          <w:rFonts w:hint="eastAsia" w:ascii="宋体" w:hAnsi="宋体"/>
          <w:color w:val="000000" w:themeColor="text1"/>
          <w:szCs w:val="21"/>
          <w14:textFill>
            <w14:solidFill>
              <w14:schemeClr w14:val="tx1"/>
            </w14:solidFill>
          </w14:textFill>
        </w:rPr>
        <w:t>采购人或</w:t>
      </w:r>
      <w:bookmarkEnd w:id="101"/>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可将有关情况报同级财政部门，由财政部门根据实际情况记入供应商诚信档案，予以通报：</w:t>
      </w:r>
    </w:p>
    <w:p w14:paraId="62BA3741">
      <w:pPr>
        <w:ind w:firstLine="470"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）投标截止后，撤销投标的；</w:t>
      </w:r>
    </w:p>
    <w:p w14:paraId="779B96A7">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）中标后无正当理由未在规定期限内签订合同的；</w:t>
      </w:r>
    </w:p>
    <w:p w14:paraId="13CACEB3">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）将中标项目转让给他人、或者在投标文件中未说明且未经采购人、采购招标机构同意，将中标项目分包给他人的；</w:t>
      </w:r>
    </w:p>
    <w:p w14:paraId="1FCF7A50">
      <w:pPr>
        <w:ind w:firstLine="470" w:firstLineChars="19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）拒绝履行合同义务的</w:t>
      </w:r>
      <w:r>
        <w:rPr>
          <w:rFonts w:hint="eastAsia" w:ascii="宋体" w:hAnsi="宋体"/>
          <w:color w:val="000000" w:themeColor="text1"/>
          <w:szCs w:val="21"/>
          <w14:textFill>
            <w14:solidFill>
              <w14:schemeClr w14:val="tx1"/>
            </w14:solidFill>
          </w14:textFill>
        </w:rPr>
        <w:t>。</w:t>
      </w:r>
    </w:p>
    <w:bookmarkEnd w:id="85"/>
    <w:p w14:paraId="3B1ACAB4">
      <w:pPr>
        <w:pStyle w:val="5"/>
        <w:numPr>
          <w:ilvl w:val="0"/>
          <w:numId w:val="13"/>
        </w:numPr>
        <w:tabs>
          <w:tab w:val="left" w:pos="360"/>
          <w:tab w:val="clear" w:pos="720"/>
        </w:tabs>
        <w:spacing w:before="120" w:beforeLines="50" w:after="120" w:afterLines="50"/>
        <w:ind w:left="562" w:hanging="56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质疑处理</w:t>
      </w:r>
    </w:p>
    <w:p w14:paraId="60D12320">
      <w:pPr>
        <w:rPr>
          <w:rFonts w:ascii="黑体" w:hAnsi="宋体" w:eastAsia="黑体"/>
          <w:color w:val="000000" w:themeColor="text1"/>
          <w14:textFill>
            <w14:solidFill>
              <w14:schemeClr w14:val="tx1"/>
            </w14:solidFill>
          </w14:textFill>
        </w:rPr>
      </w:pPr>
      <w:bookmarkStart w:id="102" w:name="_Hlk72439706"/>
      <w:r>
        <w:rPr>
          <w:rFonts w:hint="eastAsia" w:ascii="黑体" w:hAnsi="宋体" w:eastAsia="黑体"/>
          <w:color w:val="000000" w:themeColor="text1"/>
          <w14:textFill>
            <w14:solidFill>
              <w14:schemeClr w14:val="tx1"/>
            </w14:solidFill>
          </w14:textFill>
        </w:rPr>
        <w:t>52.质疑提出与答复</w:t>
      </w:r>
    </w:p>
    <w:p w14:paraId="52981723">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52.1提出质疑</w:t>
      </w:r>
    </w:p>
    <w:p w14:paraId="4766CCAE">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参与政府采购活动的供应商认为自己的权益在采购活动中受到损害的，应当自知道或者应当知道其权益受到损害之日起七个工作日内向采购人、</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以书面形式提出质疑。</w:t>
      </w:r>
    </w:p>
    <w:p w14:paraId="5906965B">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52.2</w:t>
      </w:r>
      <w:r>
        <w:rPr>
          <w:rFonts w:ascii="宋体" w:hAnsi="宋体"/>
          <w:color w:val="000000" w:themeColor="text1"/>
          <w:szCs w:val="21"/>
          <w14:textFill>
            <w14:solidFill>
              <w14:schemeClr w14:val="tx1"/>
            </w14:solidFill>
          </w14:textFill>
        </w:rPr>
        <w:t>法律依据</w:t>
      </w:r>
    </w:p>
    <w:p w14:paraId="7BE075C4">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《中华人民共和国政府采购法》、《中华人民共和国政府采购法实施条例》、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深圳经济特区政府采购</w:t>
      </w:r>
      <w:r>
        <w:rPr>
          <w:rFonts w:ascii="宋体" w:hAnsi="宋体"/>
          <w:color w:val="000000" w:themeColor="text1"/>
          <w:szCs w:val="21"/>
          <w14:textFill>
            <w14:solidFill>
              <w14:schemeClr w14:val="tx1"/>
            </w14:solidFill>
          </w14:textFill>
        </w:rPr>
        <w:t>条例</w:t>
      </w:r>
      <w:r>
        <w:rPr>
          <w:rFonts w:hint="eastAsia" w:ascii="宋体" w:hAnsi="宋体"/>
          <w:color w:val="000000" w:themeColor="text1"/>
          <w:szCs w:val="21"/>
          <w14:textFill>
            <w14:solidFill>
              <w14:schemeClr w14:val="tx1"/>
            </w14:solidFill>
          </w14:textFill>
        </w:rPr>
        <w:t>》、《深圳经济特区政府采购条例实施细则》、《政府采购质疑和投诉办法》（财政部令第94号）和其他有关法律法规规定。</w:t>
      </w:r>
    </w:p>
    <w:p w14:paraId="12C809C3">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52.3质疑条件</w:t>
      </w:r>
    </w:p>
    <w:p w14:paraId="1ED9893B">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52.3.1提出质疑的供应商应当是参与所质疑项目采购活动的供应商；</w:t>
      </w:r>
      <w:bookmarkStart w:id="103" w:name="_Hlk75374941"/>
      <w:r>
        <w:rPr>
          <w:rFonts w:hint="eastAsia" w:ascii="宋体" w:hAnsi="宋体"/>
          <w:color w:val="000000" w:themeColor="text1"/>
          <w:szCs w:val="21"/>
          <w14:textFill>
            <w14:solidFill>
              <w14:schemeClr w14:val="tx1"/>
            </w14:solidFill>
          </w14:textFill>
        </w:rPr>
        <w:t>以联合体形式参与的，质疑应当由组成联合体的所有成员共同提出</w:t>
      </w:r>
      <w:bookmarkEnd w:id="103"/>
      <w:r>
        <w:rPr>
          <w:rFonts w:hint="eastAsia" w:ascii="宋体" w:hAnsi="宋体"/>
          <w:color w:val="000000" w:themeColor="text1"/>
          <w:szCs w:val="21"/>
          <w14:textFill>
            <w14:solidFill>
              <w14:schemeClr w14:val="tx1"/>
            </w14:solidFill>
          </w14:textFill>
        </w:rPr>
        <w:t>；</w:t>
      </w:r>
    </w:p>
    <w:p w14:paraId="3D2291E0">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A6B025E">
      <w:pPr>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52.3.3应提交书面质疑函，质疑函应当包括以下内容：</w:t>
      </w:r>
    </w:p>
    <w:p w14:paraId="18DD7DBD">
      <w:pPr>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（1）供应商的名称（或者姓名）、地址、邮编、邮箱、联系人及联系电话；</w:t>
      </w:r>
    </w:p>
    <w:p w14:paraId="02157372">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（2）质疑项目的名称、编号；</w:t>
      </w:r>
    </w:p>
    <w:p w14:paraId="15E463AF">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（3）具体、明确的质疑对象、质疑事项和质疑请求；</w:t>
      </w:r>
    </w:p>
    <w:p w14:paraId="74021610">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（4）因质疑事项而受损害的权益；</w:t>
      </w:r>
    </w:p>
    <w:p w14:paraId="59FDB726">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（5）事实依据；</w:t>
      </w:r>
    </w:p>
    <w:p w14:paraId="443D4C25">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（6）必要的法律依据；</w:t>
      </w:r>
    </w:p>
    <w:p w14:paraId="28452DA1">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（7）提出质疑的日期。</w:t>
      </w:r>
    </w:p>
    <w:p w14:paraId="2BF16433">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供应商为自然人的，应当由本人签字；供应商为法人或者其他组织的，应当由法定代表人（负责人），或者其授权代理人签字或者盖章，并加盖公章。</w:t>
      </w:r>
    </w:p>
    <w:p w14:paraId="288231F6">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52.4提交</w:t>
      </w:r>
      <w:r>
        <w:rPr>
          <w:rFonts w:ascii="宋体" w:hAnsi="宋体"/>
          <w:color w:val="000000" w:themeColor="text1"/>
          <w:szCs w:val="21"/>
          <w14:textFill>
            <w14:solidFill>
              <w14:schemeClr w14:val="tx1"/>
            </w14:solidFill>
          </w14:textFill>
        </w:rPr>
        <w:t>材料</w:t>
      </w:r>
    </w:p>
    <w:p w14:paraId="55DD7AE4">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供应商质疑实行实名制。供应商为自然人的，应当提交本人身份证复印件；供应商为法人或者其他组织的，应当根据自身性质提交营业执照复印件或者其他证明文件（如事业单位法人证书等）复印件。</w:t>
      </w:r>
    </w:p>
    <w:p w14:paraId="38E0FD30">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供应商可以委托代理人进行质疑。</w:t>
      </w:r>
      <w:r>
        <w:rPr>
          <w:rFonts w:ascii="宋体" w:hAnsi="宋体"/>
          <w:color w:val="000000" w:themeColor="text1"/>
          <w:szCs w:val="21"/>
          <w14:textFill>
            <w14:solidFill>
              <w14:schemeClr w14:val="tx1"/>
            </w14:solidFill>
          </w14:textFill>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24F8ADD">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52.5提交方式</w:t>
      </w:r>
    </w:p>
    <w:p w14:paraId="46E5ACB3">
      <w:pPr>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52.5.1供应商登录“深圳政府采购智慧平台用户网上办事子系统（</w:t>
      </w:r>
      <w:r>
        <w:rPr>
          <w:rFonts w:hint="eastAsia" w:ascii="宋体" w:hAnsi="宋体"/>
          <w:color w:val="000000" w:themeColor="text1"/>
          <w:szCs w:val="21"/>
          <w14:textFill>
            <w14:solidFill>
              <w14:schemeClr w14:val="tx1"/>
            </w14:solidFill>
          </w14:textFill>
        </w:rPr>
        <w:t>http://zfcg.szggzy.com:8081/TPBidder/memberLogin</w:t>
      </w:r>
      <w:r>
        <w:rPr>
          <w:rFonts w:ascii="宋体" w:hAnsi="宋体"/>
          <w:color w:val="000000" w:themeColor="text1"/>
          <w:szCs w:val="21"/>
          <w14:textFill>
            <w14:solidFill>
              <w14:schemeClr w14:val="tx1"/>
            </w14:solidFill>
          </w14:textFill>
        </w:rPr>
        <w:t>）”，在“【我的项目】→【项目流程】→【质疑】”中提出质疑。</w:t>
      </w:r>
    </w:p>
    <w:p w14:paraId="5B3E79FB">
      <w:pPr>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52.5.2请质疑供应商根据深圳政府采购智慧平台（</w:t>
      </w:r>
      <w:r>
        <w:rPr>
          <w:rFonts w:hint="eastAsia" w:ascii="宋体" w:hAnsi="宋体"/>
          <w:color w:val="000000" w:themeColor="text1"/>
          <w:szCs w:val="21"/>
          <w14:textFill>
            <w14:solidFill>
              <w14:schemeClr w14:val="tx1"/>
            </w14:solidFill>
          </w14:textFill>
        </w:rPr>
        <w:t>http://zfcg.szggzy.com:8081/</w:t>
      </w:r>
      <w:r>
        <w:rPr>
          <w:rFonts w:ascii="宋体" w:hAnsi="宋体"/>
          <w:color w:val="000000" w:themeColor="text1"/>
          <w:szCs w:val="21"/>
          <w14:textFill>
            <w14:solidFill>
              <w14:schemeClr w14:val="tx1"/>
            </w14:solidFill>
          </w14:textFill>
        </w:rPr>
        <w:t>）所发布的质疑指引、质疑函模板填写质疑函并提交质疑材料。</w:t>
      </w:r>
      <w:r>
        <w:rPr>
          <w:rFonts w:ascii="宋体" w:hAnsi="宋体"/>
          <w:b/>
          <w:bCs/>
          <w:color w:val="000000" w:themeColor="text1"/>
          <w:szCs w:val="21"/>
          <w14:textFill>
            <w14:solidFill>
              <w14:schemeClr w14:val="tx1"/>
            </w14:solidFill>
          </w14:textFill>
        </w:rPr>
        <w:t>地址：</w:t>
      </w:r>
      <w:r>
        <w:rPr>
          <w:rFonts w:hint="eastAsia" w:ascii="宋体" w:hAnsi="宋体"/>
          <w:b/>
          <w:bCs/>
          <w:color w:val="000000" w:themeColor="text1"/>
          <w:szCs w:val="21"/>
          <w14:textFill>
            <w14:solidFill>
              <w14:schemeClr w14:val="tx1"/>
            </w14:solidFill>
          </w14:textFill>
        </w:rPr>
        <w:t>深圳市福田区福田体育公园西北角友和招标代理服务中心（靠近北门）</w:t>
      </w:r>
      <w:r>
        <w:rPr>
          <w:rFonts w:ascii="宋体" w:hAnsi="宋体"/>
          <w:b/>
          <w:bCs/>
          <w:color w:val="000000" w:themeColor="text1"/>
          <w:szCs w:val="21"/>
          <w14:textFill>
            <w14:solidFill>
              <w14:schemeClr w14:val="tx1"/>
            </w14:solidFill>
          </w14:textFill>
        </w:rPr>
        <w:t>，质疑咨询电话：0755-8388</w:t>
      </w:r>
      <w:r>
        <w:rPr>
          <w:rFonts w:hint="eastAsia" w:ascii="宋体" w:hAnsi="宋体" w:eastAsia="宋体"/>
          <w:b/>
          <w:bCs/>
          <w:color w:val="000000" w:themeColor="text1"/>
          <w:szCs w:val="21"/>
          <w:lang w:val="en-US" w:eastAsia="zh-CN"/>
          <w14:textFill>
            <w14:solidFill>
              <w14:schemeClr w14:val="tx1"/>
            </w14:solidFill>
          </w14:textFill>
        </w:rPr>
        <w:t>1282</w:t>
      </w:r>
      <w:r>
        <w:rPr>
          <w:rFonts w:ascii="宋体" w:hAnsi="宋体"/>
          <w:b/>
          <w:bCs/>
          <w:color w:val="000000" w:themeColor="text1"/>
          <w:szCs w:val="21"/>
          <w14:textFill>
            <w14:solidFill>
              <w14:schemeClr w14:val="tx1"/>
            </w14:solidFill>
          </w14:textFill>
        </w:rPr>
        <w:t>。</w:t>
      </w:r>
    </w:p>
    <w:p w14:paraId="00FC0054">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52.6收文办理</w:t>
      </w:r>
      <w:r>
        <w:rPr>
          <w:rFonts w:ascii="宋体" w:hAnsi="宋体"/>
          <w:color w:val="000000" w:themeColor="text1"/>
          <w:szCs w:val="21"/>
          <w14:textFill>
            <w14:solidFill>
              <w14:schemeClr w14:val="tx1"/>
            </w14:solidFill>
          </w14:textFill>
        </w:rPr>
        <w:t>程序</w:t>
      </w:r>
    </w:p>
    <w:p w14:paraId="38671B71">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52.6.1供应商提交的质疑符合受理条件的，</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自收到质疑材料之日起即为受理，应当向供应商出具质疑函收文回执并可以要求其递交质疑的法定代表人（负责人）或者授权代理人签署质疑文书送达地址确认书。</w:t>
      </w:r>
    </w:p>
    <w:p w14:paraId="30D2E4E4">
      <w:pPr>
        <w:ind w:firstLine="480" w:firstLineChars="200"/>
        <w:rPr>
          <w:rFonts w:ascii="仿宋" w:hAnsi="仿宋" w:eastAsia="仿宋"/>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52.6.2供应商提交的质疑材料不符合质疑条件的，视情况处理：</w:t>
      </w:r>
    </w:p>
    <w:p w14:paraId="2CC102F8">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供应商提交的质疑材料不全或者未按要求签字或者盖章的，</w:t>
      </w:r>
      <w:r>
        <w:rPr>
          <w:rFonts w:hint="eastAsia" w:ascii="宋体" w:hAnsi="宋体" w:eastAsia="宋体"/>
          <w:color w:val="000000" w:themeColor="text1"/>
          <w:szCs w:val="21"/>
          <w14:textFill>
            <w14:solidFill>
              <w14:schemeClr w14:val="tx1"/>
            </w14:solidFill>
          </w14:textFill>
        </w:rPr>
        <w:t>招标机构</w:t>
      </w:r>
      <w:r>
        <w:rPr>
          <w:rFonts w:hint="eastAsia" w:ascii="宋体" w:hAnsi="宋体"/>
          <w:color w:val="000000" w:themeColor="text1"/>
          <w:szCs w:val="21"/>
          <w14:textFill>
            <w14:solidFill>
              <w14:schemeClr w14:val="tx1"/>
            </w14:solidFill>
          </w14:textFill>
        </w:rPr>
        <w:t>应当一次性告知供应商需补正的内容和补正期限。</w:t>
      </w:r>
    </w:p>
    <w:p w14:paraId="7CE5A70E">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供应商提交的质疑存在下列情形之一的，不予受理：</w:t>
      </w:r>
    </w:p>
    <w:p w14:paraId="3E47986C">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（1）质疑主体不满足要求的；</w:t>
      </w:r>
    </w:p>
    <w:p w14:paraId="125F4A65">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（2）供应商自身权益未受到损害的；</w:t>
      </w:r>
    </w:p>
    <w:p w14:paraId="03F2789B">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（3）供应商未在法定质疑期限内提出质疑的；</w:t>
      </w:r>
    </w:p>
    <w:p w14:paraId="2CC5AB82">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（4）质疑材料不全或者未按要求签字或者盖章的情况下，要求补正后，逾期未补正或者补正后仍不符合规定的；</w:t>
      </w:r>
    </w:p>
    <w:p w14:paraId="30DCC8E9">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（5）其他不符合受理条件情形的。</w:t>
      </w:r>
    </w:p>
    <w:p w14:paraId="71E7E2EF">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质疑事项不予受理的，招标机构应当向供应商出具不符合质疑条件告知书。</w:t>
      </w:r>
    </w:p>
    <w:p w14:paraId="6857B00A">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52.7质疑答复时限</w:t>
      </w:r>
    </w:p>
    <w:p w14:paraId="6D6B5E15">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自收文之日起七个工作日内。</w:t>
      </w:r>
    </w:p>
    <w:p w14:paraId="289A9A16">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52.8投诉</w:t>
      </w:r>
    </w:p>
    <w:p w14:paraId="09427F3E">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对质疑答复不满意或者未在规定时间内答复的，提出质疑的供应商可以在答复期满后15个工作日内向同级财政部门投诉。</w:t>
      </w:r>
    </w:p>
    <w:p w14:paraId="41F8CC31">
      <w:pPr>
        <w:ind w:firstLine="480"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53. 质疑后续处理   </w:t>
      </w:r>
    </w:p>
    <w:p w14:paraId="3BD6D6F1">
      <w:pPr>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53.1供应商质疑不成立，或者成立但未对中标、成交结果构成影响的，继续开展采购活动。</w:t>
      </w:r>
    </w:p>
    <w:p w14:paraId="06F2C043">
      <w:pPr>
        <w:ind w:firstLine="480" w:firstLineChars="200"/>
        <w:rPr>
          <w:rFonts w:hint="eastAsia" w:ascii="宋体" w:hAnsi="宋体" w:eastAsia="宋体" w:cs="宋体"/>
        </w:rPr>
      </w:pPr>
      <w:r>
        <w:rPr>
          <w:rFonts w:hint="eastAsia" w:ascii="宋体" w:hAnsi="宋体"/>
          <w:color w:val="000000" w:themeColor="text1"/>
          <w:szCs w:val="21"/>
          <w14:textFill>
            <w14:solidFill>
              <w14:schemeClr w14:val="tx1"/>
            </w14:solidFill>
          </w14:textFill>
        </w:rPr>
        <w:t>53.2供</w:t>
      </w:r>
      <w:r>
        <w:rPr>
          <w:rFonts w:hint="eastAsia" w:ascii="宋体" w:hAnsi="宋体" w:eastAsia="宋体" w:cs="宋体"/>
        </w:rPr>
        <w:t>应商质疑成立且影响或者可能影响中标、成交结果的，按照下列情况处理：（</w:t>
      </w:r>
      <w:r>
        <w:rPr>
          <w:rFonts w:hint="eastAsia"/>
        </w:rPr>
        <w:t>1</w:t>
      </w:r>
      <w:r>
        <w:rPr>
          <w:rFonts w:hint="eastAsia" w:ascii="宋体" w:hAnsi="宋体" w:eastAsia="宋体" w:cs="宋体"/>
        </w:rPr>
        <w:t>）对采购文件提出的质疑，依法通过澄清或者修改可以继续开展采购活动的，澄清或者修改采购文件后继续开展采购活动；否则应当修改采购文件后重新开展采购活动。（</w:t>
      </w:r>
      <w:r>
        <w:rPr>
          <w:rFonts w:hint="eastAsia"/>
        </w:rPr>
        <w:t>2</w:t>
      </w:r>
      <w:r>
        <w:rPr>
          <w:rFonts w:hint="eastAsia" w:ascii="宋体" w:hAnsi="宋体" w:eastAsia="宋体" w:cs="宋体"/>
        </w:rPr>
        <w:t>）对采购过程、中标或者成交结果提出的质疑，如果合格供应商符合法定数量，依法从合格的中标或者成交候选人中另行确定中标、成交供应商；如果合格供应商不符合法定数量，应当重新开展采购活动。</w:t>
      </w:r>
    </w:p>
    <w:p w14:paraId="12093559">
      <w:pPr>
        <w:ind w:firstLine="482" w:firstLineChars="200"/>
        <w:rPr>
          <w:rFonts w:hint="eastAsia" w:ascii="宋体" w:hAnsi="宋体" w:eastAsia="宋体"/>
          <w:b/>
          <w:bCs/>
          <w:color w:val="FF0000"/>
          <w:szCs w:val="21"/>
          <w:lang w:val="en-US" w:eastAsia="zh-CN"/>
        </w:rPr>
      </w:pPr>
      <w:r>
        <w:rPr>
          <w:rFonts w:hint="eastAsia" w:ascii="宋体" w:hAnsi="宋体" w:eastAsia="宋体"/>
          <w:b/>
          <w:bCs/>
          <w:color w:val="FF0000"/>
          <w:szCs w:val="21"/>
          <w:lang w:val="en-US" w:eastAsia="zh-CN"/>
        </w:rPr>
        <w:t>54 违约责任</w:t>
      </w:r>
    </w:p>
    <w:p w14:paraId="09659106">
      <w:pPr>
        <w:ind w:firstLine="480" w:firstLineChars="200"/>
        <w:rPr>
          <w:rFonts w:hint="eastAsia" w:ascii="宋体" w:hAnsi="宋体" w:eastAsia="宋体"/>
          <w:color w:val="FF0000"/>
          <w:szCs w:val="21"/>
          <w:lang w:val="en-US" w:eastAsia="zh-CN"/>
        </w:rPr>
      </w:pPr>
      <w:r>
        <w:rPr>
          <w:rFonts w:hint="eastAsia" w:ascii="宋体" w:hAnsi="宋体" w:eastAsia="宋体"/>
          <w:color w:val="FF0000"/>
          <w:szCs w:val="21"/>
          <w:lang w:val="en-US" w:eastAsia="zh-CN"/>
        </w:rPr>
        <w:t>54.1供应商若在政府采购活动存在下列违法行为，给采购人、采购代理机造成损失的，应当承担赔偿责任。</w:t>
      </w:r>
    </w:p>
    <w:p w14:paraId="5CE95395">
      <w:pPr>
        <w:pStyle w:val="6"/>
        <w:rPr>
          <w:rFonts w:hint="default"/>
          <w:color w:val="FF0000"/>
          <w:lang w:val="en-US" w:eastAsia="zh-CN"/>
        </w:rPr>
      </w:pPr>
      <w:r>
        <w:rPr>
          <w:rFonts w:hint="default"/>
          <w:color w:val="FF0000"/>
          <w:lang w:val="en-US" w:eastAsia="zh-CN"/>
        </w:rPr>
        <w:t>（</w:t>
      </w:r>
      <w:r>
        <w:rPr>
          <w:rFonts w:hint="eastAsia"/>
          <w:color w:val="FF0000"/>
          <w:lang w:val="en-US" w:eastAsia="zh-CN"/>
        </w:rPr>
        <w:t>1</w:t>
      </w:r>
      <w:r>
        <w:rPr>
          <w:rFonts w:hint="default"/>
          <w:color w:val="FF0000"/>
          <w:lang w:val="en-US" w:eastAsia="zh-CN"/>
        </w:rPr>
        <w:t>）</w:t>
      </w:r>
      <w:r>
        <w:rPr>
          <w:rFonts w:hint="eastAsia"/>
          <w:color w:val="FF0000"/>
          <w:lang w:val="en-US" w:eastAsia="zh-CN"/>
        </w:rPr>
        <w:t>未</w:t>
      </w:r>
      <w:r>
        <w:rPr>
          <w:rFonts w:hint="default"/>
          <w:color w:val="FF0000"/>
          <w:lang w:val="en-US" w:eastAsia="zh-CN"/>
        </w:rPr>
        <w:t>按照规定签订、履行采购合同</w:t>
      </w:r>
      <w:r>
        <w:rPr>
          <w:rFonts w:hint="eastAsia"/>
          <w:color w:val="FF0000"/>
          <w:lang w:val="en-US" w:eastAsia="zh-CN"/>
        </w:rPr>
        <w:t>；</w:t>
      </w:r>
    </w:p>
    <w:p w14:paraId="51F21982">
      <w:pPr>
        <w:pStyle w:val="6"/>
        <w:rPr>
          <w:rFonts w:hint="default"/>
          <w:color w:val="FF0000"/>
          <w:lang w:val="en-US" w:eastAsia="zh-CN"/>
        </w:rPr>
      </w:pPr>
      <w:r>
        <w:rPr>
          <w:rFonts w:hint="eastAsia"/>
          <w:color w:val="FF0000"/>
          <w:lang w:val="en-US" w:eastAsia="zh-CN"/>
        </w:rPr>
        <w:t>（2）</w:t>
      </w:r>
      <w:r>
        <w:rPr>
          <w:rFonts w:hint="default"/>
          <w:color w:val="FF0000"/>
          <w:lang w:val="en-US" w:eastAsia="zh-CN"/>
        </w:rPr>
        <w:t>提供虚假材料谋取中标、成交的；</w:t>
      </w:r>
    </w:p>
    <w:p w14:paraId="2E49A57A">
      <w:pPr>
        <w:pStyle w:val="6"/>
        <w:rPr>
          <w:rFonts w:hint="default"/>
          <w:color w:val="FF0000"/>
          <w:lang w:val="en-US" w:eastAsia="zh-CN"/>
        </w:rPr>
      </w:pPr>
      <w:r>
        <w:rPr>
          <w:rFonts w:hint="default"/>
          <w:color w:val="FF0000"/>
          <w:lang w:val="en-US" w:eastAsia="zh-CN"/>
        </w:rPr>
        <w:t>（</w:t>
      </w:r>
      <w:r>
        <w:rPr>
          <w:rFonts w:hint="eastAsia"/>
          <w:color w:val="FF0000"/>
          <w:lang w:val="en-US" w:eastAsia="zh-CN"/>
        </w:rPr>
        <w:t>3</w:t>
      </w:r>
      <w:r>
        <w:rPr>
          <w:rFonts w:hint="default"/>
          <w:color w:val="FF0000"/>
          <w:lang w:val="en-US" w:eastAsia="zh-CN"/>
        </w:rPr>
        <w:t>）采取不正当手段诋毁、排挤其他供应商的；</w:t>
      </w:r>
    </w:p>
    <w:p w14:paraId="5356F446">
      <w:pPr>
        <w:pStyle w:val="6"/>
        <w:rPr>
          <w:rFonts w:hint="default"/>
          <w:color w:val="FF0000"/>
          <w:lang w:val="en-US" w:eastAsia="zh-CN"/>
        </w:rPr>
      </w:pPr>
      <w:r>
        <w:rPr>
          <w:rFonts w:hint="default"/>
          <w:color w:val="FF0000"/>
          <w:lang w:val="en-US" w:eastAsia="zh-CN"/>
        </w:rPr>
        <w:t>（</w:t>
      </w:r>
      <w:r>
        <w:rPr>
          <w:rFonts w:hint="eastAsia"/>
          <w:color w:val="FF0000"/>
          <w:lang w:val="en-US" w:eastAsia="zh-CN"/>
        </w:rPr>
        <w:t>4</w:t>
      </w:r>
      <w:r>
        <w:rPr>
          <w:rFonts w:hint="default"/>
          <w:color w:val="FF0000"/>
          <w:lang w:val="en-US" w:eastAsia="zh-CN"/>
        </w:rPr>
        <w:t>）与其他供应商恶意串通的；</w:t>
      </w:r>
    </w:p>
    <w:p w14:paraId="7ABDBFC9">
      <w:pPr>
        <w:pStyle w:val="6"/>
        <w:rPr>
          <w:rFonts w:hint="eastAsia"/>
          <w:color w:val="FF0000"/>
          <w:lang w:val="en-US" w:eastAsia="zh-CN"/>
        </w:rPr>
      </w:pPr>
      <w:r>
        <w:rPr>
          <w:rFonts w:hint="default"/>
          <w:color w:val="FF0000"/>
          <w:lang w:val="en-US" w:eastAsia="zh-CN"/>
        </w:rPr>
        <w:t>（</w:t>
      </w:r>
      <w:r>
        <w:rPr>
          <w:rFonts w:hint="eastAsia"/>
          <w:color w:val="FF0000"/>
          <w:lang w:val="en-US" w:eastAsia="zh-CN"/>
        </w:rPr>
        <w:t>5</w:t>
      </w:r>
      <w:r>
        <w:rPr>
          <w:rFonts w:hint="default"/>
          <w:color w:val="FF0000"/>
          <w:lang w:val="en-US" w:eastAsia="zh-CN"/>
        </w:rPr>
        <w:t>）拒绝有关部门监督检查或者提供虚假情况的</w:t>
      </w:r>
      <w:r>
        <w:rPr>
          <w:rFonts w:hint="eastAsia"/>
          <w:color w:val="FF0000"/>
          <w:lang w:val="en-US" w:eastAsia="zh-CN"/>
        </w:rPr>
        <w:t>；</w:t>
      </w:r>
    </w:p>
    <w:p w14:paraId="355E435C">
      <w:pPr>
        <w:pStyle w:val="6"/>
        <w:rPr>
          <w:rFonts w:hint="default"/>
          <w:color w:val="FF0000"/>
          <w:lang w:val="en-US" w:eastAsia="zh-CN"/>
        </w:rPr>
      </w:pPr>
      <w:r>
        <w:rPr>
          <w:rFonts w:hint="eastAsia"/>
          <w:color w:val="FF0000"/>
          <w:lang w:val="en-US" w:eastAsia="zh-CN"/>
        </w:rPr>
        <w:t>（6）经主管部门认定的其他违法采购相关法律法规的行为。</w:t>
      </w:r>
    </w:p>
    <w:p w14:paraId="034C1BF7">
      <w:pPr>
        <w:ind w:firstLine="480" w:firstLineChars="200"/>
        <w:rPr>
          <w:rFonts w:hint="eastAsia" w:ascii="宋体" w:hAnsi="宋体" w:eastAsia="宋体"/>
          <w:color w:val="FF0000"/>
          <w:szCs w:val="21"/>
          <w:lang w:val="en-US" w:eastAsia="zh-CN"/>
        </w:rPr>
      </w:pPr>
      <w:r>
        <w:rPr>
          <w:rFonts w:hint="eastAsia" w:ascii="宋体" w:hAnsi="宋体" w:eastAsia="宋体"/>
          <w:color w:val="FF0000"/>
          <w:szCs w:val="21"/>
          <w:lang w:val="en-US" w:eastAsia="zh-CN"/>
        </w:rPr>
        <w:t>54.2采购人、采购代理机构有权对违法供应商造成的损失进行追偿，可优先在已缴纳的代理服务费中进行抵扣，已缴纳的代理服务费不足以赔偿采购人、采购代理机构损失的，采购人、采购代理机构有权向人民法院提起诉讼。</w:t>
      </w:r>
    </w:p>
    <w:p w14:paraId="30D36CA3">
      <w:pPr>
        <w:pStyle w:val="6"/>
      </w:pPr>
    </w:p>
    <w:p w14:paraId="52843F49">
      <w:pPr>
        <w:jc w:val="center"/>
        <w:rPr>
          <w:color w:val="000000" w:themeColor="text1"/>
          <w14:textFill>
            <w14:solidFill>
              <w14:schemeClr w14:val="tx1"/>
            </w14:solidFill>
          </w14:textFill>
        </w:rPr>
      </w:pPr>
      <w:r>
        <w:rPr>
          <w:color w:val="000000" w:themeColor="text1"/>
          <w14:textFill>
            <w14:solidFill>
              <w14:schemeClr w14:val="tx1"/>
            </w14:solidFill>
          </w14:textFill>
        </w:rPr>
        <w:t>---- END ----</w:t>
      </w:r>
      <w:bookmarkEnd w:id="102"/>
    </w:p>
    <w:p w14:paraId="5F6C167F">
      <w:pPr>
        <w:rPr>
          <w:rFonts w:ascii="宋体" w:hAnsi="宋体"/>
          <w:color w:val="000000" w:themeColor="text1"/>
          <w:szCs w:val="21"/>
          <w14:textFill>
            <w14:solidFill>
              <w14:schemeClr w14:val="tx1"/>
            </w14:solidFill>
          </w14:textFill>
        </w:rPr>
      </w:pPr>
    </w:p>
    <w:p w14:paraId="56E52CA1"/>
    <w:p w14:paraId="36F9BB92"/>
    <w:sectPr>
      <w:footerReference r:id="rId4" w:type="default"/>
      <w:type w:val="continuous"/>
      <w:pgSz w:w="11906" w:h="16838"/>
      <w:pgMar w:top="1440" w:right="1706"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A96D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6FA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14C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8E14C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A0403"/>
    <w:multiLevelType w:val="singleLevel"/>
    <w:tmpl w:val="96EA0403"/>
    <w:lvl w:ilvl="0" w:tentative="0">
      <w:start w:val="5"/>
      <w:numFmt w:val="chineseCounting"/>
      <w:suff w:val="nothing"/>
      <w:lvlText w:val="%1、"/>
      <w:lvlJc w:val="left"/>
      <w:rPr>
        <w:rFonts w:hint="eastAsia"/>
      </w:rPr>
    </w:lvl>
  </w:abstractNum>
  <w:abstractNum w:abstractNumId="1">
    <w:nsid w:val="A3A80C10"/>
    <w:multiLevelType w:val="singleLevel"/>
    <w:tmpl w:val="A3A80C10"/>
    <w:lvl w:ilvl="0" w:tentative="0">
      <w:start w:val="2"/>
      <w:numFmt w:val="decimal"/>
      <w:suff w:val="space"/>
      <w:lvlText w:val="%1."/>
      <w:lvlJc w:val="left"/>
    </w:lvl>
  </w:abstractNum>
  <w:abstractNum w:abstractNumId="2">
    <w:nsid w:val="D2DAF4BA"/>
    <w:multiLevelType w:val="singleLevel"/>
    <w:tmpl w:val="D2DAF4BA"/>
    <w:lvl w:ilvl="0" w:tentative="0">
      <w:start w:val="1"/>
      <w:numFmt w:val="decimal"/>
      <w:suff w:val="nothing"/>
      <w:lvlText w:val="%1、"/>
      <w:lvlJc w:val="left"/>
    </w:lvl>
  </w:abstractNum>
  <w:abstractNum w:abstractNumId="3">
    <w:nsid w:val="FEBC8547"/>
    <w:multiLevelType w:val="singleLevel"/>
    <w:tmpl w:val="FEBC8547"/>
    <w:lvl w:ilvl="0" w:tentative="0">
      <w:start w:val="1"/>
      <w:numFmt w:val="decimal"/>
      <w:lvlText w:val="%1."/>
      <w:lvlJc w:val="left"/>
      <w:pPr>
        <w:tabs>
          <w:tab w:val="left" w:pos="312"/>
        </w:tabs>
      </w:pPr>
    </w:lvl>
  </w:abstractNum>
  <w:abstractNum w:abstractNumId="4">
    <w:nsid w:val="00000003"/>
    <w:multiLevelType w:val="singleLevel"/>
    <w:tmpl w:val="00000003"/>
    <w:lvl w:ilvl="0" w:tentative="0">
      <w:start w:val="1"/>
      <w:numFmt w:val="bullet"/>
      <w:lvlText w:val=""/>
      <w:lvlJc w:val="left"/>
      <w:pPr>
        <w:ind w:left="420" w:hanging="420"/>
      </w:pPr>
      <w:rPr>
        <w:rFonts w:hint="default" w:ascii="Wingdings" w:hAnsi="Wingdings"/>
      </w:rPr>
    </w:lvl>
  </w:abstractNum>
  <w:abstractNum w:abstractNumId="5">
    <w:nsid w:val="00000004"/>
    <w:multiLevelType w:val="multilevel"/>
    <w:tmpl w:val="00000004"/>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73430A"/>
    <w:multiLevelType w:val="singleLevel"/>
    <w:tmpl w:val="0073430A"/>
    <w:lvl w:ilvl="0" w:tentative="0">
      <w:start w:val="1"/>
      <w:numFmt w:val="decimal"/>
      <w:lvlText w:val="%1."/>
      <w:lvlJc w:val="left"/>
      <w:pPr>
        <w:ind w:left="425" w:hanging="425"/>
      </w:pPr>
      <w:rPr>
        <w:rFonts w:hint="default"/>
      </w:rPr>
    </w:lvl>
  </w:abstractNum>
  <w:abstractNum w:abstractNumId="7">
    <w:nsid w:val="14621F3C"/>
    <w:multiLevelType w:val="singleLevel"/>
    <w:tmpl w:val="14621F3C"/>
    <w:lvl w:ilvl="0" w:tentative="0">
      <w:start w:val="1"/>
      <w:numFmt w:val="decimal"/>
      <w:suff w:val="nothing"/>
      <w:lvlText w:val="%1、"/>
      <w:lvlJc w:val="left"/>
    </w:lvl>
  </w:abstractNum>
  <w:abstractNum w:abstractNumId="8">
    <w:nsid w:val="1E3F3857"/>
    <w:multiLevelType w:val="singleLevel"/>
    <w:tmpl w:val="1E3F3857"/>
    <w:lvl w:ilvl="0" w:tentative="0">
      <w:start w:val="1"/>
      <w:numFmt w:val="decimal"/>
      <w:suff w:val="space"/>
      <w:lvlText w:val="%1."/>
      <w:lvlJc w:val="left"/>
      <w:pPr>
        <w:tabs>
          <w:tab w:val="left" w:pos="0"/>
        </w:tabs>
      </w:pPr>
      <w:rPr>
        <w:rFonts w:hint="default"/>
      </w:rPr>
    </w:lvl>
  </w:abstractNum>
  <w:abstractNum w:abstractNumId="9">
    <w:nsid w:val="2C959C1A"/>
    <w:multiLevelType w:val="singleLevel"/>
    <w:tmpl w:val="2C959C1A"/>
    <w:lvl w:ilvl="0" w:tentative="0">
      <w:start w:val="1"/>
      <w:numFmt w:val="chineseCounting"/>
      <w:suff w:val="nothing"/>
      <w:lvlText w:val="（%1）"/>
      <w:lvlJc w:val="left"/>
      <w:rPr>
        <w:rFonts w:hint="eastAsia"/>
      </w:rPr>
    </w:lvl>
  </w:abstractNum>
  <w:abstractNum w:abstractNumId="10">
    <w:nsid w:val="4265638E"/>
    <w:multiLevelType w:val="multilevel"/>
    <w:tmpl w:val="4265638E"/>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F9D0318"/>
    <w:multiLevelType w:val="singleLevel"/>
    <w:tmpl w:val="4F9D0318"/>
    <w:lvl w:ilvl="0" w:tentative="0">
      <w:start w:val="35"/>
      <w:numFmt w:val="decimal"/>
      <w:lvlText w:val="%1."/>
      <w:lvlJc w:val="left"/>
      <w:pPr>
        <w:tabs>
          <w:tab w:val="left" w:pos="420"/>
        </w:tabs>
        <w:ind w:left="425" w:leftChars="0" w:hanging="425" w:firstLineChars="0"/>
      </w:pPr>
      <w:rPr>
        <w:rFonts w:hint="default"/>
      </w:rPr>
    </w:lvl>
  </w:abstractNum>
  <w:abstractNum w:abstractNumId="12">
    <w:nsid w:val="6A48DA8A"/>
    <w:multiLevelType w:val="singleLevel"/>
    <w:tmpl w:val="6A48DA8A"/>
    <w:lvl w:ilvl="0" w:tentative="0">
      <w:start w:val="2"/>
      <w:numFmt w:val="chineseCounting"/>
      <w:suff w:val="nothing"/>
      <w:lvlText w:val="%1、"/>
      <w:lvlJc w:val="left"/>
      <w:rPr>
        <w:rFonts w:hint="eastAsia"/>
      </w:rPr>
    </w:lvl>
  </w:abstractNum>
  <w:num w:numId="1">
    <w:abstractNumId w:val="12"/>
  </w:num>
  <w:num w:numId="2">
    <w:abstractNumId w:val="1"/>
  </w:num>
  <w:num w:numId="3">
    <w:abstractNumId w:val="8"/>
  </w:num>
  <w:num w:numId="4">
    <w:abstractNumId w:val="3"/>
  </w:num>
  <w:num w:numId="5">
    <w:abstractNumId w:val="10"/>
  </w:num>
  <w:num w:numId="6">
    <w:abstractNumId w:val="2"/>
  </w:num>
  <w:num w:numId="7">
    <w:abstractNumId w:val="7"/>
  </w:num>
  <w:num w:numId="8">
    <w:abstractNumId w:val="6"/>
  </w:num>
  <w:num w:numId="9">
    <w:abstractNumId w:val="11"/>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FmMDE1ZTIyYjFjZmVjNzA2YTBiYTRmNDVkYzEifQ=="/>
  </w:docVars>
  <w:rsids>
    <w:rsidRoot w:val="00172A27"/>
    <w:rsid w:val="0081604C"/>
    <w:rsid w:val="00B96C44"/>
    <w:rsid w:val="011427CB"/>
    <w:rsid w:val="01254DC3"/>
    <w:rsid w:val="026673DD"/>
    <w:rsid w:val="032D29B2"/>
    <w:rsid w:val="037B2C82"/>
    <w:rsid w:val="046E7361"/>
    <w:rsid w:val="04BA4D02"/>
    <w:rsid w:val="056C3BB2"/>
    <w:rsid w:val="060327CF"/>
    <w:rsid w:val="061152F9"/>
    <w:rsid w:val="064F7A66"/>
    <w:rsid w:val="06B6174E"/>
    <w:rsid w:val="071B4BB2"/>
    <w:rsid w:val="072A03FB"/>
    <w:rsid w:val="075C13AE"/>
    <w:rsid w:val="083325D9"/>
    <w:rsid w:val="08594E16"/>
    <w:rsid w:val="093D7DA0"/>
    <w:rsid w:val="09B46CE0"/>
    <w:rsid w:val="0AD56800"/>
    <w:rsid w:val="0B856A33"/>
    <w:rsid w:val="0C7F0980"/>
    <w:rsid w:val="0D9D1464"/>
    <w:rsid w:val="0DDD1381"/>
    <w:rsid w:val="0DDD78CC"/>
    <w:rsid w:val="0DE11D81"/>
    <w:rsid w:val="0E3839FA"/>
    <w:rsid w:val="0E3D254C"/>
    <w:rsid w:val="0F4C5FD6"/>
    <w:rsid w:val="0FB07C1F"/>
    <w:rsid w:val="0FB65870"/>
    <w:rsid w:val="0FFC480E"/>
    <w:rsid w:val="101A40BE"/>
    <w:rsid w:val="103B154F"/>
    <w:rsid w:val="112C6522"/>
    <w:rsid w:val="11E46830"/>
    <w:rsid w:val="1280638D"/>
    <w:rsid w:val="12C33AAE"/>
    <w:rsid w:val="1343435B"/>
    <w:rsid w:val="13763C78"/>
    <w:rsid w:val="13983E78"/>
    <w:rsid w:val="13D70930"/>
    <w:rsid w:val="13EE4FAF"/>
    <w:rsid w:val="145D2A23"/>
    <w:rsid w:val="15312DC1"/>
    <w:rsid w:val="1545782E"/>
    <w:rsid w:val="16D84B75"/>
    <w:rsid w:val="16FF65C9"/>
    <w:rsid w:val="176711DF"/>
    <w:rsid w:val="177B3FD5"/>
    <w:rsid w:val="181640B2"/>
    <w:rsid w:val="191C4C03"/>
    <w:rsid w:val="1A074196"/>
    <w:rsid w:val="1B43798F"/>
    <w:rsid w:val="1B50482E"/>
    <w:rsid w:val="1CDC4DD5"/>
    <w:rsid w:val="1D6728E1"/>
    <w:rsid w:val="1D727D75"/>
    <w:rsid w:val="1DC75923"/>
    <w:rsid w:val="1DE026BB"/>
    <w:rsid w:val="1DE121E6"/>
    <w:rsid w:val="1EA25BAA"/>
    <w:rsid w:val="1EEB57A3"/>
    <w:rsid w:val="1F5C0633"/>
    <w:rsid w:val="1F6368EB"/>
    <w:rsid w:val="1F9217FE"/>
    <w:rsid w:val="20637233"/>
    <w:rsid w:val="209459C7"/>
    <w:rsid w:val="211C3B31"/>
    <w:rsid w:val="21D67A6E"/>
    <w:rsid w:val="22D501C2"/>
    <w:rsid w:val="235F29CF"/>
    <w:rsid w:val="242D44D2"/>
    <w:rsid w:val="25867FD4"/>
    <w:rsid w:val="2597179C"/>
    <w:rsid w:val="25BF10B8"/>
    <w:rsid w:val="26511AD7"/>
    <w:rsid w:val="26D11145"/>
    <w:rsid w:val="285F7EB7"/>
    <w:rsid w:val="29BB3FC4"/>
    <w:rsid w:val="2A7E3BF7"/>
    <w:rsid w:val="2AA61238"/>
    <w:rsid w:val="2AD215C5"/>
    <w:rsid w:val="2ADF4FA0"/>
    <w:rsid w:val="2BF74188"/>
    <w:rsid w:val="2CF250E1"/>
    <w:rsid w:val="2D4A40B1"/>
    <w:rsid w:val="2D834DF9"/>
    <w:rsid w:val="2EAE40F8"/>
    <w:rsid w:val="2F076A67"/>
    <w:rsid w:val="2FAA1F7E"/>
    <w:rsid w:val="2FB76FDC"/>
    <w:rsid w:val="30002840"/>
    <w:rsid w:val="31AA329C"/>
    <w:rsid w:val="320220C2"/>
    <w:rsid w:val="3207716B"/>
    <w:rsid w:val="321E678F"/>
    <w:rsid w:val="34AB7F38"/>
    <w:rsid w:val="355462D6"/>
    <w:rsid w:val="35F504FD"/>
    <w:rsid w:val="362A0508"/>
    <w:rsid w:val="362B66CF"/>
    <w:rsid w:val="3673239B"/>
    <w:rsid w:val="36D96C7D"/>
    <w:rsid w:val="38043F1B"/>
    <w:rsid w:val="38A55FF8"/>
    <w:rsid w:val="3A193B4A"/>
    <w:rsid w:val="3AEA64B7"/>
    <w:rsid w:val="3B4953BB"/>
    <w:rsid w:val="3C11319F"/>
    <w:rsid w:val="3C7E5F57"/>
    <w:rsid w:val="3D1E351A"/>
    <w:rsid w:val="3D5C6BB7"/>
    <w:rsid w:val="3DA02C37"/>
    <w:rsid w:val="3E5C76CC"/>
    <w:rsid w:val="3E703577"/>
    <w:rsid w:val="3E906656"/>
    <w:rsid w:val="3F2D1069"/>
    <w:rsid w:val="420460B1"/>
    <w:rsid w:val="428C4400"/>
    <w:rsid w:val="429C6CA9"/>
    <w:rsid w:val="43054644"/>
    <w:rsid w:val="43663197"/>
    <w:rsid w:val="437E6286"/>
    <w:rsid w:val="44B946CE"/>
    <w:rsid w:val="44C67025"/>
    <w:rsid w:val="45D5759C"/>
    <w:rsid w:val="46AB4245"/>
    <w:rsid w:val="46EC3316"/>
    <w:rsid w:val="46FF153C"/>
    <w:rsid w:val="48494E29"/>
    <w:rsid w:val="48886652"/>
    <w:rsid w:val="48B95124"/>
    <w:rsid w:val="48ED127B"/>
    <w:rsid w:val="49287E75"/>
    <w:rsid w:val="493A767E"/>
    <w:rsid w:val="49DC7913"/>
    <w:rsid w:val="4AAD08CF"/>
    <w:rsid w:val="4CA06BB3"/>
    <w:rsid w:val="4D470A71"/>
    <w:rsid w:val="4DCC0B53"/>
    <w:rsid w:val="4E9B418C"/>
    <w:rsid w:val="50507FFF"/>
    <w:rsid w:val="50812BDB"/>
    <w:rsid w:val="511B6F73"/>
    <w:rsid w:val="51B56C43"/>
    <w:rsid w:val="523D7CD2"/>
    <w:rsid w:val="52A00300"/>
    <w:rsid w:val="535C77D7"/>
    <w:rsid w:val="53D8739D"/>
    <w:rsid w:val="53EB62FF"/>
    <w:rsid w:val="543C0C58"/>
    <w:rsid w:val="54BB0D80"/>
    <w:rsid w:val="554F5D9E"/>
    <w:rsid w:val="557627DA"/>
    <w:rsid w:val="55EF2FA9"/>
    <w:rsid w:val="56B24665"/>
    <w:rsid w:val="573B690D"/>
    <w:rsid w:val="5896345D"/>
    <w:rsid w:val="59EC5950"/>
    <w:rsid w:val="5AD43C1C"/>
    <w:rsid w:val="5B1B5FAE"/>
    <w:rsid w:val="5B1B6421"/>
    <w:rsid w:val="5BC92D9D"/>
    <w:rsid w:val="5BED62A9"/>
    <w:rsid w:val="5C384E7D"/>
    <w:rsid w:val="5C413F10"/>
    <w:rsid w:val="5C61311E"/>
    <w:rsid w:val="5CC97046"/>
    <w:rsid w:val="5D9B7A22"/>
    <w:rsid w:val="5DE70583"/>
    <w:rsid w:val="5E660C00"/>
    <w:rsid w:val="5E666444"/>
    <w:rsid w:val="602C434F"/>
    <w:rsid w:val="60867BFE"/>
    <w:rsid w:val="60B6404A"/>
    <w:rsid w:val="60D808BA"/>
    <w:rsid w:val="60E90A44"/>
    <w:rsid w:val="60F6595A"/>
    <w:rsid w:val="61113278"/>
    <w:rsid w:val="621A6328"/>
    <w:rsid w:val="626C66A6"/>
    <w:rsid w:val="627A1B8B"/>
    <w:rsid w:val="637644DD"/>
    <w:rsid w:val="644675FE"/>
    <w:rsid w:val="655820EC"/>
    <w:rsid w:val="6583539F"/>
    <w:rsid w:val="662B2F3B"/>
    <w:rsid w:val="66B9305E"/>
    <w:rsid w:val="67C57F21"/>
    <w:rsid w:val="67F756EB"/>
    <w:rsid w:val="69126A56"/>
    <w:rsid w:val="6AA73926"/>
    <w:rsid w:val="6AF325B5"/>
    <w:rsid w:val="6B480429"/>
    <w:rsid w:val="6C865DDB"/>
    <w:rsid w:val="6CF3408A"/>
    <w:rsid w:val="6D10521A"/>
    <w:rsid w:val="6D774FB8"/>
    <w:rsid w:val="6D943EDD"/>
    <w:rsid w:val="6DEE793F"/>
    <w:rsid w:val="6EA90247"/>
    <w:rsid w:val="70FE0154"/>
    <w:rsid w:val="723864FB"/>
    <w:rsid w:val="724D0317"/>
    <w:rsid w:val="73764F84"/>
    <w:rsid w:val="73F66EB4"/>
    <w:rsid w:val="740565DF"/>
    <w:rsid w:val="75221650"/>
    <w:rsid w:val="761B375E"/>
    <w:rsid w:val="768F05B7"/>
    <w:rsid w:val="769C5088"/>
    <w:rsid w:val="76EC4D8A"/>
    <w:rsid w:val="77352DB4"/>
    <w:rsid w:val="77AD4D04"/>
    <w:rsid w:val="797B769E"/>
    <w:rsid w:val="79FB41D3"/>
    <w:rsid w:val="7A1F11F7"/>
    <w:rsid w:val="7AC64070"/>
    <w:rsid w:val="7B875677"/>
    <w:rsid w:val="7C7E5D50"/>
    <w:rsid w:val="7D237B05"/>
    <w:rsid w:val="7D3E7F85"/>
    <w:rsid w:val="7D7427DF"/>
    <w:rsid w:val="7D9D45CA"/>
    <w:rsid w:val="7EC601B8"/>
    <w:rsid w:val="7F261DDE"/>
    <w:rsid w:val="7F98457D"/>
    <w:rsid w:val="7FC67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3"/>
    <w:next w:val="1"/>
    <w:link w:val="28"/>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29"/>
    <w:qFormat/>
    <w:uiPriority w:val="0"/>
    <w:pPr>
      <w:adjustRightInd w:val="0"/>
      <w:jc w:val="center"/>
      <w:textAlignment w:val="baseline"/>
      <w:outlineLvl w:val="1"/>
    </w:pPr>
    <w:rPr>
      <w:sz w:val="24"/>
      <w:szCs w:val="20"/>
    </w:rPr>
  </w:style>
  <w:style w:type="paragraph" w:styleId="3">
    <w:name w:val="heading 3"/>
    <w:basedOn w:val="4"/>
    <w:next w:val="1"/>
    <w:link w:val="27"/>
    <w:qFormat/>
    <w:uiPriority w:val="9"/>
    <w:pPr>
      <w:spacing w:before="260" w:after="260" w:line="240" w:lineRule="auto"/>
      <w:outlineLvl w:val="2"/>
    </w:pPr>
    <w:rPr>
      <w:rFonts w:ascii="宋体" w:hAnsi="宋体" w:eastAsia="宋体"/>
      <w:szCs w:val="32"/>
    </w:rPr>
  </w:style>
  <w:style w:type="paragraph" w:styleId="4">
    <w:name w:val="heading 4"/>
    <w:basedOn w:val="1"/>
    <w:next w:val="1"/>
    <w:link w:val="26"/>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25"/>
    <w:qFormat/>
    <w:uiPriority w:val="0"/>
    <w:pPr>
      <w:ind w:firstLine="420"/>
    </w:pPr>
    <w:rPr>
      <w:szCs w:val="20"/>
    </w:rPr>
  </w:style>
  <w:style w:type="paragraph" w:styleId="7">
    <w:name w:val="annotation text"/>
    <w:basedOn w:val="1"/>
    <w:link w:val="30"/>
    <w:unhideWhenUsed/>
    <w:qFormat/>
    <w:uiPriority w:val="0"/>
    <w:pPr>
      <w:spacing w:before="0" w:beforeAutospacing="0" w:after="0" w:afterAutospacing="0"/>
      <w:ind w:left="0" w:right="0"/>
      <w:jc w:val="left"/>
    </w:pPr>
    <w:rPr>
      <w:rFonts w:hint="default" w:ascii="Times New Roman" w:hAnsi="Times New Roman" w:cs="Times New Roman"/>
      <w:kern w:val="0"/>
      <w:sz w:val="24"/>
      <w:szCs w:val="24"/>
      <w:lang w:val="en-US" w:eastAsia="zh-CN" w:bidi="ar"/>
    </w:rPr>
  </w:style>
  <w:style w:type="paragraph" w:styleId="8">
    <w:name w:val="Body Text"/>
    <w:basedOn w:val="1"/>
    <w:next w:val="9"/>
    <w:link w:val="31"/>
    <w:qFormat/>
    <w:uiPriority w:val="0"/>
    <w:pPr>
      <w:spacing w:line="360" w:lineRule="auto"/>
    </w:pPr>
    <w:rPr>
      <w:b/>
      <w:bCs/>
    </w:rPr>
  </w:style>
  <w:style w:type="paragraph" w:styleId="9">
    <w:name w:val="Body Text 2"/>
    <w:basedOn w:val="1"/>
    <w:qFormat/>
    <w:uiPriority w:val="0"/>
    <w:pPr>
      <w:spacing w:line="360" w:lineRule="auto"/>
    </w:pPr>
    <w:rPr>
      <w:sz w:val="24"/>
    </w:rPr>
  </w:style>
  <w:style w:type="paragraph" w:styleId="10">
    <w:name w:val="Body Text Indent"/>
    <w:basedOn w:val="1"/>
    <w:qFormat/>
    <w:uiPriority w:val="99"/>
    <w:pPr>
      <w:spacing w:after="120"/>
      <w:ind w:left="420" w:leftChars="200"/>
    </w:pPr>
    <w:rPr>
      <w:rFonts w:ascii="Times New Roman" w:hAnsi="Times New Roman" w:eastAsia="宋体" w:cs="Times New Roman"/>
      <w:sz w:val="21"/>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link w:val="23"/>
    <w:qFormat/>
    <w:uiPriority w:val="99"/>
  </w:style>
  <w:style w:type="paragraph" w:styleId="15">
    <w:name w:val="Body Text First Indent"/>
    <w:qFormat/>
    <w:uiPriority w:val="0"/>
    <w:pPr>
      <w:widowControl w:val="0"/>
      <w:spacing w:after="120" w:afterLines="50" w:line="360" w:lineRule="auto"/>
      <w:ind w:firstLine="200" w:firstLineChars="200"/>
      <w:jc w:val="both"/>
    </w:pPr>
    <w:rPr>
      <w:rFonts w:ascii="Times New Roman" w:hAnsi="Times New Roman" w:eastAsia="宋体" w:cs="Times New Roman"/>
      <w:kern w:val="0"/>
      <w:sz w:val="24"/>
      <w:szCs w:val="24"/>
      <w:lang w:val="en-US" w:eastAsia="zh-CN" w:bidi="ar-SA"/>
    </w:rPr>
  </w:style>
  <w:style w:type="paragraph" w:styleId="16">
    <w:name w:val="Body Text First Indent 2"/>
    <w:basedOn w:val="10"/>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qFormat/>
    <w:uiPriority w:val="99"/>
    <w:rPr>
      <w:color w:val="0000FF"/>
      <w:u w:val="single"/>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3">
    <w:name w:val="普通(网站) Char"/>
    <w:link w:val="14"/>
    <w:qFormat/>
    <w:uiPriority w:val="0"/>
    <w:rPr>
      <w:kern w:val="2"/>
      <w:sz w:val="24"/>
      <w:szCs w:val="24"/>
    </w:rPr>
  </w:style>
  <w:style w:type="paragraph" w:customStyle="1" w:styleId="24">
    <w:name w:val="Table Paragraph"/>
    <w:basedOn w:val="1"/>
    <w:qFormat/>
    <w:uiPriority w:val="1"/>
    <w:rPr>
      <w:rFonts w:ascii="宋体" w:hAnsi="宋体" w:cs="宋体"/>
      <w:lang w:val="zh-CN" w:bidi="zh-CN"/>
    </w:rPr>
  </w:style>
  <w:style w:type="character" w:customStyle="1" w:styleId="25">
    <w:name w:val="正文缩进 Char"/>
    <w:link w:val="6"/>
    <w:qFormat/>
    <w:uiPriority w:val="0"/>
    <w:rPr>
      <w:rFonts w:eastAsia="宋体"/>
      <w:kern w:val="2"/>
      <w:sz w:val="21"/>
      <w:lang w:val="en-US" w:eastAsia="zh-CN" w:bidi="ar-SA"/>
    </w:rPr>
  </w:style>
  <w:style w:type="character" w:customStyle="1" w:styleId="26">
    <w:name w:val="标题 4 Char"/>
    <w:link w:val="4"/>
    <w:qFormat/>
    <w:uiPriority w:val="9"/>
    <w:rPr>
      <w:rFonts w:ascii="Arial" w:hAnsi="Arial" w:eastAsia="黑体"/>
      <w:b/>
      <w:bCs/>
      <w:kern w:val="2"/>
      <w:sz w:val="28"/>
      <w:szCs w:val="28"/>
      <w:lang w:val="en-US" w:eastAsia="zh-CN" w:bidi="ar-SA"/>
    </w:rPr>
  </w:style>
  <w:style w:type="character" w:customStyle="1" w:styleId="27">
    <w:name w:val="标题 3 Char1"/>
    <w:link w:val="3"/>
    <w:qFormat/>
    <w:uiPriority w:val="9"/>
    <w:rPr>
      <w:rFonts w:ascii="宋体" w:hAnsi="宋体" w:eastAsia="宋体"/>
      <w:b/>
      <w:bCs/>
      <w:kern w:val="2"/>
      <w:sz w:val="28"/>
      <w:szCs w:val="32"/>
      <w:lang w:val="en-US" w:eastAsia="zh-CN" w:bidi="ar-SA"/>
    </w:rPr>
  </w:style>
  <w:style w:type="character" w:customStyle="1" w:styleId="28">
    <w:name w:val="标题 1 Char"/>
    <w:link w:val="2"/>
    <w:qFormat/>
    <w:uiPriority w:val="0"/>
    <w:rPr>
      <w:rFonts w:ascii="宋体" w:hAnsi="宋体" w:eastAsia="黑体"/>
      <w:b/>
      <w:bCs/>
      <w:kern w:val="44"/>
      <w:sz w:val="28"/>
      <w:szCs w:val="44"/>
      <w:lang w:val="en-US" w:eastAsia="zh-CN" w:bidi="ar-SA"/>
    </w:rPr>
  </w:style>
  <w:style w:type="character" w:customStyle="1" w:styleId="29">
    <w:name w:val="标题 2 Char"/>
    <w:link w:val="5"/>
    <w:qFormat/>
    <w:uiPriority w:val="0"/>
    <w:rPr>
      <w:rFonts w:ascii="宋体" w:hAnsi="宋体" w:eastAsia="宋体"/>
      <w:b/>
      <w:bCs/>
      <w:sz w:val="24"/>
      <w:lang w:val="en-US" w:eastAsia="zh-CN" w:bidi="ar-SA"/>
    </w:rPr>
  </w:style>
  <w:style w:type="character" w:customStyle="1" w:styleId="30">
    <w:name w:val="批注文字 Char"/>
    <w:basedOn w:val="19"/>
    <w:link w:val="7"/>
    <w:qFormat/>
    <w:uiPriority w:val="0"/>
    <w:rPr>
      <w:sz w:val="24"/>
      <w:szCs w:val="24"/>
    </w:rPr>
  </w:style>
  <w:style w:type="character" w:customStyle="1" w:styleId="31">
    <w:name w:val="正文文本 Char"/>
    <w:link w:val="8"/>
    <w:qFormat/>
    <w:uiPriority w:val="0"/>
    <w:rPr>
      <w:rFonts w:eastAsia="宋体"/>
      <w:b/>
      <w:bCs/>
      <w:kern w:val="2"/>
      <w:sz w:val="24"/>
      <w:szCs w:val="24"/>
      <w:lang w:val="en-US" w:eastAsia="zh-CN" w:bidi="ar-SA"/>
    </w:rPr>
  </w:style>
  <w:style w:type="character" w:customStyle="1" w:styleId="32">
    <w:name w:val="标题 3 Char"/>
    <w:qFormat/>
    <w:uiPriority w:val="0"/>
    <w:rPr>
      <w:rFonts w:ascii="黑体" w:eastAsia="黑体"/>
      <w:bCs/>
      <w:sz w:val="30"/>
    </w:rPr>
  </w:style>
  <w:style w:type="paragraph" w:customStyle="1" w:styleId="33">
    <w:name w:val="正文1"/>
    <w:basedOn w:val="1"/>
    <w:qFormat/>
    <w:uiPriority w:val="0"/>
    <w:pPr>
      <w:tabs>
        <w:tab w:val="left" w:pos="4"/>
      </w:tabs>
    </w:pPr>
    <w:rPr>
      <w:rFonts w:ascii="宋体" w:hAnsi="宋体"/>
      <w:sz w:val="18"/>
    </w:rPr>
  </w:style>
  <w:style w:type="paragraph" w:customStyle="1" w:styleId="34">
    <w:name w:val="彩色列表 - 强调文字颜色 111"/>
    <w:basedOn w:val="1"/>
    <w:qFormat/>
    <w:uiPriority w:val="0"/>
    <w:pPr>
      <w:ind w:firstLine="420" w:firstLineChars="200"/>
    </w:pPr>
  </w:style>
  <w:style w:type="paragraph" w:customStyle="1" w:styleId="35">
    <w:name w:val="p0"/>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121</Pages>
  <Words>5989</Words>
  <Characters>6208</Characters>
  <Lines>1</Lines>
  <Paragraphs>1</Paragraphs>
  <TotalTime>1</TotalTime>
  <ScaleCrop>false</ScaleCrop>
  <LinksUpToDate>false</LinksUpToDate>
  <CharactersWithSpaces>6289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2022-05-20T08:55:00Z</dcterms:created>
  <dc:creator>lenovo01</dc:creator>
  <cp:lastModifiedBy>.</cp:lastModifiedBy>
  <dcterms:modified xsi:type="dcterms:W3CDTF">2025-01-27T11:05:06Z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3A61A7D2FF8D4061B0F58A8833091C01_13</vt:lpwstr>
  </property>
  <property fmtid="{D5CDD505-2E9C-101B-9397-08002B2CF9AE}" pid="4" name="KSOTemplateDocerSaveRecord">
    <vt:lpwstr>eyJoZGlkIjoiOWJlMGRiNzhjZWNkMTVjNzQ3MDFlNDY0MzJiNzlhZDYiLCJ1c2VySWQiOiIxNjA0NzI1MDM4In0=</vt:lpwstr>
  </property>
</Properties>
</file>