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附件：采购清单及技术要求</w:t>
      </w:r>
    </w:p>
    <w:p>
      <w:pPr>
        <w:numPr>
          <w:ilvl w:val="0"/>
          <w:numId w:val="3"/>
        </w:numPr>
        <w:spacing w:line="360" w:lineRule="auto"/>
        <w:outlineLvl w:val="2"/>
        <w:rPr>
          <w:rFonts w:ascii="Times" w:hAnsi="Times"/>
          <w:b/>
          <w:color w:val="000000" w:themeColor="text1"/>
          <w:szCs w:val="21"/>
          <w14:textFill>
            <w14:solidFill>
              <w14:schemeClr w14:val="tx1"/>
            </w14:solidFill>
          </w14:textFill>
        </w:rPr>
      </w:pPr>
      <w:r>
        <w:rPr>
          <w:rFonts w:hint="eastAsia" w:ascii="Times" w:hAnsi="Times"/>
          <w:b/>
          <w:color w:val="000000" w:themeColor="text1"/>
          <w:szCs w:val="21"/>
          <w14:textFill>
            <w14:solidFill>
              <w14:schemeClr w14:val="tx1"/>
            </w14:solidFill>
          </w14:textFill>
        </w:rPr>
        <w:t>采购清单</w:t>
      </w:r>
    </w:p>
    <w:p>
      <w:pPr>
        <w:pStyle w:val="21"/>
        <w:numPr>
          <w:ilvl w:val="0"/>
          <w:numId w:val="4"/>
        </w:numPr>
        <w:adjustRightInd w:val="0"/>
        <w:snapToGrid w:val="0"/>
        <w:spacing w:line="360" w:lineRule="auto"/>
        <w:ind w:firstLineChars="0"/>
        <w:rPr>
          <w:rFonts w:ascii="Times" w:hAnsi="Times" w:cs="宋体"/>
          <w:b/>
          <w:bCs/>
          <w:color w:val="000000" w:themeColor="text1"/>
          <w:szCs w:val="21"/>
          <w14:textFill>
            <w14:solidFill>
              <w14:schemeClr w14:val="tx1"/>
            </w14:solidFill>
          </w14:textFill>
        </w:rPr>
      </w:pPr>
      <w:r>
        <w:rPr>
          <w:rFonts w:hint="eastAsia" w:ascii="Times" w:hAnsi="Times" w:cs="宋体"/>
          <w:b/>
          <w:bCs/>
          <w:color w:val="000000" w:themeColor="text1"/>
          <w:szCs w:val="21"/>
          <w14:textFill>
            <w14:solidFill>
              <w14:schemeClr w14:val="tx1"/>
            </w14:solidFill>
          </w14:textFill>
        </w:rPr>
        <w:t>供货内容、数量：</w:t>
      </w:r>
    </w:p>
    <w:tbl>
      <w:tblPr>
        <w:tblStyle w:val="13"/>
        <w:tblW w:w="4998" w:type="pct"/>
        <w:tblInd w:w="0" w:type="dxa"/>
        <w:tblLayout w:type="autofit"/>
        <w:tblCellMar>
          <w:top w:w="0" w:type="dxa"/>
          <w:left w:w="108" w:type="dxa"/>
          <w:bottom w:w="0" w:type="dxa"/>
          <w:right w:w="108" w:type="dxa"/>
        </w:tblCellMar>
      </w:tblPr>
      <w:tblGrid>
        <w:gridCol w:w="1145"/>
        <w:gridCol w:w="1096"/>
        <w:gridCol w:w="4421"/>
        <w:gridCol w:w="475"/>
        <w:gridCol w:w="1382"/>
      </w:tblGrid>
      <w:tr>
        <w:tblPrEx>
          <w:tblCellMar>
            <w:top w:w="0" w:type="dxa"/>
            <w:left w:w="108" w:type="dxa"/>
            <w:bottom w:w="0" w:type="dxa"/>
            <w:right w:w="108" w:type="dxa"/>
          </w:tblCellMar>
        </w:tblPrEx>
        <w:trPr>
          <w:trHeight w:val="57" w:hRule="atLeast"/>
        </w:trPr>
        <w:tc>
          <w:tcPr>
            <w:tcW w:w="672" w:type="pct"/>
            <w:tcBorders>
              <w:top w:val="single" w:color="000000" w:sz="4" w:space="0"/>
              <w:left w:val="single" w:color="000000" w:sz="4" w:space="0"/>
              <w:bottom w:val="single" w:color="000000" w:sz="4" w:space="0"/>
              <w:right w:val="single" w:color="000000"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序号</w:t>
            </w:r>
          </w:p>
        </w:tc>
        <w:tc>
          <w:tcPr>
            <w:tcW w:w="643" w:type="pct"/>
            <w:tcBorders>
              <w:top w:val="single" w:color="000000" w:sz="4" w:space="0"/>
              <w:left w:val="single" w:color="000000" w:sz="4" w:space="0"/>
              <w:bottom w:val="single" w:color="000000" w:sz="4" w:space="0"/>
              <w:right w:val="single" w:color="000000"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采购内容</w:t>
            </w:r>
          </w:p>
        </w:tc>
        <w:tc>
          <w:tcPr>
            <w:tcW w:w="2595" w:type="pct"/>
            <w:tcBorders>
              <w:top w:val="single" w:color="000000" w:sz="4" w:space="0"/>
              <w:left w:val="single" w:color="000000" w:sz="4" w:space="0"/>
              <w:bottom w:val="single" w:color="000000" w:sz="4" w:space="0"/>
              <w:right w:val="single" w:color="000000"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具体要求</w:t>
            </w:r>
          </w:p>
        </w:tc>
        <w:tc>
          <w:tcPr>
            <w:tcW w:w="279" w:type="pct"/>
            <w:tcBorders>
              <w:top w:val="single" w:color="000000" w:sz="4" w:space="0"/>
              <w:left w:val="single" w:color="000000" w:sz="4" w:space="0"/>
              <w:bottom w:val="single" w:color="000000" w:sz="4" w:space="0"/>
              <w:right w:val="single" w:color="000000" w:sz="4" w:space="0"/>
            </w:tcBorders>
            <w:vAlign w:val="center"/>
          </w:tcPr>
          <w:p>
            <w:pPr>
              <w:tabs>
                <w:tab w:val="left" w:pos="426"/>
              </w:tabs>
              <w:spacing w:line="240" w:lineRule="atLeast"/>
              <w:jc w:val="center"/>
              <w:rPr>
                <w:rFonts w:ascii="仿宋" w:hAnsi="仿宋" w:eastAsia="仿宋" w:cs="仿宋"/>
                <w:kern w:val="0"/>
                <w:szCs w:val="32"/>
              </w:rPr>
            </w:pPr>
            <w:r>
              <w:rPr>
                <w:rFonts w:hint="eastAsia" w:ascii="仿宋" w:hAnsi="仿宋" w:eastAsia="仿宋" w:cs="仿宋"/>
                <w:kern w:val="0"/>
                <w:szCs w:val="32"/>
              </w:rPr>
              <w:t>数量</w:t>
            </w:r>
          </w:p>
        </w:tc>
        <w:tc>
          <w:tcPr>
            <w:tcW w:w="808" w:type="pct"/>
            <w:tcBorders>
              <w:top w:val="single" w:color="000000" w:sz="4" w:space="0"/>
              <w:left w:val="single" w:color="000000" w:sz="4" w:space="0"/>
              <w:bottom w:val="single" w:color="000000" w:sz="4" w:space="0"/>
              <w:right w:val="single" w:color="000000"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备注</w:t>
            </w:r>
          </w:p>
        </w:tc>
      </w:tr>
      <w:tr>
        <w:tblPrEx>
          <w:tblCellMar>
            <w:top w:w="0" w:type="dxa"/>
            <w:left w:w="108" w:type="dxa"/>
            <w:bottom w:w="0" w:type="dxa"/>
            <w:right w:w="108" w:type="dxa"/>
          </w:tblCellMar>
        </w:tblPrEx>
        <w:trPr>
          <w:trHeight w:val="5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DBEEF3"/>
            <w:vAlign w:val="center"/>
          </w:tcPr>
          <w:p>
            <w:pPr>
              <w:tabs>
                <w:tab w:val="left" w:pos="426"/>
              </w:tabs>
              <w:spacing w:line="240" w:lineRule="atLeast"/>
              <w:jc w:val="left"/>
              <w:rPr>
                <w:rFonts w:hint="eastAsia" w:ascii="仿宋" w:hAnsi="仿宋" w:eastAsia="仿宋" w:cs="仿宋"/>
                <w:kern w:val="0"/>
                <w:szCs w:val="32"/>
              </w:rPr>
            </w:pPr>
            <w:r>
              <w:rPr>
                <w:rFonts w:hint="eastAsia" w:ascii="仿宋" w:hAnsi="仿宋" w:eastAsia="仿宋" w:cs="仿宋"/>
                <w:kern w:val="0"/>
                <w:szCs w:val="32"/>
              </w:rPr>
              <w:t>一、化粪池粪污处理装置产品定义服务</w:t>
            </w:r>
          </w:p>
        </w:tc>
      </w:tr>
      <w:tr>
        <w:tblPrEx>
          <w:tblCellMar>
            <w:top w:w="0" w:type="dxa"/>
            <w:left w:w="108" w:type="dxa"/>
            <w:bottom w:w="0" w:type="dxa"/>
            <w:right w:w="108" w:type="dxa"/>
          </w:tblCellMar>
        </w:tblPrEx>
        <w:trPr>
          <w:trHeight w:val="57" w:hRule="atLeast"/>
        </w:trPr>
        <w:tc>
          <w:tcPr>
            <w:tcW w:w="672" w:type="pct"/>
            <w:tcBorders>
              <w:top w:val="single" w:color="000000" w:sz="4" w:space="0"/>
              <w:left w:val="single" w:color="000000" w:sz="4" w:space="0"/>
              <w:bottom w:val="single" w:color="000000" w:sz="4" w:space="0"/>
              <w:right w:val="single" w:color="000000"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1</w:t>
            </w:r>
          </w:p>
        </w:tc>
        <w:tc>
          <w:tcPr>
            <w:tcW w:w="643" w:type="pct"/>
            <w:tcBorders>
              <w:top w:val="single" w:color="000000" w:sz="4" w:space="0"/>
              <w:left w:val="single" w:color="000000" w:sz="4" w:space="0"/>
              <w:bottom w:val="single" w:color="000000" w:sz="4" w:space="0"/>
              <w:right w:val="single" w:color="000000"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《产品定义报告》</w:t>
            </w:r>
          </w:p>
        </w:tc>
        <w:tc>
          <w:tcPr>
            <w:tcW w:w="4421" w:type="dxa"/>
            <w:tcBorders>
              <w:top w:val="single" w:color="000000" w:sz="4" w:space="0"/>
              <w:left w:val="single" w:color="000000" w:sz="4" w:space="0"/>
              <w:bottom w:val="single" w:color="000000" w:sz="4" w:space="0"/>
              <w:right w:val="single" w:color="000000" w:sz="4" w:space="0"/>
            </w:tcBorders>
            <w:vAlign w:val="center"/>
          </w:tcPr>
          <w:p>
            <w:pPr>
              <w:tabs>
                <w:tab w:val="left" w:pos="426"/>
              </w:tabs>
              <w:spacing w:line="240" w:lineRule="atLeast"/>
              <w:rPr>
                <w:rFonts w:hint="eastAsia" w:ascii="仿宋" w:hAnsi="仿宋" w:eastAsia="仿宋" w:cs="仿宋"/>
                <w:kern w:val="0"/>
                <w:szCs w:val="32"/>
              </w:rPr>
            </w:pPr>
            <w:r>
              <w:rPr>
                <w:rFonts w:hint="eastAsia" w:ascii="仿宋" w:hAnsi="仿宋" w:eastAsia="仿宋" w:cs="仿宋"/>
                <w:kern w:val="0"/>
                <w:szCs w:val="32"/>
              </w:rPr>
              <w:t>核心交付内容：</w:t>
            </w:r>
          </w:p>
          <w:p>
            <w:pPr>
              <w:tabs>
                <w:tab w:val="left" w:pos="426"/>
              </w:tabs>
              <w:spacing w:line="240" w:lineRule="atLeast"/>
              <w:rPr>
                <w:rFonts w:hint="eastAsia" w:ascii="仿宋" w:hAnsi="仿宋" w:eastAsia="仿宋" w:cs="仿宋"/>
                <w:kern w:val="0"/>
                <w:szCs w:val="32"/>
              </w:rPr>
            </w:pPr>
            <w:r>
              <w:rPr>
                <w:rFonts w:hint="eastAsia" w:ascii="仿宋" w:hAnsi="仿宋" w:eastAsia="仿宋" w:cs="仿宋"/>
                <w:kern w:val="0"/>
                <w:szCs w:val="32"/>
              </w:rPr>
              <w:t>1. 产品概念设计（含技术参数优化、技术壁垒分析等，如拦截粒径的可行性验证）</w:t>
            </w:r>
          </w:p>
          <w:p>
            <w:pPr>
              <w:tabs>
                <w:tab w:val="left" w:pos="426"/>
              </w:tabs>
              <w:spacing w:line="240" w:lineRule="atLeast"/>
              <w:rPr>
                <w:rFonts w:hint="eastAsia" w:ascii="仿宋" w:hAnsi="仿宋" w:eastAsia="仿宋" w:cs="仿宋"/>
                <w:kern w:val="0"/>
                <w:szCs w:val="32"/>
              </w:rPr>
            </w:pPr>
            <w:r>
              <w:rPr>
                <w:rFonts w:hint="eastAsia" w:ascii="仿宋" w:hAnsi="仿宋" w:eastAsia="仿宋" w:cs="仿宋"/>
                <w:kern w:val="0"/>
                <w:szCs w:val="32"/>
              </w:rPr>
              <w:t>2. 目标客户分层分析（清掏企业/政府/物业）的核心诉求与支付意愿模型</w:t>
            </w:r>
          </w:p>
          <w:p>
            <w:pPr>
              <w:tabs>
                <w:tab w:val="left" w:pos="426"/>
              </w:tabs>
              <w:spacing w:line="240" w:lineRule="atLeast"/>
              <w:rPr>
                <w:rFonts w:hint="eastAsia" w:ascii="仿宋" w:hAnsi="仿宋" w:eastAsia="仿宋" w:cs="仿宋"/>
                <w:kern w:val="0"/>
                <w:szCs w:val="32"/>
              </w:rPr>
            </w:pPr>
            <w:r>
              <w:rPr>
                <w:rFonts w:hint="eastAsia" w:ascii="仿宋" w:hAnsi="仿宋" w:eastAsia="仿宋" w:cs="仿宋"/>
                <w:kern w:val="0"/>
                <w:szCs w:val="32"/>
              </w:rPr>
              <w:t>3. 基于分布式部署的技术经济性分析</w:t>
            </w:r>
          </w:p>
          <w:p>
            <w:pPr>
              <w:tabs>
                <w:tab w:val="left" w:pos="426"/>
              </w:tabs>
              <w:spacing w:line="240" w:lineRule="atLeast"/>
              <w:rPr>
                <w:rFonts w:hint="eastAsia" w:ascii="仿宋" w:hAnsi="仿宋" w:eastAsia="仿宋" w:cs="仿宋"/>
                <w:kern w:val="0"/>
                <w:szCs w:val="32"/>
              </w:rPr>
            </w:pPr>
            <w:r>
              <w:rPr>
                <w:rFonts w:hint="eastAsia" w:ascii="仿宋" w:hAnsi="仿宋" w:eastAsia="仿宋" w:cs="仿宋"/>
                <w:kern w:val="0"/>
                <w:szCs w:val="32"/>
              </w:rPr>
              <w:t>4. 创新模式设计（盈利模型、服务标准、合作框架）</w:t>
            </w:r>
          </w:p>
          <w:p>
            <w:pPr>
              <w:tabs>
                <w:tab w:val="left" w:pos="426"/>
              </w:tabs>
              <w:spacing w:line="240" w:lineRule="atLeast"/>
              <w:rPr>
                <w:rFonts w:hint="eastAsia" w:ascii="仿宋" w:hAnsi="仿宋" w:eastAsia="仿宋" w:cs="仿宋"/>
                <w:kern w:val="0"/>
                <w:szCs w:val="32"/>
              </w:rPr>
            </w:pPr>
            <w:r>
              <w:rPr>
                <w:rFonts w:hint="eastAsia" w:ascii="仿宋" w:hAnsi="仿宋" w:eastAsia="仿宋" w:cs="仿宋"/>
                <w:kern w:val="0"/>
                <w:szCs w:val="32"/>
              </w:rPr>
              <w:t>5. 市场推广策略及风险预案</w:t>
            </w:r>
          </w:p>
          <w:p>
            <w:pPr>
              <w:tabs>
                <w:tab w:val="left" w:pos="426"/>
              </w:tabs>
              <w:spacing w:line="240" w:lineRule="atLeast"/>
              <w:rPr>
                <w:rFonts w:hint="eastAsia" w:ascii="仿宋" w:hAnsi="仿宋" w:eastAsia="仿宋" w:cs="仿宋"/>
                <w:kern w:val="0"/>
                <w:szCs w:val="32"/>
              </w:rPr>
            </w:pPr>
            <w:r>
              <w:rPr>
                <w:rFonts w:hint="eastAsia" w:ascii="仿宋" w:hAnsi="仿宋" w:eastAsia="仿宋" w:cs="仿宋"/>
                <w:kern w:val="0"/>
                <w:szCs w:val="32"/>
              </w:rPr>
              <w:t>6.深圳市场调研（化粪池实际数量和容积，按区按类型进行分类统计、企业数量、作业车辆数量、从业人员数量、化粪池分布、主要竞争对手、主要客户、实际市场容量（清掏市场流水份额））</w:t>
            </w:r>
          </w:p>
        </w:tc>
        <w:tc>
          <w:tcPr>
            <w:tcW w:w="279" w:type="pct"/>
            <w:tcBorders>
              <w:top w:val="single" w:color="000000" w:sz="4" w:space="0"/>
              <w:left w:val="single" w:color="000000" w:sz="4" w:space="0"/>
              <w:bottom w:val="single" w:color="000000" w:sz="4" w:space="0"/>
              <w:right w:val="single" w:color="000000" w:sz="4" w:space="0"/>
            </w:tcBorders>
            <w:vAlign w:val="center"/>
          </w:tcPr>
          <w:p>
            <w:pPr>
              <w:tabs>
                <w:tab w:val="left" w:pos="426"/>
              </w:tabs>
              <w:spacing w:line="240" w:lineRule="atLeast"/>
              <w:jc w:val="center"/>
              <w:rPr>
                <w:rFonts w:ascii="仿宋" w:hAnsi="仿宋" w:eastAsia="仿宋" w:cs="仿宋"/>
                <w:kern w:val="0"/>
                <w:szCs w:val="32"/>
              </w:rPr>
            </w:pPr>
            <w:r>
              <w:rPr>
                <w:rFonts w:hint="eastAsia" w:ascii="仿宋" w:hAnsi="仿宋" w:eastAsia="仿宋" w:cs="仿宋"/>
                <w:kern w:val="0"/>
                <w:szCs w:val="32"/>
              </w:rPr>
              <w:t>1套</w:t>
            </w:r>
          </w:p>
        </w:tc>
        <w:tc>
          <w:tcPr>
            <w:tcW w:w="808" w:type="pct"/>
            <w:tcBorders>
              <w:top w:val="single" w:color="000000" w:sz="4" w:space="0"/>
              <w:left w:val="single" w:color="000000" w:sz="4" w:space="0"/>
              <w:bottom w:val="single" w:color="000000" w:sz="4" w:space="0"/>
              <w:right w:val="single" w:color="000000" w:sz="4" w:space="0"/>
            </w:tcBorders>
            <w:vAlign w:val="center"/>
          </w:tcPr>
          <w:p>
            <w:pPr>
              <w:tabs>
                <w:tab w:val="left" w:pos="426"/>
              </w:tabs>
              <w:spacing w:line="240" w:lineRule="atLeast"/>
              <w:jc w:val="center"/>
              <w:rPr>
                <w:rFonts w:ascii="仿宋" w:hAnsi="仿宋" w:eastAsia="仿宋" w:cs="仿宋"/>
                <w:kern w:val="0"/>
                <w:szCs w:val="32"/>
              </w:rPr>
            </w:pPr>
            <w:r>
              <w:rPr>
                <w:rFonts w:hint="eastAsia" w:ascii="仿宋" w:hAnsi="仿宋" w:eastAsia="仿宋" w:cs="仿宋"/>
                <w:kern w:val="0"/>
                <w:szCs w:val="32"/>
              </w:rPr>
              <w:t>需符合生态公司化粪池业务战略规划</w:t>
            </w:r>
          </w:p>
        </w:tc>
      </w:tr>
      <w:tr>
        <w:tblPrEx>
          <w:tblCellMar>
            <w:top w:w="0" w:type="dxa"/>
            <w:left w:w="108" w:type="dxa"/>
            <w:bottom w:w="0" w:type="dxa"/>
            <w:right w:w="108" w:type="dxa"/>
          </w:tblCellMar>
        </w:tblPrEx>
        <w:trPr>
          <w:trHeight w:val="57" w:hRule="atLeast"/>
        </w:trPr>
        <w:tc>
          <w:tcPr>
            <w:tcW w:w="672" w:type="pct"/>
            <w:tcBorders>
              <w:top w:val="single" w:color="000000" w:sz="4" w:space="0"/>
              <w:left w:val="single" w:color="000000" w:sz="4" w:space="0"/>
              <w:bottom w:val="single" w:color="000000" w:sz="4" w:space="0"/>
              <w:right w:val="single" w:color="000000"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2</w:t>
            </w:r>
          </w:p>
        </w:tc>
        <w:tc>
          <w:tcPr>
            <w:tcW w:w="643" w:type="pct"/>
            <w:tcBorders>
              <w:top w:val="single" w:color="000000" w:sz="4" w:space="0"/>
              <w:left w:val="single" w:color="000000" w:sz="4" w:space="0"/>
              <w:bottom w:val="single" w:color="000000" w:sz="4" w:space="0"/>
              <w:right w:val="single" w:color="000000"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《可行性分析报告》</w:t>
            </w:r>
          </w:p>
        </w:tc>
        <w:tc>
          <w:tcPr>
            <w:tcW w:w="4421" w:type="dxa"/>
            <w:tcBorders>
              <w:top w:val="single" w:color="000000" w:sz="4" w:space="0"/>
              <w:left w:val="single" w:color="000000" w:sz="4" w:space="0"/>
              <w:bottom w:val="single" w:color="000000" w:sz="4" w:space="0"/>
              <w:right w:val="single" w:color="000000" w:sz="4" w:space="0"/>
            </w:tcBorders>
            <w:vAlign w:val="center"/>
          </w:tcPr>
          <w:p>
            <w:pPr>
              <w:tabs>
                <w:tab w:val="left" w:pos="426"/>
              </w:tabs>
              <w:spacing w:line="240" w:lineRule="atLeast"/>
              <w:rPr>
                <w:rFonts w:hint="eastAsia" w:ascii="仿宋" w:hAnsi="仿宋" w:eastAsia="仿宋" w:cs="仿宋"/>
                <w:kern w:val="0"/>
                <w:szCs w:val="32"/>
              </w:rPr>
            </w:pPr>
            <w:r>
              <w:rPr>
                <w:rFonts w:hint="eastAsia" w:ascii="仿宋" w:hAnsi="仿宋" w:eastAsia="仿宋" w:cs="仿宋"/>
                <w:kern w:val="0"/>
                <w:szCs w:val="32"/>
              </w:rPr>
              <w:t>核心交付内容：</w:t>
            </w:r>
          </w:p>
          <w:p>
            <w:pPr>
              <w:tabs>
                <w:tab w:val="left" w:pos="426"/>
              </w:tabs>
              <w:spacing w:line="240" w:lineRule="atLeast"/>
              <w:rPr>
                <w:rFonts w:hint="eastAsia" w:ascii="仿宋" w:hAnsi="仿宋" w:eastAsia="仿宋" w:cs="仿宋"/>
                <w:kern w:val="0"/>
                <w:szCs w:val="32"/>
              </w:rPr>
            </w:pPr>
            <w:r>
              <w:rPr>
                <w:rFonts w:hint="eastAsia" w:ascii="仿宋" w:hAnsi="仿宋" w:eastAsia="仿宋" w:cs="仿宋"/>
                <w:kern w:val="0"/>
                <w:szCs w:val="32"/>
              </w:rPr>
              <w:t>1. 单点运营成本核算：能耗/人工/维护成本等（基于≥3个月试点数据）</w:t>
            </w:r>
          </w:p>
          <w:p>
            <w:pPr>
              <w:tabs>
                <w:tab w:val="left" w:pos="426"/>
              </w:tabs>
              <w:spacing w:line="240" w:lineRule="atLeast"/>
              <w:rPr>
                <w:rFonts w:hint="eastAsia" w:ascii="仿宋" w:hAnsi="仿宋" w:eastAsia="仿宋" w:cs="仿宋"/>
                <w:kern w:val="0"/>
                <w:szCs w:val="32"/>
              </w:rPr>
            </w:pPr>
            <w:r>
              <w:rPr>
                <w:rFonts w:hint="eastAsia" w:ascii="仿宋" w:hAnsi="仿宋" w:eastAsia="仿宋" w:cs="仿宋"/>
                <w:kern w:val="0"/>
                <w:szCs w:val="32"/>
              </w:rPr>
              <w:t>2. 客户单价敏感区间模型（分客户类型）</w:t>
            </w:r>
          </w:p>
          <w:p>
            <w:pPr>
              <w:tabs>
                <w:tab w:val="left" w:pos="426"/>
              </w:tabs>
              <w:spacing w:line="240" w:lineRule="atLeast"/>
              <w:rPr>
                <w:rFonts w:hint="eastAsia" w:ascii="仿宋" w:hAnsi="仿宋" w:eastAsia="仿宋" w:cs="仿宋"/>
                <w:kern w:val="0"/>
                <w:szCs w:val="32"/>
              </w:rPr>
            </w:pPr>
            <w:r>
              <w:rPr>
                <w:rFonts w:hint="eastAsia" w:ascii="仿宋" w:hAnsi="仿宋" w:eastAsia="仿宋" w:cs="仿宋"/>
                <w:kern w:val="0"/>
                <w:szCs w:val="32"/>
              </w:rPr>
              <w:t>3. 服务模式收益率测算（含盈亏平衡分析）</w:t>
            </w:r>
          </w:p>
          <w:p>
            <w:pPr>
              <w:tabs>
                <w:tab w:val="left" w:pos="426"/>
              </w:tabs>
              <w:spacing w:line="240" w:lineRule="atLeast"/>
              <w:rPr>
                <w:rFonts w:hint="eastAsia" w:ascii="仿宋" w:hAnsi="仿宋" w:eastAsia="仿宋" w:cs="仿宋"/>
                <w:kern w:val="0"/>
                <w:szCs w:val="32"/>
              </w:rPr>
            </w:pPr>
            <w:r>
              <w:rPr>
                <w:rFonts w:hint="eastAsia" w:ascii="仿宋" w:hAnsi="仿宋" w:eastAsia="仿宋" w:cs="仿宋"/>
                <w:kern w:val="0"/>
                <w:szCs w:val="32"/>
              </w:rPr>
              <w:t>4. 三方满意度调研报告（物业/清掏企业/监管部门，样本量≥100家）</w:t>
            </w:r>
          </w:p>
          <w:p>
            <w:pPr>
              <w:tabs>
                <w:tab w:val="left" w:pos="426"/>
              </w:tabs>
              <w:spacing w:line="240" w:lineRule="atLeast"/>
              <w:rPr>
                <w:rFonts w:hint="eastAsia" w:ascii="仿宋" w:hAnsi="仿宋" w:eastAsia="仿宋" w:cs="仿宋"/>
                <w:kern w:val="0"/>
                <w:szCs w:val="32"/>
              </w:rPr>
            </w:pPr>
            <w:r>
              <w:rPr>
                <w:rFonts w:hint="eastAsia" w:ascii="仿宋" w:hAnsi="仿宋" w:eastAsia="仿宋" w:cs="仿宋"/>
                <w:kern w:val="0"/>
                <w:szCs w:val="32"/>
              </w:rPr>
              <w:t>5. “产生-处理-付费”链条数据贯通率分析（需提出优化方案）</w:t>
            </w:r>
          </w:p>
          <w:p>
            <w:pPr>
              <w:tabs>
                <w:tab w:val="left" w:pos="426"/>
              </w:tabs>
              <w:spacing w:line="240" w:lineRule="atLeast"/>
              <w:rPr>
                <w:rFonts w:hint="eastAsia" w:ascii="仿宋" w:hAnsi="仿宋" w:eastAsia="仿宋" w:cs="仿宋"/>
                <w:kern w:val="0"/>
                <w:szCs w:val="32"/>
              </w:rPr>
            </w:pPr>
            <w:r>
              <w:rPr>
                <w:rFonts w:hint="eastAsia" w:ascii="仿宋" w:hAnsi="仿宋" w:eastAsia="仿宋" w:cs="仿宋"/>
                <w:kern w:val="0"/>
                <w:szCs w:val="32"/>
              </w:rPr>
              <w:t>6.处置点定价分析及依据</w:t>
            </w:r>
          </w:p>
        </w:tc>
        <w:tc>
          <w:tcPr>
            <w:tcW w:w="279" w:type="pct"/>
            <w:tcBorders>
              <w:top w:val="single" w:color="000000" w:sz="4" w:space="0"/>
              <w:left w:val="single" w:color="000000" w:sz="4" w:space="0"/>
              <w:bottom w:val="single" w:color="000000" w:sz="4" w:space="0"/>
              <w:right w:val="single" w:color="000000" w:sz="4" w:space="0"/>
            </w:tcBorders>
            <w:vAlign w:val="center"/>
          </w:tcPr>
          <w:p>
            <w:pPr>
              <w:tabs>
                <w:tab w:val="left" w:pos="426"/>
              </w:tabs>
              <w:spacing w:line="240" w:lineRule="atLeast"/>
              <w:jc w:val="center"/>
              <w:rPr>
                <w:rFonts w:ascii="仿宋" w:hAnsi="仿宋" w:eastAsia="仿宋" w:cs="仿宋"/>
                <w:kern w:val="0"/>
                <w:szCs w:val="32"/>
              </w:rPr>
            </w:pPr>
            <w:r>
              <w:rPr>
                <w:rFonts w:hint="eastAsia" w:ascii="Times New Roman" w:hAnsi="仿宋" w:eastAsia="宋体" w:cs="仿宋"/>
                <w:kern w:val="0"/>
                <w:szCs w:val="32"/>
              </w:rPr>
              <w:t>1套</w:t>
            </w:r>
          </w:p>
        </w:tc>
        <w:tc>
          <w:tcPr>
            <w:tcW w:w="808" w:type="pct"/>
            <w:tcBorders>
              <w:top w:val="single" w:color="000000" w:sz="4" w:space="0"/>
              <w:left w:val="single" w:color="000000" w:sz="4" w:space="0"/>
              <w:bottom w:val="single" w:color="000000" w:sz="4" w:space="0"/>
              <w:right w:val="single" w:color="000000"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数据来源：生态公司试点项目（需现场调研并验证数据真实性）</w:t>
            </w:r>
          </w:p>
        </w:tc>
      </w:tr>
      <w:tr>
        <w:tblPrEx>
          <w:tblCellMar>
            <w:top w:w="0" w:type="dxa"/>
            <w:left w:w="108" w:type="dxa"/>
            <w:bottom w:w="0" w:type="dxa"/>
            <w:right w:w="108" w:type="dxa"/>
          </w:tblCellMar>
        </w:tblPrEx>
        <w:trPr>
          <w:trHeight w:val="57" w:hRule="atLeast"/>
        </w:trPr>
        <w:tc>
          <w:tcPr>
            <w:tcW w:w="672" w:type="pct"/>
            <w:tcBorders>
              <w:top w:val="single" w:color="000000" w:sz="4" w:space="0"/>
              <w:left w:val="single" w:color="000000" w:sz="4" w:space="0"/>
              <w:bottom w:val="single" w:color="000000" w:sz="4" w:space="0"/>
              <w:right w:val="single" w:color="000000"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3</w:t>
            </w:r>
          </w:p>
        </w:tc>
        <w:tc>
          <w:tcPr>
            <w:tcW w:w="643" w:type="pct"/>
            <w:tcBorders>
              <w:top w:val="single" w:color="000000" w:sz="4" w:space="0"/>
              <w:left w:val="single" w:color="000000" w:sz="4" w:space="0"/>
              <w:bottom w:val="single" w:color="000000" w:sz="4" w:space="0"/>
              <w:right w:val="single" w:color="000000"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《创新模式推广运营指南》</w:t>
            </w:r>
          </w:p>
        </w:tc>
        <w:tc>
          <w:tcPr>
            <w:tcW w:w="4421" w:type="dxa"/>
            <w:tcBorders>
              <w:top w:val="single" w:color="000000" w:sz="4" w:space="0"/>
              <w:left w:val="single" w:color="000000" w:sz="4" w:space="0"/>
              <w:bottom w:val="single" w:color="000000" w:sz="4" w:space="0"/>
              <w:right w:val="single" w:color="000000" w:sz="4" w:space="0"/>
            </w:tcBorders>
            <w:vAlign w:val="center"/>
          </w:tcPr>
          <w:p>
            <w:pPr>
              <w:tabs>
                <w:tab w:val="left" w:pos="426"/>
              </w:tabs>
              <w:spacing w:line="240" w:lineRule="atLeast"/>
              <w:rPr>
                <w:rFonts w:hint="eastAsia" w:ascii="仿宋" w:hAnsi="仿宋" w:eastAsia="仿宋" w:cs="仿宋"/>
                <w:kern w:val="0"/>
                <w:szCs w:val="32"/>
              </w:rPr>
            </w:pPr>
            <w:r>
              <w:rPr>
                <w:rFonts w:hint="eastAsia" w:ascii="仿宋" w:hAnsi="仿宋" w:eastAsia="仿宋" w:cs="仿宋"/>
                <w:kern w:val="0"/>
                <w:szCs w:val="32"/>
              </w:rPr>
              <w:t>核心交付内容：</w:t>
            </w:r>
          </w:p>
          <w:p>
            <w:pPr>
              <w:tabs>
                <w:tab w:val="left" w:pos="426"/>
              </w:tabs>
              <w:spacing w:line="240" w:lineRule="atLeast"/>
              <w:rPr>
                <w:rFonts w:hint="eastAsia" w:ascii="仿宋" w:hAnsi="仿宋" w:eastAsia="仿宋" w:cs="仿宋"/>
                <w:kern w:val="0"/>
                <w:szCs w:val="32"/>
              </w:rPr>
            </w:pPr>
            <w:r>
              <w:rPr>
                <w:rFonts w:hint="eastAsia" w:ascii="仿宋" w:hAnsi="仿宋" w:eastAsia="仿宋" w:cs="仿宋"/>
                <w:kern w:val="0"/>
                <w:szCs w:val="32"/>
              </w:rPr>
              <w:t>1. 标准化商业合作框架（合同模板/分成机制/权责条款等）</w:t>
            </w:r>
          </w:p>
          <w:p>
            <w:pPr>
              <w:tabs>
                <w:tab w:val="left" w:pos="426"/>
              </w:tabs>
              <w:spacing w:line="240" w:lineRule="atLeast"/>
              <w:rPr>
                <w:rFonts w:hint="eastAsia" w:ascii="仿宋" w:hAnsi="仿宋" w:eastAsia="仿宋" w:cs="仿宋"/>
                <w:kern w:val="0"/>
                <w:szCs w:val="32"/>
              </w:rPr>
            </w:pPr>
            <w:r>
              <w:rPr>
                <w:rFonts w:hint="eastAsia" w:ascii="仿宋" w:hAnsi="仿宋" w:eastAsia="仿宋" w:cs="仿宋"/>
                <w:kern w:val="0"/>
                <w:szCs w:val="32"/>
              </w:rPr>
              <w:t>2. 区域推广策略（优先级区域筛选标准、政府合作路径）</w:t>
            </w:r>
          </w:p>
          <w:p>
            <w:pPr>
              <w:tabs>
                <w:tab w:val="left" w:pos="426"/>
              </w:tabs>
              <w:spacing w:line="240" w:lineRule="atLeast"/>
              <w:rPr>
                <w:rFonts w:hint="eastAsia" w:ascii="仿宋" w:hAnsi="仿宋" w:eastAsia="仿宋" w:cs="仿宋"/>
                <w:kern w:val="0"/>
                <w:szCs w:val="32"/>
              </w:rPr>
            </w:pPr>
            <w:r>
              <w:rPr>
                <w:rFonts w:hint="eastAsia" w:ascii="仿宋" w:hAnsi="仿宋" w:eastAsia="仿宋" w:cs="仿宋"/>
                <w:kern w:val="0"/>
                <w:szCs w:val="32"/>
              </w:rPr>
              <w:t>3. 运维服务SOP（含应急处理流程）</w:t>
            </w:r>
          </w:p>
          <w:p>
            <w:pPr>
              <w:tabs>
                <w:tab w:val="left" w:pos="426"/>
              </w:tabs>
              <w:spacing w:line="240" w:lineRule="atLeast"/>
              <w:rPr>
                <w:rFonts w:hint="eastAsia" w:ascii="仿宋" w:hAnsi="仿宋" w:eastAsia="仿宋" w:cs="仿宋"/>
                <w:kern w:val="0"/>
                <w:szCs w:val="32"/>
              </w:rPr>
            </w:pPr>
            <w:r>
              <w:rPr>
                <w:rFonts w:hint="eastAsia" w:ascii="仿宋" w:hAnsi="仿宋" w:eastAsia="仿宋" w:cs="仿宋"/>
                <w:kern w:val="0"/>
                <w:szCs w:val="32"/>
              </w:rPr>
              <w:t>4. 市场化复制风险评估及应对方案</w:t>
            </w:r>
          </w:p>
          <w:p>
            <w:pPr>
              <w:tabs>
                <w:tab w:val="left" w:pos="426"/>
              </w:tabs>
              <w:spacing w:line="240" w:lineRule="atLeast"/>
              <w:rPr>
                <w:rFonts w:hint="eastAsia" w:ascii="仿宋" w:hAnsi="仿宋" w:eastAsia="仿宋" w:cs="仿宋"/>
                <w:kern w:val="0"/>
                <w:szCs w:val="32"/>
              </w:rPr>
            </w:pPr>
            <w:r>
              <w:rPr>
                <w:rFonts w:hint="eastAsia" w:ascii="仿宋" w:hAnsi="仿宋" w:eastAsia="仿宋" w:cs="仿宋"/>
                <w:kern w:val="0"/>
                <w:szCs w:val="32"/>
              </w:rPr>
              <w:t>5.制定从清掏至粪污处置的全流程标准化制度包含但不仅限于：《XX作业标准》、</w:t>
            </w:r>
            <w:r>
              <w:rPr>
                <w:rFonts w:ascii="仿宋" w:hAnsi="仿宋" w:eastAsia="仿宋" w:cs="仿宋"/>
                <w:kern w:val="0"/>
                <w:szCs w:val="32"/>
              </w:rPr>
              <w:t>《化粪池管理维护标准》、《清掏作业车辆要求》、《化粪池投诉举报流程》、《清掏验收标准》</w:t>
            </w:r>
            <w:r>
              <w:rPr>
                <w:rFonts w:hint="eastAsia" w:ascii="仿宋" w:hAnsi="仿宋" w:eastAsia="仿宋" w:cs="仿宋"/>
                <w:kern w:val="0"/>
                <w:szCs w:val="32"/>
              </w:rPr>
              <w:t>、</w:t>
            </w:r>
            <w:r>
              <w:rPr>
                <w:rFonts w:ascii="仿宋" w:hAnsi="仿宋" w:eastAsia="仿宋" w:cs="仿宋"/>
                <w:kern w:val="0"/>
                <w:szCs w:val="32"/>
              </w:rPr>
              <w:t>《联单制度》</w:t>
            </w:r>
            <w:r>
              <w:rPr>
                <w:rFonts w:hint="eastAsia" w:ascii="仿宋" w:hAnsi="仿宋" w:eastAsia="仿宋" w:cs="仿宋"/>
                <w:kern w:val="0"/>
                <w:szCs w:val="32"/>
              </w:rPr>
              <w:t>、</w:t>
            </w:r>
            <w:r>
              <w:rPr>
                <w:rFonts w:ascii="仿宋" w:hAnsi="仿宋" w:eastAsia="仿宋" w:cs="仿宋"/>
                <w:kern w:val="0"/>
                <w:szCs w:val="32"/>
              </w:rPr>
              <w:t>《供应商等级管理办法》</w:t>
            </w:r>
            <w:r>
              <w:rPr>
                <w:rFonts w:hint="eastAsia" w:ascii="仿宋" w:hAnsi="仿宋" w:eastAsia="仿宋" w:cs="仿宋"/>
                <w:kern w:val="0"/>
                <w:szCs w:val="32"/>
              </w:rPr>
              <w:t>以上为暂定名。</w:t>
            </w:r>
          </w:p>
        </w:tc>
        <w:tc>
          <w:tcPr>
            <w:tcW w:w="279" w:type="pct"/>
            <w:tcBorders>
              <w:top w:val="single" w:color="000000" w:sz="4" w:space="0"/>
              <w:left w:val="single" w:color="000000" w:sz="4" w:space="0"/>
              <w:bottom w:val="single" w:color="000000" w:sz="4" w:space="0"/>
              <w:right w:val="single" w:color="000000" w:sz="4" w:space="0"/>
            </w:tcBorders>
            <w:vAlign w:val="center"/>
          </w:tcPr>
          <w:p>
            <w:pPr>
              <w:tabs>
                <w:tab w:val="left" w:pos="426"/>
              </w:tabs>
              <w:spacing w:line="240" w:lineRule="atLeast"/>
              <w:jc w:val="center"/>
              <w:rPr>
                <w:rFonts w:ascii="仿宋" w:hAnsi="仿宋" w:eastAsia="仿宋" w:cs="仿宋"/>
                <w:kern w:val="0"/>
                <w:szCs w:val="32"/>
              </w:rPr>
            </w:pPr>
            <w:r>
              <w:rPr>
                <w:rFonts w:hint="eastAsia" w:ascii="仿宋" w:hAnsi="仿宋" w:eastAsia="仿宋" w:cs="仿宋"/>
                <w:kern w:val="0"/>
                <w:szCs w:val="32"/>
              </w:rPr>
              <w:t>1套</w:t>
            </w:r>
          </w:p>
        </w:tc>
        <w:tc>
          <w:tcPr>
            <w:tcW w:w="808" w:type="pct"/>
            <w:tcBorders>
              <w:top w:val="single" w:color="000000" w:sz="4" w:space="0"/>
              <w:left w:val="single" w:color="000000" w:sz="4" w:space="0"/>
              <w:bottom w:val="single" w:color="000000" w:sz="4" w:space="0"/>
              <w:right w:val="single" w:color="000000"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需包含2个可落地的试点合作案例设计方案</w:t>
            </w:r>
          </w:p>
        </w:tc>
      </w:tr>
      <w:tr>
        <w:tblPrEx>
          <w:tblCellMar>
            <w:top w:w="0" w:type="dxa"/>
            <w:left w:w="108" w:type="dxa"/>
            <w:bottom w:w="0" w:type="dxa"/>
            <w:right w:w="108" w:type="dxa"/>
          </w:tblCellMar>
        </w:tblPrEx>
        <w:trPr>
          <w:trHeight w:val="57" w:hRule="atLeast"/>
        </w:trPr>
        <w:tc>
          <w:tcPr>
            <w:tcW w:w="5000" w:type="pct"/>
            <w:gridSpan w:val="5"/>
            <w:tcBorders>
              <w:top w:val="single" w:color="000000" w:sz="4" w:space="0"/>
              <w:left w:val="single" w:color="000000" w:sz="4" w:space="0"/>
              <w:bottom w:val="single" w:color="auto" w:sz="4" w:space="0"/>
              <w:right w:val="single" w:color="000000" w:sz="4" w:space="0"/>
            </w:tcBorders>
            <w:shd w:val="clear" w:color="auto" w:fill="DBEEF3"/>
            <w:vAlign w:val="center"/>
          </w:tcPr>
          <w:p>
            <w:pPr>
              <w:tabs>
                <w:tab w:val="left" w:pos="426"/>
              </w:tabs>
              <w:spacing w:line="240" w:lineRule="atLeast"/>
              <w:jc w:val="left"/>
              <w:rPr>
                <w:rFonts w:hint="eastAsia" w:ascii="仿宋" w:hAnsi="仿宋" w:eastAsia="仿宋" w:cs="仿宋"/>
                <w:kern w:val="0"/>
                <w:szCs w:val="32"/>
              </w:rPr>
            </w:pPr>
            <w:r>
              <w:rPr>
                <w:rFonts w:hint="eastAsia" w:ascii="仿宋" w:hAnsi="仿宋" w:eastAsia="仿宋" w:cs="仿宋"/>
                <w:kern w:val="0"/>
                <w:szCs w:val="32"/>
              </w:rPr>
              <w:t>二、城市化粪池信息化云管系统软件开发</w:t>
            </w:r>
          </w:p>
        </w:tc>
      </w:tr>
      <w:tr>
        <w:tblPrEx>
          <w:tblCellMar>
            <w:top w:w="0" w:type="dxa"/>
            <w:left w:w="108" w:type="dxa"/>
            <w:bottom w:w="0" w:type="dxa"/>
            <w:right w:w="108" w:type="dxa"/>
          </w:tblCellMar>
        </w:tblPrEx>
        <w:trPr>
          <w:trHeight w:val="57" w:hRule="atLeast"/>
        </w:trPr>
        <w:tc>
          <w:tcPr>
            <w:tcW w:w="672" w:type="pct"/>
            <w:tcBorders>
              <w:top w:val="single" w:color="auto" w:sz="4" w:space="0"/>
              <w:left w:val="single" w:color="auto" w:sz="4" w:space="0"/>
              <w:bottom w:val="single" w:color="auto" w:sz="4" w:space="0"/>
              <w:right w:val="single" w:color="auto"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1</w:t>
            </w:r>
          </w:p>
        </w:tc>
        <w:tc>
          <w:tcPr>
            <w:tcW w:w="643" w:type="pct"/>
            <w:tcBorders>
              <w:top w:val="single" w:color="auto" w:sz="4" w:space="0"/>
              <w:left w:val="single" w:color="auto" w:sz="4" w:space="0"/>
              <w:bottom w:val="single" w:color="auto" w:sz="4" w:space="0"/>
              <w:right w:val="single" w:color="auto"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基础资料管理模块（数据采集模块）</w:t>
            </w:r>
          </w:p>
        </w:tc>
        <w:tc>
          <w:tcPr>
            <w:tcW w:w="2595" w:type="pct"/>
            <w:tcBorders>
              <w:top w:val="single" w:color="auto" w:sz="4" w:space="0"/>
              <w:left w:val="single" w:color="auto" w:sz="4" w:space="0"/>
              <w:bottom w:val="single" w:color="auto" w:sz="4" w:space="0"/>
              <w:right w:val="single" w:color="auto" w:sz="4" w:space="0"/>
            </w:tcBorders>
            <w:vAlign w:val="center"/>
          </w:tcPr>
          <w:p>
            <w:pPr>
              <w:tabs>
                <w:tab w:val="left" w:pos="426"/>
              </w:tabs>
              <w:spacing w:line="240" w:lineRule="atLeast"/>
              <w:jc w:val="left"/>
              <w:rPr>
                <w:rFonts w:hint="eastAsia" w:ascii="仿宋" w:hAnsi="仿宋" w:eastAsia="仿宋" w:cs="仿宋"/>
                <w:kern w:val="0"/>
                <w:szCs w:val="32"/>
              </w:rPr>
            </w:pPr>
            <w:r>
              <w:rPr>
                <w:rFonts w:hint="eastAsia" w:ascii="仿宋" w:hAnsi="仿宋" w:eastAsia="仿宋" w:cs="仿宋"/>
                <w:kern w:val="0"/>
                <w:szCs w:val="32"/>
              </w:rPr>
              <w:t>主要是对化粪池管理业务中的主要业务对象：化粪池及智能终端、物业公司、作业车辆、处置单位的基本信息进行建档管理。。</w:t>
            </w:r>
          </w:p>
          <w:p>
            <w:pPr>
              <w:tabs>
                <w:tab w:val="left" w:pos="426"/>
              </w:tabs>
              <w:spacing w:line="240" w:lineRule="atLeast"/>
              <w:jc w:val="left"/>
              <w:rPr>
                <w:rFonts w:ascii="仿宋" w:hAnsi="仿宋" w:eastAsia="仿宋" w:cs="仿宋"/>
                <w:kern w:val="0"/>
                <w:szCs w:val="32"/>
              </w:rPr>
            </w:pPr>
            <w:r>
              <w:rPr>
                <w:rFonts w:hint="eastAsia" w:ascii="仿宋" w:hAnsi="仿宋" w:eastAsia="仿宋" w:cs="仿宋"/>
                <w:kern w:val="0"/>
                <w:szCs w:val="32"/>
              </w:rPr>
              <w:t>1）化粪池点：基本信息包括化粪池点所在地址、负责人、联系电话等，进行监测液位、气体浓度、GPS定位以及照片拍摄等数据采集。</w:t>
            </w:r>
          </w:p>
          <w:p>
            <w:pPr>
              <w:tabs>
                <w:tab w:val="left" w:pos="426"/>
              </w:tabs>
              <w:spacing w:line="240" w:lineRule="atLeast"/>
              <w:jc w:val="left"/>
              <w:rPr>
                <w:rFonts w:ascii="仿宋" w:hAnsi="仿宋" w:eastAsia="仿宋" w:cs="仿宋"/>
                <w:kern w:val="0"/>
                <w:szCs w:val="32"/>
              </w:rPr>
            </w:pPr>
            <w:r>
              <w:rPr>
                <w:rFonts w:hint="eastAsia" w:ascii="仿宋" w:hAnsi="仿宋" w:eastAsia="仿宋" w:cs="仿宋"/>
                <w:kern w:val="0"/>
                <w:szCs w:val="32"/>
              </w:rPr>
              <w:t>2）物业单位：物业单位的基本信息包括负责小区名称、小区地址、负责人、联系电话等。</w:t>
            </w:r>
          </w:p>
          <w:p>
            <w:pPr>
              <w:tabs>
                <w:tab w:val="left" w:pos="426"/>
              </w:tabs>
              <w:spacing w:line="240" w:lineRule="atLeast"/>
              <w:jc w:val="left"/>
              <w:rPr>
                <w:rFonts w:ascii="仿宋" w:hAnsi="仿宋" w:eastAsia="仿宋" w:cs="仿宋"/>
                <w:kern w:val="0"/>
                <w:szCs w:val="32"/>
              </w:rPr>
            </w:pPr>
            <w:r>
              <w:rPr>
                <w:rFonts w:hint="eastAsia" w:ascii="仿宋" w:hAnsi="仿宋" w:eastAsia="仿宋" w:cs="仿宋"/>
                <w:kern w:val="0"/>
                <w:szCs w:val="32"/>
              </w:rPr>
              <w:t>3）作业车辆：作业车辆的信息包括车牌号、车辆类型、所属单位等信息，也可以进行车辆GPS定位及实时监控等功能。</w:t>
            </w:r>
          </w:p>
          <w:p>
            <w:pPr>
              <w:tabs>
                <w:tab w:val="left" w:pos="426"/>
              </w:tabs>
              <w:spacing w:line="240" w:lineRule="atLeast"/>
              <w:jc w:val="left"/>
              <w:rPr>
                <w:rFonts w:ascii="仿宋" w:hAnsi="仿宋" w:eastAsia="仿宋" w:cs="仿宋"/>
                <w:kern w:val="0"/>
                <w:szCs w:val="32"/>
              </w:rPr>
            </w:pPr>
            <w:r>
              <w:rPr>
                <w:rFonts w:hint="eastAsia" w:ascii="仿宋" w:hAnsi="仿宋" w:eastAsia="仿宋" w:cs="仿宋"/>
                <w:kern w:val="0"/>
                <w:szCs w:val="32"/>
              </w:rPr>
              <w:t>4）处置单位：处置单位的基本信息，包括单位名称、地址、联系人、联系电话等。</w:t>
            </w:r>
          </w:p>
          <w:p>
            <w:pPr>
              <w:tabs>
                <w:tab w:val="left" w:pos="426"/>
              </w:tabs>
              <w:spacing w:line="240" w:lineRule="atLeast"/>
              <w:jc w:val="left"/>
              <w:rPr>
                <w:rFonts w:hint="eastAsia" w:ascii="仿宋" w:hAnsi="仿宋" w:eastAsia="仿宋" w:cs="仿宋"/>
                <w:kern w:val="0"/>
                <w:szCs w:val="32"/>
              </w:rPr>
            </w:pPr>
            <w:r>
              <w:rPr>
                <w:rFonts w:hint="eastAsia" w:ascii="仿宋" w:hAnsi="仿宋" w:eastAsia="仿宋" w:cs="仿宋"/>
                <w:kern w:val="0"/>
                <w:szCs w:val="32"/>
              </w:rPr>
              <w:t>以上信息都可以进行添加、修改、删除、查询等基本操作，同时也可以进行基础信息导入和导出等数据处理。</w:t>
            </w:r>
          </w:p>
        </w:tc>
        <w:tc>
          <w:tcPr>
            <w:tcW w:w="279" w:type="pct"/>
            <w:tcBorders>
              <w:top w:val="single" w:color="auto" w:sz="4" w:space="0"/>
              <w:left w:val="single" w:color="auto" w:sz="4" w:space="0"/>
              <w:bottom w:val="single" w:color="auto" w:sz="4" w:space="0"/>
              <w:right w:val="single" w:color="auto"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1套</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426"/>
              </w:tabs>
              <w:spacing w:line="240" w:lineRule="atLeast"/>
              <w:jc w:val="center"/>
              <w:rPr>
                <w:rFonts w:hint="eastAsia" w:ascii="仿宋" w:hAnsi="仿宋" w:eastAsia="仿宋" w:cs="仿宋"/>
                <w:kern w:val="0"/>
                <w:szCs w:val="32"/>
              </w:rPr>
            </w:pPr>
          </w:p>
        </w:tc>
      </w:tr>
      <w:tr>
        <w:tblPrEx>
          <w:tblCellMar>
            <w:top w:w="0" w:type="dxa"/>
            <w:left w:w="108" w:type="dxa"/>
            <w:bottom w:w="0" w:type="dxa"/>
            <w:right w:w="108" w:type="dxa"/>
          </w:tblCellMar>
        </w:tblPrEx>
        <w:trPr>
          <w:trHeight w:val="57" w:hRule="atLeast"/>
        </w:trPr>
        <w:tc>
          <w:tcPr>
            <w:tcW w:w="672" w:type="pct"/>
            <w:tcBorders>
              <w:top w:val="single" w:color="auto" w:sz="4" w:space="0"/>
              <w:left w:val="single" w:color="auto" w:sz="4" w:space="0"/>
              <w:bottom w:val="single" w:color="auto" w:sz="4" w:space="0"/>
              <w:right w:val="single" w:color="auto"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2</w:t>
            </w:r>
          </w:p>
        </w:tc>
        <w:tc>
          <w:tcPr>
            <w:tcW w:w="643" w:type="pct"/>
            <w:tcBorders>
              <w:top w:val="single" w:color="auto" w:sz="4" w:space="0"/>
              <w:left w:val="single" w:color="auto" w:sz="4" w:space="0"/>
              <w:bottom w:val="single" w:color="auto" w:sz="4" w:space="0"/>
              <w:right w:val="single" w:color="auto"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清疏管理模块</w:t>
            </w:r>
          </w:p>
        </w:tc>
        <w:tc>
          <w:tcPr>
            <w:tcW w:w="2595" w:type="pct"/>
            <w:tcBorders>
              <w:top w:val="single" w:color="auto" w:sz="4" w:space="0"/>
              <w:left w:val="single" w:color="auto" w:sz="4" w:space="0"/>
              <w:bottom w:val="single" w:color="auto" w:sz="4" w:space="0"/>
              <w:right w:val="single" w:color="auto" w:sz="4" w:space="0"/>
            </w:tcBorders>
            <w:vAlign w:val="center"/>
          </w:tcPr>
          <w:p>
            <w:pPr>
              <w:tabs>
                <w:tab w:val="left" w:pos="426"/>
              </w:tabs>
              <w:spacing w:line="240" w:lineRule="atLeast"/>
              <w:jc w:val="left"/>
              <w:rPr>
                <w:rFonts w:ascii="仿宋" w:hAnsi="仿宋" w:eastAsia="仿宋" w:cs="仿宋"/>
                <w:kern w:val="0"/>
                <w:szCs w:val="32"/>
              </w:rPr>
            </w:pPr>
            <w:r>
              <w:rPr>
                <w:rFonts w:hint="eastAsia" w:ascii="仿宋" w:hAnsi="仿宋" w:eastAsia="仿宋" w:cs="仿宋"/>
                <w:kern w:val="0"/>
                <w:szCs w:val="32"/>
              </w:rPr>
              <w:t>物业公司创建清疏清单，填写清掏公司及车辆信息，清掏公司负责清掏及运送至处置点，处置单位填写处置信息并完成闭环。</w:t>
            </w:r>
          </w:p>
          <w:p>
            <w:pPr>
              <w:tabs>
                <w:tab w:val="left" w:pos="426"/>
              </w:tabs>
              <w:spacing w:line="240" w:lineRule="atLeast"/>
              <w:jc w:val="left"/>
              <w:rPr>
                <w:rFonts w:ascii="仿宋" w:hAnsi="仿宋" w:eastAsia="仿宋" w:cs="仿宋"/>
                <w:kern w:val="0"/>
                <w:szCs w:val="32"/>
              </w:rPr>
            </w:pPr>
            <w:r>
              <w:rPr>
                <w:rFonts w:hint="eastAsia" w:ascii="仿宋" w:hAnsi="仿宋" w:eastAsia="仿宋" w:cs="仿宋"/>
                <w:kern w:val="0"/>
                <w:szCs w:val="32"/>
              </w:rPr>
              <w:t>1）化粪池点管理：系统中记录了辖区内所有的化粪池点信息，包括位置、容积、设施类型、对应清掏单位等信息，用于安排清疏作业。</w:t>
            </w:r>
          </w:p>
          <w:p>
            <w:pPr>
              <w:tabs>
                <w:tab w:val="left" w:pos="426"/>
              </w:tabs>
              <w:spacing w:line="240" w:lineRule="atLeast"/>
              <w:jc w:val="left"/>
              <w:rPr>
                <w:rFonts w:ascii="仿宋" w:hAnsi="仿宋" w:eastAsia="仿宋" w:cs="仿宋"/>
                <w:kern w:val="0"/>
                <w:szCs w:val="32"/>
              </w:rPr>
            </w:pPr>
            <w:r>
              <w:rPr>
                <w:rFonts w:hint="eastAsia" w:ascii="仿宋" w:hAnsi="仿宋" w:eastAsia="仿宋" w:cs="仿宋"/>
                <w:kern w:val="0"/>
                <w:szCs w:val="32"/>
              </w:rPr>
              <w:t>2）作业工单生成：根据化粪池液位情况，填写清掏作业单，指定清掏单位、车辆、作业时间、数量、地点等。</w:t>
            </w:r>
          </w:p>
          <w:p>
            <w:pPr>
              <w:tabs>
                <w:tab w:val="left" w:pos="426"/>
              </w:tabs>
              <w:spacing w:line="240" w:lineRule="atLeast"/>
              <w:jc w:val="left"/>
              <w:rPr>
                <w:rFonts w:hint="eastAsia" w:ascii="仿宋" w:hAnsi="仿宋" w:eastAsia="仿宋" w:cs="仿宋"/>
                <w:kern w:val="0"/>
                <w:szCs w:val="32"/>
              </w:rPr>
            </w:pPr>
            <w:r>
              <w:rPr>
                <w:rFonts w:hint="eastAsia" w:ascii="仿宋" w:hAnsi="仿宋" w:eastAsia="仿宋" w:cs="仿宋"/>
                <w:kern w:val="0"/>
                <w:szCs w:val="32"/>
              </w:rPr>
              <w:t>3）作业车辆监控：实时查看清掏单位的作业车辆位置，运输情况，使得化粪池业务管理组能够及时关注作业进度。</w:t>
            </w:r>
          </w:p>
        </w:tc>
        <w:tc>
          <w:tcPr>
            <w:tcW w:w="279" w:type="pct"/>
            <w:tcBorders>
              <w:top w:val="single" w:color="auto" w:sz="4" w:space="0"/>
              <w:left w:val="single" w:color="auto" w:sz="4" w:space="0"/>
              <w:bottom w:val="single" w:color="auto" w:sz="4" w:space="0"/>
              <w:right w:val="single" w:color="auto"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1套</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426"/>
              </w:tabs>
              <w:spacing w:line="240" w:lineRule="atLeast"/>
              <w:jc w:val="center"/>
              <w:rPr>
                <w:rFonts w:hint="eastAsia" w:ascii="仿宋" w:hAnsi="仿宋" w:eastAsia="仿宋" w:cs="仿宋"/>
                <w:kern w:val="0"/>
                <w:szCs w:val="32"/>
              </w:rPr>
            </w:pPr>
          </w:p>
        </w:tc>
      </w:tr>
      <w:tr>
        <w:tblPrEx>
          <w:tblCellMar>
            <w:top w:w="0" w:type="dxa"/>
            <w:left w:w="108" w:type="dxa"/>
            <w:bottom w:w="0" w:type="dxa"/>
            <w:right w:w="108" w:type="dxa"/>
          </w:tblCellMar>
        </w:tblPrEx>
        <w:trPr>
          <w:trHeight w:val="57" w:hRule="atLeast"/>
        </w:trPr>
        <w:tc>
          <w:tcPr>
            <w:tcW w:w="672" w:type="pct"/>
            <w:tcBorders>
              <w:top w:val="single" w:color="auto" w:sz="4" w:space="0"/>
              <w:left w:val="single" w:color="auto" w:sz="4" w:space="0"/>
              <w:bottom w:val="single" w:color="auto" w:sz="4" w:space="0"/>
              <w:right w:val="single" w:color="auto"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3</w:t>
            </w:r>
          </w:p>
        </w:tc>
        <w:tc>
          <w:tcPr>
            <w:tcW w:w="643" w:type="pct"/>
            <w:tcBorders>
              <w:top w:val="single" w:color="auto" w:sz="4" w:space="0"/>
              <w:left w:val="single" w:color="auto" w:sz="4" w:space="0"/>
              <w:bottom w:val="single" w:color="auto" w:sz="4" w:space="0"/>
              <w:right w:val="single" w:color="auto"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业务报表模块</w:t>
            </w:r>
          </w:p>
        </w:tc>
        <w:tc>
          <w:tcPr>
            <w:tcW w:w="2595" w:type="pct"/>
            <w:tcBorders>
              <w:top w:val="single" w:color="auto" w:sz="4" w:space="0"/>
              <w:left w:val="single" w:color="auto" w:sz="4" w:space="0"/>
              <w:bottom w:val="single" w:color="auto" w:sz="4" w:space="0"/>
              <w:right w:val="single" w:color="auto" w:sz="4" w:space="0"/>
            </w:tcBorders>
            <w:vAlign w:val="center"/>
          </w:tcPr>
          <w:p>
            <w:pPr>
              <w:tabs>
                <w:tab w:val="left" w:pos="426"/>
              </w:tabs>
              <w:spacing w:line="240" w:lineRule="atLeast"/>
              <w:jc w:val="left"/>
              <w:rPr>
                <w:rFonts w:ascii="仿宋" w:hAnsi="仿宋" w:eastAsia="仿宋" w:cs="仿宋"/>
                <w:kern w:val="0"/>
                <w:szCs w:val="32"/>
              </w:rPr>
            </w:pPr>
            <w:r>
              <w:rPr>
                <w:rFonts w:hint="eastAsia" w:ascii="仿宋" w:hAnsi="仿宋" w:eastAsia="仿宋" w:cs="仿宋"/>
                <w:kern w:val="0"/>
                <w:szCs w:val="32"/>
              </w:rPr>
              <w:t>1）趋势图：对指定数据的周、月、年的趋势进行可视化展示，方便管理人员对历史数据的变化趋势进行分析和判断。</w:t>
            </w:r>
          </w:p>
          <w:p>
            <w:pPr>
              <w:tabs>
                <w:tab w:val="left" w:pos="426"/>
              </w:tabs>
              <w:spacing w:line="240" w:lineRule="atLeast"/>
              <w:jc w:val="left"/>
              <w:rPr>
                <w:rFonts w:ascii="仿宋" w:hAnsi="仿宋" w:eastAsia="仿宋" w:cs="仿宋"/>
                <w:kern w:val="0"/>
                <w:szCs w:val="32"/>
              </w:rPr>
            </w:pPr>
            <w:r>
              <w:rPr>
                <w:rFonts w:hint="eastAsia" w:ascii="仿宋" w:hAnsi="仿宋" w:eastAsia="仿宋" w:cs="仿宋"/>
                <w:kern w:val="0"/>
                <w:szCs w:val="32"/>
              </w:rPr>
              <w:t>2）环比图：对指定数据的周、月、年的环比数据进行可视化展示，方便管理人员对数据的变化情况进行分析和判断。</w:t>
            </w:r>
          </w:p>
          <w:p>
            <w:pPr>
              <w:tabs>
                <w:tab w:val="left" w:pos="426"/>
              </w:tabs>
              <w:spacing w:line="240" w:lineRule="atLeast"/>
              <w:jc w:val="left"/>
              <w:rPr>
                <w:rFonts w:ascii="仿宋" w:hAnsi="仿宋" w:eastAsia="仿宋" w:cs="仿宋"/>
                <w:kern w:val="0"/>
                <w:szCs w:val="32"/>
              </w:rPr>
            </w:pPr>
            <w:r>
              <w:rPr>
                <w:rFonts w:hint="eastAsia" w:ascii="仿宋" w:hAnsi="仿宋" w:eastAsia="仿宋" w:cs="仿宋"/>
                <w:kern w:val="0"/>
                <w:szCs w:val="32"/>
              </w:rPr>
              <w:t>3)数据对比：可以将两个时间段的数据进行对比，展示不同时间段数据的差异，方便管理人员了解运营趋势的变化情况。</w:t>
            </w:r>
          </w:p>
          <w:p>
            <w:pPr>
              <w:tabs>
                <w:tab w:val="left" w:pos="426"/>
              </w:tabs>
              <w:spacing w:line="240" w:lineRule="atLeast"/>
              <w:jc w:val="left"/>
              <w:rPr>
                <w:rFonts w:ascii="仿宋" w:hAnsi="仿宋" w:eastAsia="仿宋" w:cs="仿宋"/>
                <w:kern w:val="0"/>
                <w:szCs w:val="32"/>
              </w:rPr>
            </w:pPr>
            <w:r>
              <w:rPr>
                <w:rFonts w:hint="eastAsia" w:ascii="仿宋" w:hAnsi="仿宋" w:eastAsia="仿宋" w:cs="仿宋"/>
                <w:kern w:val="0"/>
                <w:szCs w:val="32"/>
              </w:rPr>
              <w:t>4)实时监控：可以实时监控作业车辆、作业状态，及时跟踪和管理作业和运输过程，以提高管理的效率和精确性。</w:t>
            </w:r>
          </w:p>
          <w:p>
            <w:pPr>
              <w:tabs>
                <w:tab w:val="left" w:pos="426"/>
              </w:tabs>
              <w:spacing w:line="240" w:lineRule="atLeast"/>
              <w:jc w:val="left"/>
              <w:rPr>
                <w:rFonts w:ascii="仿宋" w:hAnsi="仿宋" w:eastAsia="仿宋" w:cs="仿宋"/>
                <w:kern w:val="0"/>
                <w:szCs w:val="32"/>
              </w:rPr>
            </w:pPr>
            <w:r>
              <w:rPr>
                <w:rFonts w:hint="eastAsia" w:ascii="仿宋" w:hAnsi="仿宋" w:eastAsia="仿宋" w:cs="仿宋"/>
                <w:kern w:val="0"/>
                <w:szCs w:val="32"/>
              </w:rPr>
              <w:t>5)数据分析：对汇总的数据进行统计分析，根据多维度指标、关键数据进行细致的分析和专业的评估，以便于管理人员更好地了解运营状态和运营趋势，进而进行规划和决策。</w:t>
            </w:r>
          </w:p>
          <w:p>
            <w:pPr>
              <w:tabs>
                <w:tab w:val="left" w:pos="426"/>
              </w:tabs>
              <w:spacing w:line="240" w:lineRule="atLeast"/>
              <w:jc w:val="left"/>
              <w:rPr>
                <w:rFonts w:hint="eastAsia" w:ascii="仿宋" w:hAnsi="仿宋" w:eastAsia="仿宋" w:cs="仿宋"/>
                <w:kern w:val="0"/>
                <w:szCs w:val="32"/>
              </w:rPr>
            </w:pPr>
            <w:r>
              <w:rPr>
                <w:rFonts w:hint="eastAsia" w:ascii="仿宋" w:hAnsi="仿宋" w:eastAsia="仿宋" w:cs="仿宋"/>
                <w:kern w:val="0"/>
                <w:szCs w:val="32"/>
              </w:rPr>
              <w:t>6)数据导出：支持数据导出至Excel、CSV等格式，方便管理人员对数据进行二次处理和分析，以满足实际需要。</w:t>
            </w:r>
          </w:p>
        </w:tc>
        <w:tc>
          <w:tcPr>
            <w:tcW w:w="279" w:type="pct"/>
            <w:tcBorders>
              <w:top w:val="single" w:color="auto" w:sz="4" w:space="0"/>
              <w:left w:val="single" w:color="auto" w:sz="4" w:space="0"/>
              <w:bottom w:val="single" w:color="auto" w:sz="4" w:space="0"/>
              <w:right w:val="single" w:color="auto"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1套</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426"/>
              </w:tabs>
              <w:spacing w:line="240" w:lineRule="atLeast"/>
              <w:jc w:val="center"/>
              <w:rPr>
                <w:rFonts w:hint="eastAsia" w:ascii="仿宋" w:hAnsi="仿宋" w:eastAsia="仿宋" w:cs="仿宋"/>
                <w:kern w:val="0"/>
                <w:szCs w:val="32"/>
              </w:rPr>
            </w:pPr>
          </w:p>
        </w:tc>
      </w:tr>
      <w:tr>
        <w:tblPrEx>
          <w:tblCellMar>
            <w:top w:w="0" w:type="dxa"/>
            <w:left w:w="108" w:type="dxa"/>
            <w:bottom w:w="0" w:type="dxa"/>
            <w:right w:w="108" w:type="dxa"/>
          </w:tblCellMar>
        </w:tblPrEx>
        <w:trPr>
          <w:trHeight w:val="57" w:hRule="atLeast"/>
        </w:trPr>
        <w:tc>
          <w:tcPr>
            <w:tcW w:w="672" w:type="pct"/>
            <w:tcBorders>
              <w:top w:val="single" w:color="auto" w:sz="4" w:space="0"/>
              <w:left w:val="single" w:color="auto" w:sz="4" w:space="0"/>
              <w:bottom w:val="single" w:color="auto" w:sz="4" w:space="0"/>
              <w:right w:val="single" w:color="auto"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4</w:t>
            </w:r>
          </w:p>
        </w:tc>
        <w:tc>
          <w:tcPr>
            <w:tcW w:w="643" w:type="pct"/>
            <w:tcBorders>
              <w:top w:val="single" w:color="auto" w:sz="4" w:space="0"/>
              <w:left w:val="single" w:color="auto" w:sz="4" w:space="0"/>
              <w:bottom w:val="single" w:color="auto" w:sz="4" w:space="0"/>
              <w:right w:val="single" w:color="auto"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作业及运输监控模块</w:t>
            </w:r>
          </w:p>
        </w:tc>
        <w:tc>
          <w:tcPr>
            <w:tcW w:w="2595" w:type="pct"/>
            <w:tcBorders>
              <w:top w:val="single" w:color="auto" w:sz="4" w:space="0"/>
              <w:left w:val="single" w:color="auto" w:sz="4" w:space="0"/>
              <w:bottom w:val="single" w:color="auto" w:sz="4" w:space="0"/>
              <w:right w:val="single" w:color="auto" w:sz="4" w:space="0"/>
            </w:tcBorders>
            <w:vAlign w:val="center"/>
          </w:tcPr>
          <w:p>
            <w:pPr>
              <w:tabs>
                <w:tab w:val="left" w:pos="426"/>
              </w:tabs>
              <w:spacing w:line="240" w:lineRule="atLeast"/>
              <w:jc w:val="left"/>
              <w:rPr>
                <w:rFonts w:ascii="仿宋" w:hAnsi="仿宋" w:eastAsia="仿宋" w:cs="仿宋"/>
                <w:kern w:val="0"/>
                <w:szCs w:val="32"/>
              </w:rPr>
            </w:pPr>
            <w:r>
              <w:rPr>
                <w:rFonts w:hint="eastAsia" w:ascii="仿宋" w:hAnsi="仿宋" w:eastAsia="仿宋" w:cs="仿宋"/>
                <w:kern w:val="0"/>
                <w:szCs w:val="32"/>
              </w:rPr>
              <w:t>据每日清疏、中转数据，智能终端的上报信息，可灵活生成指定业务报表，方便粪池业务管理组对运营数据进行分析。</w:t>
            </w:r>
          </w:p>
          <w:p>
            <w:pPr>
              <w:tabs>
                <w:tab w:val="left" w:pos="426"/>
              </w:tabs>
              <w:spacing w:line="240" w:lineRule="atLeast"/>
              <w:jc w:val="left"/>
              <w:rPr>
                <w:rFonts w:ascii="仿宋" w:hAnsi="仿宋" w:eastAsia="仿宋" w:cs="仿宋"/>
                <w:kern w:val="0"/>
                <w:szCs w:val="32"/>
              </w:rPr>
            </w:pPr>
            <w:r>
              <w:rPr>
                <w:rFonts w:hint="eastAsia" w:ascii="仿宋" w:hAnsi="仿宋" w:eastAsia="仿宋" w:cs="仿宋"/>
                <w:kern w:val="0"/>
                <w:szCs w:val="32"/>
              </w:rPr>
              <w:t>1）作业统计：对指定单位和指定数据的可视化展示，方便管理人员对作业人员作业效率进行分析和判断，并且可以自由选择要展示的指标、单位和时间粒度，方便快捷。</w:t>
            </w:r>
          </w:p>
          <w:p>
            <w:pPr>
              <w:tabs>
                <w:tab w:val="left" w:pos="426"/>
              </w:tabs>
              <w:spacing w:line="240" w:lineRule="atLeast"/>
              <w:jc w:val="left"/>
              <w:rPr>
                <w:rFonts w:ascii="仿宋" w:hAnsi="仿宋" w:eastAsia="仿宋" w:cs="仿宋"/>
                <w:kern w:val="0"/>
                <w:szCs w:val="32"/>
              </w:rPr>
            </w:pPr>
            <w:r>
              <w:rPr>
                <w:rFonts w:hint="eastAsia" w:ascii="仿宋" w:hAnsi="仿宋" w:eastAsia="仿宋" w:cs="仿宋"/>
                <w:kern w:val="0"/>
                <w:szCs w:val="32"/>
              </w:rPr>
              <w:t>2）智能终端数据分析图：对作业和运输过程中产生的数据进行统计分析，针对关键数据指标，进行细致的分析和专业的评估，以便于更好的决策和管理。</w:t>
            </w:r>
          </w:p>
          <w:p>
            <w:pPr>
              <w:tabs>
                <w:tab w:val="left" w:pos="426"/>
              </w:tabs>
              <w:spacing w:line="240" w:lineRule="atLeast"/>
              <w:jc w:val="left"/>
              <w:rPr>
                <w:rFonts w:hint="eastAsia" w:ascii="仿宋" w:hAnsi="仿宋" w:eastAsia="仿宋" w:cs="仿宋"/>
                <w:kern w:val="0"/>
                <w:szCs w:val="32"/>
              </w:rPr>
            </w:pPr>
            <w:r>
              <w:rPr>
                <w:rFonts w:hint="eastAsia" w:ascii="仿宋" w:hAnsi="仿宋" w:eastAsia="仿宋" w:cs="仿宋"/>
                <w:kern w:val="0"/>
                <w:szCs w:val="32"/>
              </w:rPr>
              <w:t>3)系统集成：该模块需要与作业车辆和运输企业的实时数据平台进行集成，确保实时获取和监控车辆的相关数据和信息。</w:t>
            </w:r>
          </w:p>
        </w:tc>
        <w:tc>
          <w:tcPr>
            <w:tcW w:w="279" w:type="pct"/>
            <w:tcBorders>
              <w:top w:val="single" w:color="auto" w:sz="4" w:space="0"/>
              <w:left w:val="single" w:color="auto" w:sz="4" w:space="0"/>
              <w:bottom w:val="single" w:color="auto" w:sz="4" w:space="0"/>
              <w:right w:val="single" w:color="auto"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1套</w:t>
            </w:r>
          </w:p>
        </w:tc>
        <w:tc>
          <w:tcPr>
            <w:tcW w:w="808" w:type="pct"/>
            <w:tcBorders>
              <w:top w:val="single" w:color="auto" w:sz="4" w:space="0"/>
              <w:left w:val="single" w:color="auto" w:sz="4" w:space="0"/>
              <w:bottom w:val="single" w:color="auto" w:sz="4" w:space="0"/>
              <w:right w:val="single" w:color="auto" w:sz="4" w:space="0"/>
            </w:tcBorders>
            <w:vAlign w:val="center"/>
          </w:tcPr>
          <w:p>
            <w:pPr>
              <w:tabs>
                <w:tab w:val="left" w:pos="426"/>
              </w:tabs>
              <w:spacing w:line="240" w:lineRule="atLeast"/>
              <w:jc w:val="center"/>
              <w:rPr>
                <w:rFonts w:hint="eastAsia" w:ascii="仿宋" w:hAnsi="仿宋" w:eastAsia="仿宋" w:cs="仿宋"/>
                <w:kern w:val="0"/>
                <w:szCs w:val="32"/>
              </w:rPr>
            </w:pPr>
          </w:p>
        </w:tc>
      </w:tr>
      <w:tr>
        <w:tblPrEx>
          <w:tblCellMar>
            <w:top w:w="0" w:type="dxa"/>
            <w:left w:w="108" w:type="dxa"/>
            <w:bottom w:w="0" w:type="dxa"/>
            <w:right w:w="108" w:type="dxa"/>
          </w:tblCellMar>
        </w:tblPrEx>
        <w:trPr>
          <w:trHeight w:val="57" w:hRule="atLeast"/>
        </w:trPr>
        <w:tc>
          <w:tcPr>
            <w:tcW w:w="672" w:type="pct"/>
            <w:tcBorders>
              <w:top w:val="single" w:color="auto" w:sz="4" w:space="0"/>
              <w:left w:val="single" w:color="auto" w:sz="4" w:space="0"/>
              <w:bottom w:val="single" w:color="auto" w:sz="4" w:space="0"/>
              <w:right w:val="single" w:color="auto"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5</w:t>
            </w:r>
          </w:p>
        </w:tc>
        <w:tc>
          <w:tcPr>
            <w:tcW w:w="643" w:type="pct"/>
            <w:tcBorders>
              <w:top w:val="single" w:color="auto" w:sz="4" w:space="0"/>
              <w:left w:val="single" w:color="auto" w:sz="4" w:space="0"/>
              <w:bottom w:val="single" w:color="auto" w:sz="4" w:space="0"/>
              <w:right w:val="single" w:color="auto"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消息通知模块</w:t>
            </w:r>
          </w:p>
        </w:tc>
        <w:tc>
          <w:tcPr>
            <w:tcW w:w="2595" w:type="pct"/>
            <w:tcBorders>
              <w:top w:val="single" w:color="auto" w:sz="4" w:space="0"/>
              <w:left w:val="single" w:color="auto" w:sz="4" w:space="0"/>
              <w:bottom w:val="single" w:color="auto" w:sz="4" w:space="0"/>
              <w:right w:val="single" w:color="auto" w:sz="4" w:space="0"/>
            </w:tcBorders>
            <w:vAlign w:val="center"/>
          </w:tcPr>
          <w:p>
            <w:pPr>
              <w:tabs>
                <w:tab w:val="left" w:pos="426"/>
              </w:tabs>
              <w:spacing w:line="240" w:lineRule="atLeast"/>
              <w:jc w:val="left"/>
              <w:rPr>
                <w:rFonts w:ascii="仿宋" w:hAnsi="仿宋" w:eastAsia="仿宋" w:cs="仿宋"/>
                <w:kern w:val="0"/>
                <w:szCs w:val="32"/>
              </w:rPr>
            </w:pPr>
            <w:r>
              <w:rPr>
                <w:rFonts w:hint="eastAsia" w:ascii="仿宋" w:hAnsi="仿宋" w:eastAsia="仿宋" w:cs="仿宋"/>
                <w:kern w:val="0"/>
                <w:szCs w:val="32"/>
              </w:rPr>
              <w:t>主干业务，如：工单取消、变更、异常、预警触发等事件发生时，通过系统消息、短信，邮件等消息通知方式，发送至相关业务负责人。</w:t>
            </w:r>
          </w:p>
          <w:p>
            <w:pPr>
              <w:tabs>
                <w:tab w:val="left" w:pos="426"/>
              </w:tabs>
              <w:spacing w:line="240" w:lineRule="atLeast"/>
              <w:jc w:val="left"/>
              <w:rPr>
                <w:rFonts w:ascii="仿宋" w:hAnsi="仿宋" w:eastAsia="仿宋" w:cs="仿宋"/>
                <w:kern w:val="0"/>
                <w:szCs w:val="32"/>
              </w:rPr>
            </w:pPr>
            <w:r>
              <w:rPr>
                <w:rFonts w:hint="eastAsia" w:ascii="仿宋" w:hAnsi="仿宋" w:eastAsia="仿宋" w:cs="仿宋"/>
                <w:kern w:val="0"/>
                <w:szCs w:val="32"/>
              </w:rPr>
              <w:t>1）消息接收：接收来自系统、审核、作业、运输、报障等模块的各类个性化消息。</w:t>
            </w:r>
          </w:p>
          <w:p>
            <w:pPr>
              <w:tabs>
                <w:tab w:val="left" w:pos="426"/>
              </w:tabs>
              <w:spacing w:line="240" w:lineRule="atLeast"/>
              <w:jc w:val="left"/>
              <w:rPr>
                <w:rFonts w:ascii="仿宋" w:hAnsi="仿宋" w:eastAsia="仿宋" w:cs="仿宋"/>
                <w:kern w:val="0"/>
                <w:szCs w:val="32"/>
              </w:rPr>
            </w:pPr>
            <w:r>
              <w:rPr>
                <w:rFonts w:hint="eastAsia" w:ascii="仿宋" w:hAnsi="仿宋" w:eastAsia="仿宋" w:cs="仿宋"/>
                <w:kern w:val="0"/>
                <w:szCs w:val="32"/>
              </w:rPr>
              <w:t>2）消息推送：将各种事件、警报和业务信息及时、准确地推送给相关人员，以便于管理和调度。</w:t>
            </w:r>
          </w:p>
          <w:p>
            <w:pPr>
              <w:tabs>
                <w:tab w:val="left" w:pos="426"/>
              </w:tabs>
              <w:spacing w:line="240" w:lineRule="atLeast"/>
              <w:jc w:val="left"/>
              <w:rPr>
                <w:rFonts w:ascii="仿宋" w:hAnsi="仿宋" w:eastAsia="仿宋" w:cs="仿宋"/>
                <w:kern w:val="0"/>
                <w:szCs w:val="32"/>
              </w:rPr>
            </w:pPr>
            <w:r>
              <w:rPr>
                <w:rFonts w:hint="eastAsia" w:ascii="仿宋" w:hAnsi="仿宋" w:eastAsia="仿宋" w:cs="仿宋"/>
                <w:kern w:val="0"/>
                <w:szCs w:val="32"/>
              </w:rPr>
              <w:t>3)消息分类：对各类消息进行分类处理，使其更加易于管理和查询。</w:t>
            </w:r>
          </w:p>
          <w:p>
            <w:pPr>
              <w:tabs>
                <w:tab w:val="left" w:pos="426"/>
              </w:tabs>
              <w:spacing w:line="240" w:lineRule="atLeast"/>
              <w:jc w:val="left"/>
              <w:rPr>
                <w:rFonts w:ascii="仿宋" w:hAnsi="仿宋" w:eastAsia="仿宋" w:cs="仿宋"/>
                <w:kern w:val="0"/>
                <w:szCs w:val="32"/>
              </w:rPr>
            </w:pPr>
            <w:r>
              <w:rPr>
                <w:rFonts w:hint="eastAsia" w:ascii="仿宋" w:hAnsi="仿宋" w:eastAsia="仿宋" w:cs="仿宋"/>
                <w:kern w:val="0"/>
                <w:szCs w:val="32"/>
              </w:rPr>
              <w:t>4)发送方式：支持多种发送方式，包括站内信、邮件通知、短信提醒等，以便于接收方随时查看。</w:t>
            </w:r>
          </w:p>
          <w:p>
            <w:pPr>
              <w:tabs>
                <w:tab w:val="left" w:pos="426"/>
              </w:tabs>
              <w:spacing w:line="240" w:lineRule="atLeast"/>
              <w:jc w:val="left"/>
              <w:rPr>
                <w:rFonts w:hint="eastAsia" w:ascii="仿宋" w:hAnsi="仿宋" w:eastAsia="仿宋" w:cs="仿宋"/>
                <w:kern w:val="0"/>
                <w:szCs w:val="32"/>
              </w:rPr>
            </w:pPr>
            <w:r>
              <w:rPr>
                <w:rFonts w:hint="eastAsia" w:ascii="仿宋" w:hAnsi="仿宋" w:eastAsia="仿宋" w:cs="仿宋"/>
                <w:kern w:val="0"/>
                <w:szCs w:val="32"/>
              </w:rPr>
              <w:t>5)发送规则：根据消息类型和重要性，制定不同的发送规则，保证信息实时、准确地传递给关键人员。</w:t>
            </w:r>
          </w:p>
        </w:tc>
        <w:tc>
          <w:tcPr>
            <w:tcW w:w="279" w:type="pct"/>
            <w:tcBorders>
              <w:top w:val="single" w:color="auto" w:sz="4" w:space="0"/>
              <w:left w:val="single" w:color="auto" w:sz="4" w:space="0"/>
              <w:bottom w:val="single" w:color="auto" w:sz="4" w:space="0"/>
              <w:right w:val="single" w:color="auto" w:sz="4" w:space="0"/>
            </w:tcBorders>
            <w:vAlign w:val="center"/>
          </w:tcPr>
          <w:p>
            <w:pPr>
              <w:tabs>
                <w:tab w:val="left" w:pos="426"/>
              </w:tabs>
              <w:spacing w:line="240" w:lineRule="atLeast"/>
              <w:jc w:val="center"/>
              <w:rPr>
                <w:rFonts w:hint="eastAsia" w:ascii="仿宋" w:hAnsi="仿宋" w:eastAsia="仿宋" w:cs="仿宋"/>
                <w:kern w:val="0"/>
                <w:szCs w:val="32"/>
              </w:rPr>
            </w:pPr>
            <w:r>
              <w:rPr>
                <w:rFonts w:hint="eastAsia" w:ascii="仿宋" w:hAnsi="仿宋" w:eastAsia="仿宋" w:cs="仿宋"/>
                <w:kern w:val="0"/>
                <w:szCs w:val="32"/>
              </w:rPr>
              <w:t>1套</w:t>
            </w:r>
          </w:p>
        </w:tc>
        <w:tc>
          <w:tcPr>
            <w:tcW w:w="808" w:type="pct"/>
            <w:tcBorders>
              <w:top w:val="single" w:color="auto" w:sz="4" w:space="0"/>
              <w:left w:val="single" w:color="auto" w:sz="4" w:space="0"/>
              <w:bottom w:val="single" w:color="auto" w:sz="4" w:space="0"/>
              <w:right w:val="single" w:color="auto" w:sz="4" w:space="0"/>
            </w:tcBorders>
          </w:tcPr>
          <w:p>
            <w:pPr>
              <w:tabs>
                <w:tab w:val="left" w:pos="426"/>
              </w:tabs>
              <w:spacing w:line="240" w:lineRule="atLeast"/>
              <w:jc w:val="center"/>
              <w:rPr>
                <w:rFonts w:hint="eastAsia" w:ascii="仿宋" w:hAnsi="仿宋" w:eastAsia="仿宋" w:cs="仿宋"/>
                <w:kern w:val="0"/>
                <w:szCs w:val="32"/>
              </w:rPr>
            </w:pPr>
          </w:p>
        </w:tc>
      </w:tr>
    </w:tbl>
    <w:p>
      <w:pPr>
        <w:pStyle w:val="2"/>
      </w:pPr>
    </w:p>
    <w:p>
      <w:pPr>
        <w:spacing w:line="360" w:lineRule="auto"/>
        <w:jc w:val="left"/>
        <w:rPr>
          <w:rFonts w:hint="eastAsia" w:ascii="宋体" w:hAnsi="宋体" w:eastAsia="宋体" w:cs="宋体"/>
          <w:b/>
          <w:bCs/>
          <w:szCs w:val="21"/>
        </w:rPr>
      </w:pPr>
      <w:r>
        <w:rPr>
          <w:b/>
          <w:bCs/>
          <w:sz w:val="22"/>
        </w:rPr>
        <w:t>备</w:t>
      </w:r>
      <w:r>
        <w:rPr>
          <w:rFonts w:hint="eastAsia" w:ascii="宋体" w:hAnsi="宋体" w:eastAsia="宋体" w:cs="宋体"/>
          <w:b/>
          <w:bCs/>
          <w:szCs w:val="21"/>
        </w:rPr>
        <w:t>注：</w:t>
      </w:r>
    </w:p>
    <w:p>
      <w:pPr>
        <w:numPr>
          <w:ilvl w:val="255"/>
          <w:numId w:val="0"/>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1.要求投标人对以上采用总价包干。投标总价被视为包括但不限于人工、差旅、现场调研、数据分析、专家评审软件设计开发、调试、网络安全测试等全过程所产生的所有成本以及管理费、利润和税金等。</w:t>
      </w:r>
    </w:p>
    <w:p>
      <w:pPr>
        <w:numPr>
          <w:ilvl w:val="255"/>
          <w:numId w:val="0"/>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2．投标需要提供分项报价表（包括但不限于采购方所列主要清单包含的内容）。</w:t>
      </w:r>
    </w:p>
    <w:p>
      <w:pPr>
        <w:numPr>
          <w:ilvl w:val="255"/>
          <w:numId w:val="0"/>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3．在服务期限内，如遇国家税率调整，以中标未税综合包干价、调整后税率为依据结算支付采购费用。</w:t>
      </w:r>
    </w:p>
    <w:p>
      <w:pPr>
        <w:numPr>
          <w:ilvl w:val="0"/>
          <w:numId w:val="3"/>
        </w:numPr>
        <w:spacing w:line="360" w:lineRule="auto"/>
        <w:jc w:val="left"/>
        <w:outlineLvl w:val="2"/>
        <w:rPr>
          <w:rFonts w:ascii="Times" w:hAnsi="Times" w:cs="宋体"/>
          <w:b/>
          <w:bCs/>
          <w:color w:val="000000" w:themeColor="text1"/>
          <w:szCs w:val="21"/>
          <w14:textFill>
            <w14:solidFill>
              <w14:schemeClr w14:val="tx1"/>
            </w14:solidFill>
          </w14:textFill>
        </w:rPr>
      </w:pPr>
      <w:r>
        <w:rPr>
          <w:rFonts w:hint="eastAsia" w:ascii="Times" w:hAnsi="Times"/>
          <w:b/>
          <w:color w:val="000000" w:themeColor="text1"/>
          <w:szCs w:val="21"/>
          <w14:textFill>
            <w14:solidFill>
              <w14:schemeClr w14:val="tx1"/>
            </w14:solidFill>
          </w14:textFill>
        </w:rPr>
        <w:t>详细技术参数要求、</w:t>
      </w:r>
      <w:r>
        <w:rPr>
          <w:rFonts w:hint="eastAsia" w:ascii="Times" w:hAnsi="Times" w:cs="宋体"/>
          <w:b/>
          <w:bCs/>
          <w:color w:val="000000" w:themeColor="text1"/>
          <w:szCs w:val="21"/>
          <w14:textFill>
            <w14:solidFill>
              <w14:schemeClr w14:val="tx1"/>
            </w14:solidFill>
          </w14:textFill>
        </w:rPr>
        <w:t>采购标准、技术要求</w:t>
      </w:r>
    </w:p>
    <w:p>
      <w:pPr>
        <w:topLinePunct/>
        <w:adjustRightInd w:val="0"/>
        <w:snapToGrid w:val="0"/>
        <w:spacing w:line="360" w:lineRule="auto"/>
        <w:jc w:val="left"/>
        <w:outlineLvl w:val="2"/>
        <w:rPr>
          <w:rFonts w:hint="eastAsia" w:ascii="宋体" w:hAnsi="宋体" w:eastAsia="宋体" w:cs="宋体"/>
          <w:b/>
          <w:bCs/>
          <w:szCs w:val="21"/>
        </w:rPr>
      </w:pPr>
      <w:bookmarkStart w:id="0" w:name="_Toc7197"/>
      <w:bookmarkStart w:id="1" w:name="_Toc11706"/>
      <w:r>
        <w:rPr>
          <w:rFonts w:hint="eastAsia" w:cs="宋体"/>
          <w:b/>
          <w:bCs/>
          <w:szCs w:val="21"/>
        </w:rPr>
        <w:t>1.</w:t>
      </w:r>
      <w:bookmarkEnd w:id="0"/>
      <w:bookmarkEnd w:id="1"/>
      <w:r>
        <w:rPr>
          <w:rFonts w:hint="eastAsia" w:ascii="宋体" w:hAnsi="宋体" w:eastAsia="宋体" w:cs="宋体"/>
          <w:b/>
          <w:bCs/>
          <w:szCs w:val="21"/>
        </w:rPr>
        <w:t>化粪池粪污处理装置产品定义服务</w:t>
      </w:r>
    </w:p>
    <w:p>
      <w:pPr>
        <w:spacing w:line="360" w:lineRule="auto"/>
        <w:rPr>
          <w:rFonts w:hint="eastAsia" w:ascii="宋体" w:hAnsi="宋体" w:eastAsia="宋体" w:cs="宋体"/>
          <w:b/>
          <w:bCs/>
          <w:szCs w:val="21"/>
        </w:rPr>
      </w:pPr>
      <w:r>
        <w:rPr>
          <w:rFonts w:hint="eastAsia" w:ascii="宋体" w:hAnsi="宋体" w:eastAsia="宋体" w:cs="宋体"/>
          <w:b/>
          <w:bCs/>
          <w:szCs w:val="21"/>
        </w:rPr>
        <w:t>1.1市场调研要求</w:t>
      </w:r>
    </w:p>
    <w:p>
      <w:pPr>
        <w:spacing w:line="360" w:lineRule="auto"/>
        <w:rPr>
          <w:rFonts w:hint="eastAsia" w:ascii="宋体" w:hAnsi="宋体" w:eastAsia="宋体" w:cs="宋体"/>
          <w:szCs w:val="21"/>
        </w:rPr>
      </w:pPr>
      <w:r>
        <w:rPr>
          <w:rFonts w:hint="eastAsia" w:ascii="宋体" w:hAnsi="宋体" w:eastAsia="宋体" w:cs="宋体"/>
          <w:szCs w:val="21"/>
        </w:rPr>
        <w:t>1.1.1调研范围覆盖深圳所有行政区域（不含深山合作区），化粪池场景包括但不限于城中村、商业区、公共机构、工业区、住宅区和商住一体区等类型，粪污处理装置应用场景包括但不限于各区水务处理设施或场所，如污水处理厂、污水泵站等。</w:t>
      </w:r>
    </w:p>
    <w:p>
      <w:pPr>
        <w:spacing w:line="360" w:lineRule="auto"/>
        <w:rPr>
          <w:rFonts w:hint="eastAsia" w:ascii="宋体" w:hAnsi="宋体" w:eastAsia="宋体" w:cs="宋体"/>
          <w:szCs w:val="21"/>
        </w:rPr>
      </w:pPr>
      <w:r>
        <w:rPr>
          <w:rFonts w:hint="eastAsia" w:ascii="宋体" w:hAnsi="宋体" w:eastAsia="宋体" w:cs="宋体"/>
          <w:szCs w:val="21"/>
        </w:rPr>
        <w:t>1.1.2最低样本量：清掏企业（市占率TOP5全覆盖；小微企业≥30%）不少于70家、品牌物业20家（TOP10物企≥50%）、监管部门不少于10家（包括但不限于市级、区级各单位）。</w:t>
      </w:r>
    </w:p>
    <w:p>
      <w:pPr>
        <w:spacing w:line="360" w:lineRule="auto"/>
        <w:rPr>
          <w:rFonts w:ascii="宋体" w:hAnsi="宋体" w:eastAsia="宋体" w:cs="宋体"/>
          <w:b/>
          <w:bCs/>
          <w:szCs w:val="21"/>
        </w:rPr>
      </w:pPr>
      <w:r>
        <w:rPr>
          <w:rFonts w:hint="eastAsia" w:ascii="宋体" w:hAnsi="宋体" w:eastAsia="宋体" w:cs="宋体"/>
          <w:b/>
          <w:bCs/>
          <w:szCs w:val="21"/>
        </w:rPr>
        <w:t>1.2核心指标要求</w:t>
      </w:r>
    </w:p>
    <w:p>
      <w:pPr>
        <w:spacing w:line="360" w:lineRule="auto"/>
        <w:rPr>
          <w:rFonts w:hint="eastAsia" w:ascii="宋体" w:hAnsi="宋体" w:eastAsia="宋体" w:cs="宋体"/>
        </w:rPr>
      </w:pPr>
      <w:r>
        <w:rPr>
          <w:rFonts w:hint="eastAsia" w:ascii="宋体" w:hAnsi="宋体" w:eastAsia="宋体" w:cs="宋体"/>
        </w:rPr>
        <w:t>1.2.1</w:t>
      </w:r>
      <w:r>
        <w:rPr>
          <w:rFonts w:hint="eastAsia" w:ascii="宋体" w:hAnsi="宋体" w:eastAsia="宋体" w:cs="宋体"/>
          <w:szCs w:val="21"/>
        </w:rPr>
        <w:t>技术壁垒分析：不少于2项目核心技术设计及分析，调研分析不少于5款国内外才采用的主流同类型产品；</w:t>
      </w:r>
    </w:p>
    <w:p>
      <w:pPr>
        <w:spacing w:line="360" w:lineRule="auto"/>
        <w:rPr>
          <w:rFonts w:ascii="宋体" w:hAnsi="宋体" w:eastAsia="宋体" w:cs="宋体"/>
        </w:rPr>
      </w:pPr>
      <w:r>
        <w:rPr>
          <w:rFonts w:hint="eastAsia" w:ascii="宋体" w:hAnsi="宋体" w:eastAsia="宋体" w:cs="宋体"/>
        </w:rPr>
        <w:t>1.2.2投资回报周期：动态投资回报周期≤4年（按IRR≥8%测算）。</w:t>
      </w:r>
    </w:p>
    <w:p>
      <w:pPr>
        <w:spacing w:line="360" w:lineRule="auto"/>
        <w:rPr>
          <w:rFonts w:hint="eastAsia" w:ascii="宋体" w:hAnsi="宋体" w:eastAsia="宋体" w:cs="宋体"/>
          <w:b/>
          <w:bCs/>
          <w:szCs w:val="21"/>
        </w:rPr>
      </w:pPr>
      <w:r>
        <w:rPr>
          <w:rFonts w:hint="eastAsia" w:ascii="宋体" w:hAnsi="宋体" w:eastAsia="宋体" w:cs="宋体"/>
          <w:b/>
          <w:bCs/>
          <w:szCs w:val="21"/>
        </w:rPr>
        <w:t>1.3创新模式</w:t>
      </w:r>
    </w:p>
    <w:p>
      <w:pPr>
        <w:spacing w:line="360" w:lineRule="auto"/>
        <w:rPr>
          <w:rFonts w:ascii="宋体" w:hAnsi="宋体" w:eastAsia="宋体" w:cs="宋体"/>
        </w:rPr>
      </w:pPr>
      <w:r>
        <w:rPr>
          <w:rFonts w:hint="eastAsia" w:ascii="宋体" w:hAnsi="宋体" w:eastAsia="宋体" w:cs="宋体"/>
        </w:rPr>
        <w:t>1.3.1提供至少3商业合作模式，包括但不限于类租赁/服务/BOT等，提供具体的商业合作框架（包括（合同模板/分成机制/权责条款等）和推广策略方案。</w:t>
      </w:r>
    </w:p>
    <w:p>
      <w:pPr>
        <w:spacing w:line="360" w:lineRule="auto"/>
        <w:rPr>
          <w:rFonts w:ascii="宋体" w:hAnsi="宋体" w:eastAsia="宋体" w:cs="宋体"/>
        </w:rPr>
      </w:pPr>
      <w:r>
        <w:rPr>
          <w:rFonts w:hint="eastAsia" w:ascii="宋体" w:hAnsi="宋体" w:eastAsia="宋体" w:cs="宋体"/>
        </w:rPr>
        <w:t>1.3.2提供至少2个可落地的试点合作案例设计方案。</w:t>
      </w:r>
    </w:p>
    <w:p>
      <w:pPr>
        <w:spacing w:line="360" w:lineRule="auto"/>
        <w:rPr>
          <w:rFonts w:ascii="宋体" w:hAnsi="宋体" w:eastAsia="宋体" w:cs="宋体"/>
        </w:rPr>
      </w:pPr>
    </w:p>
    <w:p>
      <w:pPr>
        <w:spacing w:line="360" w:lineRule="auto"/>
        <w:rPr>
          <w:rFonts w:ascii="宋体" w:hAnsi="宋体" w:eastAsia="宋体" w:cs="宋体"/>
          <w:b/>
          <w:bCs/>
          <w:szCs w:val="21"/>
        </w:rPr>
      </w:pPr>
      <w:r>
        <w:rPr>
          <w:rFonts w:hint="eastAsia" w:ascii="宋体" w:hAnsi="宋体" w:eastAsia="宋体" w:cs="宋体"/>
          <w:b/>
          <w:bCs/>
          <w:szCs w:val="21"/>
        </w:rPr>
        <w:t>1.4数据合规</w:t>
      </w:r>
    </w:p>
    <w:p>
      <w:pPr>
        <w:spacing w:line="360" w:lineRule="auto"/>
        <w:ind w:firstLine="210" w:firstLineChars="100"/>
        <w:rPr>
          <w:rFonts w:hint="eastAsia" w:ascii="宋体" w:hAnsi="宋体" w:eastAsia="宋体" w:cs="宋体"/>
        </w:rPr>
      </w:pPr>
      <w:r>
        <w:rPr>
          <w:rFonts w:hint="eastAsia" w:ascii="宋体" w:hAnsi="宋体" w:eastAsia="宋体" w:cs="宋体"/>
        </w:rPr>
        <w:t>保障所有交付内容中使用的数据具有具体可查的来源，并保证数据的真实性和使用数据的合法合规性。</w:t>
      </w:r>
    </w:p>
    <w:p>
      <w:pPr>
        <w:spacing w:line="360" w:lineRule="auto"/>
        <w:rPr>
          <w:rFonts w:hint="eastAsia" w:ascii="宋体" w:hAnsi="宋体" w:eastAsia="宋体" w:cs="宋体"/>
          <w:b/>
          <w:bCs/>
          <w:szCs w:val="21"/>
        </w:rPr>
      </w:pPr>
      <w:r>
        <w:rPr>
          <w:rFonts w:hint="eastAsia" w:ascii="宋体" w:hAnsi="宋体" w:eastAsia="宋体" w:cs="宋体"/>
          <w:b/>
          <w:bCs/>
          <w:szCs w:val="21"/>
        </w:rPr>
        <w:t>1.5知识产权</w:t>
      </w:r>
    </w:p>
    <w:p>
      <w:pPr>
        <w:spacing w:line="360" w:lineRule="auto"/>
        <w:ind w:firstLine="420" w:firstLineChars="200"/>
        <w:rPr>
          <w:rFonts w:hint="eastAsia" w:ascii="宋体" w:hAnsi="宋体" w:eastAsia="宋体" w:cs="宋体"/>
        </w:rPr>
      </w:pPr>
      <w:r>
        <w:rPr>
          <w:rFonts w:hint="eastAsia" w:ascii="宋体" w:hAnsi="宋体" w:eastAsia="宋体" w:cs="宋体"/>
        </w:rPr>
        <w:t>所有成果知识产权归采购方所有，中标方需移交所有过程资料（问卷底稿、调研原始数据等），未经采购方书面同意，中标方不得发表项目相关成果。</w:t>
      </w:r>
    </w:p>
    <w:p>
      <w:pPr>
        <w:spacing w:line="360" w:lineRule="auto"/>
        <w:rPr>
          <w:rFonts w:ascii="宋体" w:hAnsi="宋体" w:eastAsia="宋体" w:cs="宋体"/>
        </w:rPr>
      </w:pPr>
    </w:p>
    <w:p>
      <w:pPr>
        <w:pStyle w:val="21"/>
        <w:numPr>
          <w:ilvl w:val="0"/>
          <w:numId w:val="4"/>
        </w:numPr>
        <w:spacing w:line="360" w:lineRule="auto"/>
        <w:ind w:firstLineChars="0"/>
        <w:outlineLvl w:val="2"/>
        <w:rPr>
          <w:rFonts w:ascii="宋体" w:hAnsi="宋体" w:eastAsia="宋体" w:cs="宋体"/>
          <w:b/>
          <w:bCs/>
          <w:szCs w:val="21"/>
        </w:rPr>
      </w:pPr>
      <w:r>
        <w:rPr>
          <w:rFonts w:hint="eastAsia" w:ascii="宋体" w:hAnsi="宋体" w:eastAsia="宋体" w:cs="宋体"/>
          <w:b/>
          <w:bCs/>
          <w:szCs w:val="21"/>
        </w:rPr>
        <w:t>城市化粪池信息化云管系统软件开发</w:t>
      </w:r>
    </w:p>
    <w:p>
      <w:pPr>
        <w:pStyle w:val="2"/>
        <w:rPr>
          <w:rFonts w:hint="eastAsia" w:ascii="宋体" w:hAnsi="宋体" w:eastAsia="宋体" w:cs="宋体"/>
          <w:b/>
          <w:bCs/>
          <w:szCs w:val="21"/>
        </w:rPr>
      </w:pPr>
      <w:r>
        <w:rPr>
          <w:rFonts w:hint="eastAsia" w:ascii="宋体" w:hAnsi="宋体" w:eastAsia="宋体" w:cs="宋体"/>
          <w:b/>
          <w:bCs/>
          <w:szCs w:val="21"/>
        </w:rPr>
        <w:t>2.1总体技术方案</w:t>
      </w:r>
    </w:p>
    <w:p>
      <w:pPr>
        <w:pStyle w:val="2"/>
        <w:rPr>
          <w:rFonts w:hint="eastAsia" w:ascii="宋体" w:hAnsi="宋体" w:eastAsia="宋体" w:cs="宋体"/>
        </w:rPr>
      </w:pPr>
      <w:r>
        <w:rPr>
          <w:rFonts w:hint="eastAsia" w:ascii="宋体" w:hAnsi="宋体" w:eastAsia="宋体" w:cs="宋体"/>
        </w:rPr>
        <w:t>2.1.1开发软件设计原则</w:t>
      </w:r>
    </w:p>
    <w:p>
      <w:pPr>
        <w:pStyle w:val="2"/>
        <w:ind w:firstLine="420" w:firstLineChars="200"/>
        <w:rPr>
          <w:rFonts w:hint="eastAsia" w:ascii="宋体" w:hAnsi="宋体" w:eastAsia="宋体" w:cs="宋体"/>
        </w:rPr>
      </w:pPr>
      <w:r>
        <w:rPr>
          <w:rFonts w:hint="eastAsia" w:ascii="宋体" w:hAnsi="宋体" w:eastAsia="宋体" w:cs="宋体"/>
        </w:rPr>
        <w:t>（1）高内聚、低耦合原则</w:t>
      </w:r>
    </w:p>
    <w:p>
      <w:pPr>
        <w:pStyle w:val="2"/>
        <w:ind w:firstLine="420" w:firstLineChars="200"/>
        <w:rPr>
          <w:rFonts w:hint="eastAsia" w:ascii="宋体" w:hAnsi="宋体" w:eastAsia="宋体" w:cs="宋体"/>
        </w:rPr>
      </w:pPr>
      <w:r>
        <w:rPr>
          <w:rFonts w:hint="eastAsia" w:ascii="宋体" w:hAnsi="宋体" w:eastAsia="宋体" w:cs="宋体"/>
        </w:rPr>
        <w:t>这是系统设计一开始就会强调的一个基本原则，高内聚是从服务中心的业务界域来说的，在一个服务中心内的业务应该是相关性很高、依赖性很高的；而服务中心之间应该是业务隔离性比较大的，即追求尽可能的低耦合。业务隔离性是从应用场景来说的。</w:t>
      </w:r>
    </w:p>
    <w:p>
      <w:pPr>
        <w:pStyle w:val="2"/>
        <w:ind w:firstLine="420" w:firstLineChars="200"/>
        <w:rPr>
          <w:rFonts w:hint="eastAsia" w:ascii="宋体" w:hAnsi="宋体" w:eastAsia="宋体" w:cs="宋体"/>
        </w:rPr>
      </w:pPr>
      <w:r>
        <w:rPr>
          <w:rFonts w:hint="eastAsia" w:ascii="宋体" w:hAnsi="宋体" w:eastAsia="宋体" w:cs="宋体"/>
        </w:rPr>
        <w:t>（2）数据完整性原则</w:t>
      </w:r>
    </w:p>
    <w:p>
      <w:pPr>
        <w:pStyle w:val="2"/>
        <w:ind w:firstLine="420" w:firstLineChars="200"/>
        <w:rPr>
          <w:rFonts w:hint="eastAsia" w:ascii="宋体" w:hAnsi="宋体" w:eastAsia="宋体" w:cs="宋体"/>
        </w:rPr>
      </w:pPr>
      <w:r>
        <w:rPr>
          <w:rFonts w:hint="eastAsia" w:ascii="宋体" w:hAnsi="宋体" w:eastAsia="宋体" w:cs="宋体"/>
        </w:rPr>
        <w:t>这个原则其实和上面的“高内聚、低耦合”一脉相承，是把这个思想穿透到数据模型层面，因为服务化架构一个很重要的业务价值就是数据模型统一。这里特别想强调大数据的思维，不光只是业务逻辑的关键数据，还要考虑到业务的相关性数据；不光是实时在线数据，还要考虑到离线计算的数据。</w:t>
      </w:r>
    </w:p>
    <w:p>
      <w:pPr>
        <w:pStyle w:val="2"/>
        <w:ind w:firstLine="420" w:firstLineChars="200"/>
        <w:rPr>
          <w:rFonts w:hint="eastAsia" w:ascii="宋体" w:hAnsi="宋体" w:eastAsia="宋体" w:cs="宋体"/>
        </w:rPr>
      </w:pPr>
      <w:r>
        <w:rPr>
          <w:rFonts w:hint="eastAsia" w:ascii="宋体" w:hAnsi="宋体" w:eastAsia="宋体" w:cs="宋体"/>
        </w:rPr>
        <w:t>（3）业务可运营性原则</w:t>
      </w:r>
    </w:p>
    <w:p>
      <w:pPr>
        <w:pStyle w:val="2"/>
        <w:ind w:firstLine="420" w:firstLineChars="200"/>
        <w:rPr>
          <w:rFonts w:hint="eastAsia" w:ascii="宋体" w:hAnsi="宋体" w:eastAsia="宋体" w:cs="宋体"/>
        </w:rPr>
      </w:pPr>
      <w:r>
        <w:rPr>
          <w:rFonts w:hint="eastAsia" w:ascii="宋体" w:hAnsi="宋体" w:eastAsia="宋体" w:cs="宋体"/>
        </w:rPr>
        <w:t>服务中心首先是从业务出发，单纯的技术层面抽象出来的服务框架一般不作为一个可运营的服务中心。单纯的技术型的服务中心可以存在，服务中心是承载业务逻辑、沉淀业务数据、产生业务价值的业务单元。业务的运营性有两个层面含义，一是指业务本身的活力，当业务处于快速生长期，这时候的运营目标是满足上层的业务需求，这个时候属于沉淀阶段；第二个层面的运营是指业务内部的孕育出来的创新想法，数据模型统一之后，可用很低成本把大数据技术引入到服务中心的架构中，让数据来源、数据分析、业务生产可以自然形成闭环。所以能否用大数据能力提升运营水平是服务中心原则之一。</w:t>
      </w:r>
    </w:p>
    <w:p>
      <w:pPr>
        <w:pStyle w:val="2"/>
        <w:ind w:firstLine="420" w:firstLineChars="200"/>
        <w:rPr>
          <w:rFonts w:hint="eastAsia" w:ascii="宋体" w:hAnsi="宋体" w:eastAsia="宋体" w:cs="宋体"/>
        </w:rPr>
      </w:pPr>
      <w:r>
        <w:rPr>
          <w:rFonts w:hint="eastAsia" w:ascii="宋体" w:hAnsi="宋体" w:eastAsia="宋体" w:cs="宋体"/>
        </w:rPr>
        <w:t>（4）渐进性的建设原则</w:t>
      </w:r>
    </w:p>
    <w:p>
      <w:pPr>
        <w:pStyle w:val="2"/>
        <w:ind w:firstLine="420" w:firstLineChars="200"/>
        <w:rPr>
          <w:rFonts w:hint="eastAsia" w:ascii="宋体" w:hAnsi="宋体" w:eastAsia="宋体" w:cs="宋体"/>
        </w:rPr>
      </w:pPr>
      <w:r>
        <w:rPr>
          <w:rFonts w:hint="eastAsia" w:ascii="宋体" w:hAnsi="宋体" w:eastAsia="宋体" w:cs="宋体"/>
        </w:rPr>
        <w:t>渐进性的建设原则是从降低风险和实施难度这个角度出发，服务化架构本来就是一种敏捷的实践，小步快跑的方式逐步推进，不是轰轰烈烈地推翻重来。其实在分布式架构体系下，在企业互联网架构体系下，试错的成本已经降到足够低，渐进式的建设也是服务中心建设的一个重要原则。很多任务服务中心是基础服务，应该是非常稳定的，所以一开始规划设计的时候应用了太多的设计原则，最后从设计上看的确很清晰，但是在实施阶段，可能会碰到拆得过细有延迟太长的问题，数据过于分散有数据库性能的问题和分布式事务的问题，服务接口过于庞大的问题。这些实践证明都不是好的服务化实践。服务化应该从简单开始，只有真实的业务需求才会锤炼出稳定可靠的共享服务。</w:t>
      </w:r>
      <w:r>
        <w:rPr>
          <w:rFonts w:hint="eastAsia" w:ascii="宋体" w:hAnsi="宋体" w:eastAsia="宋体" w:cs="宋体"/>
        </w:rPr>
        <w:tab/>
      </w:r>
    </w:p>
    <w:p>
      <w:pPr>
        <w:pStyle w:val="2"/>
        <w:ind w:firstLine="420" w:firstLineChars="200"/>
        <w:rPr>
          <w:rFonts w:hint="eastAsia" w:ascii="宋体" w:hAnsi="宋体" w:eastAsia="宋体" w:cs="宋体"/>
        </w:rPr>
      </w:pPr>
      <w:r>
        <w:rPr>
          <w:rFonts w:hint="eastAsia" w:ascii="宋体" w:hAnsi="宋体" w:eastAsia="宋体" w:cs="宋体"/>
        </w:rPr>
        <w:t>（5）系统安全性原则</w:t>
      </w:r>
    </w:p>
    <w:p>
      <w:pPr>
        <w:pStyle w:val="2"/>
        <w:ind w:firstLine="420" w:firstLineChars="200"/>
        <w:rPr>
          <w:rFonts w:hint="eastAsia" w:ascii="宋体" w:hAnsi="宋体" w:eastAsia="宋体" w:cs="宋体"/>
        </w:rPr>
      </w:pPr>
      <w:r>
        <w:rPr>
          <w:rFonts w:hint="eastAsia" w:ascii="宋体" w:hAnsi="宋体" w:eastAsia="宋体" w:cs="宋体"/>
        </w:rPr>
        <w:t>系统对外连接的数据接口须通过防火墙确保系统数据信息的安全。系统按照独立事务原则设置权限，保证系统的可靠性和灵活性。用户密码采用MD5算法加密，该加密算法不可逆，如果用户遗忘密码，只能由系统管理员重新设置。</w:t>
      </w:r>
    </w:p>
    <w:p>
      <w:pPr>
        <w:pStyle w:val="2"/>
        <w:ind w:firstLine="420" w:firstLineChars="200"/>
        <w:rPr>
          <w:rFonts w:hint="eastAsia" w:ascii="宋体" w:hAnsi="宋体" w:eastAsia="宋体" w:cs="宋体"/>
        </w:rPr>
      </w:pPr>
      <w:r>
        <w:rPr>
          <w:rFonts w:hint="eastAsia" w:ascii="宋体" w:hAnsi="宋体" w:eastAsia="宋体" w:cs="宋体"/>
        </w:rPr>
        <w:t>为了保证数据的质量和安全，将采用以下数据治理方案：</w:t>
      </w:r>
    </w:p>
    <w:p>
      <w:pPr>
        <w:pStyle w:val="2"/>
        <w:ind w:firstLine="420" w:firstLineChars="200"/>
        <w:rPr>
          <w:rFonts w:hint="eastAsia" w:ascii="宋体" w:hAnsi="宋体" w:eastAsia="宋体" w:cs="宋体"/>
        </w:rPr>
      </w:pPr>
      <w:r>
        <w:rPr>
          <w:rFonts w:hint="eastAsia" w:ascii="宋体" w:hAnsi="宋体" w:eastAsia="宋体" w:cs="宋体"/>
        </w:rPr>
        <w:t>1）设计合理的数据模型，对数据进行标准化和归一化，提高数据的可读性和可管理性。</w:t>
      </w:r>
    </w:p>
    <w:p>
      <w:pPr>
        <w:pStyle w:val="2"/>
        <w:ind w:firstLine="420" w:firstLineChars="200"/>
        <w:rPr>
          <w:rFonts w:hint="eastAsia" w:ascii="宋体" w:hAnsi="宋体" w:eastAsia="宋体" w:cs="宋体"/>
        </w:rPr>
      </w:pPr>
      <w:r>
        <w:rPr>
          <w:rFonts w:hint="eastAsia" w:ascii="宋体" w:hAnsi="宋体" w:eastAsia="宋体" w:cs="宋体"/>
        </w:rPr>
        <w:t>2）建立数据质量监控系统，对数据进行实时监控和分析，及时发现数据异常和错误，并采取相应的措施进行处理。</w:t>
      </w:r>
    </w:p>
    <w:p>
      <w:pPr>
        <w:pStyle w:val="2"/>
        <w:ind w:firstLine="420" w:firstLineChars="200"/>
        <w:rPr>
          <w:rFonts w:hint="eastAsia" w:ascii="宋体" w:hAnsi="宋体" w:eastAsia="宋体" w:cs="宋体"/>
        </w:rPr>
      </w:pPr>
      <w:r>
        <w:rPr>
          <w:rFonts w:hint="eastAsia" w:ascii="宋体" w:hAnsi="宋体" w:eastAsia="宋体" w:cs="宋体"/>
        </w:rPr>
        <w:t>3）设计合理的数据安全策略，对数据进行加密和权限控制，确保数据的安全性和隐私性。</w:t>
      </w:r>
    </w:p>
    <w:p>
      <w:pPr>
        <w:pStyle w:val="2"/>
        <w:ind w:firstLine="420" w:firstLineChars="200"/>
        <w:rPr>
          <w:rFonts w:hint="eastAsia" w:ascii="宋体" w:hAnsi="宋体" w:eastAsia="宋体" w:cs="宋体"/>
        </w:rPr>
      </w:pPr>
      <w:r>
        <w:rPr>
          <w:rFonts w:hint="eastAsia" w:ascii="宋体" w:hAnsi="宋体" w:eastAsia="宋体" w:cs="宋体"/>
        </w:rPr>
        <w:t>4）建立完善的数据备份和恢复机制，确保数据的可靠性和可恢复性。</w:t>
      </w:r>
    </w:p>
    <w:p>
      <w:pPr>
        <w:pStyle w:val="2"/>
        <w:ind w:firstLine="420" w:firstLineChars="200"/>
        <w:rPr>
          <w:rFonts w:hint="eastAsia" w:ascii="宋体" w:hAnsi="宋体" w:eastAsia="宋体" w:cs="宋体"/>
        </w:rPr>
      </w:pPr>
      <w:r>
        <w:rPr>
          <w:rFonts w:hint="eastAsia" w:ascii="宋体" w:hAnsi="宋体" w:eastAsia="宋体" w:cs="宋体"/>
        </w:rPr>
        <w:t>5）采用数据清洗和去重技术，去除重复和无效数据，提高数据的准确性和有效性。</w:t>
      </w:r>
    </w:p>
    <w:p>
      <w:pPr>
        <w:pStyle w:val="2"/>
        <w:ind w:firstLine="420" w:firstLineChars="200"/>
        <w:rPr>
          <w:rFonts w:ascii="宋体" w:hAnsi="宋体" w:eastAsia="宋体" w:cs="宋体"/>
        </w:rPr>
      </w:pPr>
      <w:r>
        <w:rPr>
          <w:rFonts w:hint="eastAsia" w:ascii="宋体" w:hAnsi="宋体" w:eastAsia="宋体" w:cs="宋体"/>
        </w:rPr>
        <w:t>内外网访问安全方面上可以通过网络防火墙，设置安全策略和访问控制，来限制外部的非法访问；在数据安全策略上定期更新、备份数据、实现访问控制等方式来保护系统中的数据安全。在数据接口交互安全方面上可以通过认证和授权来限制对数据接口的访问权限。</w:t>
      </w:r>
    </w:p>
    <w:p>
      <w:pPr>
        <w:pStyle w:val="2"/>
        <w:rPr>
          <w:rFonts w:hint="eastAsia" w:ascii="宋体" w:hAnsi="宋体" w:eastAsia="宋体" w:cs="宋体"/>
          <w:b/>
          <w:bCs/>
          <w:szCs w:val="21"/>
        </w:rPr>
      </w:pPr>
      <w:r>
        <w:rPr>
          <w:rFonts w:hint="eastAsia" w:ascii="宋体" w:hAnsi="宋体" w:eastAsia="宋体" w:cs="宋体"/>
          <w:b/>
          <w:bCs/>
          <w:szCs w:val="21"/>
        </w:rPr>
        <w:t>2.2云管系统总体架构</w:t>
      </w:r>
    </w:p>
    <w:p>
      <w:pPr>
        <w:ind w:firstLine="420" w:firstLineChars="200"/>
        <w:rPr>
          <w:rFonts w:hint="eastAsia" w:ascii="宋体" w:hAnsi="宋体" w:eastAsia="宋体" w:cs="宋体"/>
        </w:rPr>
      </w:pPr>
      <w:r>
        <w:rPr>
          <w:rFonts w:hint="eastAsia" w:ascii="宋体" w:hAnsi="宋体" w:eastAsia="宋体" w:cs="宋体"/>
        </w:rPr>
        <w:t>本系统采用微服务架构，包括接入层、处理层和应用层。其中，接入层负责接收设备上传的数据，处理层进行实时处理和存储，应用层则提供各种业务功能。</w:t>
      </w:r>
    </w:p>
    <w:p>
      <w:pPr>
        <w:ind w:firstLine="420" w:firstLineChars="200"/>
        <w:rPr>
          <w:rFonts w:hint="eastAsia" w:ascii="宋体" w:hAnsi="宋体" w:eastAsia="宋体" w:cs="宋体"/>
        </w:rPr>
      </w:pPr>
      <w:r>
        <w:rPr>
          <w:rFonts w:hint="eastAsia" w:ascii="宋体" w:hAnsi="宋体" w:eastAsia="宋体" w:cs="宋体"/>
        </w:rPr>
        <w:t>接入层采用异构协议集群网关，支持多种物联网协议的异构接入，如mqtt、jtt808、websocket，私有定制协议等。为了保证系统的可扩展性和稳定性，并通过Ngnix来实现负载均衡。</w:t>
      </w:r>
    </w:p>
    <w:p>
      <w:pPr>
        <w:ind w:firstLine="420" w:firstLineChars="200"/>
        <w:rPr>
          <w:rFonts w:hint="eastAsia" w:ascii="宋体" w:hAnsi="宋体" w:eastAsia="宋体" w:cs="宋体"/>
        </w:rPr>
      </w:pPr>
      <w:r>
        <w:rPr>
          <w:rFonts w:hint="eastAsia" w:ascii="宋体" w:hAnsi="宋体" w:eastAsia="宋体" w:cs="宋体"/>
        </w:rPr>
        <w:t>前置网关边沿侧采用轻量级流式处理技术，云边协同方式，减轻云中心数据分析的压力。</w:t>
      </w:r>
    </w:p>
    <w:p>
      <w:pPr>
        <w:ind w:firstLine="420" w:firstLineChars="200"/>
        <w:rPr>
          <w:rFonts w:hint="eastAsia" w:ascii="宋体" w:hAnsi="宋体" w:eastAsia="宋体" w:cs="宋体"/>
        </w:rPr>
      </w:pPr>
      <w:r>
        <w:rPr>
          <w:rFonts w:hint="eastAsia" w:ascii="宋体" w:hAnsi="宋体" w:eastAsia="宋体" w:cs="宋体"/>
        </w:rPr>
        <w:t>处理层采用流式处理技术，利用Flink实现数据流处理和分析。同时，为了支持更加高效地实时数据分析和查询，采用TDengine时序数据库作为边缘处理的数据存储。</w:t>
      </w:r>
    </w:p>
    <w:p>
      <w:pPr>
        <w:ind w:firstLine="420" w:firstLineChars="200"/>
        <w:rPr>
          <w:rFonts w:hint="eastAsia" w:ascii="宋体" w:hAnsi="宋体" w:eastAsia="宋体" w:cs="宋体"/>
        </w:rPr>
      </w:pPr>
      <w:r>
        <w:rPr>
          <w:rFonts w:hint="eastAsia" w:ascii="宋体" w:hAnsi="宋体" w:eastAsia="宋体" w:cs="宋体"/>
        </w:rPr>
        <w:t>应用层则采用SpringCloud微服务框架，提供基本业务功能和报表功能。</w:t>
      </w:r>
    </w:p>
    <w:p>
      <w:pPr>
        <w:rPr>
          <w:rFonts w:hint="eastAsia" w:ascii="宋体" w:hAnsi="宋体" w:eastAsia="宋体" w:cs="宋体"/>
        </w:rPr>
      </w:pPr>
      <w:r>
        <w:rPr>
          <w:rFonts w:hint="eastAsia" w:ascii="宋体" w:hAnsi="宋体" w:eastAsia="宋体" w:cs="宋体"/>
        </w:rPr>
        <w:t>2.2.1逻辑架构设计</w:t>
      </w:r>
    </w:p>
    <w:p>
      <w:pPr>
        <w:rPr>
          <w:rFonts w:hint="eastAsia" w:ascii="宋体" w:hAnsi="宋体" w:eastAsia="宋体" w:cs="宋体"/>
        </w:rPr>
      </w:pPr>
      <w:r>
        <w:rPr>
          <w:rFonts w:hint="eastAsia" w:ascii="宋体" w:hAnsi="宋体" w:eastAsia="宋体" w:cs="宋体"/>
        </w:rPr>
        <w:drawing>
          <wp:inline distT="0" distB="0" distL="0" distR="0">
            <wp:extent cx="4872355" cy="1940560"/>
            <wp:effectExtent l="0" t="0" r="0" b="0"/>
            <wp:docPr id="8366791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679185"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76994" cy="1942244"/>
                    </a:xfrm>
                    <a:prstGeom prst="rect">
                      <a:avLst/>
                    </a:prstGeom>
                    <a:noFill/>
                  </pic:spPr>
                </pic:pic>
              </a:graphicData>
            </a:graphic>
          </wp:inline>
        </w:drawing>
      </w: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2.2.2系统应用架构</w:t>
      </w:r>
    </w:p>
    <w:p>
      <w:pPr>
        <w:ind w:firstLine="420" w:firstLineChars="200"/>
        <w:rPr>
          <w:rFonts w:hint="eastAsia" w:ascii="宋体" w:hAnsi="宋体" w:eastAsia="宋体" w:cs="宋体"/>
        </w:rPr>
      </w:pPr>
      <w:r>
        <w:rPr>
          <w:rFonts w:hint="eastAsia" w:ascii="宋体" w:hAnsi="宋体" w:eastAsia="宋体" w:cs="宋体"/>
        </w:rPr>
        <w:t>根据项目背景和设计目标，城市化粪池信息化云管系统包括化粪池业务系统、系统管理平台、系统数据库，架构如下：</w:t>
      </w:r>
    </w:p>
    <w:p>
      <w:pPr>
        <w:jc w:val="center"/>
        <w:rPr>
          <w:rFonts w:hint="eastAsia" w:ascii="宋体" w:hAnsi="宋体" w:eastAsia="宋体" w:cs="宋体"/>
        </w:rPr>
      </w:pPr>
      <w:r>
        <w:rPr>
          <w:rFonts w:hint="eastAsia" w:ascii="宋体" w:hAnsi="宋体" w:eastAsia="宋体" w:cs="宋体"/>
        </w:rPr>
        <w:drawing>
          <wp:inline distT="0" distB="0" distL="0" distR="0">
            <wp:extent cx="3875405" cy="2179955"/>
            <wp:effectExtent l="0" t="0" r="0" b="0"/>
            <wp:docPr id="14584815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48151"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875876" cy="2180422"/>
                    </a:xfrm>
                    <a:prstGeom prst="rect">
                      <a:avLst/>
                    </a:prstGeom>
                    <a:noFill/>
                  </pic:spPr>
                </pic:pic>
              </a:graphicData>
            </a:graphic>
          </wp:inline>
        </w:drawing>
      </w:r>
    </w:p>
    <w:p>
      <w:pPr>
        <w:ind w:firstLine="420" w:firstLineChars="200"/>
        <w:rPr>
          <w:rFonts w:hint="eastAsia" w:ascii="宋体" w:hAnsi="宋体" w:eastAsia="宋体" w:cs="宋体"/>
        </w:rPr>
      </w:pPr>
      <w:r>
        <w:rPr>
          <w:rFonts w:hint="eastAsia" w:ascii="宋体" w:hAnsi="宋体" w:eastAsia="宋体" w:cs="宋体"/>
        </w:rPr>
        <w:t>架构说明：</w:t>
      </w:r>
    </w:p>
    <w:p>
      <w:pPr>
        <w:ind w:firstLine="420" w:firstLineChars="200"/>
        <w:rPr>
          <w:rFonts w:hint="eastAsia" w:ascii="宋体" w:hAnsi="宋体" w:eastAsia="宋体" w:cs="宋体"/>
        </w:rPr>
      </w:pPr>
      <w:r>
        <w:rPr>
          <w:rFonts w:hint="eastAsia" w:ascii="宋体" w:hAnsi="宋体" w:eastAsia="宋体" w:cs="宋体"/>
        </w:rPr>
        <w:t>城市化粪池信息化云管系统包括化粪池业务系统、系统管理平台、系统数据库。</w:t>
      </w:r>
    </w:p>
    <w:p>
      <w:pPr>
        <w:ind w:firstLine="420" w:firstLineChars="200"/>
        <w:rPr>
          <w:rFonts w:hint="eastAsia" w:ascii="宋体" w:hAnsi="宋体" w:eastAsia="宋体" w:cs="宋体"/>
        </w:rPr>
      </w:pPr>
      <w:r>
        <w:rPr>
          <w:rFonts w:hint="eastAsia" w:ascii="宋体" w:hAnsi="宋体" w:eastAsia="宋体" w:cs="宋体"/>
        </w:rPr>
        <w:t>1）化粪池业务系统：基础资料管理模块、清疏管理模块、报障管理模块、业务报表模块、作业及运输监控模块、消息通知模块。</w:t>
      </w:r>
    </w:p>
    <w:p>
      <w:pPr>
        <w:ind w:firstLine="420" w:firstLineChars="200"/>
        <w:rPr>
          <w:rFonts w:hint="eastAsia" w:ascii="宋体" w:hAnsi="宋体" w:eastAsia="宋体" w:cs="宋体"/>
        </w:rPr>
      </w:pPr>
      <w:r>
        <w:rPr>
          <w:rFonts w:hint="eastAsia" w:ascii="宋体" w:hAnsi="宋体" w:eastAsia="宋体" w:cs="宋体"/>
        </w:rPr>
        <w:t>2）系统管理平台：</w:t>
      </w:r>
    </w:p>
    <w:p>
      <w:pPr>
        <w:ind w:firstLine="420" w:firstLineChars="200"/>
        <w:rPr>
          <w:rFonts w:hint="eastAsia" w:ascii="宋体" w:hAnsi="宋体" w:eastAsia="宋体" w:cs="宋体"/>
        </w:rPr>
      </w:pPr>
      <w:r>
        <w:rPr>
          <w:rFonts w:hint="eastAsia" w:ascii="宋体" w:hAnsi="宋体" w:eastAsia="宋体" w:cs="宋体"/>
        </w:rPr>
        <w:t>·统一用户管理，在设置中心，可以对系统的子账户进行角色与权限设置、进行功能权限与数据权限的。</w:t>
      </w:r>
    </w:p>
    <w:p>
      <w:pPr>
        <w:ind w:firstLine="420" w:firstLineChars="200"/>
        <w:rPr>
          <w:rFonts w:hint="eastAsia" w:ascii="宋体" w:hAnsi="宋体" w:eastAsia="宋体" w:cs="宋体"/>
        </w:rPr>
      </w:pPr>
      <w:r>
        <w:rPr>
          <w:rFonts w:hint="eastAsia" w:ascii="宋体" w:hAnsi="宋体" w:eastAsia="宋体" w:cs="宋体"/>
        </w:rPr>
        <w:t>·统一认证管理，系统账户登录时须统一验证登录并进行身份令牌校验，限制非系统账户人员登录管理后台。</w:t>
      </w:r>
    </w:p>
    <w:p>
      <w:pPr>
        <w:ind w:firstLine="420" w:firstLineChars="200"/>
        <w:rPr>
          <w:rFonts w:hint="eastAsia" w:ascii="宋体" w:hAnsi="宋体" w:eastAsia="宋体" w:cs="宋体"/>
        </w:rPr>
      </w:pPr>
      <w:r>
        <w:rPr>
          <w:rFonts w:hint="eastAsia" w:ascii="宋体" w:hAnsi="宋体" w:eastAsia="宋体" w:cs="宋体"/>
        </w:rPr>
        <w:t>·统一消息管理，通过平台向子账户选择性推送消息，包括不限于审批流转消息，系统预警消息，计划变更消息等。</w:t>
      </w:r>
    </w:p>
    <w:p>
      <w:pPr>
        <w:ind w:firstLine="420" w:firstLineChars="200"/>
        <w:rPr>
          <w:rFonts w:hint="eastAsia" w:ascii="宋体" w:hAnsi="宋体" w:eastAsia="宋体" w:cs="宋体"/>
        </w:rPr>
      </w:pPr>
      <w:r>
        <w:rPr>
          <w:rFonts w:hint="eastAsia" w:ascii="宋体" w:hAnsi="宋体" w:eastAsia="宋体" w:cs="宋体"/>
        </w:rPr>
        <w:t>·数据接口接入管理，管理其他系统接入污泥调度系统的数据接口协议，管理其连接系统权限。</w:t>
      </w:r>
    </w:p>
    <w:p>
      <w:pPr>
        <w:ind w:firstLine="420" w:firstLineChars="200"/>
        <w:rPr>
          <w:rFonts w:hint="eastAsia" w:ascii="宋体" w:hAnsi="宋体" w:eastAsia="宋体" w:cs="宋体"/>
        </w:rPr>
      </w:pPr>
      <w:r>
        <w:rPr>
          <w:rFonts w:hint="eastAsia" w:ascii="宋体" w:hAnsi="宋体" w:eastAsia="宋体" w:cs="宋体"/>
        </w:rPr>
        <w:t>·自定义工单流转及自定义流程流转功能。</w:t>
      </w:r>
    </w:p>
    <w:p>
      <w:pPr>
        <w:ind w:firstLine="420" w:firstLineChars="200"/>
        <w:rPr>
          <w:rFonts w:hint="eastAsia" w:ascii="宋体" w:hAnsi="宋体" w:eastAsia="宋体" w:cs="宋体"/>
        </w:rPr>
      </w:pPr>
      <w:r>
        <w:rPr>
          <w:rFonts w:hint="eastAsia" w:ascii="宋体" w:hAnsi="宋体" w:eastAsia="宋体" w:cs="宋体"/>
        </w:rPr>
        <w:t>·系统安全保障及运行日志管理,从数据保护的角度，记录系统承载业务数据的接口数据流动状态，日志记录禁止包含业务敏感信息，避免因日志分析导致业务数据泄露。</w:t>
      </w:r>
    </w:p>
    <w:p>
      <w:pPr>
        <w:ind w:firstLine="420" w:firstLineChars="200"/>
        <w:rPr>
          <w:rFonts w:hint="eastAsia" w:ascii="宋体" w:hAnsi="宋体" w:eastAsia="宋体" w:cs="宋体"/>
        </w:rPr>
      </w:pPr>
      <w:r>
        <w:rPr>
          <w:rFonts w:hint="eastAsia" w:ascii="宋体" w:hAnsi="宋体" w:eastAsia="宋体" w:cs="宋体"/>
        </w:rPr>
        <w:t>3）系统数据库：</w:t>
      </w:r>
    </w:p>
    <w:p>
      <w:pPr>
        <w:ind w:firstLine="420" w:firstLineChars="200"/>
        <w:rPr>
          <w:rFonts w:hint="eastAsia" w:ascii="宋体" w:hAnsi="宋体" w:eastAsia="宋体" w:cs="宋体"/>
        </w:rPr>
      </w:pPr>
      <w:r>
        <w:rPr>
          <w:rFonts w:hint="eastAsia" w:ascii="宋体" w:hAnsi="宋体" w:eastAsia="宋体" w:cs="宋体"/>
        </w:rPr>
        <w:t>系统数据库须满足对MySQL或类MySQL数据库的兼容性</w:t>
      </w:r>
    </w:p>
    <w:p>
      <w:pPr>
        <w:ind w:firstLine="420" w:firstLineChars="200"/>
        <w:rPr>
          <w:rFonts w:hint="eastAsia" w:ascii="宋体" w:hAnsi="宋体" w:eastAsia="宋体" w:cs="宋体"/>
        </w:rPr>
      </w:pPr>
      <w:r>
        <w:rPr>
          <w:rFonts w:hint="eastAsia" w:ascii="宋体" w:hAnsi="宋体" w:eastAsia="宋体" w:cs="宋体"/>
        </w:rPr>
        <w:t>·实时数据库，存储业务信息平台的实时数据；</w:t>
      </w:r>
    </w:p>
    <w:p>
      <w:pPr>
        <w:ind w:firstLine="420" w:firstLineChars="200"/>
        <w:rPr>
          <w:rFonts w:hint="eastAsia" w:ascii="宋体" w:hAnsi="宋体" w:eastAsia="宋体" w:cs="宋体"/>
        </w:rPr>
      </w:pPr>
      <w:r>
        <w:rPr>
          <w:rFonts w:hint="eastAsia" w:ascii="宋体" w:hAnsi="宋体" w:eastAsia="宋体" w:cs="宋体"/>
        </w:rPr>
        <w:t>·历史数据库，存储业务信息平台的实时数据；</w:t>
      </w:r>
    </w:p>
    <w:p>
      <w:pPr>
        <w:ind w:firstLine="420" w:firstLineChars="200"/>
        <w:rPr>
          <w:rFonts w:hint="eastAsia" w:ascii="宋体" w:hAnsi="宋体" w:eastAsia="宋体" w:cs="宋体"/>
        </w:rPr>
      </w:pPr>
      <w:r>
        <w:rPr>
          <w:rFonts w:hint="eastAsia" w:ascii="宋体" w:hAnsi="宋体" w:eastAsia="宋体" w:cs="宋体"/>
        </w:rPr>
        <w:t>·其他系统数据库，存储外接系统通过传输协议传输的数据。</w:t>
      </w:r>
    </w:p>
    <w:p>
      <w:pPr>
        <w:rPr>
          <w:rFonts w:hint="eastAsia" w:ascii="宋体" w:hAnsi="宋体" w:eastAsia="宋体" w:cs="宋体"/>
        </w:rPr>
      </w:pPr>
      <w:r>
        <w:rPr>
          <w:rFonts w:hint="eastAsia" w:ascii="宋体" w:hAnsi="宋体" w:eastAsia="宋体" w:cs="宋体"/>
        </w:rPr>
        <w:t>2.2.3本系统主要展现形式有三种：</w:t>
      </w:r>
    </w:p>
    <w:p>
      <w:pPr>
        <w:ind w:firstLine="420" w:firstLineChars="200"/>
        <w:rPr>
          <w:rFonts w:hint="eastAsia" w:ascii="宋体" w:hAnsi="宋体" w:eastAsia="宋体" w:cs="宋体"/>
        </w:rPr>
      </w:pPr>
      <w:r>
        <w:rPr>
          <w:rFonts w:hint="eastAsia" w:ascii="宋体" w:hAnsi="宋体" w:eastAsia="宋体" w:cs="宋体"/>
        </w:rPr>
        <w:t>1）PC端，PC端主要对化粪池业务管理和展示的信息综合一体的功能。</w:t>
      </w:r>
    </w:p>
    <w:p>
      <w:pPr>
        <w:ind w:firstLine="420" w:firstLineChars="200"/>
        <w:rPr>
          <w:rFonts w:hint="eastAsia" w:ascii="宋体" w:hAnsi="宋体" w:eastAsia="宋体" w:cs="宋体"/>
        </w:rPr>
      </w:pPr>
      <w:r>
        <w:rPr>
          <w:rFonts w:hint="eastAsia" w:ascii="宋体" w:hAnsi="宋体" w:eastAsia="宋体" w:cs="宋体"/>
        </w:rPr>
        <w:t>2）微信小程序端，小程序端功能为解决部分无电脑环境下系统信息录入及查看的功能。因业务涉及人员较多且复杂，小程序端功能及相关操作须尽量简单，避免因人员手机系统不同，导致无法上传、下载及查看等问题。</w:t>
      </w:r>
    </w:p>
    <w:p>
      <w:pPr>
        <w:ind w:firstLine="420" w:firstLineChars="200"/>
        <w:rPr>
          <w:rFonts w:hint="eastAsia" w:ascii="宋体" w:hAnsi="宋体" w:eastAsia="宋体" w:cs="宋体"/>
        </w:rPr>
      </w:pPr>
      <w:r>
        <w:rPr>
          <w:rFonts w:hint="eastAsia" w:ascii="宋体" w:hAnsi="宋体" w:eastAsia="宋体" w:cs="宋体"/>
        </w:rPr>
        <w:t xml:space="preserve">3）大屏显示器，大屏幕做为辅助的显示控制系统，提供一个信息准确、查询便捷、管理高效、美观实用的管理平台。 </w:t>
      </w:r>
    </w:p>
    <w:p>
      <w:pPr>
        <w:pStyle w:val="2"/>
        <w:rPr>
          <w:rFonts w:hint="eastAsia" w:ascii="宋体" w:hAnsi="宋体" w:eastAsia="宋体" w:cs="宋体"/>
          <w:b/>
          <w:bCs/>
          <w:szCs w:val="21"/>
        </w:rPr>
      </w:pPr>
      <w:r>
        <w:rPr>
          <w:rFonts w:hint="eastAsia" w:ascii="宋体" w:hAnsi="宋体" w:eastAsia="宋体" w:cs="宋体"/>
          <w:b/>
          <w:bCs/>
          <w:szCs w:val="21"/>
        </w:rPr>
        <w:t>2.3业务功能模块</w:t>
      </w:r>
    </w:p>
    <w:p>
      <w:pPr>
        <w:pStyle w:val="2"/>
        <w:ind w:firstLine="420" w:firstLineChars="200"/>
        <w:rPr>
          <w:rFonts w:hint="eastAsia" w:ascii="宋体" w:hAnsi="宋体" w:eastAsia="宋体" w:cs="宋体"/>
        </w:rPr>
      </w:pPr>
      <w:r>
        <w:rPr>
          <w:rFonts w:hint="eastAsia" w:ascii="宋体" w:hAnsi="宋体" w:eastAsia="宋体" w:cs="宋体"/>
        </w:rPr>
        <w:t>城市化粪池信息化云管系统是一套对公司统管区域内的：化粪池日常的清掏、清疏、运输、处置、报障等主要业务进行统一作业规划调度的管理系统。主要包括：基础资料管理模块、清疏管理模块、报障管理模块、业务报表模块、作业及运输监控模块、消息通知模块。</w:t>
      </w:r>
    </w:p>
    <w:p>
      <w:pPr>
        <w:pStyle w:val="2"/>
        <w:rPr>
          <w:rFonts w:hint="eastAsia" w:ascii="宋体" w:hAnsi="宋体" w:eastAsia="宋体" w:cs="宋体"/>
        </w:rPr>
      </w:pPr>
      <w:r>
        <w:rPr>
          <w:rFonts w:hint="eastAsia" w:ascii="宋体" w:hAnsi="宋体" w:eastAsia="宋体" w:cs="宋体"/>
        </w:rPr>
        <w:t>2.3.1基础资料管理</w:t>
      </w:r>
    </w:p>
    <w:p>
      <w:pPr>
        <w:pStyle w:val="2"/>
        <w:ind w:firstLine="420" w:firstLineChars="200"/>
        <w:rPr>
          <w:rFonts w:hint="eastAsia" w:ascii="宋体" w:hAnsi="宋体" w:eastAsia="宋体" w:cs="宋体"/>
        </w:rPr>
      </w:pPr>
      <w:r>
        <w:rPr>
          <w:rFonts w:hint="eastAsia" w:ascii="宋体" w:hAnsi="宋体" w:eastAsia="宋体" w:cs="宋体"/>
        </w:rPr>
        <w:t>主要是对化粪池管理业务中的主要业务对象：化粪池及智能终端、物业公司、作业车辆、处置单位的基本信息进行建档管理。</w:t>
      </w:r>
    </w:p>
    <w:p>
      <w:pPr>
        <w:pStyle w:val="2"/>
        <w:ind w:firstLine="420" w:firstLineChars="200"/>
        <w:rPr>
          <w:rFonts w:hint="eastAsia" w:ascii="宋体" w:hAnsi="宋体" w:eastAsia="宋体" w:cs="宋体"/>
        </w:rPr>
      </w:pPr>
      <w:r>
        <w:rPr>
          <w:rFonts w:hint="eastAsia" w:ascii="宋体" w:hAnsi="宋体" w:eastAsia="宋体" w:cs="宋体"/>
        </w:rPr>
        <w:t>1）化粪池点：基本信息包括化粪池点所在地址、负责人、联系电话等，进行监测液位、气体浓度、GPS定位以及照片拍摄等数据采集。</w:t>
      </w:r>
    </w:p>
    <w:p>
      <w:pPr>
        <w:pStyle w:val="2"/>
        <w:ind w:firstLine="420" w:firstLineChars="200"/>
        <w:rPr>
          <w:rFonts w:hint="eastAsia" w:ascii="宋体" w:hAnsi="宋体" w:eastAsia="宋体" w:cs="宋体"/>
        </w:rPr>
      </w:pPr>
      <w:r>
        <w:rPr>
          <w:rFonts w:hint="eastAsia" w:ascii="宋体" w:hAnsi="宋体" w:eastAsia="宋体" w:cs="宋体"/>
        </w:rPr>
        <w:t>2）物业单位：物业单位的基本信息包括负责小区名称、小区地址、负责人、联系电话等。</w:t>
      </w:r>
    </w:p>
    <w:p>
      <w:pPr>
        <w:pStyle w:val="2"/>
        <w:ind w:firstLine="420" w:firstLineChars="200"/>
        <w:rPr>
          <w:rFonts w:hint="eastAsia" w:ascii="宋体" w:hAnsi="宋体" w:eastAsia="宋体" w:cs="宋体"/>
        </w:rPr>
      </w:pPr>
      <w:r>
        <w:rPr>
          <w:rFonts w:hint="eastAsia" w:ascii="宋体" w:hAnsi="宋体" w:eastAsia="宋体" w:cs="宋体"/>
        </w:rPr>
        <w:t>3）作业车辆：作业车辆的信息包括车牌号、车辆类型、所属单位等信息，也可以进行车辆GPS定位及实时监控等功能。</w:t>
      </w:r>
    </w:p>
    <w:p>
      <w:pPr>
        <w:pStyle w:val="2"/>
        <w:ind w:firstLine="420" w:firstLineChars="200"/>
        <w:rPr>
          <w:rFonts w:hint="eastAsia" w:ascii="宋体" w:hAnsi="宋体" w:eastAsia="宋体" w:cs="宋体"/>
        </w:rPr>
      </w:pPr>
      <w:r>
        <w:rPr>
          <w:rFonts w:hint="eastAsia" w:ascii="宋体" w:hAnsi="宋体" w:eastAsia="宋体" w:cs="宋体"/>
        </w:rPr>
        <w:t>4）处置单位：处置单位的基本信息，包括单位名称、地址、联系人、联系电话等。</w:t>
      </w:r>
    </w:p>
    <w:p>
      <w:pPr>
        <w:pStyle w:val="2"/>
        <w:rPr>
          <w:rFonts w:hint="eastAsia" w:ascii="宋体" w:hAnsi="宋体" w:eastAsia="宋体" w:cs="宋体"/>
        </w:rPr>
      </w:pPr>
      <w:r>
        <w:rPr>
          <w:rFonts w:hint="eastAsia" w:ascii="宋体" w:hAnsi="宋体" w:eastAsia="宋体" w:cs="宋体"/>
        </w:rPr>
        <w:t>以上信息都可以进行添加、修改、删除、查询等基本操作，同时也可以进行基础信息导入和导出等数据处理。</w:t>
      </w:r>
    </w:p>
    <w:p>
      <w:pPr>
        <w:pStyle w:val="2"/>
        <w:rPr>
          <w:rFonts w:hint="eastAsia" w:ascii="宋体" w:hAnsi="宋体" w:eastAsia="宋体" w:cs="宋体"/>
        </w:rPr>
      </w:pPr>
      <w:r>
        <w:rPr>
          <w:rFonts w:hint="eastAsia" w:ascii="宋体" w:hAnsi="宋体" w:eastAsia="宋体" w:cs="宋体"/>
        </w:rPr>
        <w:t>2.3.2清疏管理</w:t>
      </w:r>
    </w:p>
    <w:p>
      <w:pPr>
        <w:pStyle w:val="2"/>
        <w:ind w:firstLine="420" w:firstLineChars="200"/>
        <w:rPr>
          <w:rFonts w:hint="eastAsia" w:ascii="宋体" w:hAnsi="宋体" w:eastAsia="宋体" w:cs="宋体"/>
        </w:rPr>
      </w:pPr>
      <w:r>
        <w:rPr>
          <w:rFonts w:hint="eastAsia" w:ascii="宋体" w:hAnsi="宋体" w:eastAsia="宋体" w:cs="宋体"/>
        </w:rPr>
        <w:t>物业公司创建清疏清单，填写清掏公司及车辆信息，清掏公司负责清掏及运送至处置点，处置单位填写处置信息并完成闭环。</w:t>
      </w:r>
    </w:p>
    <w:p>
      <w:pPr>
        <w:pStyle w:val="2"/>
        <w:ind w:firstLine="420" w:firstLineChars="200"/>
        <w:rPr>
          <w:rFonts w:hint="eastAsia" w:ascii="宋体" w:hAnsi="宋体" w:eastAsia="宋体" w:cs="宋体"/>
        </w:rPr>
      </w:pPr>
      <w:r>
        <w:rPr>
          <w:rFonts w:hint="eastAsia" w:ascii="宋体" w:hAnsi="宋体" w:eastAsia="宋体" w:cs="宋体"/>
        </w:rPr>
        <w:t>1）化粪池点管理：系统中记录了辖区内所有的化粪池点信息，包括位置、容积、设施类型、对应清掏单位等信息，用于安排清疏作业。</w:t>
      </w:r>
    </w:p>
    <w:p>
      <w:pPr>
        <w:pStyle w:val="2"/>
        <w:ind w:firstLine="420" w:firstLineChars="200"/>
        <w:rPr>
          <w:rFonts w:hint="eastAsia" w:ascii="宋体" w:hAnsi="宋体" w:eastAsia="宋体" w:cs="宋体"/>
        </w:rPr>
      </w:pPr>
      <w:r>
        <w:rPr>
          <w:rFonts w:hint="eastAsia" w:ascii="宋体" w:hAnsi="宋体" w:eastAsia="宋体" w:cs="宋体"/>
        </w:rPr>
        <w:t>2）作业工单生成：根据化粪池液位情况，填写清掏作业单，指定清掏单位、车辆、作业时间、数量、地点等。</w:t>
      </w:r>
    </w:p>
    <w:p>
      <w:pPr>
        <w:pStyle w:val="2"/>
        <w:ind w:firstLine="420" w:firstLineChars="200"/>
        <w:rPr>
          <w:rFonts w:hint="eastAsia" w:ascii="宋体" w:hAnsi="宋体" w:eastAsia="宋体" w:cs="宋体"/>
        </w:rPr>
      </w:pPr>
      <w:r>
        <w:rPr>
          <w:rFonts w:hint="eastAsia" w:ascii="宋体" w:hAnsi="宋体" w:eastAsia="宋体" w:cs="宋体"/>
        </w:rPr>
        <w:t>3）作业车辆监控：实时查看清掏单位的作业车辆位置，运输情况，使得化粪池业务管理组能够及时关注作业进度。</w:t>
      </w:r>
    </w:p>
    <w:p>
      <w:pPr>
        <w:pStyle w:val="2"/>
        <w:rPr>
          <w:rFonts w:hint="eastAsia" w:ascii="宋体" w:hAnsi="宋体" w:eastAsia="宋体" w:cs="宋体"/>
        </w:rPr>
      </w:pPr>
      <w:r>
        <w:rPr>
          <w:rFonts w:hint="eastAsia" w:ascii="宋体" w:hAnsi="宋体" w:eastAsia="宋体" w:cs="宋体"/>
        </w:rPr>
        <w:t>2.3.3业务报表模块</w:t>
      </w:r>
    </w:p>
    <w:p>
      <w:pPr>
        <w:pStyle w:val="2"/>
        <w:ind w:firstLine="420" w:firstLineChars="200"/>
        <w:rPr>
          <w:rFonts w:hint="eastAsia" w:ascii="宋体" w:hAnsi="宋体" w:eastAsia="宋体" w:cs="宋体"/>
        </w:rPr>
      </w:pPr>
      <w:r>
        <w:rPr>
          <w:rFonts w:hint="eastAsia" w:ascii="宋体" w:hAnsi="宋体" w:eastAsia="宋体" w:cs="宋体"/>
        </w:rPr>
        <w:t>1）趋势图：对指定数据的周、月、年的趋势进行可视化展示，方便管理人员对历史数据的变化趋势进行分析和判断。</w:t>
      </w:r>
    </w:p>
    <w:p>
      <w:pPr>
        <w:pStyle w:val="2"/>
        <w:ind w:firstLine="420" w:firstLineChars="200"/>
        <w:rPr>
          <w:rFonts w:hint="eastAsia" w:ascii="宋体" w:hAnsi="宋体" w:eastAsia="宋体" w:cs="宋体"/>
        </w:rPr>
      </w:pPr>
      <w:r>
        <w:rPr>
          <w:rFonts w:hint="eastAsia" w:ascii="宋体" w:hAnsi="宋体" w:eastAsia="宋体" w:cs="宋体"/>
        </w:rPr>
        <w:t>2）环比图：对指定数据的周、月、年的环比数据进行可视化展示，方便管理人员对数据的变化情况进行分析和判断。</w:t>
      </w:r>
    </w:p>
    <w:p>
      <w:pPr>
        <w:pStyle w:val="2"/>
        <w:ind w:firstLine="420" w:firstLineChars="200"/>
        <w:rPr>
          <w:rFonts w:hint="eastAsia" w:ascii="宋体" w:hAnsi="宋体" w:eastAsia="宋体" w:cs="宋体"/>
        </w:rPr>
      </w:pPr>
      <w:r>
        <w:rPr>
          <w:rFonts w:hint="eastAsia" w:ascii="宋体" w:hAnsi="宋体" w:eastAsia="宋体" w:cs="宋体"/>
        </w:rPr>
        <w:t>3)数据对比：可以将两个时间段的数据进行对比，展示不同时间段数据的差异，方便管理人员了解运营趋势的变化情况。</w:t>
      </w:r>
    </w:p>
    <w:p>
      <w:pPr>
        <w:pStyle w:val="2"/>
        <w:ind w:firstLine="420" w:firstLineChars="200"/>
        <w:rPr>
          <w:rFonts w:hint="eastAsia" w:ascii="宋体" w:hAnsi="宋体" w:eastAsia="宋体" w:cs="宋体"/>
        </w:rPr>
      </w:pPr>
      <w:r>
        <w:rPr>
          <w:rFonts w:hint="eastAsia" w:ascii="宋体" w:hAnsi="宋体" w:eastAsia="宋体" w:cs="宋体"/>
        </w:rPr>
        <w:t>4)实时监控：可以实时监控作业车辆、作业状态，及时跟踪和管理作业和运输过程，以提高管理的效率和精确性。</w:t>
      </w:r>
    </w:p>
    <w:p>
      <w:pPr>
        <w:pStyle w:val="2"/>
        <w:ind w:firstLine="420" w:firstLineChars="200"/>
        <w:rPr>
          <w:rFonts w:hint="eastAsia" w:ascii="宋体" w:hAnsi="宋体" w:eastAsia="宋体" w:cs="宋体"/>
        </w:rPr>
      </w:pPr>
      <w:r>
        <w:rPr>
          <w:rFonts w:hint="eastAsia" w:ascii="宋体" w:hAnsi="宋体" w:eastAsia="宋体" w:cs="宋体"/>
        </w:rPr>
        <w:t>5)数据分析：对汇总的数据进行统计分析，根据多维度指标、关键数据进行细致的分析和专业的评估，以便于管理人员更好地了解运营状态和运营趋势，进而进行规划和决策。</w:t>
      </w:r>
    </w:p>
    <w:p>
      <w:pPr>
        <w:pStyle w:val="2"/>
        <w:ind w:firstLine="420" w:firstLineChars="200"/>
        <w:rPr>
          <w:rFonts w:hint="eastAsia" w:ascii="宋体" w:hAnsi="宋体" w:eastAsia="宋体" w:cs="宋体"/>
        </w:rPr>
      </w:pPr>
      <w:r>
        <w:rPr>
          <w:rFonts w:hint="eastAsia" w:ascii="宋体" w:hAnsi="宋体" w:eastAsia="宋体" w:cs="宋体"/>
        </w:rPr>
        <w:t>6)数据导出：支持数据导出至Excel、CSV等格式，方便管理人员对数据进行二次处理和分析，以满足实际需要。</w:t>
      </w:r>
    </w:p>
    <w:p>
      <w:pPr>
        <w:pStyle w:val="2"/>
        <w:rPr>
          <w:rFonts w:hint="eastAsia" w:ascii="宋体" w:hAnsi="宋体" w:eastAsia="宋体" w:cs="宋体"/>
        </w:rPr>
      </w:pPr>
      <w:r>
        <w:rPr>
          <w:rFonts w:hint="eastAsia" w:ascii="宋体" w:hAnsi="宋体" w:eastAsia="宋体" w:cs="宋体"/>
        </w:rPr>
        <w:t>2.3.4作业及运输监控模块</w:t>
      </w:r>
    </w:p>
    <w:p>
      <w:pPr>
        <w:pStyle w:val="2"/>
        <w:ind w:firstLine="420" w:firstLineChars="200"/>
        <w:rPr>
          <w:rFonts w:hint="eastAsia" w:ascii="宋体" w:hAnsi="宋体" w:eastAsia="宋体" w:cs="宋体"/>
        </w:rPr>
      </w:pPr>
      <w:r>
        <w:rPr>
          <w:rFonts w:hint="eastAsia" w:ascii="宋体" w:hAnsi="宋体" w:eastAsia="宋体" w:cs="宋体"/>
        </w:rPr>
        <w:t>与作业及运输公司车辆实时数据平台对接，实时监控所有作业及运输车辆的实时状态、位置、车辆数据、行驶轨迹等数据，便捷调度中心在车辆遇到紧急状况下，进行应急变更，重新调度，等操作，保证作业/运输的正常进行。</w:t>
      </w:r>
    </w:p>
    <w:p>
      <w:pPr>
        <w:pStyle w:val="2"/>
        <w:ind w:firstLine="420" w:firstLineChars="200"/>
        <w:rPr>
          <w:rFonts w:hint="eastAsia" w:ascii="宋体" w:hAnsi="宋体" w:eastAsia="宋体" w:cs="宋体"/>
        </w:rPr>
      </w:pPr>
      <w:r>
        <w:rPr>
          <w:rFonts w:hint="eastAsia" w:ascii="宋体" w:hAnsi="宋体" w:eastAsia="宋体" w:cs="宋体"/>
        </w:rPr>
        <w:t>1）实时监控：对所有作业及运输车辆的实时状态、位置、车辆数据、行驶轨迹等数据进行实时监控，确保车辆在作业或运输过程中的实时情况得到掌握。</w:t>
      </w:r>
    </w:p>
    <w:p>
      <w:pPr>
        <w:pStyle w:val="2"/>
        <w:ind w:firstLine="420" w:firstLineChars="200"/>
        <w:rPr>
          <w:rFonts w:hint="eastAsia" w:ascii="宋体" w:hAnsi="宋体" w:eastAsia="宋体" w:cs="宋体"/>
        </w:rPr>
      </w:pPr>
      <w:r>
        <w:rPr>
          <w:rFonts w:hint="eastAsia" w:ascii="宋体" w:hAnsi="宋体" w:eastAsia="宋体" w:cs="宋体"/>
        </w:rPr>
        <w:t>2)数据分析：对作业和运输过程中产生的数据进行统计分析，针对关键数据指标，进行细致的分析和专业的评估，以便于更好的决策和管理。</w:t>
      </w:r>
    </w:p>
    <w:p>
      <w:pPr>
        <w:pStyle w:val="2"/>
        <w:ind w:firstLine="420" w:firstLineChars="200"/>
        <w:rPr>
          <w:rFonts w:hint="eastAsia" w:ascii="宋体" w:hAnsi="宋体" w:eastAsia="宋体" w:cs="宋体"/>
        </w:rPr>
      </w:pPr>
      <w:r>
        <w:rPr>
          <w:rFonts w:hint="eastAsia" w:ascii="宋体" w:hAnsi="宋体" w:eastAsia="宋体" w:cs="宋体"/>
        </w:rPr>
        <w:t>3)系统集成：该模块需要与作业车辆和运输企业的实时数据平台进行集成，确保实时获取和监控车辆的相关数据和信息。</w:t>
      </w:r>
    </w:p>
    <w:p>
      <w:pPr>
        <w:pStyle w:val="2"/>
        <w:rPr>
          <w:rFonts w:hint="eastAsia" w:ascii="宋体" w:hAnsi="宋体" w:eastAsia="宋体" w:cs="宋体"/>
        </w:rPr>
      </w:pPr>
      <w:r>
        <w:rPr>
          <w:rFonts w:hint="eastAsia" w:ascii="宋体" w:hAnsi="宋体" w:eastAsia="宋体" w:cs="宋体"/>
        </w:rPr>
        <w:t>2.3.5消息通知模块</w:t>
      </w:r>
    </w:p>
    <w:p>
      <w:pPr>
        <w:pStyle w:val="2"/>
        <w:ind w:firstLine="420" w:firstLineChars="200"/>
        <w:rPr>
          <w:rFonts w:hint="eastAsia" w:ascii="宋体" w:hAnsi="宋体" w:eastAsia="宋体" w:cs="宋体"/>
        </w:rPr>
      </w:pPr>
      <w:r>
        <w:rPr>
          <w:rFonts w:hint="eastAsia" w:ascii="宋体" w:hAnsi="宋体" w:eastAsia="宋体" w:cs="宋体"/>
        </w:rPr>
        <w:t>主干业务，如：工单取消、变更、异常、预警触发等事件发生时，通过系统消息、短信，邮件等消息通知方式，发送至相关业务负责人。</w:t>
      </w:r>
    </w:p>
    <w:p>
      <w:pPr>
        <w:pStyle w:val="2"/>
        <w:ind w:firstLine="420" w:firstLineChars="200"/>
        <w:rPr>
          <w:rFonts w:hint="eastAsia" w:ascii="宋体" w:hAnsi="宋体" w:eastAsia="宋体" w:cs="宋体"/>
        </w:rPr>
      </w:pPr>
      <w:r>
        <w:rPr>
          <w:rFonts w:hint="eastAsia" w:ascii="宋体" w:hAnsi="宋体" w:eastAsia="宋体" w:cs="宋体"/>
        </w:rPr>
        <w:t>1）消息接收：接收来自系统、审核、作业、运输、报障等模块的各类个性化消息。</w:t>
      </w:r>
    </w:p>
    <w:p>
      <w:pPr>
        <w:pStyle w:val="2"/>
        <w:ind w:firstLine="420" w:firstLineChars="200"/>
        <w:rPr>
          <w:rFonts w:hint="eastAsia" w:ascii="宋体" w:hAnsi="宋体" w:eastAsia="宋体" w:cs="宋体"/>
        </w:rPr>
      </w:pPr>
      <w:r>
        <w:rPr>
          <w:rFonts w:hint="eastAsia" w:ascii="宋体" w:hAnsi="宋体" w:eastAsia="宋体" w:cs="宋体"/>
        </w:rPr>
        <w:t>2）消息推送：将各种事件、警报和业务信息及时、准确地推送给相关人员，以便于管理和调度。</w:t>
      </w:r>
    </w:p>
    <w:p>
      <w:pPr>
        <w:pStyle w:val="2"/>
        <w:ind w:firstLine="420" w:firstLineChars="200"/>
        <w:rPr>
          <w:rFonts w:hint="eastAsia" w:ascii="宋体" w:hAnsi="宋体" w:eastAsia="宋体" w:cs="宋体"/>
        </w:rPr>
      </w:pPr>
      <w:r>
        <w:rPr>
          <w:rFonts w:hint="eastAsia" w:ascii="宋体" w:hAnsi="宋体" w:eastAsia="宋体" w:cs="宋体"/>
        </w:rPr>
        <w:t>3)消息分类：对各类消息进行分类处理，使其更加易于管理和查询。</w:t>
      </w:r>
    </w:p>
    <w:p>
      <w:pPr>
        <w:pStyle w:val="2"/>
        <w:ind w:firstLine="420" w:firstLineChars="200"/>
        <w:rPr>
          <w:rFonts w:hint="eastAsia" w:ascii="宋体" w:hAnsi="宋体" w:eastAsia="宋体" w:cs="宋体"/>
        </w:rPr>
      </w:pPr>
      <w:r>
        <w:rPr>
          <w:rFonts w:hint="eastAsia" w:ascii="宋体" w:hAnsi="宋体" w:eastAsia="宋体" w:cs="宋体"/>
        </w:rPr>
        <w:t>4)发送方式：支持多种发送方式，包括站内信、邮件通知、短信提醒等，以便于接收方随时查看。</w:t>
      </w:r>
    </w:p>
    <w:p>
      <w:pPr>
        <w:pStyle w:val="2"/>
        <w:ind w:firstLine="420" w:firstLineChars="200"/>
        <w:rPr>
          <w:rFonts w:hint="eastAsia" w:ascii="宋体" w:hAnsi="宋体" w:eastAsia="宋体" w:cs="宋体"/>
        </w:rPr>
      </w:pPr>
      <w:r>
        <w:rPr>
          <w:rFonts w:hint="eastAsia" w:ascii="宋体" w:hAnsi="宋体" w:eastAsia="宋体" w:cs="宋体"/>
        </w:rPr>
        <w:t>5)发送规则：根据消息类型和重要性，制定不同的发送规则，保证信息实时、准确地传递给关键人员。</w:t>
      </w:r>
    </w:p>
    <w:p>
      <w:pPr>
        <w:pStyle w:val="2"/>
        <w:rPr>
          <w:rFonts w:hint="eastAsia" w:ascii="宋体" w:hAnsi="宋体" w:eastAsia="宋体" w:cs="宋体"/>
          <w:b/>
          <w:bCs/>
          <w:szCs w:val="21"/>
        </w:rPr>
      </w:pPr>
      <w:r>
        <w:rPr>
          <w:rFonts w:hint="eastAsia" w:ascii="宋体" w:hAnsi="宋体" w:eastAsia="宋体" w:cs="宋体"/>
          <w:b/>
          <w:bCs/>
          <w:szCs w:val="21"/>
        </w:rPr>
        <w:t>2.4核心业务用例</w:t>
      </w:r>
    </w:p>
    <w:p>
      <w:pPr>
        <w:pStyle w:val="2"/>
        <w:rPr>
          <w:rFonts w:hint="eastAsia" w:ascii="宋体" w:hAnsi="宋体" w:eastAsia="宋体" w:cs="宋体"/>
        </w:rPr>
      </w:pPr>
      <w:r>
        <w:rPr>
          <w:rFonts w:hint="eastAsia" w:ascii="宋体" w:hAnsi="宋体" w:eastAsia="宋体" w:cs="宋体"/>
        </w:rPr>
        <w:t xml:space="preserve">  </w:t>
      </w:r>
      <w:r>
        <w:rPr>
          <w:rFonts w:ascii="仿宋" w:hAnsi="仿宋" w:eastAsia="仿宋" w:cs="仿宋"/>
          <w:kern w:val="0"/>
          <w:sz w:val="32"/>
          <w:szCs w:val="32"/>
        </w:rPr>
        <w:drawing>
          <wp:inline distT="0" distB="0" distL="0" distR="0">
            <wp:extent cx="2397125" cy="1906905"/>
            <wp:effectExtent l="0" t="0" r="3175" b="0"/>
            <wp:docPr id="148803006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030061"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97125" cy="1906905"/>
                    </a:xfrm>
                    <a:prstGeom prst="rect">
                      <a:avLst/>
                    </a:prstGeom>
                    <a:noFill/>
                    <a:ln>
                      <a:noFill/>
                    </a:ln>
                  </pic:spPr>
                </pic:pic>
              </a:graphicData>
            </a:graphic>
          </wp:inline>
        </w:drawing>
      </w:r>
      <w:r>
        <w:rPr>
          <w:rFonts w:ascii="仿宋" w:hAnsi="仿宋" w:eastAsia="仿宋" w:cs="仿宋"/>
          <w:kern w:val="0"/>
          <w:sz w:val="32"/>
          <w:szCs w:val="32"/>
        </w:rPr>
        <w:drawing>
          <wp:inline distT="0" distB="0" distL="0" distR="0">
            <wp:extent cx="2345055" cy="1887855"/>
            <wp:effectExtent l="0" t="0" r="0" b="0"/>
            <wp:docPr id="102817830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178307"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45055" cy="1887855"/>
                    </a:xfrm>
                    <a:prstGeom prst="rect">
                      <a:avLst/>
                    </a:prstGeom>
                    <a:noFill/>
                    <a:ln>
                      <a:noFill/>
                    </a:ln>
                  </pic:spPr>
                </pic:pic>
              </a:graphicData>
            </a:graphic>
          </wp:inline>
        </w:drawing>
      </w:r>
    </w:p>
    <w:p>
      <w:pPr>
        <w:pStyle w:val="2"/>
        <w:rPr>
          <w:rFonts w:hint="eastAsia" w:ascii="宋体" w:hAnsi="宋体" w:eastAsia="宋体" w:cs="宋体"/>
        </w:rPr>
      </w:pPr>
      <w:r>
        <w:rPr>
          <w:rFonts w:hint="eastAsia" w:ascii="宋体" w:hAnsi="宋体" w:eastAsia="宋体" w:cs="宋体"/>
        </w:rPr>
        <w:t xml:space="preserve">  </w:t>
      </w:r>
      <w:r>
        <w:rPr>
          <w:rFonts w:ascii="仿宋" w:hAnsi="仿宋" w:eastAsia="仿宋" w:cs="仿宋"/>
          <w:kern w:val="0"/>
          <w:sz w:val="32"/>
          <w:szCs w:val="32"/>
        </w:rPr>
        <w:drawing>
          <wp:inline distT="0" distB="0" distL="0" distR="0">
            <wp:extent cx="3043555" cy="2345055"/>
            <wp:effectExtent l="0" t="0" r="4445" b="0"/>
            <wp:docPr id="5520472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47217"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043555" cy="2345055"/>
                    </a:xfrm>
                    <a:prstGeom prst="rect">
                      <a:avLst/>
                    </a:prstGeom>
                    <a:noFill/>
                    <a:ln>
                      <a:noFill/>
                    </a:ln>
                    <a:effectLst/>
                  </pic:spPr>
                </pic:pic>
              </a:graphicData>
            </a:graphic>
          </wp:inline>
        </w:drawing>
      </w:r>
      <w:r>
        <w:rPr>
          <w:rFonts w:ascii="仿宋" w:hAnsi="仿宋" w:eastAsia="仿宋" w:cs="仿宋"/>
          <w:kern w:val="0"/>
          <w:sz w:val="32"/>
          <w:szCs w:val="32"/>
        </w:rPr>
        <w:drawing>
          <wp:inline distT="0" distB="0" distL="0" distR="0">
            <wp:extent cx="1822450" cy="2338070"/>
            <wp:effectExtent l="0" t="0" r="6350" b="5080"/>
            <wp:docPr id="1374773681" name="图片 6" descr="c1039964ddca1e51f4d5eeb6d0b6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773681" name="图片 6" descr="c1039964ddca1e51f4d5eeb6d0b63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22450" cy="2338070"/>
                    </a:xfrm>
                    <a:prstGeom prst="rect">
                      <a:avLst/>
                    </a:prstGeom>
                    <a:noFill/>
                    <a:ln>
                      <a:noFill/>
                    </a:ln>
                    <a:effectLst/>
                  </pic:spPr>
                </pic:pic>
              </a:graphicData>
            </a:graphic>
          </wp:inline>
        </w:drawing>
      </w:r>
    </w:p>
    <w:p>
      <w:pPr>
        <w:pStyle w:val="2"/>
        <w:rPr>
          <w:rFonts w:hint="eastAsia" w:ascii="宋体" w:hAnsi="宋体" w:eastAsia="宋体" w:cs="宋体"/>
          <w:b/>
          <w:bCs/>
          <w:szCs w:val="21"/>
        </w:rPr>
      </w:pPr>
      <w:r>
        <w:rPr>
          <w:rFonts w:hint="eastAsia" w:ascii="宋体" w:hAnsi="宋体" w:eastAsia="宋体" w:cs="宋体"/>
          <w:b/>
          <w:bCs/>
          <w:szCs w:val="21"/>
        </w:rPr>
        <w:t>2.5解决网络信息安全及多平台兼容的相关措施</w:t>
      </w:r>
    </w:p>
    <w:p>
      <w:pPr>
        <w:pStyle w:val="2"/>
        <w:rPr>
          <w:rFonts w:hint="eastAsia" w:ascii="宋体" w:hAnsi="宋体" w:eastAsia="宋体" w:cs="宋体"/>
        </w:rPr>
      </w:pPr>
      <w:r>
        <w:rPr>
          <w:rFonts w:hint="eastAsia" w:ascii="宋体" w:hAnsi="宋体" w:eastAsia="宋体" w:cs="宋体"/>
        </w:rPr>
        <w:t>2.5.1针对网络安全部分，需要采用以下措施：</w:t>
      </w:r>
    </w:p>
    <w:p>
      <w:pPr>
        <w:pStyle w:val="2"/>
        <w:ind w:firstLine="420" w:firstLineChars="200"/>
        <w:rPr>
          <w:rFonts w:hint="eastAsia" w:ascii="宋体" w:hAnsi="宋体" w:eastAsia="宋体" w:cs="宋体"/>
        </w:rPr>
      </w:pPr>
      <w:r>
        <w:rPr>
          <w:rFonts w:hint="eastAsia" w:ascii="宋体" w:hAnsi="宋体" w:eastAsia="宋体" w:cs="宋体"/>
        </w:rPr>
        <w:t>1）、使用安全协议：选择使用TLS/SSL协议来保护系统的网络通信。确保服务器配置支持TLS 1.2及以上版本，并使用强密码和合适的加密套件。</w:t>
      </w:r>
    </w:p>
    <w:p>
      <w:pPr>
        <w:pStyle w:val="2"/>
        <w:ind w:firstLine="420" w:firstLineChars="200"/>
        <w:rPr>
          <w:rFonts w:hint="eastAsia" w:ascii="宋体" w:hAnsi="宋体" w:eastAsia="宋体" w:cs="宋体"/>
        </w:rPr>
      </w:pPr>
      <w:r>
        <w:rPr>
          <w:rFonts w:hint="eastAsia" w:ascii="宋体" w:hAnsi="宋体" w:eastAsia="宋体" w:cs="宋体"/>
        </w:rPr>
        <w:t>2）、数据加密：对于敏感数据，使用AES加密算法对数据进行加密。存储和传输时，确保对密钥的安全管理。可以考虑使用专用的加密库来实现数据加密操作。</w:t>
      </w:r>
    </w:p>
    <w:p>
      <w:pPr>
        <w:pStyle w:val="2"/>
        <w:ind w:firstLine="420" w:firstLineChars="200"/>
        <w:rPr>
          <w:rFonts w:hint="eastAsia" w:ascii="宋体" w:hAnsi="宋体" w:eastAsia="宋体" w:cs="宋体"/>
        </w:rPr>
      </w:pPr>
      <w:r>
        <w:rPr>
          <w:rFonts w:hint="eastAsia" w:ascii="宋体" w:hAnsi="宋体" w:eastAsia="宋体" w:cs="宋体"/>
        </w:rPr>
        <w:t>3）、访问控制：实施强大的访问控制策略。用户登录时，使用哈希存储密码，并使用盐值增加密码的复杂性。采用角色和权限的方式管理用户访问权限，并限制对系统资源的访问。</w:t>
      </w:r>
    </w:p>
    <w:p>
      <w:pPr>
        <w:pStyle w:val="2"/>
        <w:ind w:firstLine="420" w:firstLineChars="200"/>
        <w:rPr>
          <w:rFonts w:hint="eastAsia" w:ascii="宋体" w:hAnsi="宋体" w:eastAsia="宋体" w:cs="宋体"/>
        </w:rPr>
      </w:pPr>
      <w:r>
        <w:rPr>
          <w:rFonts w:hint="eastAsia" w:ascii="宋体" w:hAnsi="宋体" w:eastAsia="宋体" w:cs="宋体"/>
        </w:rPr>
        <w:t>4）、防火墙和入侵检测系统：配置防火墙，限制外部访问系统的端口和协议。同时，建立入侵检测系统，实时监测系统的安全状况，及时发现和防御潜在的安全威胁。</w:t>
      </w:r>
    </w:p>
    <w:p>
      <w:pPr>
        <w:pStyle w:val="2"/>
        <w:ind w:firstLine="420" w:firstLineChars="200"/>
        <w:rPr>
          <w:rFonts w:hint="eastAsia" w:ascii="宋体" w:hAnsi="宋体" w:eastAsia="宋体" w:cs="宋体"/>
        </w:rPr>
      </w:pPr>
      <w:r>
        <w:rPr>
          <w:rFonts w:hint="eastAsia" w:ascii="宋体" w:hAnsi="宋体" w:eastAsia="宋体" w:cs="宋体"/>
        </w:rPr>
        <w:t>5）、漏洞检测和修补：定期进行漏洞扫描，使用专业的漏洞扫描工具，检测系统中的安全漏洞。及时修补发现的漏洞，并对系统进行更新。</w:t>
      </w:r>
    </w:p>
    <w:p>
      <w:pPr>
        <w:pStyle w:val="2"/>
        <w:rPr>
          <w:rFonts w:hint="eastAsia" w:ascii="宋体" w:hAnsi="宋体" w:eastAsia="宋体" w:cs="宋体"/>
        </w:rPr>
      </w:pPr>
      <w:r>
        <w:rPr>
          <w:rFonts w:hint="eastAsia" w:ascii="宋体" w:hAnsi="宋体" w:eastAsia="宋体" w:cs="宋体"/>
        </w:rPr>
        <w:t>2.5.2多平台兼容的相关技术措施如下：</w:t>
      </w:r>
    </w:p>
    <w:p>
      <w:pPr>
        <w:pStyle w:val="2"/>
        <w:ind w:firstLine="420" w:firstLineChars="200"/>
        <w:rPr>
          <w:rFonts w:hint="eastAsia" w:ascii="宋体" w:hAnsi="宋体" w:eastAsia="宋体" w:cs="宋体"/>
        </w:rPr>
      </w:pPr>
      <w:r>
        <w:rPr>
          <w:rFonts w:hint="eastAsia" w:ascii="宋体" w:hAnsi="宋体" w:eastAsia="宋体" w:cs="宋体"/>
        </w:rPr>
        <w:t>1）、平台数据库兼容性：选择一种跨平台的数据库系统，如MySQL或PostgreSQL。确保数据库系统能够在不同的操作系统平台上稳定运行，并具备高可用性。</w:t>
      </w:r>
    </w:p>
    <w:p>
      <w:pPr>
        <w:pStyle w:val="2"/>
        <w:ind w:firstLine="420" w:firstLineChars="200"/>
        <w:rPr>
          <w:rFonts w:hint="eastAsia" w:ascii="宋体" w:hAnsi="宋体" w:eastAsia="宋体" w:cs="宋体"/>
        </w:rPr>
      </w:pPr>
      <w:r>
        <w:rPr>
          <w:rFonts w:hint="eastAsia" w:ascii="宋体" w:hAnsi="宋体" w:eastAsia="宋体" w:cs="宋体"/>
        </w:rPr>
        <w:t>2）、数据库备份和恢复：建立定期的数据库备份策略，选择合适的备份方式（如全量备份、增量备份等），确保数据的完整性和可恢复性。将备份数据存储在不同的地理位置，以防止单点故障或数据丢失。</w:t>
      </w:r>
    </w:p>
    <w:p>
      <w:pPr>
        <w:pStyle w:val="2"/>
        <w:ind w:firstLine="420" w:firstLineChars="200"/>
        <w:rPr>
          <w:rFonts w:hint="eastAsia" w:ascii="宋体" w:hAnsi="宋体" w:eastAsia="宋体" w:cs="宋体"/>
        </w:rPr>
      </w:pPr>
      <w:r>
        <w:rPr>
          <w:rFonts w:hint="eastAsia" w:ascii="宋体" w:hAnsi="宋体" w:eastAsia="宋体" w:cs="宋体"/>
        </w:rPr>
        <w:t>3）、数据迁移和同步：使用ETL工具或自定义脚本来实现数据的迁移和同步。根据具体需求，设计合适的数据同步方案，如定期批量导入、增量同步等。</w:t>
      </w:r>
    </w:p>
    <w:p>
      <w:pPr>
        <w:pStyle w:val="2"/>
        <w:ind w:firstLine="420" w:firstLineChars="200"/>
        <w:rPr>
          <w:rFonts w:hint="eastAsia" w:ascii="宋体" w:hAnsi="宋体" w:eastAsia="宋体" w:cs="宋体"/>
        </w:rPr>
      </w:pPr>
      <w:r>
        <w:rPr>
          <w:rFonts w:hint="eastAsia" w:ascii="宋体" w:hAnsi="宋体" w:eastAsia="宋体" w:cs="宋体"/>
        </w:rPr>
        <w:t>4）、数据库性能优化：通过合理设计数据库表结构，优化查询语句并创建合适的索引来提升数据库性能。使用数据库性能监控工具来监测数据库的性能瓶颈，并采取相应的优化措施，如优化查询计划、调整缓存大小等。</w:t>
      </w:r>
    </w:p>
    <w:p>
      <w:pPr>
        <w:pStyle w:val="2"/>
        <w:ind w:firstLine="420" w:firstLineChars="200"/>
        <w:rPr>
          <w:rFonts w:ascii="宋体" w:hAnsi="宋体" w:eastAsia="宋体" w:cs="宋体"/>
        </w:rPr>
      </w:pPr>
      <w:r>
        <w:rPr>
          <w:rFonts w:hint="eastAsia" w:ascii="宋体" w:hAnsi="宋体" w:eastAsia="宋体" w:cs="宋体"/>
        </w:rPr>
        <w:t>5）、数据库安全性：实施数据库访问控制策略，仅允许经授权的用户访问数据库。定期审查数据库账户及权限，并做好账户密码的安全管理。记录和监控数据库的访问和操作，及时发现和防范潜在的安全威胁。</w:t>
      </w:r>
    </w:p>
    <w:p>
      <w:pPr>
        <w:widowControl/>
        <w:spacing w:line="276" w:lineRule="auto"/>
        <w:jc w:val="left"/>
        <w:rPr>
          <w:rFonts w:hint="eastAsia" w:cs="宋体" w:asciiTheme="minorEastAsia" w:hAnsiTheme="minorEastAsia" w:eastAsiaTheme="minorEastAsia"/>
          <w:color w:val="00000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embedRegular r:id="rId1" w:fontKey="{B4E25A38-F296-4656-914D-353C058737C8}"/>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embedRegular r:id="rId2" w:fontKey="{473A0A3C-9E2F-4F0A-B4D3-80C0674C008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E00BB"/>
    <w:multiLevelType w:val="multilevel"/>
    <w:tmpl w:val="1B6E00B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6DC5CD2"/>
    <w:multiLevelType w:val="multilevel"/>
    <w:tmpl w:val="36DC5CD2"/>
    <w:lvl w:ilvl="0" w:tentative="0">
      <w:start w:val="1"/>
      <w:numFmt w:val="chineseCounting"/>
      <w:pStyle w:val="3"/>
      <w:suff w:val="nothing"/>
      <w:lvlText w:val="%1、"/>
      <w:lvlJc w:val="left"/>
      <w:pPr>
        <w:tabs>
          <w:tab w:val="left" w:pos="0"/>
        </w:tabs>
        <w:ind w:left="0" w:firstLine="400"/>
      </w:pPr>
      <w:rPr>
        <w:rFonts w:hint="eastAsia"/>
        <w:lang w:val="en-US"/>
      </w:rPr>
    </w:lvl>
    <w:lvl w:ilvl="1" w:tentative="0">
      <w:start w:val="1"/>
      <w:numFmt w:val="decimal"/>
      <w:pStyle w:val="4"/>
      <w:suff w:val="nothing"/>
      <w:lvlText w:val="（%2）"/>
      <w:lvlJc w:val="left"/>
      <w:pPr>
        <w:tabs>
          <w:tab w:val="left" w:pos="0"/>
        </w:tabs>
        <w:ind w:left="0" w:firstLine="400"/>
      </w:pPr>
      <w:rPr>
        <w:rFonts w:hint="eastAsia"/>
      </w:rPr>
    </w:lvl>
    <w:lvl w:ilvl="2" w:tentative="0">
      <w:start w:val="1"/>
      <w:numFmt w:val="decimal"/>
      <w:pStyle w:val="5"/>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41BC55CE"/>
    <w:multiLevelType w:val="singleLevel"/>
    <w:tmpl w:val="41BC55CE"/>
    <w:lvl w:ilvl="0" w:tentative="0">
      <w:start w:val="1"/>
      <w:numFmt w:val="chineseCounting"/>
      <w:suff w:val="nothing"/>
      <w:lvlText w:val="%1、"/>
      <w:lvlJc w:val="left"/>
      <w:rPr>
        <w:rFonts w:hint="eastAsia"/>
      </w:rPr>
    </w:lvl>
  </w:abstractNum>
  <w:abstractNum w:abstractNumId="3">
    <w:nsid w:val="61DE26F6"/>
    <w:multiLevelType w:val="multilevel"/>
    <w:tmpl w:val="61DE26F6"/>
    <w:lvl w:ilvl="0" w:tentative="0">
      <w:start w:val="1"/>
      <w:numFmt w:val="decimal"/>
      <w:suff w:val="space"/>
      <w:lvlText w:val="（%1）"/>
      <w:lvlJc w:val="center"/>
      <w:pPr>
        <w:tabs>
          <w:tab w:val="left" w:pos="0"/>
        </w:tabs>
        <w:ind w:left="425" w:hanging="425"/>
      </w:pPr>
      <w:rPr>
        <w:rFonts w:hint="default" w:ascii="宋体" w:hAnsi="宋体" w:eastAsia="宋体" w:cs="宋体"/>
      </w:rPr>
    </w:lvl>
    <w:lvl w:ilvl="1" w:tentative="0">
      <w:start w:val="1"/>
      <w:numFmt w:val="decimal"/>
      <w:suff w:val="space"/>
      <w:lvlText w:val="%1.%2"/>
      <w:lvlJc w:val="left"/>
      <w:pPr>
        <w:tabs>
          <w:tab w:val="left" w:pos="0"/>
        </w:tabs>
        <w:ind w:left="567" w:hanging="567"/>
      </w:pPr>
      <w:rPr>
        <w:rFonts w:hint="default" w:ascii="宋体" w:hAnsi="宋体" w:eastAsia="宋体" w:cs="宋体"/>
      </w:rPr>
    </w:lvl>
    <w:lvl w:ilvl="2" w:tentative="0">
      <w:start w:val="1"/>
      <w:numFmt w:val="decimal"/>
      <w:pStyle w:val="6"/>
      <w:suff w:val="space"/>
      <w:lvlText w:val="%1.%2.%3"/>
      <w:lvlJc w:val="left"/>
      <w:pPr>
        <w:tabs>
          <w:tab w:val="left" w:pos="0"/>
        </w:tabs>
        <w:ind w:left="709" w:hanging="709"/>
      </w:pPr>
      <w:rPr>
        <w:rFonts w:hint="default" w:ascii="宋体" w:hAnsi="宋体" w:eastAsia="宋体" w:cs="宋体"/>
      </w:rPr>
    </w:lvl>
    <w:lvl w:ilvl="3" w:tentative="0">
      <w:start w:val="1"/>
      <w:numFmt w:val="decimal"/>
      <w:suff w:val="space"/>
      <w:lvlText w:val="%1.%2.%3.%4"/>
      <w:lvlJc w:val="left"/>
      <w:pPr>
        <w:tabs>
          <w:tab w:val="left" w:pos="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hNGU0NWUzODYxNjBkMzljZjAxOGIxYmFiZDJiNzgifQ=="/>
  </w:docVars>
  <w:rsids>
    <w:rsidRoot w:val="00B523E4"/>
    <w:rsid w:val="0005435F"/>
    <w:rsid w:val="00220D78"/>
    <w:rsid w:val="00280A52"/>
    <w:rsid w:val="003D28CA"/>
    <w:rsid w:val="003E220A"/>
    <w:rsid w:val="003F2C95"/>
    <w:rsid w:val="004A0CC9"/>
    <w:rsid w:val="005519A3"/>
    <w:rsid w:val="005677B0"/>
    <w:rsid w:val="005C62DB"/>
    <w:rsid w:val="00687D59"/>
    <w:rsid w:val="006B2EBA"/>
    <w:rsid w:val="00744E01"/>
    <w:rsid w:val="008C697A"/>
    <w:rsid w:val="008E6E1A"/>
    <w:rsid w:val="00A378D4"/>
    <w:rsid w:val="00B238A7"/>
    <w:rsid w:val="00B44CD2"/>
    <w:rsid w:val="00B523E4"/>
    <w:rsid w:val="00F379D6"/>
    <w:rsid w:val="00F663FD"/>
    <w:rsid w:val="03CC5ECA"/>
    <w:rsid w:val="04D02E24"/>
    <w:rsid w:val="04F25B51"/>
    <w:rsid w:val="06C66D57"/>
    <w:rsid w:val="07096B8D"/>
    <w:rsid w:val="08502EAB"/>
    <w:rsid w:val="09766415"/>
    <w:rsid w:val="0C68451C"/>
    <w:rsid w:val="0D650C0A"/>
    <w:rsid w:val="0F2A1335"/>
    <w:rsid w:val="0FD27ABF"/>
    <w:rsid w:val="11700C20"/>
    <w:rsid w:val="118B758B"/>
    <w:rsid w:val="13047F9F"/>
    <w:rsid w:val="14602331"/>
    <w:rsid w:val="14D92C59"/>
    <w:rsid w:val="156F29B6"/>
    <w:rsid w:val="18D446B0"/>
    <w:rsid w:val="1A1A0363"/>
    <w:rsid w:val="1A9E2CAC"/>
    <w:rsid w:val="1C672639"/>
    <w:rsid w:val="1E1B36DB"/>
    <w:rsid w:val="1ED22372"/>
    <w:rsid w:val="1F7D3F22"/>
    <w:rsid w:val="251F14AA"/>
    <w:rsid w:val="287A2308"/>
    <w:rsid w:val="28991A7A"/>
    <w:rsid w:val="297B3BC8"/>
    <w:rsid w:val="299E3691"/>
    <w:rsid w:val="29D809AD"/>
    <w:rsid w:val="2A71059F"/>
    <w:rsid w:val="2B052062"/>
    <w:rsid w:val="2BBD0E53"/>
    <w:rsid w:val="2C5E44AB"/>
    <w:rsid w:val="2D6D14E7"/>
    <w:rsid w:val="2EEB1B36"/>
    <w:rsid w:val="30DE09A0"/>
    <w:rsid w:val="32981EF0"/>
    <w:rsid w:val="32FC4D34"/>
    <w:rsid w:val="35C70EFC"/>
    <w:rsid w:val="36A90998"/>
    <w:rsid w:val="3B40257B"/>
    <w:rsid w:val="3B9603ED"/>
    <w:rsid w:val="3DC34AC6"/>
    <w:rsid w:val="422A1E4C"/>
    <w:rsid w:val="4359453E"/>
    <w:rsid w:val="470F137F"/>
    <w:rsid w:val="48317431"/>
    <w:rsid w:val="485E07ED"/>
    <w:rsid w:val="48D12A65"/>
    <w:rsid w:val="48E16E15"/>
    <w:rsid w:val="4A3330F1"/>
    <w:rsid w:val="4ABC6A44"/>
    <w:rsid w:val="4B5B33DD"/>
    <w:rsid w:val="4C123AC0"/>
    <w:rsid w:val="4D284D2F"/>
    <w:rsid w:val="4D826A23"/>
    <w:rsid w:val="4F5A1A06"/>
    <w:rsid w:val="51D33F5C"/>
    <w:rsid w:val="521511FE"/>
    <w:rsid w:val="54BA300C"/>
    <w:rsid w:val="565B37BE"/>
    <w:rsid w:val="56E3499B"/>
    <w:rsid w:val="59676D0A"/>
    <w:rsid w:val="5B47711E"/>
    <w:rsid w:val="5C272E65"/>
    <w:rsid w:val="5C866E59"/>
    <w:rsid w:val="5CD1684C"/>
    <w:rsid w:val="5CE42B60"/>
    <w:rsid w:val="5DB916A5"/>
    <w:rsid w:val="62595B4D"/>
    <w:rsid w:val="658E7A4A"/>
    <w:rsid w:val="673806AB"/>
    <w:rsid w:val="67FF5BBB"/>
    <w:rsid w:val="6A340D0D"/>
    <w:rsid w:val="6A682DD1"/>
    <w:rsid w:val="6E7066F8"/>
    <w:rsid w:val="6FF70753"/>
    <w:rsid w:val="71DB6BAD"/>
    <w:rsid w:val="71DF224B"/>
    <w:rsid w:val="72A915F4"/>
    <w:rsid w:val="73696E97"/>
    <w:rsid w:val="741303C9"/>
    <w:rsid w:val="74904600"/>
    <w:rsid w:val="74DA720D"/>
    <w:rsid w:val="75A22D55"/>
    <w:rsid w:val="75E20399"/>
    <w:rsid w:val="772507C5"/>
    <w:rsid w:val="78270C07"/>
    <w:rsid w:val="798E3ED6"/>
    <w:rsid w:val="7A0320C3"/>
    <w:rsid w:val="7B212681"/>
    <w:rsid w:val="7B536A5E"/>
    <w:rsid w:val="7C096E8B"/>
    <w:rsid w:val="7F0A2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0"/>
    <w:pPr>
      <w:keepNext/>
      <w:numPr>
        <w:ilvl w:val="0"/>
        <w:numId w:val="1"/>
      </w:numPr>
      <w:tabs>
        <w:tab w:val="left" w:pos="420"/>
      </w:tabs>
      <w:spacing w:line="560" w:lineRule="exact"/>
      <w:jc w:val="left"/>
      <w:outlineLvl w:val="0"/>
    </w:pPr>
    <w:rPr>
      <w:rFonts w:ascii="黑体" w:hAnsi="黑体" w:eastAsia="方正仿宋_GB2312"/>
      <w:sz w:val="32"/>
      <w:szCs w:val="24"/>
      <w:lang w:bidi="hi-IN"/>
    </w:rPr>
  </w:style>
  <w:style w:type="paragraph" w:styleId="4">
    <w:name w:val="heading 2"/>
    <w:basedOn w:val="1"/>
    <w:next w:val="1"/>
    <w:unhideWhenUsed/>
    <w:qFormat/>
    <w:uiPriority w:val="0"/>
    <w:pPr>
      <w:keepNext/>
      <w:keepLines/>
      <w:numPr>
        <w:ilvl w:val="1"/>
        <w:numId w:val="1"/>
      </w:numPr>
      <w:spacing w:line="560" w:lineRule="exact"/>
      <w:outlineLvl w:val="1"/>
    </w:pPr>
    <w:rPr>
      <w:lang w:bidi="hi-IN"/>
    </w:rPr>
  </w:style>
  <w:style w:type="paragraph" w:styleId="5">
    <w:name w:val="heading 3"/>
    <w:basedOn w:val="1"/>
    <w:next w:val="1"/>
    <w:unhideWhenUsed/>
    <w:qFormat/>
    <w:uiPriority w:val="0"/>
    <w:pPr>
      <w:keepNext/>
      <w:keepLines/>
      <w:numPr>
        <w:ilvl w:val="2"/>
        <w:numId w:val="1"/>
      </w:numPr>
      <w:spacing w:line="560" w:lineRule="exact"/>
      <w:outlineLvl w:val="2"/>
    </w:pPr>
    <w:rPr>
      <w:rFonts w:ascii="宋体" w:hAnsi="宋体" w:eastAsia="仿宋"/>
      <w:lang w:bidi="hi-IN"/>
    </w:rPr>
  </w:style>
  <w:style w:type="paragraph" w:styleId="6">
    <w:name w:val="heading 4"/>
    <w:basedOn w:val="1"/>
    <w:next w:val="1"/>
    <w:semiHidden/>
    <w:unhideWhenUsed/>
    <w:qFormat/>
    <w:uiPriority w:val="0"/>
    <w:pPr>
      <w:keepNext/>
      <w:keepLines/>
      <w:numPr>
        <w:ilvl w:val="2"/>
        <w:numId w:val="2"/>
      </w:numPr>
      <w:tabs>
        <w:tab w:val="left" w:pos="420"/>
        <w:tab w:val="clear" w:pos="0"/>
      </w:tabs>
      <w:adjustRightInd w:val="0"/>
      <w:snapToGrid w:val="0"/>
      <w:spacing w:line="560" w:lineRule="exact"/>
      <w:outlineLvl w:val="3"/>
    </w:pPr>
    <w:rPr>
      <w:rFonts w:ascii="仿宋" w:hAnsi="仿宋" w:eastAsia="仿宋"/>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caption"/>
    <w:basedOn w:val="1"/>
    <w:next w:val="1"/>
    <w:semiHidden/>
    <w:unhideWhenUsed/>
    <w:qFormat/>
    <w:uiPriority w:val="0"/>
    <w:pPr>
      <w:jc w:val="center"/>
    </w:pPr>
    <w:rPr>
      <w:rFonts w:ascii="Arial" w:hAnsi="Arial" w:eastAsia="黑体"/>
      <w:sz w:val="24"/>
    </w:rPr>
  </w:style>
  <w:style w:type="paragraph" w:styleId="8">
    <w:name w:val="annotation text"/>
    <w:basedOn w:val="1"/>
    <w:qFormat/>
    <w:uiPriority w:val="0"/>
    <w:pPr>
      <w:jc w:val="left"/>
    </w:pPr>
  </w:style>
  <w:style w:type="paragraph" w:styleId="9">
    <w:name w:val="Body Text Indent"/>
    <w:basedOn w:val="1"/>
    <w:qFormat/>
    <w:uiPriority w:val="0"/>
    <w:pPr>
      <w:spacing w:after="120"/>
      <w:ind w:left="420" w:leftChars="200"/>
    </w:pPr>
  </w:style>
  <w:style w:type="paragraph" w:styleId="10">
    <w:name w:val="toc 1"/>
    <w:basedOn w:val="1"/>
    <w:next w:val="1"/>
    <w:qFormat/>
    <w:uiPriority w:val="0"/>
    <w:pPr>
      <w:spacing w:before="120" w:after="120"/>
      <w:jc w:val="left"/>
    </w:pPr>
    <w:rPr>
      <w:rFonts w:ascii="Calibri" w:hAnsi="Calibri"/>
      <w:b/>
      <w:bCs/>
      <w:caps/>
      <w:sz w:val="20"/>
    </w:rPr>
  </w:style>
  <w:style w:type="paragraph" w:styleId="11">
    <w:name w:val="Normal (Web)"/>
    <w:basedOn w:val="1"/>
    <w:unhideWhenUsed/>
    <w:qFormat/>
    <w:uiPriority w:val="99"/>
    <w:pPr>
      <w:spacing w:before="100" w:beforeAutospacing="1" w:after="100" w:afterAutospacing="1"/>
      <w:jc w:val="left"/>
    </w:pPr>
    <w:rPr>
      <w:kern w:val="0"/>
      <w:sz w:val="24"/>
    </w:rPr>
  </w:style>
  <w:style w:type="paragraph" w:styleId="12">
    <w:name w:val="Body Text First Indent 2"/>
    <w:basedOn w:val="9"/>
    <w:qFormat/>
    <w:uiPriority w:val="0"/>
    <w:pPr>
      <w:adjustRightInd w:val="0"/>
      <w:spacing w:line="312" w:lineRule="atLeast"/>
      <w:ind w:firstLine="420" w:firstLineChars="200"/>
      <w:textAlignment w:val="baseline"/>
    </w:pPr>
  </w:style>
  <w:style w:type="table" w:styleId="14">
    <w:name w:val="Table Grid"/>
    <w:basedOn w:val="13"/>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u w:val="single"/>
    </w:rPr>
  </w:style>
  <w:style w:type="paragraph" w:customStyle="1" w:styleId="17">
    <w:name w:val="表格"/>
    <w:basedOn w:val="1"/>
    <w:qFormat/>
    <w:uiPriority w:val="0"/>
    <w:pPr>
      <w:keepNext/>
      <w:spacing w:after="120" w:line="400" w:lineRule="exact"/>
      <w:jc w:val="center"/>
    </w:pPr>
    <w:rPr>
      <w:rFonts w:ascii="Times New Roman" w:hAnsi="Times New Roman"/>
      <w:sz w:val="30"/>
    </w:rPr>
  </w:style>
  <w:style w:type="paragraph" w:customStyle="1" w:styleId="18">
    <w:name w:val="图表"/>
    <w:basedOn w:val="1"/>
    <w:qFormat/>
    <w:uiPriority w:val="0"/>
    <w:pPr>
      <w:jc w:val="center"/>
    </w:pPr>
    <w:rPr>
      <w:sz w:val="28"/>
    </w:rPr>
  </w:style>
  <w:style w:type="paragraph" w:customStyle="1" w:styleId="19">
    <w:name w:val="图片"/>
    <w:basedOn w:val="1"/>
    <w:next w:val="7"/>
    <w:qFormat/>
    <w:uiPriority w:val="0"/>
    <w:pPr>
      <w:keepNext/>
      <w:jc w:val="center"/>
    </w:pPr>
    <w:rPr>
      <w:rFonts w:asciiTheme="majorHAnsi" w:hAnsiTheme="majorHAnsi" w:eastAsiaTheme="majorEastAsia" w:cstheme="majorEastAsia"/>
      <w:b/>
      <w:sz w:val="24"/>
    </w:rPr>
  </w:style>
  <w:style w:type="paragraph" w:customStyle="1" w:styleId="20">
    <w:name w:val="Table Paragraph"/>
    <w:basedOn w:val="1"/>
    <w:qFormat/>
    <w:uiPriority w:val="1"/>
    <w:rPr>
      <w:rFonts w:ascii="Times New Roman" w:hAnsi="Times New Roman" w:eastAsia="宋体"/>
    </w:rPr>
  </w:style>
  <w:style w:type="paragraph" w:styleId="21">
    <w:name w:val="List Paragraph"/>
    <w:basedOn w:val="1"/>
    <w:qFormat/>
    <w:uiPriority w:val="99"/>
    <w:pPr>
      <w:ind w:firstLine="420" w:firstLineChars="200"/>
    </w:pPr>
  </w:style>
  <w:style w:type="paragraph" w:customStyle="1" w:styleId="22">
    <w:name w:val="列出段落1"/>
    <w:basedOn w:val="1"/>
    <w:qFormat/>
    <w:uiPriority w:val="34"/>
    <w:pPr>
      <w:ind w:firstLine="420" w:firstLineChars="200"/>
    </w:pPr>
    <w:rPr>
      <w:rFonts w:ascii="Calibri" w:hAnsi="Calibri" w:eastAsia="宋体" w:cs="黑体"/>
    </w:rPr>
  </w:style>
  <w:style w:type="character" w:customStyle="1" w:styleId="23">
    <w:name w:val="font71"/>
    <w:basedOn w:val="15"/>
    <w:qFormat/>
    <w:uiPriority w:val="0"/>
    <w:rPr>
      <w:rFonts w:hint="eastAsia" w:ascii="宋体" w:hAnsi="宋体" w:eastAsia="宋体" w:cs="宋体"/>
      <w:b/>
      <w:color w:val="000000"/>
      <w:sz w:val="20"/>
      <w:szCs w:val="20"/>
      <w:u w:val="none"/>
    </w:rPr>
  </w:style>
  <w:style w:type="character" w:customStyle="1" w:styleId="24">
    <w:name w:val="font31"/>
    <w:basedOn w:val="15"/>
    <w:qFormat/>
    <w:uiPriority w:val="0"/>
    <w:rPr>
      <w:rFonts w:ascii="Arial" w:hAnsi="Arial" w:cs="Arial"/>
      <w:b/>
      <w:color w:val="000000"/>
      <w:sz w:val="20"/>
      <w:szCs w:val="20"/>
      <w:u w:val="none"/>
    </w:rPr>
  </w:style>
  <w:style w:type="character" w:customStyle="1" w:styleId="25">
    <w:name w:val="font101"/>
    <w:basedOn w:val="15"/>
    <w:qFormat/>
    <w:uiPriority w:val="0"/>
    <w:rPr>
      <w:rFonts w:hint="eastAsia" w:ascii="宋体" w:hAnsi="宋体" w:eastAsia="宋体" w:cs="宋体"/>
      <w:color w:val="000000"/>
      <w:sz w:val="20"/>
      <w:szCs w:val="20"/>
      <w:u w:val="none"/>
    </w:rPr>
  </w:style>
  <w:style w:type="character" w:customStyle="1" w:styleId="26">
    <w:name w:val="font21"/>
    <w:basedOn w:val="15"/>
    <w:qFormat/>
    <w:uiPriority w:val="0"/>
    <w:rPr>
      <w:rFonts w:hint="eastAsia" w:ascii="宋体" w:hAnsi="宋体" w:eastAsia="宋体" w:cs="宋体"/>
      <w:color w:val="000000"/>
      <w:sz w:val="20"/>
      <w:szCs w:val="20"/>
      <w:u w:val="none"/>
    </w:rPr>
  </w:style>
  <w:style w:type="character" w:customStyle="1" w:styleId="27">
    <w:name w:val="font41"/>
    <w:basedOn w:val="15"/>
    <w:qFormat/>
    <w:uiPriority w:val="0"/>
    <w:rPr>
      <w:rFonts w:hint="eastAsia" w:ascii="宋体" w:hAnsi="宋体" w:eastAsia="宋体" w:cs="宋体"/>
      <w:color w:val="000000"/>
      <w:sz w:val="18"/>
      <w:szCs w:val="18"/>
      <w:u w:val="none"/>
    </w:rPr>
  </w:style>
  <w:style w:type="paragraph" w:customStyle="1" w:styleId="28">
    <w:name w:val="Revision"/>
    <w:hidden/>
    <w:unhideWhenUsed/>
    <w:qFormat/>
    <w:uiPriority w:val="99"/>
    <w:rPr>
      <w:rFonts w:ascii="等线" w:hAnsi="等线" w:eastAsia="等线" w:cs="Times New Roman"/>
      <w:kern w:val="2"/>
      <w:sz w:val="21"/>
      <w:szCs w:val="22"/>
      <w:lang w:val="en-US" w:eastAsia="zh-CN" w:bidi="ar-SA"/>
    </w:rPr>
  </w:style>
  <w:style w:type="paragraph" w:customStyle="1" w:styleId="29">
    <w:name w:val="Body text|2"/>
    <w:basedOn w:val="1"/>
    <w:qFormat/>
    <w:uiPriority w:val="0"/>
    <w:pPr>
      <w:adjustRightInd w:val="0"/>
      <w:snapToGrid w:val="0"/>
      <w:spacing w:line="560" w:lineRule="exact"/>
      <w:ind w:firstLine="640" w:firstLineChars="200"/>
      <w:jc w:val="right"/>
    </w:pPr>
    <w:rPr>
      <w:rFonts w:ascii="仿宋" w:hAnsi="仿宋" w:eastAsia="仿宋" w:cs="宋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1518</Words>
  <Characters>8658</Characters>
  <Lines>72</Lines>
  <Paragraphs>20</Paragraphs>
  <TotalTime>6</TotalTime>
  <ScaleCrop>false</ScaleCrop>
  <LinksUpToDate>false</LinksUpToDate>
  <CharactersWithSpaces>10156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2025-09-03T03:58:00Z</dcterms:created>
  <dc:creator>24523</dc:creator>
  <cp:lastModifiedBy>gxc</cp:lastModifiedBy>
  <dcterms:modified xsi:type="dcterms:W3CDTF">2025-09-03T07:22:46Z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7D272021CBDB4DFAB4657E5EBB42700E_13</vt:lpwstr>
  </property>
  <property fmtid="{D5CDD505-2E9C-101B-9397-08002B2CF9AE}" pid="4" name="KSOTemplateDocerSaveRecord">
    <vt:lpwstr>eyJoZGlkIjoiMWY3NWUxM2E1ODEzMmU0NjI5YTU0YThhOTk0ZWFmODUiLCJ1c2VySWQiOiIzNzkwOTEzMjgifQ==</vt:lpwstr>
  </property>
</Properties>
</file>