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AA5BD01">
      <w:pPr>
        <w:jc w:val="right"/>
        <w:rPr>
          <w:rFonts w:ascii="黑体" w:hAnsi="Arial" w:eastAsia="黑体" w:cs="Arial"/>
          <w:color w:val="auto"/>
          <w:sz w:val="52"/>
          <w:szCs w:val="52"/>
          <w:highlight w:val="none"/>
        </w:rPr>
      </w:pPr>
      <w:bookmarkStart w:id="100" w:name="_GoBack"/>
      <w:bookmarkEnd w:id="100"/>
      <w:r>
        <w:rPr>
          <w:rFonts w:hint="eastAsia" w:ascii="宋体" w:hAnsi="宋体"/>
          <w:b/>
          <w:color w:val="auto"/>
          <w:spacing w:val="20"/>
          <w:sz w:val="28"/>
          <w:highlight w:val="none"/>
        </w:rPr>
        <w:t>项目编号：</w:t>
      </w:r>
      <w:r>
        <w:rPr>
          <w:rFonts w:hint="eastAsia" w:ascii="宋体" w:hAnsi="宋体"/>
          <w:b/>
          <w:color w:val="auto"/>
          <w:spacing w:val="20"/>
          <w:sz w:val="28"/>
          <w:highlight w:val="none"/>
          <w:lang w:eastAsia="zh-CN"/>
        </w:rPr>
        <w:t>SZDL2025000623</w:t>
      </w:r>
      <w:r>
        <w:rPr>
          <w:rFonts w:hint="eastAsia" w:ascii="宋体" w:hAnsi="宋体"/>
          <w:b/>
          <w:color w:val="auto"/>
          <w:spacing w:val="20"/>
          <w:sz w:val="28"/>
          <w:highlight w:val="none"/>
        </w:rPr>
        <w:t xml:space="preserve"> </w:t>
      </w:r>
    </w:p>
    <w:p w14:paraId="01C24961">
      <w:pPr>
        <w:pStyle w:val="7"/>
        <w:rPr>
          <w:color w:val="auto"/>
          <w:highlight w:val="none"/>
        </w:rPr>
      </w:pPr>
    </w:p>
    <w:p w14:paraId="10D6D24E">
      <w:pPr>
        <w:jc w:val="center"/>
        <w:rPr>
          <w:rFonts w:ascii="黑体" w:hAnsi="Arial" w:eastAsia="黑体" w:cs="Arial"/>
          <w:color w:val="auto"/>
          <w:sz w:val="52"/>
          <w:szCs w:val="52"/>
          <w:highlight w:val="none"/>
        </w:rPr>
      </w:pPr>
    </w:p>
    <w:p w14:paraId="1F45C6F5">
      <w:pPr>
        <w:pStyle w:val="7"/>
        <w:rPr>
          <w:color w:val="auto"/>
          <w:highlight w:val="none"/>
        </w:rPr>
      </w:pPr>
    </w:p>
    <w:p w14:paraId="38AEBDA2">
      <w:pPr>
        <w:pStyle w:val="14"/>
        <w:rPr>
          <w:color w:val="auto"/>
          <w:highlight w:val="none"/>
        </w:rPr>
      </w:pPr>
    </w:p>
    <w:p w14:paraId="32AD0EB1">
      <w:pPr>
        <w:pStyle w:val="14"/>
        <w:rPr>
          <w:color w:val="auto"/>
          <w:highlight w:val="none"/>
        </w:rPr>
      </w:pPr>
    </w:p>
    <w:p w14:paraId="18583503">
      <w:pPr>
        <w:jc w:val="center"/>
        <w:rPr>
          <w:rFonts w:ascii="黑体" w:hAnsi="Arial" w:eastAsia="黑体" w:cs="Arial"/>
          <w:color w:val="auto"/>
          <w:sz w:val="52"/>
          <w:szCs w:val="52"/>
          <w:highlight w:val="none"/>
        </w:rPr>
      </w:pPr>
      <w:r>
        <w:rPr>
          <w:rFonts w:hint="eastAsia" w:ascii="黑体" w:hAnsi="Arial" w:eastAsia="黑体" w:cs="Arial"/>
          <w:color w:val="auto"/>
          <w:sz w:val="52"/>
          <w:szCs w:val="52"/>
          <w:highlight w:val="none"/>
        </w:rPr>
        <w:t>【服务类】</w:t>
      </w:r>
    </w:p>
    <w:p w14:paraId="492B7C78">
      <w:pPr>
        <w:jc w:val="center"/>
        <w:rPr>
          <w:rFonts w:hint="eastAsia" w:ascii="黑体" w:eastAsia="黑体"/>
          <w:color w:val="auto"/>
          <w:sz w:val="52"/>
          <w:szCs w:val="52"/>
          <w:highlight w:val="none"/>
          <w:lang w:eastAsia="zh-CN"/>
        </w:rPr>
      </w:pPr>
      <w:r>
        <w:rPr>
          <w:rFonts w:hint="eastAsia" w:ascii="黑体" w:eastAsia="黑体"/>
          <w:color w:val="auto"/>
          <w:sz w:val="52"/>
          <w:szCs w:val="52"/>
          <w:highlight w:val="none"/>
          <w:lang w:eastAsia="zh-CN"/>
        </w:rPr>
        <w:t>2025年通信线缆维护</w:t>
      </w:r>
    </w:p>
    <w:p w14:paraId="65EA67A7">
      <w:pPr>
        <w:rPr>
          <w:color w:val="auto"/>
          <w:highlight w:val="none"/>
        </w:rPr>
      </w:pPr>
    </w:p>
    <w:p w14:paraId="5C22498C">
      <w:pPr>
        <w:rPr>
          <w:color w:val="auto"/>
          <w:highlight w:val="none"/>
        </w:rPr>
      </w:pPr>
    </w:p>
    <w:p w14:paraId="2BBA0778">
      <w:pPr>
        <w:rPr>
          <w:color w:val="auto"/>
          <w:highlight w:val="none"/>
        </w:rPr>
      </w:pPr>
    </w:p>
    <w:p w14:paraId="5F937A2D">
      <w:pPr>
        <w:rPr>
          <w:color w:val="auto"/>
          <w:highlight w:val="none"/>
        </w:rPr>
      </w:pPr>
    </w:p>
    <w:p w14:paraId="60BDFB82">
      <w:pPr>
        <w:keepNext w:val="0"/>
        <w:keepLines w:val="0"/>
        <w:pageBreakBefore w:val="0"/>
        <w:widowControl w:val="0"/>
        <w:kinsoku/>
        <w:wordWrap/>
        <w:overflowPunct/>
        <w:topLinePunct w:val="0"/>
        <w:autoSpaceDE/>
        <w:autoSpaceDN/>
        <w:bidi w:val="0"/>
        <w:adjustRightInd/>
        <w:snapToGrid/>
        <w:spacing w:after="126" w:afterLines="40"/>
        <w:jc w:val="center"/>
        <w:textAlignment w:val="auto"/>
        <w:rPr>
          <w:rFonts w:hint="eastAsia" w:ascii="黑体" w:eastAsia="黑体"/>
          <w:color w:val="auto"/>
          <w:sz w:val="72"/>
          <w:szCs w:val="52"/>
          <w:highlight w:val="none"/>
        </w:rPr>
      </w:pPr>
      <w:r>
        <w:rPr>
          <w:rFonts w:hint="eastAsia" w:ascii="黑体" w:eastAsia="黑体"/>
          <w:color w:val="auto"/>
          <w:sz w:val="72"/>
          <w:szCs w:val="52"/>
          <w:highlight w:val="none"/>
        </w:rPr>
        <w:t>招 标 文 件</w:t>
      </w:r>
    </w:p>
    <w:p w14:paraId="344069A0">
      <w:pPr>
        <w:pStyle w:val="14"/>
        <w:rPr>
          <w:rFonts w:hint="eastAsia"/>
          <w:color w:val="auto"/>
          <w:highlight w:val="none"/>
        </w:rPr>
      </w:pPr>
    </w:p>
    <w:p w14:paraId="5EE4B4ED">
      <w:pPr>
        <w:pStyle w:val="7"/>
        <w:rPr>
          <w:rFonts w:hint="eastAsia"/>
          <w:color w:val="auto"/>
          <w:highlight w:val="none"/>
          <w:lang w:eastAsia="zh-CN"/>
        </w:rPr>
      </w:pPr>
    </w:p>
    <w:p w14:paraId="51429CCE">
      <w:pPr>
        <w:pStyle w:val="14"/>
        <w:rPr>
          <w:rFonts w:hint="eastAsia"/>
          <w:color w:val="auto"/>
          <w:highlight w:val="none"/>
          <w:lang w:eastAsia="zh-CN"/>
        </w:rPr>
      </w:pPr>
    </w:p>
    <w:p w14:paraId="6104585A">
      <w:pPr>
        <w:pStyle w:val="14"/>
        <w:rPr>
          <w:rFonts w:hint="eastAsia"/>
          <w:color w:val="auto"/>
          <w:highlight w:val="none"/>
          <w:lang w:eastAsia="zh-CN"/>
        </w:rPr>
      </w:pPr>
    </w:p>
    <w:p w14:paraId="29257FF7">
      <w:pPr>
        <w:pStyle w:val="14"/>
        <w:rPr>
          <w:rFonts w:hint="eastAsia"/>
          <w:color w:val="auto"/>
          <w:highlight w:val="none"/>
          <w:lang w:eastAsia="zh-CN"/>
        </w:rPr>
      </w:pPr>
    </w:p>
    <w:p w14:paraId="08F68861">
      <w:pPr>
        <w:pStyle w:val="14"/>
        <w:rPr>
          <w:rFonts w:hint="eastAsia"/>
          <w:color w:val="auto"/>
          <w:highlight w:val="none"/>
          <w:lang w:eastAsia="zh-CN"/>
        </w:rPr>
      </w:pPr>
    </w:p>
    <w:p w14:paraId="4FFC204E">
      <w:pPr>
        <w:pStyle w:val="1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eastAsia="宋体"/>
          <w:color w:val="auto"/>
          <w:highlight w:val="none"/>
          <w:lang w:eastAsia="zh-CN"/>
        </w:rPr>
      </w:pPr>
      <w:r>
        <w:rPr>
          <w:rFonts w:hint="eastAsia" w:ascii="Arial" w:hAnsi="Arial" w:eastAsia="仿宋_GB2312" w:cs="Arial"/>
          <w:color w:val="auto"/>
          <w:sz w:val="44"/>
          <w:highlight w:val="none"/>
          <w:lang w:eastAsia="zh-CN"/>
        </w:rPr>
        <w:drawing>
          <wp:inline distT="0" distB="0" distL="114300" distR="114300">
            <wp:extent cx="1210945" cy="1210945"/>
            <wp:effectExtent l="0" t="0" r="8255" b="8255"/>
            <wp:docPr id="3" name="图片 3" descr="b6bbc1c3021ac190a7f1ff08bab79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6bbc1c3021ac190a7f1ff08bab79ef"/>
                    <pic:cNvPicPr>
                      <a:picLocks noChangeAspect="1"/>
                    </pic:cNvPicPr>
                  </pic:nvPicPr>
                  <pic:blipFill>
                    <a:blip r:embed="rId5"/>
                    <a:stretch>
                      <a:fillRect/>
                    </a:stretch>
                  </pic:blipFill>
                  <pic:spPr>
                    <a:xfrm>
                      <a:off x="0" y="0"/>
                      <a:ext cx="1210945" cy="1210945"/>
                    </a:xfrm>
                    <a:prstGeom prst="rect">
                      <a:avLst/>
                    </a:prstGeom>
                  </pic:spPr>
                </pic:pic>
              </a:graphicData>
            </a:graphic>
          </wp:inline>
        </w:drawing>
      </w:r>
    </w:p>
    <w:p w14:paraId="0C7D74B1">
      <w:pPr>
        <w:pStyle w:val="14"/>
        <w:keepNext w:val="0"/>
        <w:keepLines w:val="0"/>
        <w:pageBreakBefore w:val="0"/>
        <w:widowControl w:val="0"/>
        <w:kinsoku/>
        <w:wordWrap/>
        <w:overflowPunct/>
        <w:topLinePunct w:val="0"/>
        <w:autoSpaceDE/>
        <w:autoSpaceDN/>
        <w:bidi w:val="0"/>
        <w:adjustRightInd/>
        <w:snapToGrid/>
        <w:spacing w:after="0"/>
        <w:textAlignment w:val="auto"/>
        <w:rPr>
          <w:rFonts w:hint="eastAsia" w:eastAsia="宋体"/>
          <w:color w:val="auto"/>
          <w:highlight w:val="none"/>
          <w:lang w:eastAsia="zh-CN"/>
        </w:rPr>
      </w:pPr>
    </w:p>
    <w:p w14:paraId="3E70DEAB">
      <w:pPr>
        <w:pStyle w:val="14"/>
        <w:keepNext w:val="0"/>
        <w:keepLines w:val="0"/>
        <w:pageBreakBefore w:val="0"/>
        <w:widowControl w:val="0"/>
        <w:kinsoku/>
        <w:wordWrap/>
        <w:overflowPunct/>
        <w:topLinePunct w:val="0"/>
        <w:autoSpaceDE/>
        <w:autoSpaceDN/>
        <w:bidi w:val="0"/>
        <w:adjustRightInd/>
        <w:snapToGrid/>
        <w:spacing w:after="0"/>
        <w:textAlignment w:val="auto"/>
        <w:rPr>
          <w:rFonts w:hint="eastAsia" w:eastAsia="宋体"/>
          <w:color w:val="auto"/>
          <w:highlight w:val="none"/>
          <w:lang w:eastAsia="zh-CN"/>
        </w:rPr>
      </w:pPr>
    </w:p>
    <w:p w14:paraId="4FA7678A">
      <w:pPr>
        <w:snapToGrid w:val="0"/>
        <w:jc w:val="center"/>
        <w:rPr>
          <w:rFonts w:ascii="仿宋_GB2312" w:hAnsi="宋体" w:eastAsia="仿宋_GB2312" w:cs="Arial"/>
          <w:b/>
          <w:bCs/>
          <w:color w:val="auto"/>
          <w:sz w:val="36"/>
          <w:szCs w:val="36"/>
          <w:highlight w:val="none"/>
        </w:rPr>
      </w:pPr>
      <w:r>
        <w:rPr>
          <w:rFonts w:hint="eastAsia" w:ascii="仿宋_GB2312" w:hAnsi="宋体" w:eastAsia="仿宋_GB2312" w:cs="Arial"/>
          <w:b/>
          <w:bCs/>
          <w:color w:val="auto"/>
          <w:sz w:val="36"/>
          <w:szCs w:val="36"/>
          <w:highlight w:val="none"/>
        </w:rPr>
        <w:t>友和保险经纪有限公司</w:t>
      </w:r>
    </w:p>
    <w:p w14:paraId="227769A9">
      <w:pPr>
        <w:snapToGrid w:val="0"/>
        <w:jc w:val="center"/>
        <w:rPr>
          <w:rFonts w:ascii="仿宋_GB2312" w:hAnsi="宋体" w:eastAsia="仿宋_GB2312" w:cs="Arial"/>
          <w:b/>
          <w:bCs/>
          <w:color w:val="auto"/>
          <w:sz w:val="21"/>
          <w:szCs w:val="21"/>
          <w:highlight w:val="none"/>
        </w:rPr>
      </w:pPr>
    </w:p>
    <w:p w14:paraId="0FA117E7">
      <w:pPr>
        <w:jc w:val="center"/>
        <w:rPr>
          <w:color w:val="auto"/>
          <w:highlight w:val="none"/>
        </w:rPr>
      </w:pPr>
      <w:r>
        <w:rPr>
          <w:rFonts w:hint="eastAsia" w:ascii="仿宋_GB2312" w:hAnsi="Arial" w:eastAsia="仿宋_GB2312" w:cs="Arial"/>
          <w:b/>
          <w:bCs/>
          <w:color w:val="auto"/>
          <w:sz w:val="36"/>
          <w:szCs w:val="36"/>
          <w:highlight w:val="none"/>
        </w:rPr>
        <w:t>二</w:t>
      </w:r>
      <w:r>
        <w:rPr>
          <w:rFonts w:hint="eastAsia" w:ascii="仿宋_GB2312" w:hAnsi="宋体" w:cs="宋体"/>
          <w:b/>
          <w:bCs/>
          <w:color w:val="auto"/>
          <w:sz w:val="36"/>
          <w:szCs w:val="36"/>
          <w:highlight w:val="none"/>
        </w:rPr>
        <w:t>〇</w:t>
      </w:r>
      <w:r>
        <w:rPr>
          <w:rFonts w:hint="eastAsia" w:ascii="仿宋_GB2312" w:hAnsi="Arial" w:eastAsia="仿宋_GB2312" w:cs="Arial"/>
          <w:b/>
          <w:bCs/>
          <w:color w:val="auto"/>
          <w:sz w:val="36"/>
          <w:szCs w:val="36"/>
          <w:highlight w:val="none"/>
        </w:rPr>
        <w:t>二</w:t>
      </w:r>
      <w:r>
        <w:rPr>
          <w:rFonts w:hint="eastAsia" w:ascii="仿宋_GB2312" w:hAnsi="Arial" w:eastAsia="仿宋_GB2312" w:cs="Arial"/>
          <w:b/>
          <w:bCs/>
          <w:color w:val="auto"/>
          <w:sz w:val="36"/>
          <w:szCs w:val="36"/>
          <w:highlight w:val="none"/>
          <w:lang w:eastAsia="zh-CN"/>
        </w:rPr>
        <w:t>四</w:t>
      </w:r>
      <w:r>
        <w:rPr>
          <w:rFonts w:hint="eastAsia" w:ascii="仿宋_GB2312" w:hAnsi="Arial" w:eastAsia="仿宋_GB2312" w:cs="Arial"/>
          <w:b/>
          <w:bCs/>
          <w:color w:val="auto"/>
          <w:sz w:val="36"/>
          <w:szCs w:val="36"/>
          <w:highlight w:val="none"/>
        </w:rPr>
        <w:t>年</w:t>
      </w:r>
      <w:r>
        <w:rPr>
          <w:rFonts w:hint="eastAsia" w:ascii="仿宋_GB2312" w:hAnsi="宋体" w:eastAsia="仿宋_GB2312" w:cs="宋体"/>
          <w:b/>
          <w:bCs/>
          <w:color w:val="auto"/>
          <w:sz w:val="36"/>
          <w:szCs w:val="36"/>
          <w:highlight w:val="none"/>
          <w:lang w:val="en-US" w:eastAsia="zh-CN"/>
        </w:rPr>
        <w:t>五</w:t>
      </w:r>
      <w:r>
        <w:rPr>
          <w:rFonts w:hint="eastAsia" w:ascii="仿宋_GB2312" w:hAnsi="Arial" w:eastAsia="仿宋_GB2312" w:cs="Arial"/>
          <w:b/>
          <w:bCs/>
          <w:color w:val="auto"/>
          <w:sz w:val="36"/>
          <w:szCs w:val="36"/>
          <w:highlight w:val="none"/>
        </w:rPr>
        <w:t>月</w:t>
      </w:r>
    </w:p>
    <w:p w14:paraId="03082E4E">
      <w:pPr>
        <w:spacing w:beforeAutospacing="1" w:afterAutospacing="1"/>
        <w:jc w:val="center"/>
        <w:outlineLvl w:val="1"/>
        <w:rPr>
          <w:rFonts w:hint="eastAsia"/>
          <w:b/>
          <w:bCs/>
          <w:color w:val="auto"/>
          <w:sz w:val="40"/>
          <w:szCs w:val="40"/>
          <w:highlight w:val="none"/>
        </w:rPr>
      </w:pPr>
    </w:p>
    <w:p w14:paraId="22C7ED53">
      <w:pPr>
        <w:spacing w:beforeAutospacing="1" w:afterAutospacing="1"/>
        <w:jc w:val="center"/>
        <w:outlineLvl w:val="1"/>
        <w:rPr>
          <w:rFonts w:hint="eastAsia"/>
          <w:b/>
          <w:bCs/>
          <w:color w:val="auto"/>
          <w:sz w:val="40"/>
          <w:szCs w:val="40"/>
          <w:highlight w:val="none"/>
        </w:rPr>
        <w:sectPr>
          <w:type w:val="continuous"/>
          <w:pgSz w:w="11906" w:h="16838"/>
          <w:pgMar w:top="1440" w:right="1800" w:bottom="1440" w:left="1800" w:header="720" w:footer="720" w:gutter="0"/>
          <w:pgNumType w:fmt="decimal"/>
          <w:cols w:space="720" w:num="1"/>
        </w:sectPr>
      </w:pPr>
    </w:p>
    <w:p w14:paraId="1FAB616C">
      <w:pPr>
        <w:pStyle w:val="15"/>
        <w:spacing w:before="280" w:beforeAutospacing="0" w:afterAutospacing="1"/>
        <w:jc w:val="center"/>
        <w:outlineLvl w:val="1"/>
        <w:rPr>
          <w:rFonts w:hint="eastAsia" w:ascii="宋体" w:hAnsi="宋体" w:eastAsia="宋体" w:cs="黑体"/>
          <w:color w:val="auto"/>
          <w:sz w:val="40"/>
          <w:szCs w:val="40"/>
          <w:highlight w:val="none"/>
          <w:lang w:val="en-US" w:eastAsia="zh-CN" w:bidi="ar-SA"/>
        </w:rPr>
      </w:pPr>
      <w:r>
        <w:rPr>
          <w:rFonts w:hint="eastAsia" w:ascii="宋体" w:hAnsi="宋体" w:eastAsia="宋体" w:cs="黑体"/>
          <w:color w:val="auto"/>
          <w:sz w:val="40"/>
          <w:szCs w:val="40"/>
          <w:highlight w:val="none"/>
          <w:lang w:val="en-US" w:eastAsia="zh-CN" w:bidi="ar-SA"/>
        </w:rPr>
        <w:t>评标信息</w:t>
      </w:r>
    </w:p>
    <w:tbl>
      <w:tblPr>
        <w:tblStyle w:val="17"/>
        <w:tblW w:w="9072" w:type="dxa"/>
        <w:jc w:val="center"/>
        <w:tblCellSpacing w:w="0" w:type="dxa"/>
        <w:tblLayout w:type="fixed"/>
        <w:tblCellMar>
          <w:top w:w="45" w:type="dxa"/>
          <w:left w:w="45" w:type="dxa"/>
          <w:bottom w:w="45" w:type="dxa"/>
          <w:right w:w="45" w:type="dxa"/>
        </w:tblCellMar>
      </w:tblPr>
      <w:tblGrid>
        <w:gridCol w:w="8867"/>
        <w:gridCol w:w="205"/>
      </w:tblGrid>
      <w:tr w14:paraId="1030903C">
        <w:tblPrEx>
          <w:tblCellMar>
            <w:top w:w="45" w:type="dxa"/>
            <w:left w:w="45" w:type="dxa"/>
            <w:bottom w:w="45" w:type="dxa"/>
            <w:right w:w="45" w:type="dxa"/>
          </w:tblCellMar>
        </w:tblPrEx>
        <w:trPr>
          <w:tblCellSpacing w:w="0" w:type="dxa"/>
          <w:jc w:val="center"/>
        </w:trPr>
        <w:tc>
          <w:tcPr>
            <w:tcW w:w="8867" w:type="dxa"/>
            <w:tcBorders>
              <w:top w:val="nil"/>
              <w:left w:val="nil"/>
              <w:bottom w:val="nil"/>
              <w:right w:val="nil"/>
            </w:tcBorders>
            <w:vAlign w:val="center"/>
          </w:tcPr>
          <w:p w14:paraId="123E5F83">
            <w:pPr>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0" w:right="0"/>
              <w:textAlignment w:val="auto"/>
              <w:rPr>
                <w:rFonts w:hint="eastAsia" w:ascii="宋体" w:hAnsi="宋体" w:eastAsia="宋体" w:cs="宋体"/>
                <w:b/>
                <w:bCs/>
                <w:color w:val="auto"/>
                <w:sz w:val="24"/>
                <w:szCs w:val="24"/>
                <w:highlight w:val="none"/>
              </w:rPr>
            </w:pPr>
            <w:r>
              <w:rPr>
                <w:rFonts w:hint="eastAsia" w:ascii="宋体" w:hAnsi="宋体" w:eastAsia="宋体"/>
                <w:b/>
                <w:bCs/>
                <w:color w:val="auto"/>
                <w:highlight w:val="none"/>
                <w:lang w:val="en-US" w:eastAsia="zh-CN" w:bidi="ar-SA"/>
              </w:rPr>
              <w:t>评标方法：最低价法/综合评分法（新价格分算法）</w:t>
            </w:r>
          </w:p>
        </w:tc>
        <w:tc>
          <w:tcPr>
            <w:tcW w:w="205" w:type="dxa"/>
            <w:tcBorders>
              <w:top w:val="nil"/>
              <w:left w:val="nil"/>
              <w:bottom w:val="nil"/>
              <w:right w:val="nil"/>
            </w:tcBorders>
            <w:vAlign w:val="center"/>
          </w:tcPr>
          <w:p w14:paraId="1309660C">
            <w:pPr>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0" w:right="0"/>
              <w:jc w:val="right"/>
              <w:textAlignment w:val="auto"/>
              <w:rPr>
                <w:rFonts w:hint="eastAsia" w:ascii="宋体" w:hAnsi="宋体" w:eastAsia="宋体" w:cs="宋体"/>
                <w:b/>
                <w:bCs/>
                <w:color w:val="auto"/>
                <w:sz w:val="24"/>
                <w:szCs w:val="24"/>
                <w:highlight w:val="none"/>
              </w:rPr>
            </w:pPr>
          </w:p>
        </w:tc>
      </w:tr>
      <w:tr w14:paraId="3C267337">
        <w:tblPrEx>
          <w:tblCellMar>
            <w:top w:w="45" w:type="dxa"/>
            <w:left w:w="45" w:type="dxa"/>
            <w:bottom w:w="45" w:type="dxa"/>
            <w:right w:w="45" w:type="dxa"/>
          </w:tblCellMar>
        </w:tblPrEx>
        <w:trPr>
          <w:tblCellSpacing w:w="0" w:type="dxa"/>
          <w:jc w:val="center"/>
        </w:trPr>
        <w:tc>
          <w:tcPr>
            <w:tcW w:w="9072" w:type="dxa"/>
            <w:gridSpan w:val="2"/>
            <w:tcBorders>
              <w:top w:val="nil"/>
              <w:left w:val="nil"/>
              <w:bottom w:val="nil"/>
              <w:right w:val="nil"/>
            </w:tcBorders>
            <w:vAlign w:val="center"/>
          </w:tcPr>
          <w:p w14:paraId="65DDED32">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综合评分法，是指投标文件满足招标文件全部实质性要求，且按照评审因素的量化指标评审得分最高的投标人为中标候选人的评标方法。 </w:t>
            </w:r>
          </w:p>
          <w:p w14:paraId="76E3B082">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价格分计算方法：</w:t>
            </w:r>
          </w:p>
          <w:p w14:paraId="4EAFFFA8">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采用低价优先法计算，即满足招标文件要求且投标价格最低的投标报价为评标基准价，其价格分为满分。其他投标人的价格分统一按照下列公式计算： </w:t>
            </w:r>
          </w:p>
          <w:p w14:paraId="3BCC2096">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投标报价得分=(评标基准价／投标报价)×100 </w:t>
            </w:r>
          </w:p>
          <w:p w14:paraId="40E59B13">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评标总得分＝F1×A1＋F2×A2＋……＋Fn×An </w:t>
            </w:r>
          </w:p>
          <w:p w14:paraId="0694C726">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F1、F2……Fn分别为各项评审因素的得分； </w:t>
            </w:r>
          </w:p>
          <w:p w14:paraId="03BE1463">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A1、A2、……An 分别为各项评审因素所占的权重(A1＋A2＋……＋An＝1)。 </w:t>
            </w:r>
          </w:p>
          <w:p w14:paraId="5DF98367">
            <w:pPr>
              <w:keepNext w:val="0"/>
              <w:keepLines w:val="0"/>
              <w:widowControl/>
              <w:suppressLineNumbers w:val="0"/>
              <w:spacing w:before="0" w:beforeAutospacing="0" w:after="0" w:afterAutospacing="0" w:line="324" w:lineRule="auto"/>
              <w:ind w:left="0" w:right="0" w:firstLine="420"/>
              <w:rPr>
                <w:rFonts w:hint="eastAsia" w:ascii="宋体" w:hAnsi="宋体" w:eastAsia="宋体"/>
                <w:color w:val="auto"/>
                <w:szCs w:val="21"/>
                <w:highlight w:val="none"/>
                <w:lang w:val="en-US" w:eastAsia="zh-CN" w:bidi="ar-SA"/>
              </w:rPr>
            </w:pPr>
            <w:r>
              <w:rPr>
                <w:rFonts w:hint="eastAsia" w:ascii="宋体" w:hAnsi="宋体" w:eastAsia="宋体"/>
                <w:color w:val="auto"/>
                <w:szCs w:val="21"/>
                <w:highlight w:val="none"/>
                <w:lang w:val="en-US" w:eastAsia="zh-CN" w:bidi="ar-SA"/>
              </w:rPr>
              <w:t xml:space="preserve">评标过程中，不得去掉报价中的最高报价和最低报价。 </w:t>
            </w:r>
          </w:p>
          <w:p w14:paraId="08E2394B">
            <w:pPr>
              <w:keepNext w:val="0"/>
              <w:keepLines w:val="0"/>
              <w:widowControl/>
              <w:suppressLineNumbers w:val="0"/>
              <w:spacing w:before="0" w:beforeAutospacing="0" w:after="0" w:afterAutospacing="0" w:line="324" w:lineRule="auto"/>
              <w:ind w:left="0" w:right="0" w:firstLine="420"/>
              <w:rPr>
                <w:rFonts w:hint="eastAsia" w:ascii="宋体" w:hAnsi="宋体" w:eastAsia="宋体" w:cs="宋体"/>
                <w:color w:val="auto"/>
                <w:sz w:val="24"/>
                <w:szCs w:val="24"/>
                <w:highlight w:val="none"/>
              </w:rPr>
            </w:pPr>
            <w:r>
              <w:rPr>
                <w:rFonts w:hint="eastAsia" w:ascii="宋体" w:hAnsi="宋体" w:eastAsia="宋体"/>
                <w:color w:val="auto"/>
                <w:szCs w:val="21"/>
                <w:highlight w:val="none"/>
                <w:lang w:val="en-US" w:eastAsia="zh-CN" w:bidi="ar-SA"/>
              </w:rPr>
              <w:t xml:space="preserve">此方法适用于货物类、服务类、工程类项目。 </w:t>
            </w:r>
          </w:p>
        </w:tc>
      </w:tr>
      <w:tr w14:paraId="43F1FEB8">
        <w:tblPrEx>
          <w:tblCellMar>
            <w:top w:w="45" w:type="dxa"/>
            <w:left w:w="45" w:type="dxa"/>
            <w:bottom w:w="45" w:type="dxa"/>
            <w:right w:w="45" w:type="dxa"/>
          </w:tblCellMar>
        </w:tblPrEx>
        <w:trPr>
          <w:tblCellSpacing w:w="0" w:type="dxa"/>
          <w:jc w:val="center"/>
        </w:trPr>
        <w:tc>
          <w:tcPr>
            <w:tcW w:w="9072" w:type="dxa"/>
            <w:gridSpan w:val="2"/>
            <w:tcBorders>
              <w:top w:val="nil"/>
              <w:left w:val="nil"/>
              <w:bottom w:val="nil"/>
              <w:right w:val="nil"/>
            </w:tcBorders>
            <w:vAlign w:val="center"/>
          </w:tcPr>
          <w:tbl>
            <w:tblPr>
              <w:tblStyle w:val="17"/>
              <w:tblW w:w="9072"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20" w:type="dxa"/>
                <w:left w:w="108" w:type="dxa"/>
                <w:bottom w:w="20" w:type="dxa"/>
                <w:right w:w="108" w:type="dxa"/>
              </w:tblCellMar>
            </w:tblPr>
            <w:tblGrid>
              <w:gridCol w:w="676"/>
              <w:gridCol w:w="675"/>
              <w:gridCol w:w="1295"/>
              <w:gridCol w:w="1030"/>
              <w:gridCol w:w="5396"/>
            </w:tblGrid>
            <w:tr w14:paraId="0B2C5D4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tcBorders>
                    <w:top w:val="single" w:color="000000" w:sz="8" w:space="0"/>
                    <w:left w:val="single" w:color="000000" w:sz="8" w:space="0"/>
                    <w:bottom w:val="single" w:color="000000" w:sz="8" w:space="0"/>
                    <w:right w:val="single" w:color="000000" w:sz="8" w:space="0"/>
                  </w:tcBorders>
                  <w:shd w:val="clear" w:color="auto" w:fill="E6EFFA"/>
                  <w:noWrap w:val="0"/>
                  <w:vAlign w:val="center"/>
                </w:tcPr>
                <w:p w14:paraId="719BC5E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序号</w:t>
                  </w:r>
                </w:p>
              </w:tc>
              <w:tc>
                <w:tcPr>
                  <w:tcW w:w="3000" w:type="dxa"/>
                  <w:gridSpan w:val="3"/>
                  <w:tcBorders>
                    <w:top w:val="single" w:color="000000" w:sz="8" w:space="0"/>
                    <w:left w:val="single" w:color="000000" w:sz="8" w:space="0"/>
                    <w:bottom w:val="single" w:color="000000" w:sz="8" w:space="0"/>
                    <w:right w:val="single" w:color="000000" w:sz="8" w:space="0"/>
                  </w:tcBorders>
                  <w:shd w:val="clear" w:color="auto" w:fill="E6EFFA"/>
                  <w:noWrap w:val="0"/>
                  <w:vAlign w:val="center"/>
                </w:tcPr>
                <w:p w14:paraId="5C35847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评分项</w:t>
                  </w:r>
                </w:p>
              </w:tc>
              <w:tc>
                <w:tcPr>
                  <w:tcW w:w="5396" w:type="dxa"/>
                  <w:tcBorders>
                    <w:top w:val="single" w:color="000000" w:sz="8" w:space="0"/>
                    <w:left w:val="single" w:color="000000" w:sz="8" w:space="0"/>
                    <w:bottom w:val="single" w:color="000000" w:sz="8" w:space="0"/>
                    <w:right w:val="single" w:color="000000" w:sz="8" w:space="0"/>
                  </w:tcBorders>
                  <w:shd w:val="clear" w:color="auto" w:fill="E6EFFA"/>
                  <w:noWrap w:val="0"/>
                  <w:vAlign w:val="center"/>
                </w:tcPr>
                <w:p w14:paraId="7C2FE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权重(%)</w:t>
                  </w:r>
                </w:p>
              </w:tc>
            </w:tr>
            <w:tr w14:paraId="1948EF1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tcBorders>
                    <w:top w:val="single" w:color="000000" w:sz="8" w:space="0"/>
                    <w:left w:val="single" w:color="000000" w:sz="8" w:space="0"/>
                    <w:bottom w:val="single" w:color="000000" w:sz="8" w:space="0"/>
                    <w:right w:val="single" w:color="000000" w:sz="8" w:space="0"/>
                  </w:tcBorders>
                  <w:noWrap w:val="0"/>
                  <w:vAlign w:val="top"/>
                </w:tcPr>
                <w:p w14:paraId="50C603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1</w:t>
                  </w:r>
                </w:p>
              </w:tc>
              <w:tc>
                <w:tcPr>
                  <w:tcW w:w="3000" w:type="dxa"/>
                  <w:gridSpan w:val="3"/>
                  <w:tcBorders>
                    <w:top w:val="single" w:color="000000" w:sz="8" w:space="0"/>
                    <w:left w:val="single" w:color="000000" w:sz="8" w:space="0"/>
                    <w:bottom w:val="single" w:color="000000" w:sz="8" w:space="0"/>
                    <w:right w:val="single" w:color="000000" w:sz="8" w:space="0"/>
                  </w:tcBorders>
                  <w:noWrap w:val="0"/>
                  <w:vAlign w:val="top"/>
                </w:tcPr>
                <w:p w14:paraId="3C155B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价格</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4E9EB6B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宋体" w:hAnsi="宋体" w:eastAsia="宋体" w:cs="宋体"/>
                      <w:b/>
                      <w:bCs/>
                      <w:color w:val="auto"/>
                      <w:sz w:val="24"/>
                      <w:szCs w:val="24"/>
                      <w:highlight w:val="none"/>
                      <w:lang w:val="en-US" w:eastAsia="zh-CN"/>
                    </w:rPr>
                  </w:pPr>
                  <w:r>
                    <w:rPr>
                      <w:rFonts w:hint="eastAsia" w:ascii="宋体" w:hAnsi="宋体" w:eastAsia="Times New Roman" w:cs="宋体"/>
                      <w:b/>
                      <w:bCs/>
                      <w:color w:val="auto"/>
                      <w:kern w:val="0"/>
                      <w:sz w:val="24"/>
                      <w:szCs w:val="24"/>
                      <w:highlight w:val="none"/>
                      <w:lang w:val="en-US" w:eastAsia="zh-CN"/>
                    </w:rPr>
                    <w:t>10</w:t>
                  </w:r>
                </w:p>
              </w:tc>
            </w:tr>
            <w:tr w14:paraId="4618A3E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restart"/>
                  <w:tcBorders>
                    <w:top w:val="single" w:color="000000" w:sz="8" w:space="0"/>
                    <w:left w:val="single" w:color="000000" w:sz="8" w:space="0"/>
                    <w:bottom w:val="single" w:color="000000" w:sz="8" w:space="0"/>
                    <w:right w:val="single" w:color="000000" w:sz="8" w:space="0"/>
                  </w:tcBorders>
                  <w:noWrap w:val="0"/>
                  <w:vAlign w:val="top"/>
                </w:tcPr>
                <w:p w14:paraId="5741A78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2</w:t>
                  </w:r>
                </w:p>
              </w:tc>
              <w:tc>
                <w:tcPr>
                  <w:tcW w:w="3000" w:type="dxa"/>
                  <w:gridSpan w:val="3"/>
                  <w:tcBorders>
                    <w:top w:val="single" w:color="000000" w:sz="8" w:space="0"/>
                    <w:left w:val="single" w:color="000000" w:sz="8" w:space="0"/>
                    <w:bottom w:val="single" w:color="000000" w:sz="8" w:space="0"/>
                    <w:right w:val="single" w:color="000000" w:sz="8" w:space="0"/>
                  </w:tcBorders>
                  <w:noWrap w:val="0"/>
                  <w:vAlign w:val="top"/>
                </w:tcPr>
                <w:p w14:paraId="2FA3E9A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技术部分</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4A39F5B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46</w:t>
                  </w:r>
                </w:p>
              </w:tc>
            </w:tr>
            <w:tr w14:paraId="3495113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shd w:val="clear" w:color="auto" w:fill="E6EFFA"/>
                  <w:noWrap w:val="0"/>
                  <w:vAlign w:val="center"/>
                </w:tcPr>
                <w:p w14:paraId="30529E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680192A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序号</w:t>
                  </w:r>
                </w:p>
              </w:tc>
              <w:tc>
                <w:tcPr>
                  <w:tcW w:w="1295"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59C106D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t>评审因素</w:t>
                  </w:r>
                </w:p>
              </w:tc>
              <w:tc>
                <w:tcPr>
                  <w:tcW w:w="1030"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31F50A1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权重(%)</w:t>
                  </w:r>
                </w:p>
              </w:tc>
              <w:tc>
                <w:tcPr>
                  <w:tcW w:w="5396"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248D8C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评分准则</w:t>
                  </w:r>
                </w:p>
              </w:tc>
            </w:tr>
            <w:tr w14:paraId="7D747A0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45265C2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0BD165A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081296EF">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实施方案</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07623226">
                  <w:pPr>
                    <w:keepNext w:val="0"/>
                    <w:keepLines w:val="0"/>
                    <w:widowControl/>
                    <w:suppressLineNumbers w:val="0"/>
                    <w:wordWrap w:val="0"/>
                    <w:spacing w:before="0" w:beforeAutospacing="0" w:after="0" w:afterAutospacing="0" w:line="360" w:lineRule="auto"/>
                    <w:ind w:left="0" w:leftChars="0" w:right="0" w:rightChars="0"/>
                    <w:jc w:val="center"/>
                    <w:textAlignment w:val="top"/>
                    <w:rPr>
                      <w:rFonts w:hint="default"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12</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65E7E9E9">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442C0E36">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评标委员会根据投标人针对本项目提供的实施方案进行评审，</w:t>
                  </w:r>
                </w:p>
                <w:p w14:paraId="49D394A7">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方案具体包含以下内容： </w:t>
                  </w:r>
                </w:p>
                <w:p w14:paraId="66E5A6C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1.项目实施总体方案和管理方案； </w:t>
                  </w:r>
                </w:p>
                <w:p w14:paraId="471A0709">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2.日常管理与监督； </w:t>
                  </w:r>
                </w:p>
                <w:p w14:paraId="63088471">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3.工作方法和措施； </w:t>
                  </w:r>
                </w:p>
                <w:p w14:paraId="4F5823AA">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4.日常保障方案、工作流程、进度管理。 </w:t>
                  </w:r>
                </w:p>
                <w:p w14:paraId="0FFF88DE">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（二）评分标准：</w:t>
                  </w:r>
                </w:p>
                <w:p w14:paraId="3017B25E">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考察以上四点内容，满足四点得60分，满足任意三点得45分，满足任意两点得30分，满足任意一点得15分，其他情况不得分。在此基础上，专家根据各供应商的具体响应内容按照量化的评审因素指标进一步评审： </w:t>
                  </w:r>
                </w:p>
                <w:p w14:paraId="3A74B42E">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（1）方案内容全面具体、科学合理，且针对性和可操作性强的，加40分；</w:t>
                  </w:r>
                </w:p>
                <w:p w14:paraId="699FE6DF">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（2）方案内容较全面具体、较科学合理，且针对性和可操作性较好的，加20分； </w:t>
                  </w:r>
                </w:p>
                <w:p w14:paraId="16255AEE">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（3）方案内容一般，且针对性和可操作性一般的，加10分； </w:t>
                  </w:r>
                </w:p>
                <w:p w14:paraId="64968697">
                  <w:pPr>
                    <w:keepNext w:val="0"/>
                    <w:keepLines w:val="0"/>
                    <w:widowControl/>
                    <w:suppressLineNumbers w:val="0"/>
                    <w:wordWrap w:val="0"/>
                    <w:spacing w:before="0" w:beforeAutospacing="0" w:after="0" w:afterAutospacing="0" w:line="360" w:lineRule="auto"/>
                    <w:ind w:left="0" w:leftChars="0" w:right="0" w:rightChars="0"/>
                    <w:jc w:val="left"/>
                    <w:textAlignment w:val="top"/>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（4）未提供或方案内容不全面、不具体，且完全无针对性和可操作性的，不加分【要求专家书面说明理由，并记录在档】。</w:t>
                  </w:r>
                </w:p>
              </w:tc>
            </w:tr>
            <w:tr w14:paraId="16EFEE6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59E3952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0CD1E5F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10023977">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项目重点难点分析、应对措施及相关的合理化建议</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3B064F95">
                  <w:pPr>
                    <w:keepNext w:val="0"/>
                    <w:keepLines w:val="0"/>
                    <w:widowControl/>
                    <w:suppressLineNumbers w:val="0"/>
                    <w:wordWrap w:val="0"/>
                    <w:spacing w:before="0" w:beforeAutospacing="0" w:after="0" w:afterAutospacing="0" w:line="360" w:lineRule="auto"/>
                    <w:ind w:left="0" w:leftChars="0" w:right="0" w:rightChars="0"/>
                    <w:jc w:val="center"/>
                    <w:textAlignment w:val="top"/>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12</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328E66E3">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074D7D76">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评标委员会根据投标人针对本项目提供的项目重点难点分析、应对措施及相关的合理化建议响应情况进行评审，方案具体包含以下内容： </w:t>
                  </w:r>
                </w:p>
                <w:p w14:paraId="57A416C3">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1.项目重点难点分析； </w:t>
                  </w:r>
                </w:p>
                <w:p w14:paraId="79C6EC90">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2.项目重点难点合理化建议； </w:t>
                  </w:r>
                </w:p>
                <w:p w14:paraId="50DF8FA5">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3.项目重点难点的应急预案及应对措施；  </w:t>
                  </w:r>
                </w:p>
                <w:p w14:paraId="6247303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（二）评分标准：</w:t>
                  </w:r>
                </w:p>
                <w:p w14:paraId="3B28130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考察以上三点内容，满足三点得60分，满足任意两点得40分，满足任意一点得20分，其他情况不得分。</w:t>
                  </w:r>
                </w:p>
                <w:p w14:paraId="3FC75E3F">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在此基础上，专家根据各供应商的具体响应内容按照量化的评审因素指标进一步评审： </w:t>
                  </w:r>
                </w:p>
                <w:p w14:paraId="73309FE5">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（1）方案内容全面具体、科学合理，且针对性和可操作性强的，加40分；</w:t>
                  </w:r>
                </w:p>
                <w:p w14:paraId="0599C2F9">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（2）方案内容较全面具体、较科学合理，且针对性和可操作性较好的，加20分； </w:t>
                  </w:r>
                </w:p>
                <w:p w14:paraId="426A5181">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（3）方案内容一般，且针对性和可操作性一般的，加10分； </w:t>
                  </w:r>
                </w:p>
                <w:p w14:paraId="43DA9834">
                  <w:pPr>
                    <w:keepNext w:val="0"/>
                    <w:keepLines w:val="0"/>
                    <w:widowControl/>
                    <w:suppressLineNumbers w:val="0"/>
                    <w:wordWrap w:val="0"/>
                    <w:spacing w:before="0" w:beforeAutospacing="0" w:after="0" w:afterAutospacing="0" w:line="360" w:lineRule="auto"/>
                    <w:ind w:left="0" w:leftChars="0" w:right="0" w:rightChars="0"/>
                    <w:jc w:val="left"/>
                    <w:textAlignment w:val="top"/>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（4）未提供或方案内容不全面、不具体，且完全无针对性和可操作性的，不加分【要求专家书面说明理由，并记录在档】。</w:t>
                  </w:r>
                </w:p>
              </w:tc>
            </w:tr>
            <w:tr w14:paraId="67095A2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7DD46E0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382C565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2FED5B3A">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质量（完成时间、安全、环保）保障措施及方案</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3FF0326F">
                  <w:pPr>
                    <w:keepNext w:val="0"/>
                    <w:keepLines w:val="0"/>
                    <w:widowControl/>
                    <w:suppressLineNumbers w:val="0"/>
                    <w:wordWrap w:val="0"/>
                    <w:spacing w:before="0" w:beforeAutospacing="0" w:after="0" w:afterAutospacing="0" w:line="360" w:lineRule="auto"/>
                    <w:ind w:left="0" w:leftChars="0" w:right="0" w:rightChars="0"/>
                    <w:jc w:val="center"/>
                    <w:textAlignment w:val="top"/>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12</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3A334A2D">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1229B30B">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评标委员会根据投标人针对本项目提供的质量保障措施及方案响应情况进行评审，方案具体包含以下内容： </w:t>
                  </w:r>
                </w:p>
                <w:p w14:paraId="2BBB4698">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1.分阶段项目时间安排、工作进度与阶段性成果；</w:t>
                  </w:r>
                </w:p>
                <w:p w14:paraId="06E6047A">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2.项目时间管理制度与措施； </w:t>
                  </w:r>
                </w:p>
                <w:p w14:paraId="5D0111F6">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3.组织协调及人员配备方案； </w:t>
                  </w:r>
                </w:p>
                <w:p w14:paraId="36895C2B">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4.项目质量管理制度与措施；</w:t>
                  </w:r>
                </w:p>
                <w:p w14:paraId="78DA66DD">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5.安全管理制度与措施。</w:t>
                  </w:r>
                </w:p>
                <w:p w14:paraId="4713F943">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（二）评分标准：</w:t>
                  </w:r>
                </w:p>
                <w:p w14:paraId="2A358DDE">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考察以上五点内容，满足五点得60分，满足任意四点得48分，满足任意三点得36分，满足任意二点得24分，满足任意一点得12分，其他情况不得分。在此基础上，专家根据各供应商的具体响应内容按照量化的评审因素指标进一步评审： </w:t>
                  </w:r>
                </w:p>
                <w:p w14:paraId="3D92B636">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（1）方案内容全面具体、科学合理，且针对性和可操作性强的，加40分；</w:t>
                  </w:r>
                </w:p>
                <w:p w14:paraId="29773557">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（2）方案内容较全面具体、较科学合理，且针对性和可操作性较好的，加20分； </w:t>
                  </w:r>
                </w:p>
                <w:p w14:paraId="13CFF30A">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（3）方案内容一般，且针对性和可操作性一般的，加10分； </w:t>
                  </w:r>
                </w:p>
                <w:p w14:paraId="74F59321">
                  <w:pPr>
                    <w:keepNext w:val="0"/>
                    <w:keepLines w:val="0"/>
                    <w:widowControl/>
                    <w:suppressLineNumbers w:val="0"/>
                    <w:wordWrap w:val="0"/>
                    <w:spacing w:before="0" w:beforeAutospacing="0" w:after="0" w:afterAutospacing="0" w:line="360" w:lineRule="auto"/>
                    <w:ind w:left="0" w:leftChars="0" w:right="0" w:rightChars="0"/>
                    <w:jc w:val="left"/>
                    <w:textAlignment w:val="top"/>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（4）未提供或方案内容不全面、不具体，且完全无针对性和可操作性的，不加分【要求专家书面说明理由，并记录在档】。</w:t>
                  </w:r>
                </w:p>
              </w:tc>
            </w:tr>
            <w:tr w14:paraId="46BD1F6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5AB758D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35FF8D8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523A7BEA">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项目完成（服务期满）后的服务承诺</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41DEB80A">
                  <w:pPr>
                    <w:keepNext w:val="0"/>
                    <w:keepLines w:val="0"/>
                    <w:widowControl/>
                    <w:suppressLineNumbers w:val="0"/>
                    <w:wordWrap w:val="0"/>
                    <w:spacing w:before="0" w:beforeAutospacing="0" w:after="0" w:afterAutospacing="0" w:line="360" w:lineRule="auto"/>
                    <w:ind w:left="0" w:leftChars="0" w:right="0" w:rightChars="0"/>
                    <w:jc w:val="center"/>
                    <w:textAlignment w:val="top"/>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8</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69443BD9">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4D0BC119">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评标委员会根据投标人针对本项目提供的项目完成（服务期满）后的服务承诺情况进行评审，具体包含以下内容： </w:t>
                  </w:r>
                </w:p>
                <w:p w14:paraId="4B962773">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1.提供项目完成后服务负责人信息与联系方式； </w:t>
                  </w:r>
                </w:p>
                <w:p w14:paraId="0996C8C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2.给出明确的售后服务时间； </w:t>
                  </w:r>
                </w:p>
                <w:p w14:paraId="371D248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3.详细阐述响应时间； </w:t>
                  </w:r>
                </w:p>
                <w:p w14:paraId="59F4DF2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4.详细阐述项目完成后服务内容。 </w:t>
                  </w:r>
                </w:p>
                <w:p w14:paraId="0734A973">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（二）评分标准：</w:t>
                  </w:r>
                </w:p>
                <w:p w14:paraId="5920D8D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考察以上四点内容，满足四点得60分，满足任意三点得45分，满足任意两点得30分，满足任意一点得15分，其他情况不得分。在此基础上，专家根据各供应商的具体响应内容按照量化的评审因素指标进一步评审： </w:t>
                  </w:r>
                </w:p>
                <w:p w14:paraId="649B203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（1）方案内容全面具体、科学合理，且针对性和可操作性强的，加40分；</w:t>
                  </w:r>
                </w:p>
                <w:p w14:paraId="736294B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（2）方案内容较全面具体、较科学合理，且针对性和可操作性较好的，加20分； </w:t>
                  </w:r>
                </w:p>
                <w:p w14:paraId="2A379AA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（3）方案内容一般，且针对性和可操作性一般的，加10分； </w:t>
                  </w:r>
                </w:p>
                <w:p w14:paraId="26A427ED">
                  <w:pPr>
                    <w:keepNext w:val="0"/>
                    <w:keepLines w:val="0"/>
                    <w:widowControl/>
                    <w:suppressLineNumbers w:val="0"/>
                    <w:wordWrap w:val="0"/>
                    <w:spacing w:before="0" w:beforeAutospacing="0" w:after="0" w:afterAutospacing="0" w:line="360" w:lineRule="auto"/>
                    <w:ind w:left="0" w:leftChars="0" w:right="0" w:rightChars="0"/>
                    <w:jc w:val="left"/>
                    <w:textAlignment w:val="top"/>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（4）未提供或方案内容不全面、不具体，且完全无针对性和可操作性的，不加分【要求专家书面说明理由，并记录在档】。</w:t>
                  </w:r>
                </w:p>
              </w:tc>
            </w:tr>
            <w:tr w14:paraId="5DDFB6D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110C4A4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0956770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7A73AA42">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违约承诺</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459DDD26">
                  <w:pPr>
                    <w:keepNext w:val="0"/>
                    <w:keepLines w:val="0"/>
                    <w:widowControl/>
                    <w:suppressLineNumbers w:val="0"/>
                    <w:wordWrap w:val="0"/>
                    <w:spacing w:before="0" w:beforeAutospacing="0" w:after="0" w:afterAutospacing="0" w:line="360" w:lineRule="auto"/>
                    <w:ind w:left="0" w:leftChars="0" w:right="0" w:rightChars="0"/>
                    <w:jc w:val="center"/>
                    <w:textAlignment w:val="top"/>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2</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4C48BC2B">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1237CA60">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投标人提供违约承诺函，承诺函中包含以下全部内容的得100分，否则不得分。</w:t>
                  </w:r>
                </w:p>
                <w:p w14:paraId="3664292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1.项目进度违约承诺；</w:t>
                  </w:r>
                </w:p>
                <w:p w14:paraId="7BCDA554">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2.项目质量保证违约承诺；</w:t>
                  </w:r>
                </w:p>
                <w:p w14:paraId="4C8B8EBF">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3.项目售后服务违约承诺。</w:t>
                  </w:r>
                </w:p>
                <w:p w14:paraId="03AA0F0E">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（二）评分依据：</w:t>
                  </w:r>
                </w:p>
                <w:p w14:paraId="332D8D99">
                  <w:pPr>
                    <w:keepNext w:val="0"/>
                    <w:keepLines w:val="0"/>
                    <w:widowControl/>
                    <w:suppressLineNumbers w:val="0"/>
                    <w:wordWrap w:val="0"/>
                    <w:spacing w:before="0" w:beforeAutospacing="0" w:after="0" w:afterAutospacing="0" w:line="360" w:lineRule="auto"/>
                    <w:ind w:left="0" w:leftChars="0" w:right="0" w:rightChars="0"/>
                    <w:jc w:val="left"/>
                    <w:textAlignment w:val="top"/>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提供《违约承诺函》（格式自定）作为得分依据，未提供承诺或承诺内容不满足要求的不得分。</w:t>
                  </w:r>
                </w:p>
              </w:tc>
            </w:tr>
            <w:tr w14:paraId="3DF4E15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restart"/>
                  <w:tcBorders>
                    <w:top w:val="single" w:color="000000" w:sz="8" w:space="0"/>
                    <w:left w:val="single" w:color="000000" w:sz="8" w:space="0"/>
                    <w:bottom w:val="single" w:color="000000" w:sz="8" w:space="0"/>
                    <w:right w:val="single" w:color="000000" w:sz="8" w:space="0"/>
                  </w:tcBorders>
                  <w:noWrap w:val="0"/>
                  <w:vAlign w:val="top"/>
                </w:tcPr>
                <w:p w14:paraId="500B410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3</w:t>
                  </w:r>
                </w:p>
              </w:tc>
              <w:tc>
                <w:tcPr>
                  <w:tcW w:w="3000" w:type="dxa"/>
                  <w:gridSpan w:val="3"/>
                  <w:tcBorders>
                    <w:top w:val="single" w:color="000000" w:sz="8" w:space="0"/>
                    <w:left w:val="single" w:color="000000" w:sz="8" w:space="0"/>
                    <w:bottom w:val="single" w:color="000000" w:sz="8" w:space="0"/>
                    <w:right w:val="single" w:color="000000" w:sz="8" w:space="0"/>
                  </w:tcBorders>
                  <w:noWrap w:val="0"/>
                  <w:vAlign w:val="top"/>
                </w:tcPr>
                <w:p w14:paraId="16CF596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lang w:eastAsia="zh-CN"/>
                    </w:rPr>
                  </w:pPr>
                  <w:r>
                    <w:rPr>
                      <w:rFonts w:hint="eastAsia" w:ascii="宋体" w:hAnsi="宋体" w:eastAsia="宋体" w:cs="宋体"/>
                      <w:b/>
                      <w:bCs/>
                      <w:color w:val="auto"/>
                      <w:sz w:val="24"/>
                      <w:szCs w:val="24"/>
                      <w:highlight w:val="none"/>
                      <w:lang w:eastAsia="zh-CN"/>
                    </w:rPr>
                    <w:t>商务需求</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2195B18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宋体" w:hAnsi="宋体" w:eastAsia="宋体" w:cs="宋体"/>
                      <w:b/>
                      <w:bCs/>
                      <w:color w:val="auto"/>
                      <w:sz w:val="24"/>
                      <w:szCs w:val="24"/>
                      <w:highlight w:val="none"/>
                      <w:lang w:val="en-US" w:eastAsia="zh-CN"/>
                    </w:rPr>
                  </w:pPr>
                  <w:r>
                    <w:rPr>
                      <w:rFonts w:hint="eastAsia" w:ascii="宋体" w:hAnsi="宋体" w:eastAsia="宋体" w:cs="宋体"/>
                      <w:color w:val="auto"/>
                      <w:sz w:val="24"/>
                      <w:szCs w:val="24"/>
                      <w:highlight w:val="none"/>
                      <w:lang w:val="en-US" w:eastAsia="zh-CN"/>
                    </w:rPr>
                    <w:t>39</w:t>
                  </w:r>
                </w:p>
              </w:tc>
            </w:tr>
            <w:tr w14:paraId="04E6AEB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29A00C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8396" w:type="dxa"/>
                  <w:gridSpan w:val="4"/>
                  <w:tcBorders>
                    <w:top w:val="single" w:color="000000" w:sz="8" w:space="0"/>
                    <w:left w:val="single" w:color="000000" w:sz="8" w:space="0"/>
                    <w:bottom w:val="single" w:color="000000" w:sz="8" w:space="0"/>
                    <w:right w:val="single" w:color="000000" w:sz="8" w:space="0"/>
                  </w:tcBorders>
                  <w:noWrap w:val="0"/>
                  <w:vAlign w:val="top"/>
                </w:tcPr>
                <w:p w14:paraId="4372699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color w:val="auto"/>
                      <w:sz w:val="24"/>
                      <w:szCs w:val="24"/>
                      <w:highlight w:val="none"/>
                    </w:rPr>
                  </w:pPr>
                </w:p>
              </w:tc>
            </w:tr>
            <w:tr w14:paraId="556F937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shd w:val="clear" w:color="auto" w:fill="E6EFFA"/>
                  <w:noWrap w:val="0"/>
                  <w:vAlign w:val="center"/>
                </w:tcPr>
                <w:p w14:paraId="394112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793DBBB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序号</w:t>
                  </w:r>
                </w:p>
              </w:tc>
              <w:tc>
                <w:tcPr>
                  <w:tcW w:w="1295"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5137B1A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t>评审因素</w:t>
                  </w:r>
                </w:p>
              </w:tc>
              <w:tc>
                <w:tcPr>
                  <w:tcW w:w="1030"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0A2E506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权重(%)</w:t>
                  </w:r>
                </w:p>
              </w:tc>
              <w:tc>
                <w:tcPr>
                  <w:tcW w:w="5396"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0621FC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评分准则</w:t>
                  </w:r>
                </w:p>
              </w:tc>
            </w:tr>
            <w:tr w14:paraId="581D20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50E80E7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79AEF19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7A2DA94A">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投标人通过相关认证情况</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7D1E0B1E">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1</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6BFB6E5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b/>
                      <w:bCs w:val="0"/>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（一）评分内容： </w:t>
                  </w:r>
                </w:p>
                <w:p w14:paraId="7B0C348A">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1.具有ISO9001质量管理体系认证，得100分；</w:t>
                  </w:r>
                </w:p>
                <w:p w14:paraId="7B955E9B">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（二）评分依据： </w:t>
                  </w:r>
                </w:p>
                <w:p w14:paraId="1E97CDF2">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1.提供有效认证证书（如认证证书注明年审要求的，必须按规定年审且证书在有效期内的方为有效；如未注明年审要求的，证书必须在有效期内的方为有效）；</w:t>
                  </w:r>
                </w:p>
                <w:p w14:paraId="6D412BF6">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提供证书官网或权威机构（如：全国认证认可信息公告服务平台（cx.cnca.cn））认证信息查询截图（截图需显示证书状态为有效）。相关证书在公开渠道无法查询的，投标人需提供颁发部门或者监管机构的证明材料，证明证书真实有效且为合法机构颁发；</w:t>
                  </w:r>
                </w:p>
                <w:p w14:paraId="03954E2C">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3.证书由行业协会颁发的，还需提供该行业协会在“中国社会组织政务服务平台”（网址：https://chinanpo.mca.gov.cn/）查询的已合法登记且状态正常截图，否则不予认可，视为无效证书；</w:t>
                  </w:r>
                </w:p>
                <w:p w14:paraId="2285F708">
                  <w:pPr>
                    <w:keepNext w:val="0"/>
                    <w:keepLines w:val="0"/>
                    <w:widowControl w:val="0"/>
                    <w:suppressLineNumbers w:val="0"/>
                    <w:spacing w:before="0" w:beforeAutospacing="0" w:after="0" w:afterAutospacing="0" w:line="360" w:lineRule="auto"/>
                    <w:ind w:left="0" w:leftChars="0" w:right="0" w:rightChars="0"/>
                    <w:jc w:val="left"/>
                    <w:rPr>
                      <w:rFonts w:hint="eastAsia" w:ascii="宋体" w:hAnsi="宋体" w:eastAsia="宋体" w:cs="宋体"/>
                      <w:color w:val="auto"/>
                      <w:sz w:val="24"/>
                      <w:szCs w:val="24"/>
                      <w:highlight w:val="none"/>
                    </w:rPr>
                  </w:pPr>
                  <w:r>
                    <w:rPr>
                      <w:rFonts w:hint="eastAsia" w:ascii="宋体" w:hAnsi="宋体" w:eastAsia="宋体" w:cs="宋体"/>
                      <w:color w:val="auto"/>
                      <w:kern w:val="0"/>
                      <w:sz w:val="21"/>
                      <w:szCs w:val="21"/>
                      <w:highlight w:val="none"/>
                      <w:lang w:val="en-US" w:eastAsia="zh-CN" w:bidi="ar"/>
                    </w:rPr>
                    <w:t>4.提供</w:t>
                  </w:r>
                  <w:r>
                    <w:rPr>
                      <w:rFonts w:hint="eastAsia" w:ascii="宋体" w:hAnsi="宋体" w:eastAsia="宋体" w:cs="宋体"/>
                      <w:color w:val="auto"/>
                      <w:kern w:val="2"/>
                      <w:sz w:val="21"/>
                      <w:szCs w:val="21"/>
                      <w:highlight w:val="none"/>
                      <w:lang w:val="en-US" w:eastAsia="zh-CN" w:bidi="ar"/>
                    </w:rPr>
                    <w:t>以上证明文件</w:t>
                  </w:r>
                  <w:r>
                    <w:rPr>
                      <w:rFonts w:hint="eastAsia" w:ascii="宋体" w:hAnsi="宋体" w:eastAsia="宋体" w:cs="宋体"/>
                      <w:color w:val="auto"/>
                      <w:kern w:val="0"/>
                      <w:sz w:val="21"/>
                      <w:szCs w:val="21"/>
                      <w:highlight w:val="none"/>
                      <w:lang w:val="en-US" w:eastAsia="zh-CN" w:bidi="ar"/>
                    </w:rPr>
                    <w:t>扫描件，</w:t>
                  </w:r>
                  <w:r>
                    <w:rPr>
                      <w:rFonts w:hint="eastAsia" w:ascii="宋体" w:hAnsi="宋体" w:eastAsia="宋体" w:cs="宋体"/>
                      <w:color w:val="auto"/>
                      <w:kern w:val="2"/>
                      <w:sz w:val="21"/>
                      <w:szCs w:val="21"/>
                      <w:highlight w:val="none"/>
                      <w:lang w:val="en-US" w:eastAsia="zh-CN" w:bidi="ar"/>
                    </w:rPr>
                    <w:t>如涉及网站截图或照片等证明材料，需提供清晰图片，</w:t>
                  </w:r>
                  <w:r>
                    <w:rPr>
                      <w:rFonts w:hint="eastAsia" w:ascii="宋体" w:hAnsi="宋体" w:eastAsia="宋体" w:cs="宋体"/>
                      <w:color w:val="auto"/>
                      <w:kern w:val="0"/>
                      <w:sz w:val="21"/>
                      <w:szCs w:val="21"/>
                      <w:highlight w:val="none"/>
                      <w:lang w:val="en-US" w:eastAsia="zh-CN" w:bidi="ar"/>
                    </w:rPr>
                    <w:t>原件备查。</w:t>
                  </w:r>
                  <w:r>
                    <w:rPr>
                      <w:rFonts w:hint="eastAsia" w:ascii="宋体" w:hAnsi="宋体" w:eastAsia="宋体" w:cs="宋体"/>
                      <w:color w:val="auto"/>
                      <w:kern w:val="2"/>
                      <w:sz w:val="21"/>
                      <w:szCs w:val="21"/>
                      <w:highlight w:val="none"/>
                      <w:lang w:val="en-US" w:eastAsia="zh-CN" w:bidi="ar"/>
                    </w:rPr>
                    <w:t>对于未提供证明文件，未提供查询记录且无其他证明材料的，或者提供不清晰导致评委无法判断的，均作不得分处理。</w:t>
                  </w:r>
                </w:p>
              </w:tc>
            </w:tr>
            <w:tr w14:paraId="58C0F6F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517E06F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11D7CDE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0D8EF879">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投标人同类项目业绩情况</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19BF4717">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12</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5E025B6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4BCEE1B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2021年1月1日至本项目投标截止日【以履约评价证明文件（维护类项目）或验收合格证明文件（工程类项目）落款时间为准】投标人具有交通监控通信光缆项目业绩情况：</w:t>
                  </w:r>
                </w:p>
                <w:p w14:paraId="7A91407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具有道路交通监控通信光缆维护类项目且履约评价结果为合格或满意或以上的【以评分作为评价结果的需达70分（含）以上】，每提供1个得20分，最高得40分；在此基础上，每提供1个履约评价结果为良的或同等评价的【以评分作为评价结果的需达80分（含）-90分（不含）】加10分，每提供1个履约评价结果为优的或同等评价的【以评分作为评价结果的需达90分（含）以上】加20分，最高加40分；本小项最高得80分。</w:t>
                  </w:r>
                </w:p>
                <w:p w14:paraId="10D04AD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2.具有道路交通监控通信光缆工程类项目经验，且验收报告合格或以上的，每提供1个得20分，最高得20分；</w:t>
                  </w:r>
                </w:p>
                <w:p w14:paraId="16656B79">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上述2项合计最高100分；若投标人同一个合同中即包含工程类业绩又包含维护类业绩，仅按得分最高计分，不做重复计分。</w:t>
                  </w:r>
                </w:p>
                <w:p w14:paraId="70B27CBF">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（二）评分依据：</w:t>
                  </w:r>
                </w:p>
                <w:p w14:paraId="5FCA497F">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Cs/>
                      <w:color w:val="auto"/>
                      <w:kern w:val="2"/>
                      <w:sz w:val="21"/>
                      <w:szCs w:val="21"/>
                      <w:highlight w:val="none"/>
                    </w:rPr>
                  </w:pPr>
                  <w:r>
                    <w:rPr>
                      <w:rFonts w:hint="eastAsia" w:ascii="宋体" w:hAnsi="宋体" w:eastAsia="宋体" w:cs="宋体"/>
                      <w:bCs/>
                      <w:color w:val="auto"/>
                      <w:kern w:val="2"/>
                      <w:sz w:val="21"/>
                      <w:szCs w:val="21"/>
                      <w:highlight w:val="none"/>
                      <w:lang w:val="en-US" w:eastAsia="zh-CN" w:bidi="ar"/>
                    </w:rPr>
                    <w:t>1.要求同时提供合同关键信息和中标通知书以及采购单位出具的维护类项目合格</w:t>
                  </w:r>
                  <w:r>
                    <w:rPr>
                      <w:rFonts w:hint="eastAsia" w:ascii="宋体" w:hAnsi="宋体" w:eastAsia="宋体" w:cs="宋体"/>
                      <w:color w:val="auto"/>
                      <w:kern w:val="2"/>
                      <w:sz w:val="21"/>
                      <w:szCs w:val="21"/>
                      <w:highlight w:val="none"/>
                      <w:lang w:val="en-US" w:eastAsia="zh-CN" w:bidi="ar"/>
                    </w:rPr>
                    <w:t>或以上</w:t>
                  </w:r>
                  <w:r>
                    <w:rPr>
                      <w:rFonts w:hint="eastAsia" w:ascii="宋体" w:hAnsi="宋体" w:eastAsia="宋体" w:cs="宋体"/>
                      <w:bCs/>
                      <w:color w:val="auto"/>
                      <w:kern w:val="2"/>
                      <w:sz w:val="21"/>
                      <w:szCs w:val="21"/>
                      <w:highlight w:val="none"/>
                      <w:lang w:val="en-US" w:eastAsia="zh-CN" w:bidi="ar"/>
                    </w:rPr>
                    <w:t>履约评价证明文件，工程类项目验收合格或以上证明文件作为得分依据（履约评价证明文件以及验收合格证明文件需由中标通知书</w:t>
                  </w:r>
                  <w:r>
                    <w:rPr>
                      <w:rFonts w:hint="eastAsia" w:ascii="宋体" w:hAnsi="宋体" w:eastAsia="宋体" w:cs="宋体"/>
                      <w:color w:val="auto"/>
                      <w:kern w:val="2"/>
                      <w:sz w:val="21"/>
                      <w:szCs w:val="21"/>
                      <w:highlight w:val="none"/>
                      <w:lang w:val="en-US" w:eastAsia="zh-CN" w:bidi="ar"/>
                    </w:rPr>
                    <w:t>上</w:t>
                  </w:r>
                  <w:r>
                    <w:rPr>
                      <w:rFonts w:hint="eastAsia" w:ascii="宋体" w:hAnsi="宋体" w:eastAsia="宋体" w:cs="宋体"/>
                      <w:bCs/>
                      <w:color w:val="auto"/>
                      <w:kern w:val="2"/>
                      <w:sz w:val="21"/>
                      <w:szCs w:val="21"/>
                      <w:highlight w:val="none"/>
                      <w:lang w:val="en-US" w:eastAsia="zh-CN" w:bidi="ar"/>
                    </w:rPr>
                    <w:t>载明的采购单位出具且加盖其公章（或甲方业务章或服务单位公章））；</w:t>
                  </w:r>
                </w:p>
                <w:p w14:paraId="2A518B5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Cs/>
                      <w:color w:val="auto"/>
                      <w:kern w:val="2"/>
                      <w:sz w:val="21"/>
                      <w:szCs w:val="21"/>
                      <w:highlight w:val="none"/>
                    </w:rPr>
                  </w:pPr>
                  <w:r>
                    <w:rPr>
                      <w:rFonts w:hint="eastAsia" w:ascii="宋体" w:hAnsi="宋体" w:eastAsia="宋体" w:cs="宋体"/>
                      <w:bCs/>
                      <w:color w:val="auto"/>
                      <w:kern w:val="2"/>
                      <w:sz w:val="21"/>
                      <w:szCs w:val="21"/>
                      <w:highlight w:val="none"/>
                      <w:lang w:val="en-US" w:eastAsia="zh-CN" w:bidi="ar"/>
                    </w:rPr>
                    <w:t>2.通过合同关键信息无法判断是否得分的，还须同时提供能证明得分的其它证明资料，如项目报告或合同采购人出具的证明文件；</w:t>
                  </w:r>
                </w:p>
                <w:p w14:paraId="7D70B86C">
                  <w:pPr>
                    <w:keepNext w:val="0"/>
                    <w:keepLines w:val="0"/>
                    <w:widowControl/>
                    <w:suppressLineNumbers w:val="0"/>
                    <w:wordWrap w:val="0"/>
                    <w:spacing w:before="0" w:beforeAutospacing="0" w:after="0" w:afterAutospacing="0" w:line="360" w:lineRule="auto"/>
                    <w:ind w:left="0" w:leftChars="0" w:right="0" w:rightChars="0"/>
                    <w:jc w:val="left"/>
                    <w:textAlignment w:val="top"/>
                    <w:rPr>
                      <w:rFonts w:hint="eastAsia" w:ascii="宋体" w:hAnsi="宋体" w:eastAsia="宋体" w:cs="宋体"/>
                      <w:color w:val="auto"/>
                      <w:sz w:val="24"/>
                      <w:szCs w:val="24"/>
                      <w:highlight w:val="none"/>
                    </w:rPr>
                  </w:pPr>
                  <w:r>
                    <w:rPr>
                      <w:rFonts w:hint="eastAsia" w:ascii="宋体" w:hAnsi="宋体" w:eastAsia="宋体" w:cs="宋体"/>
                      <w:bCs/>
                      <w:color w:val="auto"/>
                      <w:kern w:val="2"/>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提供</w:t>
                  </w:r>
                  <w:r>
                    <w:rPr>
                      <w:rFonts w:hint="eastAsia" w:ascii="宋体" w:hAnsi="宋体" w:eastAsia="宋体" w:cs="宋体"/>
                      <w:color w:val="auto"/>
                      <w:kern w:val="2"/>
                      <w:sz w:val="21"/>
                      <w:szCs w:val="21"/>
                      <w:highlight w:val="none"/>
                      <w:lang w:val="en-US" w:eastAsia="zh-CN" w:bidi="ar"/>
                    </w:rPr>
                    <w:t>以上证明文件</w:t>
                  </w:r>
                  <w:r>
                    <w:rPr>
                      <w:rFonts w:hint="eastAsia" w:ascii="宋体" w:hAnsi="宋体" w:eastAsia="宋体" w:cs="宋体"/>
                      <w:color w:val="auto"/>
                      <w:kern w:val="0"/>
                      <w:sz w:val="21"/>
                      <w:szCs w:val="21"/>
                      <w:highlight w:val="none"/>
                      <w:lang w:val="en-US" w:eastAsia="zh-CN" w:bidi="ar"/>
                    </w:rPr>
                    <w:t>扫描件，</w:t>
                  </w:r>
                  <w:r>
                    <w:rPr>
                      <w:rFonts w:hint="eastAsia" w:ascii="宋体" w:hAnsi="宋体" w:eastAsia="宋体" w:cs="宋体"/>
                      <w:color w:val="auto"/>
                      <w:kern w:val="2"/>
                      <w:sz w:val="21"/>
                      <w:szCs w:val="21"/>
                      <w:highlight w:val="none"/>
                      <w:lang w:val="en-US" w:eastAsia="zh-CN" w:bidi="ar"/>
                    </w:rPr>
                    <w:t>如涉及网站截图或照片等证明材料,需提供清晰图片,</w:t>
                  </w:r>
                  <w:r>
                    <w:rPr>
                      <w:rFonts w:hint="eastAsia" w:ascii="宋体" w:hAnsi="宋体" w:eastAsia="宋体" w:cs="宋体"/>
                      <w:color w:val="auto"/>
                      <w:kern w:val="0"/>
                      <w:sz w:val="21"/>
                      <w:szCs w:val="21"/>
                      <w:highlight w:val="none"/>
                      <w:lang w:val="en-US" w:eastAsia="zh-CN" w:bidi="ar"/>
                    </w:rPr>
                    <w:t>原件备查</w:t>
                  </w:r>
                  <w:r>
                    <w:rPr>
                      <w:rFonts w:hint="eastAsia" w:ascii="宋体" w:hAnsi="宋体" w:eastAsia="宋体" w:cs="宋体"/>
                      <w:color w:val="auto"/>
                      <w:kern w:val="2"/>
                      <w:sz w:val="21"/>
                      <w:szCs w:val="21"/>
                      <w:highlight w:val="none"/>
                      <w:lang w:val="en-US" w:eastAsia="zh-CN" w:bidi="ar"/>
                    </w:rPr>
                    <w:t>。未按要求提供有效证明材料或提供不清晰导致评委无法识别的不计得分。</w:t>
                  </w:r>
                </w:p>
              </w:tc>
            </w:tr>
            <w:tr w14:paraId="1C8C922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46AC204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730E369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268A9240">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拟安排的项目负责人情况（仅限一人）</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29070751">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8</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3EB015A9">
                  <w:pPr>
                    <w:keepNext w:val="0"/>
                    <w:keepLines w:val="0"/>
                    <w:widowControl/>
                    <w:numPr>
                      <w:ilvl w:val="0"/>
                      <w:numId w:val="1"/>
                    </w:numPr>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评分内容： </w:t>
                  </w:r>
                </w:p>
                <w:p w14:paraId="0FB96241">
                  <w:pPr>
                    <w:keepNext w:val="0"/>
                    <w:keepLines w:val="0"/>
                    <w:widowControl/>
                    <w:suppressLineNumbers w:val="0"/>
                    <w:wordWrap w:val="0"/>
                    <w:spacing w:before="0" w:beforeAutospacing="0" w:after="0" w:afterAutospacing="0" w:line="360" w:lineRule="auto"/>
                    <w:ind w:left="0" w:right="0"/>
                    <w:jc w:val="left"/>
                    <w:textAlignment w:val="top"/>
                    <w:rPr>
                      <w:rFonts w:hint="default" w:ascii="Times New Roman" w:hAnsi="Times New Roman" w:cs="Times New Roman"/>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拟安排项目负责人（仅限一人）为投标单位员工，否则本项不得分。在此基础上，按以下标准进行打分：</w:t>
                  </w:r>
                </w:p>
                <w:p w14:paraId="6BA04D1C">
                  <w:pPr>
                    <w:keepNext w:val="0"/>
                    <w:keepLines w:val="0"/>
                    <w:widowControl w:val="0"/>
                    <w:suppressLineNumbers w:val="0"/>
                    <w:spacing w:before="0" w:beforeAutospacing="0" w:after="0" w:afterAutospacing="0"/>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（1）具有信息系统项目管理师证书，得25分；</w:t>
                  </w:r>
                </w:p>
                <w:p w14:paraId="6C2641BB">
                  <w:pPr>
                    <w:keepNext w:val="0"/>
                    <w:keepLines w:val="0"/>
                    <w:widowControl w:val="0"/>
                    <w:suppressLineNumbers w:val="0"/>
                    <w:spacing w:before="0" w:beforeAutospacing="0" w:after="0" w:afterAutospacing="0"/>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（2）具有网络安全架构师证书，得25分；</w:t>
                  </w:r>
                </w:p>
                <w:p w14:paraId="289C536F">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（3）具有注册信息安全工程师（CISE）证书，得25分。</w:t>
                  </w:r>
                </w:p>
                <w:p w14:paraId="0DD545C1">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（4）具有通信或计算机类相关专业研究生学历的得25分，具有通信或计算机类相关专业本科学历的得10分，本小项最高得25分。</w:t>
                  </w:r>
                </w:p>
                <w:p w14:paraId="1FB2F784">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上述四项累计得分，满分100分。</w:t>
                  </w:r>
                </w:p>
                <w:p w14:paraId="0C637FAD">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（二）评分依据： </w:t>
                  </w:r>
                </w:p>
                <w:p w14:paraId="7569ED6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提供项目负责人通过投标单位缴纳的载有社保部门或税务部门公章的近一个月内的个人社保证明（如投标截止日上一个月的社保证明因社保部门或税务部门原因暂时无法取得，则同往前顺延一个月）；如供应商为新成立单位且成立时间不足一个月的，可提供加盖公章的情况说明或者证明材料，无需提供相关人员社保，亦可得分；</w:t>
                  </w:r>
                </w:p>
                <w:p w14:paraId="7FE8BA57">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2.考察评分点1：要求同时提供</w:t>
                  </w:r>
                  <w:r>
                    <w:rPr>
                      <w:rFonts w:hint="eastAsia" w:ascii="宋体" w:hAnsi="宋体" w:eastAsia="宋体" w:cs="宋体"/>
                      <w:b/>
                      <w:bCs/>
                      <w:color w:val="auto"/>
                      <w:kern w:val="2"/>
                      <w:sz w:val="21"/>
                      <w:szCs w:val="21"/>
                      <w:highlight w:val="none"/>
                      <w:lang w:val="en-US" w:eastAsia="zh-CN" w:bidi="ar"/>
                    </w:rPr>
                    <w:t>有效证书扫描件</w:t>
                  </w:r>
                  <w:r>
                    <w:rPr>
                      <w:rFonts w:hint="eastAsia" w:ascii="宋体" w:hAnsi="宋体" w:eastAsia="宋体" w:cs="宋体"/>
                      <w:color w:val="auto"/>
                      <w:kern w:val="2"/>
                      <w:sz w:val="21"/>
                      <w:szCs w:val="21"/>
                      <w:highlight w:val="none"/>
                      <w:lang w:val="en-US" w:eastAsia="zh-CN" w:bidi="ar"/>
                    </w:rPr>
                    <w:t>及全国专业技术人员职业资格证书查验系统（http://www.cpta.com.cn/certQuery.html）</w:t>
                  </w:r>
                  <w:r>
                    <w:rPr>
                      <w:rFonts w:hint="eastAsia" w:ascii="宋体" w:hAnsi="宋体" w:eastAsia="宋体" w:cs="宋体"/>
                      <w:b/>
                      <w:bCs/>
                      <w:color w:val="auto"/>
                      <w:kern w:val="2"/>
                      <w:sz w:val="21"/>
                      <w:szCs w:val="21"/>
                      <w:highlight w:val="none"/>
                      <w:lang w:val="en-US" w:eastAsia="zh-CN" w:bidi="ar"/>
                    </w:rPr>
                    <w:t>查询截图</w:t>
                  </w:r>
                  <w:r>
                    <w:rPr>
                      <w:rFonts w:hint="eastAsia" w:ascii="宋体" w:hAnsi="宋体" w:eastAsia="宋体" w:cs="宋体"/>
                      <w:color w:val="auto"/>
                      <w:kern w:val="2"/>
                      <w:sz w:val="21"/>
                      <w:szCs w:val="21"/>
                      <w:highlight w:val="none"/>
                      <w:lang w:val="en-US" w:eastAsia="zh-CN" w:bidi="ar"/>
                    </w:rPr>
                    <w:t>，若不能在上述系统中查询，则须提供相应证书颁发机构出具的加盖公章的书面说明，经评审委员会判定认可方为有效，否则视为无效证书。如因国家政策调整导致查询渠道变更，以最新有效的官方公告渠道为准。</w:t>
                  </w:r>
                </w:p>
                <w:p w14:paraId="1447EE80">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2.考察评分点2：要求提供有效证书扫描件；</w:t>
                  </w:r>
                </w:p>
                <w:p w14:paraId="198AD25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考察评分点3：要求同时提供有效证书扫描件及中国信息安全测评中心（https://www.itsec.gov.cn/）查询截图，若不能在上述系统中查询，则须提供相应证书颁发机构出具的加盖公章的书面说明，经评审委员会判定认可方为有效，否则视为无效证书。如因国家政策调整导致查询渠道变更，以最新有效的官方公告渠道为准。</w:t>
                  </w:r>
                </w:p>
                <w:p w14:paraId="11B5359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Cs/>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4.考察评分点4：要求同时提供毕业证书、学位证书以及学信网查询记录，对于学信网无法查询的，还需提供毕业院校或人社部门或教育部门等颁发机构或监管机构出具的证明，否则无效；</w:t>
                  </w:r>
                  <w:r>
                    <w:rPr>
                      <w:rFonts w:hint="eastAsia" w:ascii="宋体" w:hAnsi="宋体" w:eastAsia="宋体" w:cs="宋体"/>
                      <w:bCs/>
                      <w:color w:val="auto"/>
                      <w:kern w:val="2"/>
                      <w:sz w:val="21"/>
                      <w:szCs w:val="21"/>
                      <w:highlight w:val="none"/>
                      <w:lang w:val="en-US" w:eastAsia="zh-CN" w:bidi="ar"/>
                    </w:rPr>
                    <w:t>留学归国人员如无法提供学信网查询记录截图，提供国（境）外学历证书（以及中文翻译件）和教育部留学服务中心出具的国外学历学位认证书【或教育部留学服务中心网站（http://zwfw.cscse.edu.cn/）在线查询截图】也予以认可；</w:t>
                  </w:r>
                </w:p>
                <w:p w14:paraId="57D92B0E">
                  <w:pPr>
                    <w:keepNext w:val="0"/>
                    <w:keepLines w:val="0"/>
                    <w:widowControl w:val="0"/>
                    <w:suppressLineNumbers w:val="0"/>
                    <w:spacing w:before="0" w:beforeAutospacing="0" w:after="0" w:afterAutospacing="0" w:line="360" w:lineRule="auto"/>
                    <w:ind w:left="0" w:leftChars="0" w:right="0" w:rightChars="0"/>
                    <w:jc w:val="left"/>
                    <w:rPr>
                      <w:rFonts w:hint="eastAsia" w:ascii="宋体" w:hAnsi="宋体" w:eastAsia="宋体" w:cs="宋体"/>
                      <w:color w:val="auto"/>
                      <w:sz w:val="24"/>
                      <w:szCs w:val="24"/>
                      <w:highlight w:val="none"/>
                    </w:rPr>
                  </w:pPr>
                  <w:r>
                    <w:rPr>
                      <w:rFonts w:hint="eastAsia" w:ascii="宋体" w:hAnsi="宋体" w:eastAsia="宋体" w:cs="宋体"/>
                      <w:bCs/>
                      <w:color w:val="auto"/>
                      <w:kern w:val="2"/>
                      <w:sz w:val="21"/>
                      <w:szCs w:val="21"/>
                      <w:highlight w:val="none"/>
                      <w:lang w:val="en-US" w:eastAsia="zh-CN" w:bidi="ar"/>
                    </w:rPr>
                    <w:t>5</w:t>
                  </w:r>
                  <w:r>
                    <w:rPr>
                      <w:rFonts w:hint="eastAsia" w:ascii="宋体" w:hAnsi="宋体" w:eastAsia="宋体" w:cs="宋体"/>
                      <w:color w:val="auto"/>
                      <w:kern w:val="2"/>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提供</w:t>
                  </w:r>
                  <w:r>
                    <w:rPr>
                      <w:rFonts w:hint="eastAsia" w:ascii="宋体" w:hAnsi="宋体" w:eastAsia="宋体" w:cs="宋体"/>
                      <w:color w:val="auto"/>
                      <w:kern w:val="2"/>
                      <w:sz w:val="21"/>
                      <w:szCs w:val="21"/>
                      <w:highlight w:val="none"/>
                      <w:lang w:val="en-US" w:eastAsia="zh-CN" w:bidi="ar"/>
                    </w:rPr>
                    <w:t>以上证明文件</w:t>
                  </w:r>
                  <w:r>
                    <w:rPr>
                      <w:rFonts w:hint="eastAsia" w:ascii="宋体" w:hAnsi="宋体" w:eastAsia="宋体" w:cs="宋体"/>
                      <w:color w:val="auto"/>
                      <w:kern w:val="0"/>
                      <w:sz w:val="21"/>
                      <w:szCs w:val="21"/>
                      <w:highlight w:val="none"/>
                      <w:lang w:val="en-US" w:eastAsia="zh-CN" w:bidi="ar"/>
                    </w:rPr>
                    <w:t>扫描件，</w:t>
                  </w:r>
                  <w:r>
                    <w:rPr>
                      <w:rFonts w:hint="eastAsia" w:ascii="宋体" w:hAnsi="宋体" w:eastAsia="宋体" w:cs="宋体"/>
                      <w:color w:val="auto"/>
                      <w:kern w:val="2"/>
                      <w:sz w:val="21"/>
                      <w:szCs w:val="21"/>
                      <w:highlight w:val="none"/>
                      <w:lang w:val="en-US" w:eastAsia="zh-CN" w:bidi="ar"/>
                    </w:rPr>
                    <w:t>如涉及网站截图或照片等证明材料,需提供清晰图片,</w:t>
                  </w:r>
                  <w:r>
                    <w:rPr>
                      <w:rFonts w:hint="eastAsia" w:ascii="宋体" w:hAnsi="宋体" w:eastAsia="宋体" w:cs="宋体"/>
                      <w:color w:val="auto"/>
                      <w:kern w:val="0"/>
                      <w:sz w:val="21"/>
                      <w:szCs w:val="21"/>
                      <w:highlight w:val="none"/>
                      <w:lang w:val="en-US" w:eastAsia="zh-CN" w:bidi="ar"/>
                    </w:rPr>
                    <w:t>原件备查</w:t>
                  </w:r>
                  <w:r>
                    <w:rPr>
                      <w:rFonts w:hint="eastAsia" w:ascii="宋体" w:hAnsi="宋体" w:eastAsia="宋体" w:cs="宋体"/>
                      <w:color w:val="auto"/>
                      <w:kern w:val="2"/>
                      <w:sz w:val="21"/>
                      <w:szCs w:val="21"/>
                      <w:highlight w:val="none"/>
                      <w:lang w:val="en-US" w:eastAsia="zh-CN" w:bidi="ar"/>
                    </w:rPr>
                    <w:t>。未按要求提供有效证明材料或提供不清晰导致评委无法识别的不计得分。</w:t>
                  </w:r>
                </w:p>
              </w:tc>
            </w:tr>
            <w:tr w14:paraId="44FE177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6946C64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1722A90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1689EA4B">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拟安排的项目主要团队成员（主要技术人员）情况（项目负责人除外）</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1195E66B">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10</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559111B1">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（一）评分内容：</w:t>
                  </w:r>
                </w:p>
                <w:p w14:paraId="49C94A2F">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拟安排的项目团队成员（项目负责人除外）不少于10人，否则本项不得分，在此基础上，按照投标人提供的《项目团队成员名单》上排序前10人进行考察（投标人须按照提供的《项目团队成员名单》的人员顺序提供证明材料否则本项不得分）：</w:t>
                  </w:r>
                </w:p>
                <w:p w14:paraId="0DE95220">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1.学历情况，本小项累计最高得30分：</w:t>
                  </w:r>
                </w:p>
                <w:p w14:paraId="6E5089F4">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具有通信工程相关专业本科（或以上）学历的，每提供1人得5分，具有通信工程相关专业大专学历的，每提供1人得3分。</w:t>
                  </w:r>
                </w:p>
                <w:p w14:paraId="5753E62F">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2.职称情况，本小项累计最高得25分：</w:t>
                  </w:r>
                </w:p>
                <w:p w14:paraId="68C4FCA0">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(1)具有通信工程类专业中级或以上职称证书，每提供1人得10分；</w:t>
                  </w:r>
                </w:p>
                <w:p w14:paraId="7477B653">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(2)具有通信工程类专业初级职称证书，每提供1人得5分。</w:t>
                  </w:r>
                </w:p>
                <w:p w14:paraId="6D7EF407">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3.工作经验，本小项最高得45分：</w:t>
                  </w:r>
                </w:p>
                <w:p w14:paraId="0D75609D">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2021年1月1日至本项目投标截止之日（以合同签订时间为准）具有通信线缆维护类项目工作经验的，每提供1人得5分；具有通信线缆工程类项目工作经验的，每提供1人得3分。</w:t>
                  </w:r>
                </w:p>
                <w:p w14:paraId="285145C1">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上述三项累计得分，满分100分。</w:t>
                  </w:r>
                </w:p>
                <w:p w14:paraId="6898203F">
                  <w:pPr>
                    <w:keepNext w:val="0"/>
                    <w:keepLines w:val="0"/>
                    <w:widowControl/>
                    <w:suppressLineNumbers w:val="0"/>
                    <w:wordWrap w:val="0"/>
                    <w:spacing w:before="0" w:beforeAutospacing="0" w:after="0" w:afterAutospacing="0" w:line="360" w:lineRule="auto"/>
                    <w:ind w:left="0" w:right="0"/>
                    <w:jc w:val="left"/>
                    <w:textAlignment w:val="top"/>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（二）评分依据： </w:t>
                  </w:r>
                </w:p>
                <w:p w14:paraId="06006E28">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1.提供《项目团队成员名单》；</w:t>
                  </w:r>
                </w:p>
                <w:p w14:paraId="39F8E6A6">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提供项目团队成员通过投标单位缴纳的载有社保部门或税务部门公章的近一个月内的个人社保证明（如投标截止日上一个月的社保证明因社保部门或税务部门原因暂时无法取得，则同往前顺延一个月）；如供应商为新成立单位且成立时间不足一个月的，可提供加盖公章的情况说明或者证明材料，无需提供相关人员社保，亦可得分；</w:t>
                  </w:r>
                </w:p>
                <w:p w14:paraId="11D3241E">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bCs/>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3.考察学历的，要求同时提供上述毕业证书、学位证书以及学信网查询记录，对于学信网无法查询的，还需提供毕业院校或人社部门或教育部门等颁发机构或监管机构出具的证明，否则无效；</w:t>
                  </w:r>
                  <w:r>
                    <w:rPr>
                      <w:rFonts w:hint="eastAsia" w:ascii="宋体" w:hAnsi="宋体" w:eastAsia="宋体" w:cs="宋体"/>
                      <w:bCs/>
                      <w:color w:val="auto"/>
                      <w:kern w:val="2"/>
                      <w:sz w:val="21"/>
                      <w:szCs w:val="21"/>
                      <w:highlight w:val="none"/>
                      <w:lang w:val="en-US" w:eastAsia="zh-CN" w:bidi="ar"/>
                    </w:rPr>
                    <w:t>留学归国人员如无法提供学信网查询记录截图，提供国（境）外学历证书（以及中文翻译件）和教育部留学服务中心出具的国外学历学位认证书【或教育部留学服务中心网站（http://zwfw.cscse.edu.cn/）在线查询截图】也予以认可；</w:t>
                  </w:r>
                </w:p>
                <w:p w14:paraId="4DAC1858">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bCs/>
                      <w:color w:val="auto"/>
                      <w:kern w:val="2"/>
                      <w:sz w:val="21"/>
                      <w:szCs w:val="21"/>
                      <w:highlight w:val="none"/>
                    </w:rPr>
                  </w:pPr>
                  <w:r>
                    <w:rPr>
                      <w:rFonts w:hint="eastAsia" w:ascii="宋体" w:hAnsi="宋体" w:eastAsia="宋体" w:cs="宋体"/>
                      <w:bCs/>
                      <w:color w:val="auto"/>
                      <w:kern w:val="2"/>
                      <w:sz w:val="21"/>
                      <w:szCs w:val="21"/>
                      <w:highlight w:val="none"/>
                      <w:lang w:val="en-US" w:eastAsia="zh-CN" w:bidi="ar"/>
                    </w:rPr>
                    <w:t>4.涉及考察人员职称的，要求提供有效职称证书及官方网站查询截图【全国通信专业技术人员职业水平考试网（https://www.txks.org.cn/）进行查询并提供截图，或人力资源和社会保障部发布的查询渠道（网址：https://www.mohrss.gov.cn/SYrlzyhshbzb/ztzl/zyzghzyjndjrdcx/）所对应证书的平台或系统进行查询并提供截图，或全国职称评审信息查询平台（https://www.12333.gov.cn/cas/login?service=https://www.12333.gov.cn/shiro-cas）进行查询并提供截图】。若证书数据不能在上述系统中查询，则须提供相应证书颁发机构出具的加盖公章的书面说明，经评审委员会判定认可方为有效，否则视为无效证书。如因国家政策调整导致查询渠道变更，以最新有效的官方公告渠道为准。</w:t>
                  </w:r>
                </w:p>
                <w:p w14:paraId="1CD8FB5C">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5.涉及考察人员工作经验的，要求提供项目合同关键信息作为评分依据，通过合同关键信息无法判断是否得分的，还需同时提供中标通知书及采购单位（中标通知书上载明的采购单位）出具的证明文件；</w:t>
                  </w:r>
                </w:p>
                <w:p w14:paraId="0799D98C">
                  <w:pPr>
                    <w:keepNext w:val="0"/>
                    <w:keepLines w:val="0"/>
                    <w:widowControl w:val="0"/>
                    <w:suppressLineNumbers w:val="0"/>
                    <w:spacing w:before="0" w:beforeAutospacing="0" w:after="0" w:afterAutospacing="0" w:line="360" w:lineRule="auto"/>
                    <w:ind w:left="0" w:leftChars="0" w:right="0" w:rightChars="0"/>
                    <w:jc w:val="left"/>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6.</w:t>
                  </w:r>
                  <w:r>
                    <w:rPr>
                      <w:rFonts w:hint="eastAsia" w:ascii="宋体" w:hAnsi="宋体" w:eastAsia="宋体" w:cs="宋体"/>
                      <w:color w:val="auto"/>
                      <w:kern w:val="0"/>
                      <w:sz w:val="21"/>
                      <w:szCs w:val="21"/>
                      <w:highlight w:val="none"/>
                      <w:lang w:val="en-US" w:eastAsia="zh-CN" w:bidi="ar"/>
                    </w:rPr>
                    <w:t>提供</w:t>
                  </w:r>
                  <w:r>
                    <w:rPr>
                      <w:rFonts w:hint="eastAsia" w:ascii="宋体" w:hAnsi="宋体" w:eastAsia="宋体" w:cs="宋体"/>
                      <w:color w:val="auto"/>
                      <w:kern w:val="2"/>
                      <w:sz w:val="21"/>
                      <w:szCs w:val="21"/>
                      <w:highlight w:val="none"/>
                      <w:lang w:val="en-US" w:eastAsia="zh-CN" w:bidi="ar"/>
                    </w:rPr>
                    <w:t>以上证明文件</w:t>
                  </w:r>
                  <w:r>
                    <w:rPr>
                      <w:rFonts w:hint="eastAsia" w:ascii="宋体" w:hAnsi="宋体" w:eastAsia="宋体" w:cs="宋体"/>
                      <w:color w:val="auto"/>
                      <w:kern w:val="0"/>
                      <w:sz w:val="21"/>
                      <w:szCs w:val="21"/>
                      <w:highlight w:val="none"/>
                      <w:lang w:val="en-US" w:eastAsia="zh-CN" w:bidi="ar"/>
                    </w:rPr>
                    <w:t>扫描件，</w:t>
                  </w:r>
                  <w:r>
                    <w:rPr>
                      <w:rFonts w:hint="eastAsia" w:ascii="宋体" w:hAnsi="宋体" w:eastAsia="宋体" w:cs="宋体"/>
                      <w:color w:val="auto"/>
                      <w:kern w:val="2"/>
                      <w:sz w:val="21"/>
                      <w:szCs w:val="21"/>
                      <w:highlight w:val="none"/>
                      <w:lang w:val="en-US" w:eastAsia="zh-CN" w:bidi="ar"/>
                    </w:rPr>
                    <w:t>如涉及网站截图或照片等证明材料,需提供清晰图片,</w:t>
                  </w:r>
                  <w:r>
                    <w:rPr>
                      <w:rFonts w:hint="eastAsia" w:ascii="宋体" w:hAnsi="宋体" w:eastAsia="宋体" w:cs="宋体"/>
                      <w:color w:val="auto"/>
                      <w:kern w:val="0"/>
                      <w:sz w:val="21"/>
                      <w:szCs w:val="21"/>
                      <w:highlight w:val="none"/>
                      <w:lang w:val="en-US" w:eastAsia="zh-CN" w:bidi="ar"/>
                    </w:rPr>
                    <w:t>原件备查</w:t>
                  </w:r>
                  <w:r>
                    <w:rPr>
                      <w:rFonts w:hint="eastAsia" w:ascii="宋体" w:hAnsi="宋体" w:eastAsia="宋体" w:cs="宋体"/>
                      <w:color w:val="auto"/>
                      <w:kern w:val="2"/>
                      <w:sz w:val="21"/>
                      <w:szCs w:val="21"/>
                      <w:highlight w:val="none"/>
                      <w:lang w:val="en-US" w:eastAsia="zh-CN" w:bidi="ar"/>
                    </w:rPr>
                    <w:t>。未按要求提供有效证明材料或提供不清晰导致评委无法识别的不计得分。</w:t>
                  </w:r>
                </w:p>
              </w:tc>
            </w:tr>
            <w:tr w14:paraId="5285581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599F9E1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5BAE194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5</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44FC3683">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kern w:val="2"/>
                      <w:sz w:val="21"/>
                      <w:szCs w:val="21"/>
                      <w:highlight w:val="none"/>
                      <w:lang w:val="en-US" w:eastAsia="zh-CN" w:bidi="ar"/>
                    </w:rPr>
                    <w:t>投标人自主知识产权产品（创新、设计）情况</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470219C3">
                  <w:pPr>
                    <w:keepNext w:val="0"/>
                    <w:keepLines w:val="0"/>
                    <w:widowControl w:val="0"/>
                    <w:suppressLineNumbers w:val="0"/>
                    <w:spacing w:before="0" w:beforeAutospacing="0" w:after="0" w:afterAutospacing="0" w:line="36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kern w:val="2"/>
                      <w:sz w:val="21"/>
                      <w:szCs w:val="21"/>
                      <w:highlight w:val="none"/>
                      <w:lang w:val="en-US" w:eastAsia="zh-CN" w:bidi="ar"/>
                    </w:rPr>
                    <w:t>8</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6ACCEB25">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（一）评分内容： </w:t>
                  </w:r>
                </w:p>
                <w:p w14:paraId="0EAC7565">
                  <w:pPr>
                    <w:keepNext w:val="0"/>
                    <w:keepLines w:val="0"/>
                    <w:widowControl w:val="0"/>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投标人具有关于通信光缆监测或运维相关的专利证书，每提供一个证书得20分，最高得100分。</w:t>
                  </w:r>
                </w:p>
                <w:p w14:paraId="596F4965">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 xml:space="preserve">（二）评分依据: </w:t>
                  </w:r>
                </w:p>
                <w:p w14:paraId="0BEF9A3C">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1.自有的专利证书，投标人同时提供：</w:t>
                  </w:r>
                </w:p>
                <w:p w14:paraId="7BCF62AB">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①有效专利证书，专利权人为投标人；名称不必与上列完全一致，能涵盖关键字即可；</w:t>
                  </w:r>
                </w:p>
                <w:p w14:paraId="55A92EE7">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②证书在国家知识产权局官网（https://www.cnipa.gov.cn/）截图（专利权人为投标单位）。</w:t>
                  </w:r>
                </w:p>
                <w:p w14:paraId="5862ACC5">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2.购买的专利证书，投标人同时提供：</w:t>
                  </w:r>
                </w:p>
                <w:p w14:paraId="7EEDF57F">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①有效专利证书，专利权人为出售方；名称不必与上列完全一致，能涵盖关键字即可；</w:t>
                  </w:r>
                </w:p>
                <w:p w14:paraId="48B98EB9">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②证书在国家知识产权局官网（https://www.cnipa.gov.cn/）截图（专利权人为出售方）。</w:t>
                  </w:r>
                </w:p>
                <w:p w14:paraId="53FB974E">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③购买合同关键页或购买发票。</w:t>
                  </w:r>
                </w:p>
                <w:p w14:paraId="72E3DDBD">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3.被授权使用（含租赁）的专利证书，投标人同时提供：</w:t>
                  </w:r>
                </w:p>
                <w:p w14:paraId="016BDD23">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①有效专利证书，专利权人为授权方或出租方；名称不必与上列完全一致，能涵盖关键字即可；</w:t>
                  </w:r>
                </w:p>
                <w:p w14:paraId="00650E99">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②证书在国家知识产权局官网（https://www.cnipa.gov.cn/）截图（专利权人为授权方或出租方）；</w:t>
                  </w:r>
                </w:p>
                <w:p w14:paraId="2070A439">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bidi="ar"/>
                    </w:rPr>
                    <w:t>④有效的授权（租赁）协议，被授权方（承租方）为投标人。</w:t>
                  </w:r>
                </w:p>
                <w:p w14:paraId="7DA2D324">
                  <w:pPr>
                    <w:keepNext w:val="0"/>
                    <w:keepLines w:val="0"/>
                    <w:widowControl w:val="0"/>
                    <w:suppressLineNumbers w:val="0"/>
                    <w:spacing w:before="0" w:beforeAutospacing="0" w:after="0" w:afterAutospacing="0"/>
                    <w:ind w:left="0" w:leftChars="0" w:right="0" w:rightChars="0"/>
                    <w:jc w:val="left"/>
                    <w:rPr>
                      <w:rFonts w:hint="eastAsia" w:ascii="宋体" w:hAnsi="宋体" w:eastAsia="宋体" w:cs="宋体"/>
                      <w:color w:val="auto"/>
                      <w:sz w:val="24"/>
                      <w:szCs w:val="24"/>
                      <w:highlight w:val="none"/>
                    </w:rPr>
                  </w:pPr>
                  <w:r>
                    <w:rPr>
                      <w:rFonts w:hint="eastAsia" w:ascii="宋体" w:hAnsi="宋体" w:eastAsia="宋体" w:cs="宋体"/>
                      <w:color w:val="auto"/>
                      <w:kern w:val="0"/>
                      <w:sz w:val="21"/>
                      <w:szCs w:val="21"/>
                      <w:highlight w:val="none"/>
                      <w:lang w:val="en-US" w:eastAsia="zh-CN" w:bidi="ar"/>
                    </w:rPr>
                    <w:t>2.提供</w:t>
                  </w:r>
                  <w:r>
                    <w:rPr>
                      <w:rFonts w:hint="eastAsia" w:ascii="宋体" w:hAnsi="宋体" w:eastAsia="宋体" w:cs="宋体"/>
                      <w:color w:val="auto"/>
                      <w:kern w:val="2"/>
                      <w:sz w:val="21"/>
                      <w:szCs w:val="21"/>
                      <w:highlight w:val="none"/>
                      <w:lang w:val="en-US" w:eastAsia="zh-CN" w:bidi="ar"/>
                    </w:rPr>
                    <w:t>以上证明文件</w:t>
                  </w:r>
                  <w:r>
                    <w:rPr>
                      <w:rFonts w:hint="eastAsia" w:ascii="宋体" w:hAnsi="宋体" w:eastAsia="宋体" w:cs="宋体"/>
                      <w:color w:val="auto"/>
                      <w:kern w:val="0"/>
                      <w:sz w:val="21"/>
                      <w:szCs w:val="21"/>
                      <w:highlight w:val="none"/>
                      <w:lang w:val="en-US" w:eastAsia="zh-CN" w:bidi="ar"/>
                    </w:rPr>
                    <w:t>扫描件，</w:t>
                  </w:r>
                  <w:r>
                    <w:rPr>
                      <w:rFonts w:hint="eastAsia" w:ascii="宋体" w:hAnsi="宋体" w:eastAsia="宋体" w:cs="宋体"/>
                      <w:color w:val="auto"/>
                      <w:kern w:val="2"/>
                      <w:sz w:val="21"/>
                      <w:szCs w:val="21"/>
                      <w:highlight w:val="none"/>
                      <w:lang w:val="en-US" w:eastAsia="zh-CN" w:bidi="ar"/>
                    </w:rPr>
                    <w:t>如涉及网站截图或照片等证明材料,需提供清晰图片,</w:t>
                  </w:r>
                  <w:r>
                    <w:rPr>
                      <w:rFonts w:hint="eastAsia" w:ascii="宋体" w:hAnsi="宋体" w:eastAsia="宋体" w:cs="宋体"/>
                      <w:color w:val="auto"/>
                      <w:kern w:val="0"/>
                      <w:sz w:val="21"/>
                      <w:szCs w:val="21"/>
                      <w:highlight w:val="none"/>
                      <w:lang w:val="en-US" w:eastAsia="zh-CN" w:bidi="ar"/>
                    </w:rPr>
                    <w:t>原件备查</w:t>
                  </w:r>
                  <w:r>
                    <w:rPr>
                      <w:rFonts w:hint="eastAsia" w:ascii="宋体" w:hAnsi="宋体" w:eastAsia="宋体" w:cs="宋体"/>
                      <w:color w:val="auto"/>
                      <w:kern w:val="2"/>
                      <w:sz w:val="21"/>
                      <w:szCs w:val="21"/>
                      <w:highlight w:val="none"/>
                      <w:lang w:val="en-US" w:eastAsia="zh-CN" w:bidi="ar"/>
                    </w:rPr>
                    <w:t>。未按要求提供有效证明材料或提供不清晰导致评委无法识别的不计得分。</w:t>
                  </w:r>
                </w:p>
              </w:tc>
            </w:tr>
            <w:tr w14:paraId="0AA5F8C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tcBorders>
                    <w:top w:val="single" w:color="000000" w:sz="8" w:space="0"/>
                    <w:left w:val="single" w:color="000000" w:sz="8" w:space="0"/>
                    <w:bottom w:val="single" w:color="auto" w:sz="4" w:space="0"/>
                    <w:right w:val="single" w:color="000000" w:sz="8" w:space="0"/>
                  </w:tcBorders>
                  <w:noWrap w:val="0"/>
                  <w:vAlign w:val="top"/>
                </w:tcPr>
                <w:p w14:paraId="691E16D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4</w:t>
                  </w:r>
                </w:p>
              </w:tc>
              <w:tc>
                <w:tcPr>
                  <w:tcW w:w="3000" w:type="dxa"/>
                  <w:gridSpan w:val="3"/>
                  <w:tcBorders>
                    <w:top w:val="single" w:color="000000" w:sz="8" w:space="0"/>
                    <w:left w:val="single" w:color="000000" w:sz="8" w:space="0"/>
                    <w:bottom w:val="single" w:color="auto" w:sz="4" w:space="0"/>
                    <w:right w:val="single" w:color="000000" w:sz="8" w:space="0"/>
                  </w:tcBorders>
                  <w:noWrap w:val="0"/>
                  <w:vAlign w:val="top"/>
                </w:tcPr>
                <w:p w14:paraId="5FEBCE1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诚信情况</w:t>
                  </w:r>
                </w:p>
              </w:tc>
              <w:tc>
                <w:tcPr>
                  <w:tcW w:w="5396" w:type="dxa"/>
                  <w:tcBorders>
                    <w:top w:val="single" w:color="000000" w:sz="8" w:space="0"/>
                    <w:left w:val="single" w:color="000000" w:sz="8" w:space="0"/>
                    <w:bottom w:val="single" w:color="auto" w:sz="4" w:space="0"/>
                    <w:right w:val="single" w:color="000000" w:sz="8" w:space="0"/>
                  </w:tcBorders>
                  <w:noWrap w:val="0"/>
                  <w:vAlign w:val="top"/>
                </w:tcPr>
                <w:p w14:paraId="4AEBA40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5</w:t>
                  </w:r>
                </w:p>
              </w:tc>
            </w:tr>
            <w:tr w14:paraId="18C5A3B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restart"/>
                  <w:tcBorders>
                    <w:top w:val="single" w:color="000000" w:sz="8" w:space="0"/>
                    <w:left w:val="single" w:color="000000" w:sz="8" w:space="0"/>
                    <w:bottom w:val="single" w:color="000000" w:sz="8" w:space="0"/>
                    <w:right w:val="single" w:color="000000" w:sz="8" w:space="0"/>
                  </w:tcBorders>
                  <w:shd w:val="clear" w:color="auto" w:fill="E6EFFA"/>
                  <w:noWrap w:val="0"/>
                  <w:vAlign w:val="center"/>
                </w:tcPr>
                <w:p w14:paraId="31C1897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313BBF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序号</w:t>
                  </w:r>
                </w:p>
              </w:tc>
              <w:tc>
                <w:tcPr>
                  <w:tcW w:w="1295"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4789B07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t>评审因素</w:t>
                  </w:r>
                </w:p>
              </w:tc>
              <w:tc>
                <w:tcPr>
                  <w:tcW w:w="1030"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021D347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权重(%)</w:t>
                  </w:r>
                </w:p>
              </w:tc>
              <w:tc>
                <w:tcPr>
                  <w:tcW w:w="5396" w:type="dxa"/>
                  <w:tcBorders>
                    <w:top w:val="outset" w:color="000000" w:sz="6" w:space="0"/>
                    <w:left w:val="outset" w:color="000000" w:sz="6" w:space="0"/>
                    <w:bottom w:val="outset" w:color="000000" w:sz="6" w:space="0"/>
                    <w:right w:val="outset" w:color="000000" w:sz="6" w:space="0"/>
                  </w:tcBorders>
                  <w:shd w:val="clear" w:color="auto" w:fill="E6EFFA"/>
                  <w:noWrap w:val="0"/>
                  <w:vAlign w:val="center"/>
                </w:tcPr>
                <w:p w14:paraId="0F4067F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评分准则</w:t>
                  </w:r>
                </w:p>
              </w:tc>
            </w:tr>
            <w:tr w14:paraId="66BF50A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6" w:type="dxa"/>
                  <w:vMerge w:val="continue"/>
                  <w:tcBorders>
                    <w:top w:val="single" w:color="000000" w:sz="8" w:space="0"/>
                    <w:left w:val="single" w:color="000000" w:sz="8" w:space="0"/>
                    <w:bottom w:val="single" w:color="000000" w:sz="8" w:space="0"/>
                    <w:right w:val="single" w:color="000000" w:sz="8" w:space="0"/>
                  </w:tcBorders>
                  <w:noWrap w:val="0"/>
                  <w:vAlign w:val="center"/>
                </w:tcPr>
                <w:p w14:paraId="2F0F074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hint="eastAsia" w:ascii="宋体" w:hAnsi="宋体" w:eastAsia="宋体" w:cs="宋体"/>
                      <w:b/>
                      <w:bCs/>
                      <w:color w:val="auto"/>
                      <w:sz w:val="24"/>
                      <w:szCs w:val="24"/>
                      <w:highlight w:val="none"/>
                    </w:rPr>
                  </w:pPr>
                </w:p>
              </w:tc>
              <w:tc>
                <w:tcPr>
                  <w:tcW w:w="675" w:type="dxa"/>
                  <w:tcBorders>
                    <w:top w:val="single" w:color="000000" w:sz="8" w:space="0"/>
                    <w:left w:val="single" w:color="000000" w:sz="8" w:space="0"/>
                    <w:bottom w:val="single" w:color="000000" w:sz="8" w:space="0"/>
                    <w:right w:val="single" w:color="000000" w:sz="8" w:space="0"/>
                  </w:tcBorders>
                  <w:noWrap w:val="0"/>
                  <w:vAlign w:val="center"/>
                </w:tcPr>
                <w:p w14:paraId="487266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c>
                <w:tcPr>
                  <w:tcW w:w="1295" w:type="dxa"/>
                  <w:tcBorders>
                    <w:top w:val="single" w:color="000000" w:sz="8" w:space="0"/>
                    <w:left w:val="single" w:color="000000" w:sz="8" w:space="0"/>
                    <w:bottom w:val="single" w:color="000000" w:sz="8" w:space="0"/>
                    <w:right w:val="single" w:color="000000" w:sz="8" w:space="0"/>
                  </w:tcBorders>
                  <w:noWrap w:val="0"/>
                  <w:vAlign w:val="center"/>
                </w:tcPr>
                <w:p w14:paraId="2482A3A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诚信情况</w:t>
                  </w:r>
                </w:p>
              </w:tc>
              <w:tc>
                <w:tcPr>
                  <w:tcW w:w="1030" w:type="dxa"/>
                  <w:tcBorders>
                    <w:top w:val="single" w:color="000000" w:sz="8" w:space="0"/>
                    <w:left w:val="single" w:color="000000" w:sz="8" w:space="0"/>
                    <w:bottom w:val="single" w:color="000000" w:sz="8" w:space="0"/>
                    <w:right w:val="single" w:color="000000" w:sz="8" w:space="0"/>
                  </w:tcBorders>
                  <w:noWrap w:val="0"/>
                  <w:vAlign w:val="center"/>
                </w:tcPr>
                <w:p w14:paraId="3BE18BA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w:t>
                  </w:r>
                </w:p>
              </w:tc>
              <w:tc>
                <w:tcPr>
                  <w:tcW w:w="5396" w:type="dxa"/>
                  <w:tcBorders>
                    <w:top w:val="single" w:color="000000" w:sz="8" w:space="0"/>
                    <w:left w:val="single" w:color="000000" w:sz="8" w:space="0"/>
                    <w:bottom w:val="single" w:color="000000" w:sz="8" w:space="0"/>
                    <w:right w:val="single" w:color="000000" w:sz="8" w:space="0"/>
                  </w:tcBorders>
                  <w:noWrap w:val="0"/>
                  <w:vAlign w:val="top"/>
                </w:tcPr>
                <w:p w14:paraId="7771850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（一）评分内容：</w:t>
                  </w:r>
                </w:p>
                <w:p w14:paraId="55C7E39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根据《深圳市财政局关于印发&lt;深圳市财政局政府采购供应商信用信息管理办法&gt;的通知》（深财规〔2023〕3号）相关规定，如供应商在全国范围内存在因政府采购违法、违规行为受到财政部门罚款等一般行政处罚信息，或者存在该办法第十一条所称在本市集中采购活动中的一般违法失信行为记录信息，且在公示期内的，本项不得分，否则得5分。</w:t>
                  </w:r>
                </w:p>
                <w:p w14:paraId="49D82B7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（二）评分依据:</w:t>
                  </w:r>
                </w:p>
                <w:p w14:paraId="4055D79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采购代理机构通过“信用中国”、“中国政府采购网”、“深圳市政府采购监管网”以及市、区财政部门认定的其他渠道查询供应商信用信息，投标人无需提供证明材料。</w:t>
                  </w:r>
                </w:p>
              </w:tc>
            </w:tr>
          </w:tbl>
          <w:p w14:paraId="34B95BD4">
            <w:pPr>
              <w:pStyle w:val="15"/>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hint="eastAsia" w:ascii="宋体" w:hAnsi="宋体" w:eastAsia="宋体" w:cs="宋体"/>
                <w:color w:val="auto"/>
                <w:sz w:val="24"/>
                <w:szCs w:val="24"/>
                <w:highlight w:val="none"/>
              </w:rPr>
            </w:pPr>
          </w:p>
        </w:tc>
      </w:tr>
    </w:tbl>
    <w:p w14:paraId="12DE6614">
      <w:pPr>
        <w:rPr>
          <w:vanish/>
          <w:color w:val="auto"/>
          <w:highlight w:val="none"/>
        </w:rPr>
      </w:pPr>
    </w:p>
    <w:p w14:paraId="4EFFFC0D">
      <w:pPr>
        <w:rPr>
          <w:rFonts w:eastAsia="黑体"/>
          <w:color w:val="auto"/>
          <w:highlight w:val="none"/>
        </w:rPr>
      </w:pPr>
    </w:p>
    <w:p w14:paraId="789DA3E2">
      <w:pPr>
        <w:rPr>
          <w:rFonts w:eastAsia="黑体"/>
          <w:color w:val="auto"/>
          <w:highlight w:val="none"/>
        </w:rPr>
      </w:pPr>
    </w:p>
    <w:p w14:paraId="72D0F798">
      <w:pPr>
        <w:rPr>
          <w:rFonts w:eastAsia="黑体"/>
          <w:color w:val="auto"/>
          <w:highlight w:val="none"/>
        </w:rPr>
      </w:pPr>
      <w:r>
        <w:rPr>
          <w:rFonts w:eastAsia="黑体"/>
          <w:color w:val="auto"/>
          <w:highlight w:val="none"/>
        </w:rPr>
        <w:br w:type="page"/>
      </w:r>
    </w:p>
    <w:p w14:paraId="72473A05">
      <w:pPr>
        <w:spacing w:beforeAutospacing="1" w:afterAutospacing="1"/>
        <w:jc w:val="center"/>
        <w:outlineLvl w:val="1"/>
        <w:rPr>
          <w:rFonts w:ascii="黑体" w:hAnsi="宋体" w:eastAsia="黑体" w:cs="黑体"/>
          <w:color w:val="auto"/>
          <w:sz w:val="40"/>
          <w:szCs w:val="40"/>
          <w:highlight w:val="none"/>
        </w:rPr>
      </w:pPr>
      <w:r>
        <w:rPr>
          <w:rFonts w:hint="eastAsia"/>
          <w:b/>
          <w:bCs/>
          <w:color w:val="auto"/>
          <w:sz w:val="40"/>
          <w:szCs w:val="40"/>
          <w:highlight w:val="none"/>
        </w:rPr>
        <w:t>招</w:t>
      </w:r>
      <w:r>
        <w:rPr>
          <w:rFonts w:hint="eastAsia" w:ascii="黑体" w:hAnsi="宋体" w:eastAsia="黑体" w:cs="黑体"/>
          <w:color w:val="auto"/>
          <w:sz w:val="40"/>
          <w:szCs w:val="40"/>
          <w:highlight w:val="none"/>
        </w:rPr>
        <w:t>标文件信息</w:t>
      </w:r>
    </w:p>
    <w:tbl>
      <w:tblPr>
        <w:tblStyle w:val="17"/>
        <w:tblW w:w="7943" w:type="dxa"/>
        <w:jc w:val="center"/>
        <w:tblCellSpacing w:w="0" w:type="dxa"/>
        <w:tblLayout w:type="fixed"/>
        <w:tblCellMar>
          <w:top w:w="45" w:type="dxa"/>
          <w:left w:w="45" w:type="dxa"/>
          <w:bottom w:w="45" w:type="dxa"/>
          <w:right w:w="45" w:type="dxa"/>
        </w:tblCellMar>
      </w:tblPr>
      <w:tblGrid>
        <w:gridCol w:w="2723"/>
        <w:gridCol w:w="5220"/>
      </w:tblGrid>
      <w:tr w14:paraId="0FCE1B7D">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08A4BDCE">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项目编号：</w:t>
            </w:r>
          </w:p>
        </w:tc>
        <w:tc>
          <w:tcPr>
            <w:tcW w:w="5220" w:type="dxa"/>
            <w:shd w:val="clear" w:color="auto" w:fill="auto"/>
            <w:vAlign w:val="center"/>
          </w:tcPr>
          <w:p w14:paraId="3EC73C50">
            <w:pPr>
              <w:keepNext w:val="0"/>
              <w:keepLines w:val="0"/>
              <w:widowControl/>
              <w:suppressLineNumbers w:val="0"/>
              <w:spacing w:before="0" w:beforeAutospacing="0" w:after="0" w:afterAutospacing="0"/>
              <w:ind w:left="0" w:right="0"/>
              <w:rPr>
                <w:rFonts w:hint="eastAsia" w:eastAsia="宋体"/>
                <w:color w:val="auto"/>
                <w:sz w:val="30"/>
                <w:szCs w:val="30"/>
                <w:highlight w:val="none"/>
                <w:lang w:eastAsia="zh-CN"/>
              </w:rPr>
            </w:pPr>
            <w:r>
              <w:rPr>
                <w:rFonts w:hint="eastAsia" w:eastAsia="宋体"/>
                <w:color w:val="auto"/>
                <w:sz w:val="30"/>
                <w:szCs w:val="30"/>
                <w:highlight w:val="none"/>
                <w:lang w:eastAsia="zh-CN"/>
              </w:rPr>
              <w:t>SZDL2025000623</w:t>
            </w:r>
          </w:p>
        </w:tc>
      </w:tr>
      <w:tr w14:paraId="1D349980">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5770E93">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项目名称：</w:t>
            </w:r>
          </w:p>
        </w:tc>
        <w:tc>
          <w:tcPr>
            <w:tcW w:w="5220" w:type="dxa"/>
            <w:shd w:val="clear" w:color="auto" w:fill="auto"/>
            <w:vAlign w:val="center"/>
          </w:tcPr>
          <w:p w14:paraId="53EB9419">
            <w:pPr>
              <w:keepNext w:val="0"/>
              <w:keepLines w:val="0"/>
              <w:widowControl/>
              <w:suppressLineNumbers w:val="0"/>
              <w:spacing w:before="0" w:beforeAutospacing="0" w:after="0" w:afterAutospacing="0"/>
              <w:ind w:left="0" w:right="0"/>
              <w:rPr>
                <w:rFonts w:hint="eastAsia" w:eastAsiaTheme="minorEastAsia"/>
                <w:color w:val="auto"/>
                <w:sz w:val="30"/>
                <w:szCs w:val="30"/>
                <w:highlight w:val="none"/>
                <w:lang w:eastAsia="zh-CN"/>
              </w:rPr>
            </w:pPr>
            <w:r>
              <w:rPr>
                <w:rFonts w:hint="eastAsia" w:eastAsiaTheme="minorEastAsia"/>
                <w:color w:val="auto"/>
                <w:sz w:val="30"/>
                <w:szCs w:val="30"/>
                <w:highlight w:val="none"/>
                <w:lang w:eastAsia="zh-CN"/>
              </w:rPr>
              <w:t>2025年通信线缆维护</w:t>
            </w:r>
          </w:p>
        </w:tc>
      </w:tr>
      <w:tr w14:paraId="2DFF5CF7">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14B1BCE">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 xml:space="preserve">包 </w:t>
            </w:r>
            <w:r>
              <w:rPr>
                <w:rFonts w:hint="eastAsia" w:ascii="宋体" w:hAnsi="宋体" w:cs="宋体"/>
                <w:color w:val="auto"/>
                <w:sz w:val="30"/>
                <w:szCs w:val="30"/>
                <w:highlight w:val="none"/>
              </w:rPr>
              <w:t xml:space="preserve">  </w:t>
            </w:r>
            <w:r>
              <w:rPr>
                <w:rFonts w:hint="default" w:ascii="宋体" w:hAnsi="宋体" w:cs="宋体"/>
                <w:color w:val="auto"/>
                <w:sz w:val="30"/>
                <w:szCs w:val="30"/>
                <w:highlight w:val="none"/>
              </w:rPr>
              <w:t>号：</w:t>
            </w:r>
          </w:p>
        </w:tc>
        <w:tc>
          <w:tcPr>
            <w:tcW w:w="5220" w:type="dxa"/>
            <w:shd w:val="clear" w:color="auto" w:fill="auto"/>
            <w:vAlign w:val="center"/>
          </w:tcPr>
          <w:p w14:paraId="75E1DF2D">
            <w:pPr>
              <w:keepNext w:val="0"/>
              <w:keepLines w:val="0"/>
              <w:widowControl/>
              <w:suppressLineNumbers w:val="0"/>
              <w:spacing w:before="0" w:beforeAutospacing="0" w:after="0" w:afterAutospacing="0"/>
              <w:ind w:left="0" w:right="0"/>
              <w:rPr>
                <w:rFonts w:hint="default"/>
                <w:color w:val="auto"/>
                <w:sz w:val="30"/>
                <w:szCs w:val="30"/>
                <w:highlight w:val="none"/>
              </w:rPr>
            </w:pPr>
            <w:r>
              <w:rPr>
                <w:rFonts w:hint="default" w:ascii="宋体" w:hAnsi="宋体" w:cs="宋体"/>
                <w:color w:val="auto"/>
                <w:sz w:val="30"/>
                <w:szCs w:val="30"/>
                <w:highlight w:val="none"/>
              </w:rPr>
              <w:t>A</w:t>
            </w:r>
          </w:p>
        </w:tc>
      </w:tr>
      <w:tr w14:paraId="786C816A">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55DD4609">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项目类型：</w:t>
            </w:r>
          </w:p>
        </w:tc>
        <w:tc>
          <w:tcPr>
            <w:tcW w:w="5220" w:type="dxa"/>
            <w:shd w:val="clear" w:color="auto" w:fill="auto"/>
            <w:vAlign w:val="center"/>
          </w:tcPr>
          <w:p w14:paraId="06D2A302">
            <w:pPr>
              <w:keepNext w:val="0"/>
              <w:keepLines w:val="0"/>
              <w:widowControl/>
              <w:suppressLineNumbers w:val="0"/>
              <w:spacing w:before="0" w:beforeAutospacing="0" w:after="0" w:afterAutospacing="0"/>
              <w:ind w:left="0" w:right="0"/>
              <w:rPr>
                <w:rFonts w:hint="default"/>
                <w:color w:val="auto"/>
                <w:sz w:val="30"/>
                <w:szCs w:val="30"/>
                <w:highlight w:val="none"/>
              </w:rPr>
            </w:pPr>
            <w:r>
              <w:rPr>
                <w:rFonts w:hint="eastAsia" w:ascii="宋体" w:hAnsi="宋体" w:cs="宋体"/>
                <w:color w:val="auto"/>
                <w:sz w:val="30"/>
                <w:szCs w:val="30"/>
                <w:highlight w:val="none"/>
              </w:rPr>
              <w:t>服务</w:t>
            </w:r>
            <w:r>
              <w:rPr>
                <w:rFonts w:hint="default" w:ascii="宋体" w:hAnsi="宋体" w:cs="宋体"/>
                <w:color w:val="auto"/>
                <w:sz w:val="30"/>
                <w:szCs w:val="30"/>
                <w:highlight w:val="none"/>
              </w:rPr>
              <w:t>类</w:t>
            </w:r>
          </w:p>
        </w:tc>
      </w:tr>
      <w:tr w14:paraId="269B7DBB">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035C4B93">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采购方式：</w:t>
            </w:r>
          </w:p>
        </w:tc>
        <w:tc>
          <w:tcPr>
            <w:tcW w:w="5220" w:type="dxa"/>
            <w:shd w:val="clear" w:color="auto" w:fill="auto"/>
            <w:vAlign w:val="center"/>
          </w:tcPr>
          <w:p w14:paraId="68FEF643">
            <w:pPr>
              <w:keepNext w:val="0"/>
              <w:keepLines w:val="0"/>
              <w:widowControl/>
              <w:suppressLineNumbers w:val="0"/>
              <w:spacing w:before="0" w:beforeAutospacing="0" w:after="0" w:afterAutospacing="0"/>
              <w:ind w:left="0" w:right="0"/>
              <w:rPr>
                <w:rFonts w:hint="default"/>
                <w:color w:val="auto"/>
                <w:sz w:val="30"/>
                <w:szCs w:val="30"/>
                <w:highlight w:val="none"/>
              </w:rPr>
            </w:pPr>
            <w:r>
              <w:rPr>
                <w:rFonts w:hint="default" w:ascii="宋体" w:hAnsi="宋体" w:cs="宋体"/>
                <w:color w:val="auto"/>
                <w:sz w:val="30"/>
                <w:szCs w:val="30"/>
                <w:highlight w:val="none"/>
              </w:rPr>
              <w:t>公开招标</w:t>
            </w:r>
          </w:p>
        </w:tc>
      </w:tr>
      <w:tr w14:paraId="576D5354">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72907185">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货币类型：</w:t>
            </w:r>
          </w:p>
        </w:tc>
        <w:tc>
          <w:tcPr>
            <w:tcW w:w="5220" w:type="dxa"/>
            <w:shd w:val="clear" w:color="auto" w:fill="auto"/>
            <w:vAlign w:val="center"/>
          </w:tcPr>
          <w:p w14:paraId="2FF8631C">
            <w:pPr>
              <w:keepNext w:val="0"/>
              <w:keepLines w:val="0"/>
              <w:widowControl/>
              <w:suppressLineNumbers w:val="0"/>
              <w:spacing w:before="0" w:beforeAutospacing="0" w:after="0" w:afterAutospacing="0"/>
              <w:ind w:left="0" w:right="0"/>
              <w:rPr>
                <w:rFonts w:hint="default"/>
                <w:color w:val="auto"/>
                <w:sz w:val="30"/>
                <w:szCs w:val="30"/>
                <w:highlight w:val="none"/>
              </w:rPr>
            </w:pPr>
            <w:r>
              <w:rPr>
                <w:rFonts w:hint="default" w:ascii="宋体" w:hAnsi="宋体" w:cs="宋体"/>
                <w:color w:val="auto"/>
                <w:sz w:val="30"/>
                <w:szCs w:val="30"/>
                <w:highlight w:val="none"/>
              </w:rPr>
              <w:t>人民币</w:t>
            </w:r>
          </w:p>
        </w:tc>
      </w:tr>
      <w:tr w14:paraId="25C0488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0687B495">
            <w:pPr>
              <w:keepNext w:val="0"/>
              <w:keepLines w:val="0"/>
              <w:widowControl/>
              <w:suppressLineNumbers w:val="0"/>
              <w:spacing w:before="0" w:beforeAutospacing="0" w:after="0" w:afterAutospacing="0"/>
              <w:ind w:left="0" w:right="0"/>
              <w:jc w:val="right"/>
              <w:rPr>
                <w:rFonts w:hint="default"/>
                <w:color w:val="auto"/>
                <w:sz w:val="30"/>
                <w:szCs w:val="30"/>
                <w:highlight w:val="none"/>
              </w:rPr>
            </w:pPr>
            <w:r>
              <w:rPr>
                <w:rFonts w:hint="default" w:ascii="宋体" w:hAnsi="宋体" w:cs="宋体"/>
                <w:color w:val="auto"/>
                <w:sz w:val="30"/>
                <w:szCs w:val="30"/>
                <w:highlight w:val="none"/>
              </w:rPr>
              <w:t>评标方法：</w:t>
            </w:r>
          </w:p>
        </w:tc>
        <w:tc>
          <w:tcPr>
            <w:tcW w:w="5220" w:type="dxa"/>
            <w:shd w:val="clear" w:color="auto" w:fill="auto"/>
            <w:vAlign w:val="center"/>
          </w:tcPr>
          <w:p w14:paraId="12B34871">
            <w:pPr>
              <w:keepNext w:val="0"/>
              <w:keepLines w:val="0"/>
              <w:widowControl/>
              <w:suppressLineNumbers w:val="0"/>
              <w:spacing w:before="0" w:beforeAutospacing="0" w:after="0" w:afterAutospacing="0"/>
              <w:ind w:left="0" w:right="0"/>
              <w:rPr>
                <w:rFonts w:hint="default"/>
                <w:color w:val="auto"/>
                <w:sz w:val="30"/>
                <w:szCs w:val="30"/>
                <w:highlight w:val="none"/>
              </w:rPr>
            </w:pPr>
            <w:r>
              <w:rPr>
                <w:rFonts w:hint="default" w:ascii="宋体" w:hAnsi="宋体" w:cs="宋体"/>
                <w:color w:val="auto"/>
                <w:sz w:val="30"/>
                <w:szCs w:val="30"/>
                <w:highlight w:val="none"/>
              </w:rPr>
              <w:t>综合评分法（新价格分算法）</w:t>
            </w:r>
          </w:p>
        </w:tc>
      </w:tr>
    </w:tbl>
    <w:p w14:paraId="10180635">
      <w:pPr>
        <w:pStyle w:val="15"/>
        <w:keepNext w:val="0"/>
        <w:keepLines w:val="0"/>
        <w:pageBreakBefore w:val="0"/>
        <w:widowControl/>
        <w:kinsoku/>
        <w:wordWrap/>
        <w:overflowPunct/>
        <w:topLinePunct w:val="0"/>
        <w:autoSpaceDE/>
        <w:autoSpaceDN/>
        <w:bidi w:val="0"/>
        <w:adjustRightInd/>
        <w:snapToGrid/>
        <w:spacing w:before="0" w:beforeLines="100" w:after="0" w:afterLines="100"/>
        <w:jc w:val="center"/>
        <w:textAlignment w:val="auto"/>
        <w:outlineLvl w:val="1"/>
        <w:rPr>
          <w:rFonts w:ascii="黑体" w:hAnsi="黑体" w:eastAsia="黑体"/>
          <w:color w:val="auto"/>
          <w:sz w:val="40"/>
          <w:szCs w:val="40"/>
          <w:highlight w:val="none"/>
        </w:rPr>
      </w:pPr>
      <w:r>
        <w:rPr>
          <w:rFonts w:hint="eastAsia" w:ascii="宋体" w:hAnsi="宋体" w:eastAsia="宋体" w:cs="黑体"/>
          <w:color w:val="auto"/>
          <w:sz w:val="40"/>
          <w:szCs w:val="40"/>
          <w:highlight w:val="none"/>
          <w:lang w:val="en-US" w:eastAsia="zh-CN" w:bidi="ar-SA"/>
        </w:rPr>
        <w:t>资格性审查表</w:t>
      </w:r>
    </w:p>
    <w:tbl>
      <w:tblPr>
        <w:tblStyle w:val="17"/>
        <w:tblW w:w="9072"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20" w:type="dxa"/>
          <w:left w:w="108" w:type="dxa"/>
          <w:bottom w:w="20" w:type="dxa"/>
          <w:right w:w="108" w:type="dxa"/>
        </w:tblCellMar>
      </w:tblPr>
      <w:tblGrid>
        <w:gridCol w:w="794"/>
        <w:gridCol w:w="8278"/>
      </w:tblGrid>
      <w:tr w14:paraId="13FB223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43B75506">
            <w:pPr>
              <w:keepNext w:val="0"/>
              <w:keepLines w:val="0"/>
              <w:widowControl/>
              <w:suppressLineNumbers w:val="0"/>
              <w:spacing w:before="0" w:beforeAutospacing="0" w:after="0" w:afterAutospacing="0"/>
              <w:ind w:left="0" w:right="0"/>
              <w:jc w:val="center"/>
              <w:rPr>
                <w:rFonts w:hint="default" w:ascii="宋体" w:hAnsi="宋体" w:cs="宋体"/>
                <w:color w:val="auto"/>
                <w:sz w:val="28"/>
                <w:szCs w:val="28"/>
                <w:highlight w:val="none"/>
              </w:rPr>
            </w:pPr>
            <w:r>
              <w:rPr>
                <w:rFonts w:hint="default"/>
                <w:color w:val="auto"/>
                <w:sz w:val="28"/>
                <w:szCs w:val="28"/>
                <w:highlight w:val="none"/>
              </w:rPr>
              <w:t>序号</w:t>
            </w:r>
          </w:p>
        </w:tc>
        <w:tc>
          <w:tcPr>
            <w:tcW w:w="8278"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6FA0E21C">
            <w:pPr>
              <w:keepNext w:val="0"/>
              <w:keepLines w:val="0"/>
              <w:widowControl/>
              <w:suppressLineNumbers w:val="0"/>
              <w:spacing w:before="0" w:beforeAutospacing="0" w:after="0" w:afterAutospacing="0"/>
              <w:ind w:left="0" w:right="0"/>
              <w:jc w:val="center"/>
              <w:rPr>
                <w:rFonts w:hint="default" w:ascii="宋体" w:hAnsi="宋体" w:cs="宋体"/>
                <w:color w:val="auto"/>
                <w:sz w:val="28"/>
                <w:szCs w:val="28"/>
                <w:highlight w:val="none"/>
              </w:rPr>
            </w:pPr>
            <w:r>
              <w:rPr>
                <w:rFonts w:hint="default"/>
                <w:color w:val="auto"/>
                <w:sz w:val="28"/>
                <w:szCs w:val="28"/>
                <w:highlight w:val="none"/>
              </w:rPr>
              <w:t>内容</w:t>
            </w:r>
          </w:p>
        </w:tc>
      </w:tr>
      <w:tr w14:paraId="0E26082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277DE78F">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1</w:t>
            </w:r>
          </w:p>
        </w:tc>
        <w:tc>
          <w:tcPr>
            <w:tcW w:w="8278" w:type="dxa"/>
            <w:tcBorders>
              <w:top w:val="single" w:color="000000" w:sz="8" w:space="0"/>
              <w:left w:val="single" w:color="000000" w:sz="8" w:space="0"/>
              <w:bottom w:val="single" w:color="000000" w:sz="8" w:space="0"/>
              <w:right w:val="single" w:color="000000" w:sz="8" w:space="0"/>
            </w:tcBorders>
          </w:tcPr>
          <w:p w14:paraId="0520857D">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default" w:ascii="宋体" w:hAnsi="宋体" w:cs="宋体"/>
                <w:color w:val="auto"/>
                <w:szCs w:val="21"/>
                <w:highlight w:val="none"/>
              </w:rPr>
              <w:t>投标人不</w:t>
            </w:r>
            <w:r>
              <w:rPr>
                <w:rFonts w:hint="eastAsia" w:ascii="宋体" w:hAnsi="宋体" w:cs="宋体"/>
                <w:color w:val="auto"/>
                <w:szCs w:val="21"/>
                <w:highlight w:val="none"/>
              </w:rPr>
              <w:t>符合</w:t>
            </w:r>
            <w:r>
              <w:rPr>
                <w:rFonts w:hint="default" w:ascii="宋体" w:hAnsi="宋体" w:cs="宋体"/>
                <w:color w:val="auto"/>
                <w:szCs w:val="21"/>
                <w:highlight w:val="none"/>
              </w:rPr>
              <w:t>资格要求，或未提交相应的资格证明资料（详见招标公告</w:t>
            </w:r>
            <w:r>
              <w:rPr>
                <w:rFonts w:hint="eastAsia" w:ascii="宋体" w:hAnsi="宋体"/>
                <w:color w:val="auto"/>
                <w:szCs w:val="21"/>
                <w:highlight w:val="none"/>
              </w:rPr>
              <w:t>投标人资格要求，即申请人的资格要求</w:t>
            </w:r>
            <w:r>
              <w:rPr>
                <w:rFonts w:hint="default" w:ascii="宋体" w:hAnsi="宋体" w:cs="宋体"/>
                <w:color w:val="auto"/>
                <w:szCs w:val="21"/>
                <w:highlight w:val="none"/>
              </w:rPr>
              <w:t>）</w:t>
            </w:r>
          </w:p>
        </w:tc>
      </w:tr>
    </w:tbl>
    <w:p w14:paraId="4B1F61CC">
      <w:pPr>
        <w:pStyle w:val="15"/>
        <w:keepNext w:val="0"/>
        <w:keepLines w:val="0"/>
        <w:pageBreakBefore w:val="0"/>
        <w:widowControl/>
        <w:kinsoku/>
        <w:wordWrap/>
        <w:overflowPunct/>
        <w:topLinePunct w:val="0"/>
        <w:autoSpaceDE/>
        <w:autoSpaceDN/>
        <w:bidi w:val="0"/>
        <w:adjustRightInd/>
        <w:snapToGrid/>
        <w:spacing w:before="0" w:beforeLines="100" w:after="0" w:afterLines="100"/>
        <w:jc w:val="center"/>
        <w:textAlignment w:val="auto"/>
        <w:outlineLvl w:val="1"/>
        <w:rPr>
          <w:rFonts w:hint="eastAsia" w:ascii="宋体" w:hAnsi="宋体" w:eastAsia="宋体" w:cs="黑体"/>
          <w:color w:val="auto"/>
          <w:sz w:val="40"/>
          <w:szCs w:val="40"/>
          <w:highlight w:val="none"/>
          <w:lang w:val="en-US" w:eastAsia="zh-CN" w:bidi="ar-SA"/>
        </w:rPr>
      </w:pPr>
      <w:r>
        <w:rPr>
          <w:rFonts w:hint="eastAsia" w:ascii="宋体" w:hAnsi="宋体" w:eastAsia="宋体" w:cs="黑体"/>
          <w:color w:val="auto"/>
          <w:sz w:val="40"/>
          <w:szCs w:val="40"/>
          <w:highlight w:val="none"/>
          <w:lang w:val="en-US" w:eastAsia="zh-CN" w:bidi="ar-SA"/>
        </w:rPr>
        <w:t>符合性审查表</w:t>
      </w:r>
    </w:p>
    <w:tbl>
      <w:tblPr>
        <w:tblStyle w:val="17"/>
        <w:tblW w:w="9072"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20" w:type="dxa"/>
          <w:left w:w="108" w:type="dxa"/>
          <w:bottom w:w="20" w:type="dxa"/>
          <w:right w:w="108" w:type="dxa"/>
        </w:tblCellMar>
      </w:tblPr>
      <w:tblGrid>
        <w:gridCol w:w="794"/>
        <w:gridCol w:w="8278"/>
      </w:tblGrid>
      <w:tr w14:paraId="658F211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62BCF688">
            <w:pPr>
              <w:keepNext w:val="0"/>
              <w:keepLines w:val="0"/>
              <w:widowControl/>
              <w:suppressLineNumbers w:val="0"/>
              <w:spacing w:before="0" w:beforeAutospacing="0" w:after="0" w:afterAutospacing="0"/>
              <w:ind w:left="0" w:right="0"/>
              <w:jc w:val="center"/>
              <w:rPr>
                <w:rFonts w:hint="default" w:ascii="宋体" w:hAnsi="宋体" w:cs="宋体"/>
                <w:color w:val="auto"/>
                <w:sz w:val="28"/>
                <w:szCs w:val="28"/>
                <w:highlight w:val="none"/>
              </w:rPr>
            </w:pPr>
            <w:r>
              <w:rPr>
                <w:rFonts w:hint="default"/>
                <w:color w:val="auto"/>
                <w:sz w:val="28"/>
                <w:szCs w:val="28"/>
                <w:highlight w:val="none"/>
              </w:rPr>
              <w:t>序号</w:t>
            </w:r>
          </w:p>
        </w:tc>
        <w:tc>
          <w:tcPr>
            <w:tcW w:w="8278"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15533A54">
            <w:pPr>
              <w:keepNext w:val="0"/>
              <w:keepLines w:val="0"/>
              <w:widowControl/>
              <w:suppressLineNumbers w:val="0"/>
              <w:spacing w:before="0" w:beforeAutospacing="0" w:after="0" w:afterAutospacing="0"/>
              <w:ind w:left="0" w:right="0"/>
              <w:jc w:val="center"/>
              <w:rPr>
                <w:rFonts w:hint="default" w:ascii="宋体" w:hAnsi="宋体" w:cs="宋体"/>
                <w:color w:val="auto"/>
                <w:sz w:val="28"/>
                <w:szCs w:val="28"/>
                <w:highlight w:val="none"/>
              </w:rPr>
            </w:pPr>
            <w:r>
              <w:rPr>
                <w:rFonts w:hint="default"/>
                <w:color w:val="auto"/>
                <w:sz w:val="28"/>
                <w:szCs w:val="28"/>
                <w:highlight w:val="none"/>
              </w:rPr>
              <w:t>内容</w:t>
            </w:r>
          </w:p>
        </w:tc>
      </w:tr>
      <w:tr w14:paraId="2564209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5F8A6128">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1</w:t>
            </w:r>
          </w:p>
        </w:tc>
        <w:tc>
          <w:tcPr>
            <w:tcW w:w="8278" w:type="dxa"/>
            <w:tcBorders>
              <w:top w:val="single" w:color="000000" w:sz="8" w:space="0"/>
              <w:left w:val="single" w:color="000000" w:sz="8" w:space="0"/>
              <w:bottom w:val="single" w:color="000000" w:sz="8" w:space="0"/>
              <w:right w:val="single" w:color="000000" w:sz="8" w:space="0"/>
            </w:tcBorders>
          </w:tcPr>
          <w:p w14:paraId="0566F2A0">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将一个包或一个标段的内容拆开投标；</w:t>
            </w:r>
          </w:p>
        </w:tc>
      </w:tr>
      <w:tr w14:paraId="4114BB3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59B003D7">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2</w:t>
            </w:r>
          </w:p>
        </w:tc>
        <w:tc>
          <w:tcPr>
            <w:tcW w:w="8278" w:type="dxa"/>
            <w:tcBorders>
              <w:top w:val="single" w:color="000000" w:sz="8" w:space="0"/>
              <w:left w:val="single" w:color="000000" w:sz="8" w:space="0"/>
              <w:bottom w:val="single" w:color="000000" w:sz="8" w:space="0"/>
              <w:right w:val="single" w:color="000000" w:sz="8" w:space="0"/>
            </w:tcBorders>
          </w:tcPr>
          <w:p w14:paraId="19CFD544">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对同一项目投标时，提供两套以上的投标方案（招标文件另有规定的除外）；</w:t>
            </w:r>
          </w:p>
        </w:tc>
      </w:tr>
      <w:tr w14:paraId="5664109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4AEA12DB">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3</w:t>
            </w:r>
          </w:p>
        </w:tc>
        <w:tc>
          <w:tcPr>
            <w:tcW w:w="8278" w:type="dxa"/>
            <w:tcBorders>
              <w:top w:val="single" w:color="000000" w:sz="8" w:space="0"/>
              <w:left w:val="single" w:color="000000" w:sz="8" w:space="0"/>
              <w:bottom w:val="single" w:color="000000" w:sz="8" w:space="0"/>
              <w:right w:val="single" w:color="000000" w:sz="8" w:space="0"/>
            </w:tcBorders>
            <w:vAlign w:val="top"/>
          </w:tcPr>
          <w:p w14:paraId="4098A6EE">
            <w:pPr>
              <w:keepNext w:val="0"/>
              <w:keepLines w:val="0"/>
              <w:widowControl/>
              <w:suppressLineNumbers w:val="0"/>
              <w:spacing w:before="0" w:beforeAutospacing="0" w:after="0" w:afterAutospacing="0"/>
              <w:ind w:left="0" w:right="0"/>
              <w:jc w:val="left"/>
              <w:rPr>
                <w:rFonts w:hint="default" w:ascii="宋体" w:hAnsi="宋体" w:cs="宋体"/>
                <w:color w:val="auto"/>
                <w:szCs w:val="21"/>
                <w:highlight w:val="none"/>
              </w:rPr>
            </w:pPr>
            <w:r>
              <w:rPr>
                <w:rFonts w:hint="eastAsia"/>
                <w:color w:val="auto"/>
                <w:highlight w:val="none"/>
              </w:rPr>
              <w:t>分项报价或投标总价高于</w:t>
            </w:r>
            <w:bookmarkStart w:id="0" w:name="_Hlk71832186"/>
            <w:r>
              <w:rPr>
                <w:rFonts w:hint="eastAsia"/>
                <w:color w:val="auto"/>
                <w:highlight w:val="none"/>
              </w:rPr>
              <w:t>相应财政预算金额（或设定的财政预算金额下的最高限价）</w:t>
            </w:r>
            <w:bookmarkEnd w:id="0"/>
            <w:r>
              <w:rPr>
                <w:rFonts w:hint="eastAsia"/>
                <w:color w:val="auto"/>
                <w:highlight w:val="none"/>
              </w:rPr>
              <w:t>；</w:t>
            </w:r>
          </w:p>
        </w:tc>
      </w:tr>
      <w:tr w14:paraId="303F81A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1638" w:hRule="atLeast"/>
          <w:jc w:val="center"/>
        </w:trPr>
        <w:tc>
          <w:tcPr>
            <w:tcW w:w="794" w:type="dxa"/>
            <w:tcBorders>
              <w:top w:val="single" w:color="000000" w:sz="8" w:space="0"/>
              <w:left w:val="single" w:color="000000" w:sz="8" w:space="0"/>
              <w:bottom w:val="single" w:color="000000" w:sz="8" w:space="0"/>
              <w:right w:val="single" w:color="000000" w:sz="8" w:space="0"/>
            </w:tcBorders>
          </w:tcPr>
          <w:p w14:paraId="62054FDF">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4</w:t>
            </w:r>
          </w:p>
        </w:tc>
        <w:tc>
          <w:tcPr>
            <w:tcW w:w="8278" w:type="dxa"/>
            <w:tcBorders>
              <w:top w:val="single" w:color="000000" w:sz="8" w:space="0"/>
              <w:left w:val="single" w:color="000000" w:sz="8" w:space="0"/>
              <w:bottom w:val="single" w:color="000000" w:sz="8" w:space="0"/>
              <w:right w:val="single" w:color="000000" w:sz="8" w:space="0"/>
            </w:tcBorders>
          </w:tcPr>
          <w:p w14:paraId="1026A709">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14:paraId="1B455FA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1FE5952B">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5</w:t>
            </w:r>
          </w:p>
        </w:tc>
        <w:tc>
          <w:tcPr>
            <w:tcW w:w="8278" w:type="dxa"/>
            <w:tcBorders>
              <w:top w:val="single" w:color="000000" w:sz="8" w:space="0"/>
              <w:left w:val="single" w:color="000000" w:sz="8" w:space="0"/>
              <w:bottom w:val="single" w:color="000000" w:sz="8" w:space="0"/>
              <w:right w:val="single" w:color="000000" w:sz="8" w:space="0"/>
            </w:tcBorders>
          </w:tcPr>
          <w:p w14:paraId="7AC0847E">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所投货物、服务在技术、商务等方面没有实质性满足招标文件要求的（是否实质性满足招标文件要求，由评审委员会根据《实质性条款响应情况表》做出评判）</w:t>
            </w:r>
            <w:r>
              <w:rPr>
                <w:rFonts w:hint="eastAsia" w:ascii="宋体" w:hAnsi="宋体" w:eastAsia="宋体"/>
                <w:color w:val="auto"/>
                <w:highlight w:val="none"/>
                <w:lang w:eastAsia="zh-CN"/>
              </w:rPr>
              <w:t>，投标文件的轻微瑕疵、非关键内容不得作为认定投标无效的依据</w:t>
            </w:r>
            <w:r>
              <w:rPr>
                <w:rFonts w:hint="eastAsia" w:ascii="宋体" w:hAnsi="宋体" w:eastAsia="宋体"/>
                <w:color w:val="auto"/>
                <w:highlight w:val="none"/>
              </w:rPr>
              <w:t>）</w:t>
            </w:r>
            <w:r>
              <w:rPr>
                <w:rFonts w:hint="eastAsia"/>
                <w:color w:val="auto"/>
                <w:highlight w:val="none"/>
              </w:rPr>
              <w:t>；</w:t>
            </w:r>
          </w:p>
        </w:tc>
      </w:tr>
      <w:tr w14:paraId="21F3727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318" w:hRule="atLeast"/>
          <w:jc w:val="center"/>
        </w:trPr>
        <w:tc>
          <w:tcPr>
            <w:tcW w:w="794" w:type="dxa"/>
            <w:tcBorders>
              <w:top w:val="single" w:color="000000" w:sz="8" w:space="0"/>
              <w:left w:val="single" w:color="000000" w:sz="8" w:space="0"/>
              <w:bottom w:val="single" w:color="000000" w:sz="8" w:space="0"/>
              <w:right w:val="single" w:color="000000" w:sz="8" w:space="0"/>
            </w:tcBorders>
          </w:tcPr>
          <w:p w14:paraId="798EEF29">
            <w:pPr>
              <w:keepNext w:val="0"/>
              <w:keepLines w:val="0"/>
              <w:widowControl/>
              <w:suppressLineNumbers w:val="0"/>
              <w:spacing w:before="0" w:beforeAutospacing="0" w:after="0" w:afterAutospacing="0"/>
              <w:ind w:left="0" w:right="0"/>
              <w:jc w:val="center"/>
              <w:rPr>
                <w:rFonts w:hint="default" w:ascii="宋体" w:hAnsi="宋体" w:cs="宋体"/>
                <w:color w:val="auto"/>
                <w:szCs w:val="21"/>
                <w:highlight w:val="none"/>
              </w:rPr>
            </w:pPr>
            <w:r>
              <w:rPr>
                <w:rFonts w:hint="default"/>
                <w:color w:val="auto"/>
                <w:szCs w:val="21"/>
                <w:highlight w:val="none"/>
              </w:rPr>
              <w:t>6</w:t>
            </w:r>
          </w:p>
        </w:tc>
        <w:tc>
          <w:tcPr>
            <w:tcW w:w="8278" w:type="dxa"/>
            <w:tcBorders>
              <w:top w:val="single" w:color="000000" w:sz="8" w:space="0"/>
              <w:left w:val="single" w:color="000000" w:sz="8" w:space="0"/>
              <w:bottom w:val="single" w:color="000000" w:sz="8" w:space="0"/>
              <w:right w:val="single" w:color="000000" w:sz="8" w:space="0"/>
            </w:tcBorders>
          </w:tcPr>
          <w:p w14:paraId="41A2A114">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未按招标文件所提供的样式填写《投标函》；</w:t>
            </w:r>
          </w:p>
        </w:tc>
      </w:tr>
      <w:tr w14:paraId="6871B6C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1B060B00">
            <w:pPr>
              <w:keepNext w:val="0"/>
              <w:keepLines w:val="0"/>
              <w:widowControl/>
              <w:suppressLineNumbers w:val="0"/>
              <w:spacing w:before="0" w:beforeAutospacing="0" w:after="0" w:afterAutospacing="0"/>
              <w:ind w:left="0" w:right="0"/>
              <w:jc w:val="center"/>
              <w:rPr>
                <w:rFonts w:hint="eastAsia" w:eastAsia="宋体"/>
                <w:color w:val="auto"/>
                <w:szCs w:val="21"/>
                <w:highlight w:val="none"/>
                <w:lang w:val="en-US" w:eastAsia="zh-CN"/>
              </w:rPr>
            </w:pPr>
            <w:r>
              <w:rPr>
                <w:rFonts w:hint="eastAsia" w:eastAsia="宋体"/>
                <w:color w:val="auto"/>
                <w:szCs w:val="21"/>
                <w:highlight w:val="none"/>
                <w:lang w:val="en-US" w:eastAsia="zh-CN"/>
              </w:rPr>
              <w:t>7</w:t>
            </w:r>
          </w:p>
        </w:tc>
        <w:tc>
          <w:tcPr>
            <w:tcW w:w="8278" w:type="dxa"/>
            <w:tcBorders>
              <w:top w:val="single" w:color="000000" w:sz="8" w:space="0"/>
              <w:left w:val="single" w:color="000000" w:sz="8" w:space="0"/>
              <w:bottom w:val="single" w:color="000000" w:sz="8" w:space="0"/>
              <w:right w:val="single" w:color="000000" w:sz="8" w:space="0"/>
            </w:tcBorders>
          </w:tcPr>
          <w:p w14:paraId="21664205">
            <w:pPr>
              <w:keepNext w:val="0"/>
              <w:keepLines w:val="0"/>
              <w:widowControl/>
              <w:suppressLineNumbers w:val="0"/>
              <w:spacing w:before="0" w:beforeAutospacing="0" w:after="0" w:afterAutospacing="0"/>
              <w:ind w:left="0" w:right="0"/>
              <w:rPr>
                <w:rFonts w:hint="eastAsia"/>
                <w:color w:val="auto"/>
                <w:highlight w:val="none"/>
              </w:rPr>
            </w:pPr>
            <w:r>
              <w:rPr>
                <w:rFonts w:hint="eastAsia"/>
                <w:color w:val="auto"/>
                <w:highlight w:val="none"/>
              </w:rPr>
              <w:t>未按招标文件所提供的《政府采购投标及履约承诺函》进行承诺或不符合承诺的；</w:t>
            </w:r>
          </w:p>
        </w:tc>
      </w:tr>
      <w:tr w14:paraId="27D1860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tcPr>
          <w:p w14:paraId="0068B1FB">
            <w:pPr>
              <w:keepNext w:val="0"/>
              <w:keepLines w:val="0"/>
              <w:widowControl/>
              <w:suppressLineNumbers w:val="0"/>
              <w:spacing w:before="0" w:beforeAutospacing="0" w:after="0" w:afterAutospacing="0"/>
              <w:ind w:left="0" w:right="0"/>
              <w:jc w:val="center"/>
              <w:rPr>
                <w:rFonts w:hint="eastAsia" w:ascii="宋体" w:hAnsi="宋体" w:eastAsia="宋体" w:cs="宋体"/>
                <w:color w:val="auto"/>
                <w:szCs w:val="21"/>
                <w:highlight w:val="none"/>
                <w:lang w:eastAsia="zh-CN"/>
              </w:rPr>
            </w:pPr>
            <w:r>
              <w:rPr>
                <w:rFonts w:hint="eastAsia" w:eastAsia="宋体"/>
                <w:color w:val="auto"/>
                <w:szCs w:val="21"/>
                <w:highlight w:val="none"/>
                <w:lang w:val="en-US" w:eastAsia="zh-CN"/>
              </w:rPr>
              <w:t>8</w:t>
            </w:r>
          </w:p>
        </w:tc>
        <w:tc>
          <w:tcPr>
            <w:tcW w:w="8278" w:type="dxa"/>
            <w:tcBorders>
              <w:top w:val="single" w:color="000000" w:sz="8" w:space="0"/>
              <w:left w:val="single" w:color="000000" w:sz="8" w:space="0"/>
              <w:bottom w:val="single" w:color="000000" w:sz="8" w:space="0"/>
              <w:right w:val="single" w:color="000000" w:sz="8" w:space="0"/>
            </w:tcBorders>
          </w:tcPr>
          <w:p w14:paraId="58191120">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ascii="宋体" w:hAnsi="宋体" w:eastAsia="宋体"/>
                <w:color w:val="auto"/>
                <w:highlight w:val="none"/>
                <w:lang w:eastAsia="zh-CN"/>
              </w:rPr>
              <w:t>投标文件对</w:t>
            </w:r>
            <w:r>
              <w:rPr>
                <w:rFonts w:hint="eastAsia" w:ascii="宋体" w:hAnsi="宋体" w:eastAsia="宋体" w:cs="Times New Roman"/>
                <w:color w:val="auto"/>
                <w:kern w:val="0"/>
                <w:sz w:val="24"/>
                <w:szCs w:val="24"/>
                <w:highlight w:val="none"/>
                <w:lang w:val="en-US" w:eastAsia="zh-CN" w:bidi="ar"/>
              </w:rPr>
              <w:t>采购标的响应不全（响应不全情形包括：</w:t>
            </w:r>
            <w:r>
              <w:rPr>
                <w:rFonts w:hint="eastAsia" w:ascii="宋体" w:hAnsi="宋体" w:eastAsia="宋体"/>
                <w:color w:val="auto"/>
                <w:highlight w:val="none"/>
              </w:rPr>
              <w:t>投标报价有缺漏</w:t>
            </w:r>
            <w:r>
              <w:rPr>
                <w:rFonts w:hint="eastAsia" w:ascii="宋体" w:hAnsi="宋体" w:eastAsia="宋体"/>
                <w:color w:val="auto"/>
                <w:highlight w:val="none"/>
                <w:lang w:eastAsia="zh-CN"/>
              </w:rPr>
              <w:t>项，</w:t>
            </w:r>
            <w:r>
              <w:rPr>
                <w:rFonts w:hint="eastAsia" w:ascii="宋体" w:hAnsi="宋体" w:eastAsia="宋体"/>
                <w:color w:val="auto"/>
                <w:highlight w:val="none"/>
              </w:rPr>
              <w:t>对招标文件规定的项目需求内容或者需求数量进行修改</w:t>
            </w:r>
            <w:r>
              <w:rPr>
                <w:rFonts w:hint="eastAsia" w:ascii="宋体" w:hAnsi="宋体" w:eastAsia="宋体" w:cs="Times New Roman"/>
                <w:color w:val="auto"/>
                <w:kern w:val="0"/>
                <w:sz w:val="24"/>
                <w:szCs w:val="24"/>
                <w:highlight w:val="none"/>
                <w:lang w:val="en-US" w:eastAsia="zh-CN" w:bidi="ar"/>
              </w:rPr>
              <w:t>），</w:t>
            </w:r>
            <w:r>
              <w:rPr>
                <w:rFonts w:hint="eastAsia" w:ascii="宋体" w:hAnsi="宋体" w:eastAsia="宋体"/>
                <w:color w:val="auto"/>
                <w:highlight w:val="none"/>
              </w:rPr>
              <w:t>由评审委员会根据《</w:t>
            </w:r>
            <w:r>
              <w:rPr>
                <w:rFonts w:hint="eastAsia" w:ascii="宋体" w:hAnsi="宋体" w:eastAsia="宋体"/>
                <w:b w:val="0"/>
                <w:color w:val="auto"/>
                <w:highlight w:val="none"/>
                <w:lang w:eastAsia="zh-CN"/>
              </w:rPr>
              <w:t>项目详细报价</w:t>
            </w:r>
            <w:r>
              <w:rPr>
                <w:rFonts w:hint="eastAsia" w:ascii="宋体" w:hAnsi="宋体" w:eastAsia="宋体"/>
                <w:color w:val="auto"/>
                <w:highlight w:val="none"/>
              </w:rPr>
              <w:t>》做出评判）</w:t>
            </w:r>
          </w:p>
        </w:tc>
      </w:tr>
      <w:tr w14:paraId="18F1894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vAlign w:val="top"/>
          </w:tcPr>
          <w:p w14:paraId="5199E198">
            <w:pPr>
              <w:keepNext w:val="0"/>
              <w:keepLines w:val="0"/>
              <w:widowControl/>
              <w:suppressLineNumbers w:val="0"/>
              <w:spacing w:before="0" w:beforeAutospacing="0" w:after="0" w:afterAutospacing="0"/>
              <w:ind w:left="0" w:right="0"/>
              <w:jc w:val="center"/>
              <w:textAlignment w:val="top"/>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9</w:t>
            </w:r>
          </w:p>
        </w:tc>
        <w:tc>
          <w:tcPr>
            <w:tcW w:w="8278" w:type="dxa"/>
            <w:tcBorders>
              <w:top w:val="single" w:color="000000" w:sz="8" w:space="0"/>
              <w:left w:val="single" w:color="000000" w:sz="8" w:space="0"/>
              <w:bottom w:val="single" w:color="000000" w:sz="8" w:space="0"/>
              <w:right w:val="single" w:color="000000" w:sz="8" w:space="0"/>
            </w:tcBorders>
          </w:tcPr>
          <w:p w14:paraId="20324DC1">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投标文件存在列放位置错误，导致属于信息公开情形的没有被公开；</w:t>
            </w:r>
          </w:p>
        </w:tc>
      </w:tr>
      <w:tr w14:paraId="00B0272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vAlign w:val="top"/>
          </w:tcPr>
          <w:p w14:paraId="36A899FF">
            <w:pPr>
              <w:keepNext w:val="0"/>
              <w:keepLines w:val="0"/>
              <w:widowControl/>
              <w:suppressLineNumbers w:val="0"/>
              <w:spacing w:before="0" w:beforeAutospacing="0" w:after="0" w:afterAutospacing="0"/>
              <w:ind w:left="0" w:right="0"/>
              <w:jc w:val="center"/>
              <w:textAlignment w:val="top"/>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0</w:t>
            </w:r>
          </w:p>
        </w:tc>
        <w:tc>
          <w:tcPr>
            <w:tcW w:w="8278" w:type="dxa"/>
            <w:tcBorders>
              <w:top w:val="single" w:color="000000" w:sz="8" w:space="0"/>
              <w:left w:val="single" w:color="000000" w:sz="8" w:space="0"/>
              <w:bottom w:val="single" w:color="000000" w:sz="8" w:space="0"/>
              <w:right w:val="single" w:color="000000" w:sz="8" w:space="0"/>
            </w:tcBorders>
          </w:tcPr>
          <w:p w14:paraId="14E0A7EA">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投标文件电子文档带病毒；</w:t>
            </w:r>
          </w:p>
        </w:tc>
      </w:tr>
      <w:tr w14:paraId="28BCD11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vAlign w:val="top"/>
          </w:tcPr>
          <w:p w14:paraId="2EC513D8">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1</w:t>
            </w:r>
          </w:p>
        </w:tc>
        <w:tc>
          <w:tcPr>
            <w:tcW w:w="8278" w:type="dxa"/>
            <w:tcBorders>
              <w:top w:val="single" w:color="000000" w:sz="8" w:space="0"/>
              <w:left w:val="single" w:color="000000" w:sz="8" w:space="0"/>
              <w:bottom w:val="single" w:color="000000" w:sz="8" w:space="0"/>
              <w:right w:val="single" w:color="000000" w:sz="8" w:space="0"/>
            </w:tcBorders>
          </w:tcPr>
          <w:p w14:paraId="683E56F6">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投标文件用不属于本公司的电子密钥进行加密的；</w:t>
            </w:r>
          </w:p>
        </w:tc>
      </w:tr>
      <w:tr w14:paraId="1030049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vAlign w:val="top"/>
          </w:tcPr>
          <w:p w14:paraId="4F461DD7">
            <w:pPr>
              <w:keepNext w:val="0"/>
              <w:keepLines w:val="0"/>
              <w:widowControl/>
              <w:suppressLineNumbers w:val="0"/>
              <w:spacing w:before="0" w:beforeAutospacing="0" w:after="0" w:afterAutospacing="0"/>
              <w:ind w:left="0" w:right="0"/>
              <w:jc w:val="center"/>
              <w:rPr>
                <w:rFonts w:hint="default" w:eastAsia="宋体"/>
                <w:color w:val="auto"/>
                <w:szCs w:val="21"/>
                <w:highlight w:val="none"/>
                <w:lang w:val="en-US" w:eastAsia="zh-CN"/>
              </w:rPr>
            </w:pPr>
            <w:r>
              <w:rPr>
                <w:rFonts w:hint="eastAsia" w:eastAsia="宋体"/>
                <w:color w:val="auto"/>
                <w:szCs w:val="21"/>
                <w:highlight w:val="none"/>
                <w:lang w:val="en-US" w:eastAsia="zh-CN"/>
              </w:rPr>
              <w:t>12</w:t>
            </w:r>
          </w:p>
        </w:tc>
        <w:tc>
          <w:tcPr>
            <w:tcW w:w="8278" w:type="dxa"/>
            <w:tcBorders>
              <w:top w:val="single" w:color="000000" w:sz="8" w:space="0"/>
              <w:left w:val="single" w:color="000000" w:sz="8" w:space="0"/>
              <w:bottom w:val="single" w:color="000000" w:sz="8" w:space="0"/>
              <w:right w:val="single" w:color="000000" w:sz="8" w:space="0"/>
            </w:tcBorders>
          </w:tcPr>
          <w:p w14:paraId="2B2BE6D0">
            <w:pPr>
              <w:keepNext w:val="0"/>
              <w:keepLines w:val="0"/>
              <w:widowControl/>
              <w:suppressLineNumbers w:val="0"/>
              <w:spacing w:before="0" w:beforeAutospacing="0" w:after="0" w:afterAutospacing="0"/>
              <w:ind w:left="0" w:right="0"/>
              <w:rPr>
                <w:rFonts w:hint="eastAsia"/>
                <w:color w:val="auto"/>
                <w:highlight w:val="none"/>
              </w:rPr>
            </w:pPr>
            <w:r>
              <w:rPr>
                <w:rFonts w:hint="default"/>
                <w:color w:val="auto"/>
                <w:highlight w:val="none"/>
              </w:rPr>
              <w:t>不同投标供应商投标文件“文件制作机器码”</w:t>
            </w:r>
            <w:r>
              <w:rPr>
                <w:rFonts w:hint="eastAsia" w:eastAsia="宋体"/>
                <w:color w:val="auto"/>
                <w:highlight w:val="none"/>
                <w:lang w:val="en-US" w:eastAsia="zh-CN"/>
              </w:rPr>
              <w:t>或</w:t>
            </w:r>
            <w:r>
              <w:rPr>
                <w:rFonts w:hint="default"/>
                <w:color w:val="auto"/>
                <w:highlight w:val="none"/>
              </w:rPr>
              <w:t>“文件创建标</w:t>
            </w:r>
            <w:r>
              <w:rPr>
                <w:rFonts w:hint="eastAsia"/>
                <w:color w:val="auto"/>
                <w:highlight w:val="none"/>
              </w:rPr>
              <w:t>识码”一致</w:t>
            </w:r>
            <w:r>
              <w:rPr>
                <w:rFonts w:hint="eastAsia"/>
                <w:color w:val="auto"/>
                <w:highlight w:val="none"/>
                <w:lang w:eastAsia="zh-CN"/>
              </w:rPr>
              <w:t>的</w:t>
            </w:r>
            <w:r>
              <w:rPr>
                <w:rFonts w:hint="eastAsia"/>
                <w:color w:val="auto"/>
                <w:highlight w:val="none"/>
              </w:rPr>
              <w:t>；</w:t>
            </w:r>
          </w:p>
        </w:tc>
      </w:tr>
      <w:tr w14:paraId="1B679B3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vAlign w:val="top"/>
          </w:tcPr>
          <w:p w14:paraId="532705E4">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13</w:t>
            </w:r>
          </w:p>
        </w:tc>
        <w:tc>
          <w:tcPr>
            <w:tcW w:w="8278" w:type="dxa"/>
            <w:tcBorders>
              <w:top w:val="single" w:color="000000" w:sz="8" w:space="0"/>
              <w:left w:val="single" w:color="000000" w:sz="8" w:space="0"/>
              <w:bottom w:val="single" w:color="000000" w:sz="8" w:space="0"/>
              <w:right w:val="single" w:color="000000" w:sz="8" w:space="0"/>
            </w:tcBorders>
          </w:tcPr>
          <w:p w14:paraId="7D095B6C">
            <w:pPr>
              <w:keepNext w:val="0"/>
              <w:keepLines w:val="0"/>
              <w:widowControl/>
              <w:suppressLineNumbers w:val="0"/>
              <w:spacing w:before="0" w:beforeAutospacing="0" w:after="0" w:afterAutospacing="0"/>
              <w:ind w:left="0" w:right="0"/>
              <w:rPr>
                <w:rFonts w:hint="default" w:ascii="宋体" w:hAnsi="宋体" w:cs="宋体"/>
                <w:color w:val="auto"/>
                <w:szCs w:val="21"/>
                <w:highlight w:val="none"/>
              </w:rPr>
            </w:pPr>
            <w:r>
              <w:rPr>
                <w:rFonts w:hint="eastAsia"/>
                <w:color w:val="auto"/>
                <w:highlight w:val="none"/>
              </w:rPr>
              <w:t>法律、法规、规章、规范性文件规定的其他情形。</w:t>
            </w:r>
          </w:p>
        </w:tc>
      </w:tr>
    </w:tbl>
    <w:p w14:paraId="22DEDC75">
      <w:pPr>
        <w:rPr>
          <w:rFonts w:hint="eastAsia" w:ascii="黑体" w:hAnsi="黑体" w:eastAsia="黑体"/>
          <w:color w:val="auto"/>
          <w:sz w:val="40"/>
          <w:szCs w:val="40"/>
          <w:highlight w:val="none"/>
        </w:rPr>
      </w:pPr>
      <w:r>
        <w:rPr>
          <w:rFonts w:hint="eastAsia" w:ascii="黑体" w:hAnsi="黑体" w:eastAsia="黑体"/>
          <w:color w:val="auto"/>
          <w:sz w:val="40"/>
          <w:szCs w:val="40"/>
          <w:highlight w:val="none"/>
        </w:rPr>
        <w:br w:type="page"/>
      </w:r>
    </w:p>
    <w:p w14:paraId="0E4AC3F7">
      <w:pPr>
        <w:pStyle w:val="15"/>
        <w:spacing w:line="360" w:lineRule="auto"/>
        <w:jc w:val="center"/>
        <w:outlineLvl w:val="1"/>
        <w:rPr>
          <w:rFonts w:ascii="黑体" w:hAnsi="黑体" w:eastAsia="黑体"/>
          <w:color w:val="auto"/>
          <w:sz w:val="40"/>
          <w:szCs w:val="40"/>
          <w:highlight w:val="none"/>
        </w:rPr>
      </w:pPr>
      <w:r>
        <w:rPr>
          <w:rFonts w:hint="eastAsia" w:ascii="黑体" w:hAnsi="黑体" w:eastAsia="黑体"/>
          <w:color w:val="auto"/>
          <w:sz w:val="40"/>
          <w:szCs w:val="40"/>
          <w:highlight w:val="none"/>
        </w:rPr>
        <w:t>投标书目录</w:t>
      </w:r>
    </w:p>
    <w:tbl>
      <w:tblPr>
        <w:tblStyle w:val="17"/>
        <w:tblW w:w="9072" w:type="dxa"/>
        <w:jc w:val="center"/>
        <w:tblCellSpacing w:w="0" w:type="dxa"/>
        <w:tblLayout w:type="fixed"/>
        <w:tblCellMar>
          <w:top w:w="45" w:type="dxa"/>
          <w:left w:w="45" w:type="dxa"/>
          <w:bottom w:w="45" w:type="dxa"/>
          <w:right w:w="45" w:type="dxa"/>
        </w:tblCellMar>
      </w:tblPr>
      <w:tblGrid>
        <w:gridCol w:w="9072"/>
      </w:tblGrid>
      <w:tr w14:paraId="03169851">
        <w:tblPrEx>
          <w:tblCellMar>
            <w:top w:w="45" w:type="dxa"/>
            <w:left w:w="45" w:type="dxa"/>
            <w:bottom w:w="45" w:type="dxa"/>
            <w:right w:w="45" w:type="dxa"/>
          </w:tblCellMar>
        </w:tblPrEx>
        <w:trPr>
          <w:trHeight w:val="11432" w:hRule="atLeast"/>
          <w:tblCellSpacing w:w="0" w:type="dxa"/>
          <w:jc w:val="center"/>
        </w:trPr>
        <w:tc>
          <w:tcPr>
            <w:tcW w:w="9072" w:type="dxa"/>
            <w:vAlign w:val="center"/>
          </w:tcPr>
          <w:p w14:paraId="3DE5486A">
            <w:pPr>
              <w:keepNext w:val="0"/>
              <w:keepLines w:val="0"/>
              <w:widowControl/>
              <w:suppressLineNumbers w:val="0"/>
              <w:spacing w:before="0" w:beforeAutospacing="0" w:after="0" w:afterAutospacing="0"/>
              <w:ind w:left="0" w:right="0"/>
              <w:outlineLvl w:val="1"/>
              <w:rPr>
                <w:rFonts w:hint="default" w:ascii="宋体" w:hAnsi="宋体"/>
                <w:b/>
                <w:bCs/>
                <w:color w:val="auto"/>
                <w:sz w:val="28"/>
                <w:szCs w:val="28"/>
                <w:highlight w:val="none"/>
              </w:rPr>
            </w:pPr>
            <w:r>
              <w:rPr>
                <w:rFonts w:hint="eastAsia" w:ascii="宋体" w:hAnsi="宋体"/>
                <w:b/>
                <w:bCs/>
                <w:color w:val="auto"/>
                <w:sz w:val="28"/>
                <w:szCs w:val="28"/>
                <w:highlight w:val="none"/>
              </w:rPr>
              <w:t>1.投标文件正文（信息公开部分）：</w:t>
            </w:r>
          </w:p>
          <w:p w14:paraId="78543EAE">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（1）投标函</w:t>
            </w:r>
          </w:p>
          <w:p w14:paraId="2CF0E9B5">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（2）政府采购投标及履约承诺函</w:t>
            </w:r>
          </w:p>
          <w:p w14:paraId="1E4054E4">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（3）投标人情况及资格证明文件</w:t>
            </w:r>
          </w:p>
          <w:p w14:paraId="16DAC602">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（4）项目详细报价</w:t>
            </w:r>
          </w:p>
          <w:p w14:paraId="5FAFA201">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（5）投标人通过相关认证情况</w:t>
            </w:r>
          </w:p>
          <w:p w14:paraId="7AAF1C66">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（6）投标人同类项目业绩情况</w:t>
            </w:r>
          </w:p>
          <w:p w14:paraId="0393E7EC">
            <w:pPr>
              <w:keepNext w:val="0"/>
              <w:keepLines w:val="0"/>
              <w:widowControl/>
              <w:suppressLineNumbers w:val="0"/>
              <w:spacing w:before="0" w:beforeAutospacing="0" w:after="0" w:afterAutospacing="0"/>
              <w:ind w:left="0" w:right="0"/>
              <w:outlineLvl w:val="1"/>
              <w:rPr>
                <w:rFonts w:hint="eastAsia" w:ascii="宋体" w:hAnsi="宋体"/>
                <w:color w:val="auto"/>
                <w:sz w:val="28"/>
                <w:szCs w:val="28"/>
                <w:highlight w:val="none"/>
              </w:rPr>
            </w:pPr>
            <w:r>
              <w:rPr>
                <w:rFonts w:hint="eastAsia" w:ascii="宋体" w:hAnsi="宋体"/>
                <w:color w:val="auto"/>
                <w:sz w:val="28"/>
                <w:szCs w:val="28"/>
                <w:highlight w:val="none"/>
              </w:rPr>
              <w:t>（7）投标人自主知识产权产品（创新、设计）情况</w:t>
            </w:r>
          </w:p>
          <w:p w14:paraId="18CD33AF">
            <w:pPr>
              <w:keepNext w:val="0"/>
              <w:keepLines w:val="0"/>
              <w:widowControl/>
              <w:suppressLineNumbers w:val="0"/>
              <w:spacing w:before="0" w:beforeAutospacing="0" w:after="0" w:afterAutospacing="0"/>
              <w:ind w:left="0" w:right="0"/>
              <w:outlineLvl w:val="1"/>
              <w:rPr>
                <w:rFonts w:hint="eastAsia" w:ascii="宋体" w:hAnsi="宋体" w:eastAsia="宋体"/>
                <w:color w:val="auto"/>
                <w:sz w:val="28"/>
                <w:szCs w:val="28"/>
                <w:highlight w:val="none"/>
                <w:lang w:eastAsia="zh-CN"/>
              </w:rPr>
            </w:pPr>
            <w:r>
              <w:rPr>
                <w:rFonts w:hint="eastAsia" w:ascii="宋体" w:hAnsi="宋体"/>
                <w:color w:val="auto"/>
                <w:sz w:val="28"/>
                <w:szCs w:val="28"/>
                <w:highlight w:val="none"/>
              </w:rPr>
              <w:t>（8）投标人认为需要加以说明的其他公开内容（格式自定</w:t>
            </w:r>
            <w:r>
              <w:rPr>
                <w:rFonts w:hint="eastAsia" w:ascii="宋体" w:hAnsi="宋体" w:eastAsia="宋体"/>
                <w:color w:val="auto"/>
                <w:sz w:val="28"/>
                <w:szCs w:val="28"/>
                <w:highlight w:val="none"/>
                <w:lang w:eastAsia="zh-CN"/>
              </w:rPr>
              <w:t>）</w:t>
            </w:r>
          </w:p>
          <w:p w14:paraId="11694F14">
            <w:pPr>
              <w:keepNext w:val="0"/>
              <w:keepLines w:val="0"/>
              <w:widowControl/>
              <w:suppressLineNumbers w:val="0"/>
              <w:spacing w:before="0" w:beforeAutospacing="0" w:after="0" w:afterAutospacing="0"/>
              <w:ind w:left="0" w:right="0"/>
              <w:outlineLvl w:val="1"/>
              <w:rPr>
                <w:rFonts w:hint="default" w:ascii="宋体" w:hAnsi="宋体"/>
                <w:b/>
                <w:bCs/>
                <w:color w:val="auto"/>
                <w:sz w:val="28"/>
                <w:szCs w:val="28"/>
                <w:highlight w:val="none"/>
              </w:rPr>
            </w:pPr>
            <w:r>
              <w:rPr>
                <w:rFonts w:hint="eastAsia" w:ascii="宋体" w:hAnsi="宋体"/>
                <w:b/>
                <w:bCs/>
                <w:color w:val="auto"/>
                <w:sz w:val="28"/>
                <w:szCs w:val="28"/>
                <w:highlight w:val="none"/>
              </w:rPr>
              <w:t>2.投标文件附件（信息不公开部分）：</w:t>
            </w:r>
          </w:p>
          <w:p w14:paraId="3C7D028D">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（1）法定代表人（负责人或执行事务合伙人）资格证明书</w:t>
            </w:r>
          </w:p>
          <w:p w14:paraId="1EF68E0C">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（2）投标文件签署授权委托书</w:t>
            </w:r>
          </w:p>
          <w:p w14:paraId="6036EB6A">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（3）供应商基本情况表</w:t>
            </w:r>
          </w:p>
          <w:p w14:paraId="6AC2F5EA">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（4）实质性条款响应情况表</w:t>
            </w:r>
          </w:p>
          <w:p w14:paraId="4F678FB5">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（5）承诺函</w:t>
            </w:r>
          </w:p>
          <w:p w14:paraId="317A5D8F">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（6）商务、服务条款偏离表</w:t>
            </w:r>
          </w:p>
          <w:p w14:paraId="74A416AD">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（7）拟安排的项目负责人情况（仅限一人）</w:t>
            </w:r>
          </w:p>
          <w:p w14:paraId="3BBAECB7">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（8）拟安排的项目主要团队成员（主要技术人员）情况（项目负责人除外）</w:t>
            </w:r>
          </w:p>
          <w:p w14:paraId="272CBA73">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（9）实施方案（格式自定）</w:t>
            </w:r>
          </w:p>
          <w:p w14:paraId="00B9C878">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（10）项目重点难点分析、应对措施及相关的合理化建议（格式自定）</w:t>
            </w:r>
          </w:p>
          <w:p w14:paraId="70AA2E8D">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（11）质量（完成时间、安全、环保）保障措施及方案（格式自定）</w:t>
            </w:r>
          </w:p>
          <w:p w14:paraId="2A949025">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（12）项目完成（服务期满）后的服务承诺（格式自定）</w:t>
            </w:r>
          </w:p>
          <w:p w14:paraId="1EB2DAD5">
            <w:pPr>
              <w:keepNext w:val="0"/>
              <w:keepLines w:val="0"/>
              <w:widowControl/>
              <w:suppressLineNumbers w:val="0"/>
              <w:spacing w:before="0" w:beforeAutospacing="0" w:after="0" w:afterAutospacing="0"/>
              <w:ind w:left="0" w:right="0"/>
              <w:outlineLvl w:val="1"/>
              <w:rPr>
                <w:rFonts w:hint="eastAsia" w:ascii="宋体" w:hAnsi="宋体" w:cs="Times New Roman"/>
                <w:color w:val="auto"/>
                <w:sz w:val="28"/>
                <w:szCs w:val="28"/>
                <w:highlight w:val="none"/>
              </w:rPr>
            </w:pPr>
            <w:r>
              <w:rPr>
                <w:rFonts w:hint="eastAsia" w:ascii="宋体" w:hAnsi="宋体" w:cs="Times New Roman"/>
                <w:color w:val="auto"/>
                <w:sz w:val="28"/>
                <w:szCs w:val="28"/>
                <w:highlight w:val="none"/>
              </w:rPr>
              <w:t>（13）违约承诺（格式自定）</w:t>
            </w:r>
          </w:p>
          <w:p w14:paraId="2EBE1703">
            <w:pPr>
              <w:keepNext w:val="0"/>
              <w:keepLines w:val="0"/>
              <w:widowControl/>
              <w:suppressLineNumbers w:val="0"/>
              <w:spacing w:before="0" w:beforeAutospacing="0" w:after="0" w:afterAutospacing="0"/>
              <w:ind w:left="0" w:right="0"/>
              <w:outlineLvl w:val="1"/>
              <w:rPr>
                <w:rFonts w:hint="default" w:ascii="宋体" w:hAnsi="宋体" w:cs="宋体"/>
                <w:color w:val="auto"/>
                <w:highlight w:val="none"/>
              </w:rPr>
            </w:pPr>
            <w:r>
              <w:rPr>
                <w:rFonts w:hint="eastAsia" w:ascii="宋体" w:hAnsi="宋体" w:cs="Times New Roman"/>
                <w:color w:val="auto"/>
                <w:sz w:val="28"/>
                <w:szCs w:val="28"/>
                <w:highlight w:val="none"/>
              </w:rPr>
              <w:t>（14）投标人认为需要加以说明的其他不公开内容（格式自定）</w:t>
            </w:r>
          </w:p>
        </w:tc>
      </w:tr>
    </w:tbl>
    <w:p w14:paraId="0A2DEB65">
      <w:pPr>
        <w:rPr>
          <w:color w:val="auto"/>
          <w:highlight w:val="none"/>
        </w:rPr>
      </w:pPr>
    </w:p>
    <w:p w14:paraId="28341EF1">
      <w:pPr>
        <w:pStyle w:val="6"/>
        <w:rPr>
          <w:color w:val="auto"/>
          <w:highlight w:val="none"/>
        </w:rPr>
      </w:pPr>
    </w:p>
    <w:p w14:paraId="65F853E2">
      <w:pPr>
        <w:rPr>
          <w:color w:val="auto"/>
          <w:highlight w:val="none"/>
        </w:rPr>
      </w:pPr>
      <w:r>
        <w:rPr>
          <w:color w:val="auto"/>
          <w:highlight w:val="none"/>
        </w:rPr>
        <w:br w:type="page"/>
      </w:r>
    </w:p>
    <w:p w14:paraId="52A67A5A">
      <w:pPr>
        <w:rPr>
          <w:color w:val="auto"/>
          <w:highlight w:val="none"/>
        </w:rPr>
      </w:pPr>
    </w:p>
    <w:p w14:paraId="1BE9E178">
      <w:pPr>
        <w:rPr>
          <w:color w:val="auto"/>
          <w:highlight w:val="none"/>
        </w:rPr>
      </w:pPr>
    </w:p>
    <w:p w14:paraId="76248413">
      <w:pPr>
        <w:rPr>
          <w:color w:val="auto"/>
          <w:highlight w:val="none"/>
        </w:rPr>
      </w:pPr>
    </w:p>
    <w:p w14:paraId="2FF3549D">
      <w:pPr>
        <w:rPr>
          <w:color w:val="auto"/>
          <w:highlight w:val="none"/>
        </w:rPr>
      </w:pPr>
    </w:p>
    <w:p w14:paraId="39B26FA8">
      <w:pPr>
        <w:rPr>
          <w:color w:val="auto"/>
          <w:highlight w:val="none"/>
        </w:rPr>
      </w:pPr>
    </w:p>
    <w:p w14:paraId="026104F5">
      <w:pPr>
        <w:rPr>
          <w:color w:val="auto"/>
          <w:highlight w:val="none"/>
        </w:rPr>
      </w:pPr>
    </w:p>
    <w:p w14:paraId="781F27B1">
      <w:pPr>
        <w:rPr>
          <w:color w:val="auto"/>
          <w:highlight w:val="none"/>
        </w:rPr>
      </w:pPr>
    </w:p>
    <w:p w14:paraId="3A62E5CF">
      <w:pPr>
        <w:jc w:val="center"/>
        <w:rPr>
          <w:b/>
          <w:color w:val="auto"/>
          <w:sz w:val="120"/>
          <w:szCs w:val="120"/>
          <w:highlight w:val="none"/>
        </w:rPr>
      </w:pPr>
      <w:r>
        <w:rPr>
          <w:rFonts w:hint="eastAsia"/>
          <w:b/>
          <w:color w:val="auto"/>
          <w:sz w:val="120"/>
          <w:szCs w:val="120"/>
          <w:highlight w:val="none"/>
        </w:rPr>
        <w:t>政府采购</w:t>
      </w:r>
    </w:p>
    <w:p w14:paraId="21FAFF36">
      <w:pPr>
        <w:jc w:val="center"/>
        <w:rPr>
          <w:b/>
          <w:color w:val="auto"/>
          <w:sz w:val="120"/>
          <w:szCs w:val="120"/>
          <w:highlight w:val="none"/>
        </w:rPr>
      </w:pPr>
      <w:r>
        <w:rPr>
          <w:rFonts w:hint="eastAsia"/>
          <w:b/>
          <w:color w:val="auto"/>
          <w:sz w:val="120"/>
          <w:szCs w:val="120"/>
          <w:highlight w:val="none"/>
        </w:rPr>
        <w:t>招标文件</w:t>
      </w:r>
    </w:p>
    <w:p w14:paraId="46D2D745">
      <w:pPr>
        <w:jc w:val="center"/>
        <w:rPr>
          <w:b/>
          <w:color w:val="auto"/>
          <w:sz w:val="52"/>
          <w:szCs w:val="52"/>
          <w:highlight w:val="none"/>
        </w:rPr>
      </w:pPr>
    </w:p>
    <w:p w14:paraId="26B3D387">
      <w:pPr>
        <w:jc w:val="center"/>
        <w:rPr>
          <w:b/>
          <w:color w:val="auto"/>
          <w:sz w:val="52"/>
          <w:szCs w:val="52"/>
          <w:highlight w:val="none"/>
        </w:rPr>
      </w:pPr>
    </w:p>
    <w:p w14:paraId="47140315">
      <w:pPr>
        <w:jc w:val="center"/>
        <w:rPr>
          <w:b/>
          <w:color w:val="auto"/>
          <w:sz w:val="52"/>
          <w:szCs w:val="52"/>
          <w:highlight w:val="none"/>
        </w:rPr>
      </w:pPr>
    </w:p>
    <w:p w14:paraId="6F7EA5C8">
      <w:pPr>
        <w:jc w:val="center"/>
        <w:rPr>
          <w:b/>
          <w:color w:val="auto"/>
          <w:sz w:val="52"/>
          <w:szCs w:val="52"/>
          <w:highlight w:val="none"/>
        </w:rPr>
      </w:pPr>
      <w:r>
        <w:rPr>
          <w:rFonts w:hint="eastAsia"/>
          <w:b/>
          <w:color w:val="auto"/>
          <w:sz w:val="52"/>
          <w:szCs w:val="52"/>
          <w:highlight w:val="none"/>
        </w:rPr>
        <w:t>（服务类）</w:t>
      </w:r>
    </w:p>
    <w:p w14:paraId="72E072D0">
      <w:pPr>
        <w:rPr>
          <w:color w:val="auto"/>
          <w:highlight w:val="none"/>
        </w:rPr>
      </w:pPr>
    </w:p>
    <w:p w14:paraId="6DEEB3B3">
      <w:pPr>
        <w:rPr>
          <w:color w:val="auto"/>
          <w:highlight w:val="none"/>
        </w:rPr>
      </w:pPr>
    </w:p>
    <w:p w14:paraId="254AA577">
      <w:pPr>
        <w:rPr>
          <w:color w:val="auto"/>
          <w:highlight w:val="none"/>
        </w:rPr>
      </w:pPr>
    </w:p>
    <w:p w14:paraId="1916FE72">
      <w:pPr>
        <w:rPr>
          <w:color w:val="auto"/>
          <w:highlight w:val="none"/>
        </w:rPr>
      </w:pPr>
    </w:p>
    <w:p w14:paraId="4A591BE9">
      <w:pPr>
        <w:rPr>
          <w:color w:val="auto"/>
          <w:highlight w:val="none"/>
        </w:rPr>
      </w:pPr>
    </w:p>
    <w:p w14:paraId="15910200">
      <w:pPr>
        <w:rPr>
          <w:color w:val="auto"/>
          <w:highlight w:val="none"/>
        </w:rPr>
      </w:pPr>
    </w:p>
    <w:p w14:paraId="2652F94C">
      <w:pPr>
        <w:jc w:val="center"/>
        <w:rPr>
          <w:b/>
          <w:color w:val="auto"/>
          <w:sz w:val="44"/>
          <w:szCs w:val="44"/>
          <w:highlight w:val="none"/>
        </w:rPr>
      </w:pPr>
    </w:p>
    <w:p w14:paraId="416AD4A5">
      <w:pPr>
        <w:jc w:val="center"/>
        <w:rPr>
          <w:b/>
          <w:color w:val="auto"/>
          <w:sz w:val="44"/>
          <w:szCs w:val="44"/>
          <w:highlight w:val="none"/>
        </w:rPr>
      </w:pPr>
    </w:p>
    <w:p w14:paraId="55AB89B0">
      <w:pPr>
        <w:jc w:val="center"/>
        <w:rPr>
          <w:b/>
          <w:color w:val="auto"/>
          <w:sz w:val="44"/>
          <w:szCs w:val="44"/>
          <w:highlight w:val="none"/>
        </w:rPr>
      </w:pPr>
    </w:p>
    <w:p w14:paraId="57EE8817">
      <w:pPr>
        <w:jc w:val="center"/>
        <w:rPr>
          <w:rFonts w:eastAsia="宋体"/>
          <w:b/>
          <w:color w:val="auto"/>
          <w:sz w:val="44"/>
          <w:szCs w:val="44"/>
          <w:highlight w:val="none"/>
        </w:rPr>
      </w:pPr>
      <w:bookmarkStart w:id="1" w:name="_Hlk71465316"/>
      <w:r>
        <w:rPr>
          <w:rFonts w:hint="eastAsia" w:eastAsia="宋体"/>
          <w:b/>
          <w:color w:val="auto"/>
          <w:sz w:val="44"/>
          <w:szCs w:val="44"/>
          <w:highlight w:val="none"/>
        </w:rPr>
        <w:t>友和保险经纪有限公司</w:t>
      </w:r>
    </w:p>
    <w:bookmarkEnd w:id="1"/>
    <w:p w14:paraId="05211615">
      <w:pPr>
        <w:keepNext w:val="0"/>
        <w:keepLines w:val="0"/>
        <w:pageBreakBefore w:val="0"/>
        <w:widowControl/>
        <w:kinsoku/>
        <w:wordWrap/>
        <w:overflowPunct/>
        <w:topLinePunct w:val="0"/>
        <w:autoSpaceDE/>
        <w:autoSpaceDN/>
        <w:bidi w:val="0"/>
        <w:adjustRightInd/>
        <w:snapToGrid/>
        <w:spacing w:line="360" w:lineRule="auto"/>
        <w:ind w:firstLine="3600" w:firstLineChars="1500"/>
        <w:textAlignment w:val="auto"/>
        <w:outlineLvl w:val="1"/>
        <w:rPr>
          <w:rFonts w:ascii="宋体" w:hAnsi="宋体"/>
          <w:color w:val="auto"/>
          <w:sz w:val="30"/>
          <w:szCs w:val="30"/>
          <w:highlight w:val="none"/>
        </w:rPr>
      </w:pPr>
      <w:r>
        <w:rPr>
          <w:rFonts w:hint="eastAsia"/>
          <w:color w:val="auto"/>
          <w:highlight w:val="none"/>
        </w:rPr>
        <w:br w:type="page"/>
      </w:r>
      <w:r>
        <w:rPr>
          <w:rFonts w:hint="eastAsia" w:ascii="宋体" w:hAnsi="宋体" w:eastAsia="黑体"/>
          <w:b/>
          <w:bCs/>
          <w:color w:val="auto"/>
          <w:kern w:val="44"/>
          <w:sz w:val="30"/>
          <w:szCs w:val="30"/>
          <w:highlight w:val="none"/>
        </w:rPr>
        <w:t>警示条款</w:t>
      </w:r>
    </w:p>
    <w:p w14:paraId="7ED6CF32">
      <w:pPr>
        <w:ind w:firstLine="480" w:firstLineChars="200"/>
        <w:rPr>
          <w:rFonts w:hint="eastAsia" w:ascii="宋体" w:hAnsi="宋体"/>
          <w:color w:val="auto"/>
          <w:highlight w:val="none"/>
        </w:rPr>
      </w:pPr>
      <w:r>
        <w:rPr>
          <w:rFonts w:hint="eastAsia" w:ascii="宋体" w:hAnsi="宋体"/>
          <w:color w:val="auto"/>
          <w:highlight w:val="none"/>
          <w:lang w:eastAsia="zh-CN"/>
        </w:rPr>
        <w:t>一、</w:t>
      </w:r>
      <w:r>
        <w:rPr>
          <w:rFonts w:hint="eastAsia" w:ascii="宋体" w:hAnsi="宋体"/>
          <w:color w:val="auto"/>
          <w:highlight w:val="none"/>
        </w:rPr>
        <w:t>参与本项目政府采购活动的供应商应认真阅读以下特别警示条款，不得存在以下所列禁止情形，一旦发现，将被处以记入供应商诚信档案、罚款、取消参与政府采购资格、吊销营业执照等处罚；构成犯罪的，依法追究刑事责任。</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1"/>
        <w:gridCol w:w="7711"/>
      </w:tblGrid>
      <w:tr w14:paraId="1884C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1C19C1D6">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序号</w:t>
            </w:r>
          </w:p>
        </w:tc>
        <w:tc>
          <w:tcPr>
            <w:tcW w:w="7711" w:type="dxa"/>
            <w:vAlign w:val="center"/>
          </w:tcPr>
          <w:p w14:paraId="0C9612F7">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供应商参与投标禁止情形</w:t>
            </w:r>
          </w:p>
        </w:tc>
      </w:tr>
      <w:tr w14:paraId="13433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26CF2445">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1</w:t>
            </w:r>
          </w:p>
        </w:tc>
        <w:tc>
          <w:tcPr>
            <w:tcW w:w="7711" w:type="dxa"/>
            <w:vAlign w:val="center"/>
          </w:tcPr>
          <w:p w14:paraId="7C992B1F">
            <w:pPr>
              <w:keepNext w:val="0"/>
              <w:keepLines w:val="0"/>
              <w:widowControl w:val="0"/>
              <w:suppressLineNumbers w:val="0"/>
              <w:spacing w:before="0" w:beforeAutospacing="0" w:after="0" w:afterAutospacing="0"/>
              <w:ind w:left="0" w:right="0"/>
              <w:jc w:val="both"/>
              <w:rPr>
                <w:rFonts w:hint="eastAsia" w:ascii="宋体" w:hAnsi="宋体"/>
                <w:color w:val="auto"/>
                <w:highlight w:val="none"/>
              </w:rPr>
            </w:pPr>
            <w:r>
              <w:rPr>
                <w:rFonts w:hint="eastAsia" w:ascii="宋体" w:hAnsi="宋体"/>
                <w:color w:val="auto"/>
                <w:highlight w:val="none"/>
              </w:rPr>
              <w:t>与其他投标供应商的法定代表人、主要经营负责人、投标授权代表人、项目负责人、主要技术人员为</w:t>
            </w:r>
            <w:r>
              <w:rPr>
                <w:rFonts w:hint="eastAsia" w:ascii="宋体" w:hAnsi="宋体"/>
                <w:b/>
                <w:bCs/>
                <w:color w:val="auto"/>
                <w:highlight w:val="none"/>
              </w:rPr>
              <w:t>同一人、属同一单位或者在同一单位缴纳社会保险。</w:t>
            </w:r>
          </w:p>
        </w:tc>
      </w:tr>
      <w:tr w14:paraId="2BF58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4A2A1687">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2</w:t>
            </w:r>
          </w:p>
        </w:tc>
        <w:tc>
          <w:tcPr>
            <w:tcW w:w="7711" w:type="dxa"/>
            <w:vAlign w:val="center"/>
          </w:tcPr>
          <w:p w14:paraId="2F5139E4">
            <w:pPr>
              <w:keepNext w:val="0"/>
              <w:keepLines w:val="0"/>
              <w:widowControl w:val="0"/>
              <w:suppressLineNumbers w:val="0"/>
              <w:spacing w:before="0" w:beforeAutospacing="0" w:after="0" w:afterAutospacing="0"/>
              <w:ind w:left="0" w:right="0"/>
              <w:jc w:val="both"/>
              <w:rPr>
                <w:rFonts w:hint="eastAsia" w:ascii="宋体" w:hAnsi="宋体"/>
                <w:color w:val="auto"/>
                <w:highlight w:val="none"/>
              </w:rPr>
            </w:pPr>
            <w:r>
              <w:rPr>
                <w:rFonts w:hint="eastAsia" w:ascii="宋体" w:hAnsi="宋体"/>
                <w:color w:val="auto"/>
                <w:highlight w:val="none"/>
              </w:rPr>
              <w:t>参与本项目政府采购活动时，与其他投标供应商存在单位负责人为</w:t>
            </w:r>
            <w:r>
              <w:rPr>
                <w:rFonts w:hint="eastAsia" w:ascii="宋体" w:hAnsi="宋体"/>
                <w:b/>
                <w:bCs/>
                <w:color w:val="auto"/>
                <w:highlight w:val="none"/>
              </w:rPr>
              <w:t>同一人或直接控股、管理关系</w:t>
            </w:r>
            <w:r>
              <w:rPr>
                <w:rFonts w:hint="eastAsia" w:ascii="宋体" w:hAnsi="宋体"/>
                <w:color w:val="auto"/>
                <w:highlight w:val="none"/>
              </w:rPr>
              <w:t>。</w:t>
            </w:r>
          </w:p>
        </w:tc>
      </w:tr>
      <w:tr w14:paraId="65B99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0918595E">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3</w:t>
            </w:r>
          </w:p>
        </w:tc>
        <w:tc>
          <w:tcPr>
            <w:tcW w:w="7711" w:type="dxa"/>
            <w:vAlign w:val="center"/>
          </w:tcPr>
          <w:p w14:paraId="55FD9223">
            <w:pPr>
              <w:keepNext w:val="0"/>
              <w:keepLines w:val="0"/>
              <w:widowControl w:val="0"/>
              <w:suppressLineNumbers w:val="0"/>
              <w:spacing w:before="0" w:beforeAutospacing="0" w:after="0" w:afterAutospacing="0"/>
              <w:ind w:left="0" w:right="0"/>
              <w:jc w:val="both"/>
              <w:rPr>
                <w:rFonts w:hint="eastAsia" w:ascii="宋体" w:hAnsi="宋体"/>
                <w:color w:val="auto"/>
                <w:highlight w:val="none"/>
              </w:rPr>
            </w:pPr>
            <w:r>
              <w:rPr>
                <w:rFonts w:hint="eastAsia" w:ascii="宋体" w:hAnsi="宋体"/>
                <w:color w:val="auto"/>
                <w:highlight w:val="none"/>
              </w:rPr>
              <w:t>与其他投标供应商的投标文件或部分投标文件</w:t>
            </w:r>
            <w:r>
              <w:rPr>
                <w:rFonts w:hint="eastAsia" w:ascii="宋体" w:hAnsi="宋体"/>
                <w:b/>
                <w:bCs/>
                <w:color w:val="auto"/>
                <w:highlight w:val="none"/>
              </w:rPr>
              <w:t>相互混装或存在非正常一致</w:t>
            </w:r>
            <w:r>
              <w:rPr>
                <w:rFonts w:hint="eastAsia" w:ascii="宋体" w:hAnsi="宋体"/>
                <w:color w:val="auto"/>
                <w:highlight w:val="none"/>
              </w:rPr>
              <w:t>。</w:t>
            </w:r>
          </w:p>
        </w:tc>
      </w:tr>
      <w:tr w14:paraId="6756BB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4EBBE6BC">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4</w:t>
            </w:r>
          </w:p>
        </w:tc>
        <w:tc>
          <w:tcPr>
            <w:tcW w:w="7711" w:type="dxa"/>
            <w:vAlign w:val="center"/>
          </w:tcPr>
          <w:p w14:paraId="189C4F4A">
            <w:pPr>
              <w:keepNext w:val="0"/>
              <w:keepLines w:val="0"/>
              <w:widowControl w:val="0"/>
              <w:suppressLineNumbers w:val="0"/>
              <w:spacing w:before="0" w:beforeAutospacing="0" w:after="0" w:afterAutospacing="0"/>
              <w:ind w:left="0" w:right="0"/>
              <w:jc w:val="both"/>
              <w:rPr>
                <w:rFonts w:hint="eastAsia" w:ascii="宋体" w:hAnsi="宋体"/>
                <w:color w:val="auto"/>
                <w:highlight w:val="none"/>
              </w:rPr>
            </w:pPr>
            <w:r>
              <w:rPr>
                <w:rFonts w:hint="eastAsia" w:ascii="宋体" w:hAnsi="宋体"/>
                <w:color w:val="auto"/>
                <w:highlight w:val="none"/>
              </w:rPr>
              <w:t>与其他投标供应商的投标文件由</w:t>
            </w:r>
            <w:r>
              <w:rPr>
                <w:rFonts w:hint="eastAsia" w:ascii="宋体" w:hAnsi="宋体"/>
                <w:b/>
                <w:bCs/>
                <w:color w:val="auto"/>
                <w:highlight w:val="none"/>
              </w:rPr>
              <w:t>同一单位或者同一人编制</w:t>
            </w:r>
            <w:r>
              <w:rPr>
                <w:rFonts w:hint="eastAsia" w:ascii="宋体" w:hAnsi="宋体"/>
                <w:color w:val="auto"/>
                <w:highlight w:val="none"/>
              </w:rPr>
              <w:t>，或者使用</w:t>
            </w:r>
            <w:r>
              <w:rPr>
                <w:rFonts w:hint="eastAsia" w:ascii="宋体" w:hAnsi="宋体"/>
                <w:b/>
                <w:bCs/>
                <w:color w:val="auto"/>
                <w:highlight w:val="none"/>
              </w:rPr>
              <w:t>同一设备编制</w:t>
            </w:r>
            <w:r>
              <w:rPr>
                <w:rFonts w:hint="eastAsia" w:ascii="宋体" w:hAnsi="宋体"/>
                <w:color w:val="auto"/>
                <w:highlight w:val="none"/>
              </w:rPr>
              <w:t>（“文件制作机器码”“文件创建标识码”一致）。</w:t>
            </w:r>
          </w:p>
        </w:tc>
      </w:tr>
      <w:tr w14:paraId="5DCF2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53295066">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5</w:t>
            </w:r>
          </w:p>
        </w:tc>
        <w:tc>
          <w:tcPr>
            <w:tcW w:w="7711" w:type="dxa"/>
            <w:vAlign w:val="center"/>
          </w:tcPr>
          <w:p w14:paraId="4BE79FB7">
            <w:pPr>
              <w:keepNext w:val="0"/>
              <w:keepLines w:val="0"/>
              <w:widowControl w:val="0"/>
              <w:suppressLineNumbers w:val="0"/>
              <w:spacing w:before="0" w:beforeAutospacing="0" w:after="0" w:afterAutospacing="0"/>
              <w:ind w:left="0" w:right="0"/>
              <w:jc w:val="both"/>
              <w:rPr>
                <w:rFonts w:hint="eastAsia" w:ascii="宋体" w:hAnsi="宋体"/>
                <w:color w:val="auto"/>
                <w:highlight w:val="none"/>
              </w:rPr>
            </w:pPr>
            <w:r>
              <w:rPr>
                <w:rFonts w:hint="eastAsia" w:ascii="宋体" w:hAnsi="宋体"/>
                <w:color w:val="auto"/>
                <w:highlight w:val="none"/>
              </w:rPr>
              <w:t>提供</w:t>
            </w:r>
            <w:r>
              <w:rPr>
                <w:rFonts w:hint="eastAsia" w:ascii="宋体" w:hAnsi="宋体"/>
                <w:b/>
                <w:bCs/>
                <w:color w:val="auto"/>
                <w:highlight w:val="none"/>
              </w:rPr>
              <w:t>未经出具机构核实</w:t>
            </w:r>
            <w:r>
              <w:rPr>
                <w:rFonts w:hint="eastAsia" w:ascii="宋体" w:hAnsi="宋体"/>
                <w:color w:val="auto"/>
                <w:highlight w:val="none"/>
              </w:rPr>
              <w:t>的虚假的检验检测报告、业绩材料、社保缴纳证明、学历学位证书、职称认证证书等材料。</w:t>
            </w:r>
          </w:p>
        </w:tc>
      </w:tr>
      <w:tr w14:paraId="67390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vAlign w:val="center"/>
          </w:tcPr>
          <w:p w14:paraId="7CA97C4F">
            <w:pPr>
              <w:keepNext w:val="0"/>
              <w:keepLines w:val="0"/>
              <w:widowControl w:val="0"/>
              <w:suppressLineNumbers w:val="0"/>
              <w:spacing w:before="0" w:beforeAutospacing="0" w:after="0" w:afterAutospacing="0"/>
              <w:ind w:left="0" w:right="0"/>
              <w:jc w:val="center"/>
              <w:rPr>
                <w:rFonts w:hint="eastAsia" w:ascii="宋体" w:hAnsi="宋体"/>
                <w:color w:val="auto"/>
                <w:highlight w:val="none"/>
              </w:rPr>
            </w:pPr>
            <w:r>
              <w:rPr>
                <w:rFonts w:hint="eastAsia" w:ascii="宋体" w:hAnsi="宋体"/>
                <w:color w:val="auto"/>
                <w:highlight w:val="none"/>
              </w:rPr>
              <w:t>6</w:t>
            </w:r>
          </w:p>
        </w:tc>
        <w:tc>
          <w:tcPr>
            <w:tcW w:w="7711" w:type="dxa"/>
            <w:vAlign w:val="center"/>
          </w:tcPr>
          <w:p w14:paraId="64650A43">
            <w:pPr>
              <w:keepNext w:val="0"/>
              <w:keepLines w:val="0"/>
              <w:widowControl w:val="0"/>
              <w:suppressLineNumbers w:val="0"/>
              <w:spacing w:before="0" w:beforeAutospacing="0" w:after="0" w:afterAutospacing="0"/>
              <w:ind w:left="0" w:right="0"/>
              <w:jc w:val="both"/>
              <w:rPr>
                <w:rFonts w:hint="eastAsia" w:ascii="宋体" w:hAnsi="宋体"/>
                <w:color w:val="auto"/>
                <w:highlight w:val="none"/>
              </w:rPr>
            </w:pPr>
            <w:r>
              <w:rPr>
                <w:rFonts w:hint="eastAsia" w:ascii="宋体" w:hAnsi="宋体"/>
                <w:color w:val="auto"/>
                <w:highlight w:val="none"/>
              </w:rPr>
              <w:t>擅自将投标密钥或电子营业执照出借他人使用或未妥善保管。</w:t>
            </w:r>
          </w:p>
        </w:tc>
      </w:tr>
    </w:tbl>
    <w:p w14:paraId="5A573076">
      <w:pPr>
        <w:ind w:firstLine="480" w:firstLineChars="200"/>
        <w:rPr>
          <w:rFonts w:ascii="宋体" w:hAnsi="宋体"/>
          <w:color w:val="auto"/>
          <w:highlight w:val="none"/>
        </w:rPr>
      </w:pPr>
      <w:r>
        <w:rPr>
          <w:rFonts w:hint="eastAsia" w:ascii="宋体" w:hAnsi="宋体" w:eastAsia="宋体"/>
          <w:color w:val="auto"/>
          <w:highlight w:val="none"/>
          <w:lang w:eastAsia="zh-CN"/>
        </w:rPr>
        <w:t>二</w:t>
      </w:r>
      <w:r>
        <w:rPr>
          <w:rFonts w:hint="eastAsia" w:ascii="宋体" w:hAnsi="宋体"/>
          <w:color w:val="auto"/>
          <w:highlight w:val="none"/>
        </w:rPr>
        <w:t>、</w:t>
      </w:r>
      <w:r>
        <w:rPr>
          <w:rFonts w:hint="eastAsia" w:ascii="宋体" w:hAnsi="宋体"/>
          <w:b/>
          <w:bCs/>
          <w:color w:val="auto"/>
          <w:highlight w:val="none"/>
        </w:rPr>
        <w:t>《深圳经济特区政府采购条例》第五十七条</w:t>
      </w:r>
      <w:r>
        <w:rPr>
          <w:rFonts w:hint="eastAsia" w:ascii="宋体" w:hAnsi="宋体"/>
          <w:color w:val="auto"/>
          <w:highlight w:val="none"/>
        </w:rPr>
        <w:t xml:space="preserve">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3303FBDB">
      <w:pPr>
        <w:ind w:firstLine="480" w:firstLineChars="200"/>
        <w:rPr>
          <w:rFonts w:ascii="宋体" w:hAnsi="宋体"/>
          <w:color w:val="auto"/>
          <w:highlight w:val="none"/>
        </w:rPr>
      </w:pPr>
      <w:r>
        <w:rPr>
          <w:rFonts w:hint="eastAsia" w:ascii="宋体" w:hAnsi="宋体"/>
          <w:color w:val="auto"/>
          <w:highlight w:val="none"/>
        </w:rPr>
        <w:t>（一）在采购活动中应当回避而未回避的；</w:t>
      </w:r>
    </w:p>
    <w:p w14:paraId="3906EA76">
      <w:pPr>
        <w:ind w:firstLine="480" w:firstLineChars="200"/>
        <w:rPr>
          <w:rFonts w:ascii="宋体" w:hAnsi="宋体"/>
          <w:color w:val="auto"/>
          <w:highlight w:val="none"/>
        </w:rPr>
      </w:pPr>
      <w:r>
        <w:rPr>
          <w:rFonts w:hint="eastAsia" w:ascii="宋体" w:hAnsi="宋体"/>
          <w:color w:val="auto"/>
          <w:highlight w:val="none"/>
        </w:rPr>
        <w:t>（二）未按本条例规定签订、履行采购合同，造成严重后果的；</w:t>
      </w:r>
    </w:p>
    <w:p w14:paraId="644047FB">
      <w:pPr>
        <w:ind w:firstLine="480" w:firstLineChars="200"/>
        <w:rPr>
          <w:rFonts w:ascii="宋体" w:hAnsi="宋体"/>
          <w:color w:val="auto"/>
          <w:highlight w:val="none"/>
        </w:rPr>
      </w:pPr>
      <w:r>
        <w:rPr>
          <w:rFonts w:hint="eastAsia" w:ascii="宋体" w:hAnsi="宋体"/>
          <w:color w:val="auto"/>
          <w:highlight w:val="none"/>
        </w:rPr>
        <w:t>（三）隐瞒真实情况，提供虚假资料的；</w:t>
      </w:r>
    </w:p>
    <w:p w14:paraId="43D188EF">
      <w:pPr>
        <w:ind w:firstLine="480" w:firstLineChars="200"/>
        <w:rPr>
          <w:rFonts w:ascii="宋体" w:hAnsi="宋体"/>
          <w:color w:val="auto"/>
          <w:highlight w:val="none"/>
        </w:rPr>
      </w:pPr>
      <w:r>
        <w:rPr>
          <w:rFonts w:hint="eastAsia" w:ascii="宋体" w:hAnsi="宋体"/>
          <w:color w:val="auto"/>
          <w:highlight w:val="none"/>
        </w:rPr>
        <w:t>（四）以非法手段排斥其他供应商参与竞争的；</w:t>
      </w:r>
    </w:p>
    <w:p w14:paraId="70C8A19D">
      <w:pPr>
        <w:ind w:firstLine="480" w:firstLineChars="200"/>
        <w:rPr>
          <w:rFonts w:ascii="宋体" w:hAnsi="宋体"/>
          <w:color w:val="auto"/>
          <w:highlight w:val="none"/>
        </w:rPr>
      </w:pPr>
      <w:r>
        <w:rPr>
          <w:rFonts w:hint="eastAsia" w:ascii="宋体" w:hAnsi="宋体"/>
          <w:color w:val="auto"/>
          <w:highlight w:val="none"/>
        </w:rPr>
        <w:t>（五）与其他采购参加人串通投标的；</w:t>
      </w:r>
    </w:p>
    <w:p w14:paraId="629DD237">
      <w:pPr>
        <w:ind w:firstLine="480" w:firstLineChars="200"/>
        <w:rPr>
          <w:rFonts w:ascii="宋体" w:hAnsi="宋体"/>
          <w:color w:val="auto"/>
          <w:highlight w:val="none"/>
        </w:rPr>
      </w:pPr>
      <w:r>
        <w:rPr>
          <w:rFonts w:hint="eastAsia" w:ascii="宋体" w:hAnsi="宋体"/>
          <w:color w:val="auto"/>
          <w:highlight w:val="none"/>
        </w:rPr>
        <w:t>（六）恶意投诉的；</w:t>
      </w:r>
    </w:p>
    <w:p w14:paraId="32E133B5">
      <w:pPr>
        <w:ind w:firstLine="480" w:firstLineChars="200"/>
        <w:rPr>
          <w:rFonts w:ascii="宋体" w:hAnsi="宋体"/>
          <w:color w:val="auto"/>
          <w:highlight w:val="none"/>
        </w:rPr>
      </w:pPr>
      <w:r>
        <w:rPr>
          <w:rFonts w:hint="eastAsia" w:ascii="宋体" w:hAnsi="宋体"/>
          <w:color w:val="auto"/>
          <w:highlight w:val="none"/>
        </w:rPr>
        <w:t>（七）向采购项目相关人行贿或者提供其他不当利益的；</w:t>
      </w:r>
    </w:p>
    <w:p w14:paraId="17E673A2">
      <w:pPr>
        <w:ind w:firstLine="480" w:firstLineChars="200"/>
        <w:rPr>
          <w:rFonts w:ascii="宋体" w:hAnsi="宋体"/>
          <w:color w:val="auto"/>
          <w:highlight w:val="none"/>
        </w:rPr>
      </w:pPr>
      <w:r>
        <w:rPr>
          <w:rFonts w:hint="eastAsia" w:ascii="宋体" w:hAnsi="宋体"/>
          <w:color w:val="auto"/>
          <w:highlight w:val="none"/>
        </w:rPr>
        <w:t>（八）阻碍、抗拒主管部门监督检查的；</w:t>
      </w:r>
    </w:p>
    <w:p w14:paraId="40F0713B">
      <w:pPr>
        <w:ind w:firstLine="480" w:firstLineChars="200"/>
        <w:rPr>
          <w:rFonts w:ascii="宋体" w:hAnsi="宋体"/>
          <w:color w:val="auto"/>
          <w:highlight w:val="none"/>
        </w:rPr>
      </w:pPr>
      <w:r>
        <w:rPr>
          <w:rFonts w:hint="eastAsia" w:ascii="宋体" w:hAnsi="宋体"/>
          <w:color w:val="auto"/>
          <w:highlight w:val="none"/>
        </w:rPr>
        <w:t>（九）其他违反本条例规定的行为。</w:t>
      </w:r>
    </w:p>
    <w:p w14:paraId="6D35C205">
      <w:pPr>
        <w:ind w:firstLine="482" w:firstLineChars="200"/>
        <w:rPr>
          <w:rFonts w:ascii="宋体" w:hAnsi="宋体"/>
          <w:color w:val="auto"/>
          <w:highlight w:val="none"/>
        </w:rPr>
      </w:pPr>
      <w:r>
        <w:rPr>
          <w:rFonts w:hint="eastAsia" w:ascii="宋体" w:hAnsi="宋体" w:eastAsia="宋体"/>
          <w:b/>
          <w:bCs/>
          <w:color w:val="auto"/>
          <w:highlight w:val="none"/>
          <w:lang w:eastAsia="zh-CN"/>
        </w:rPr>
        <w:t>三</w:t>
      </w:r>
      <w:r>
        <w:rPr>
          <w:rFonts w:hint="eastAsia" w:ascii="宋体" w:hAnsi="宋体"/>
          <w:b/>
          <w:bCs/>
          <w:color w:val="auto"/>
          <w:highlight w:val="none"/>
        </w:rPr>
        <w:t>、《深圳经济特区政府采购条例实施细则》第七十五条 </w:t>
      </w:r>
      <w:r>
        <w:rPr>
          <w:rFonts w:hint="eastAsia" w:ascii="宋体" w:hAnsi="宋体"/>
          <w:color w:val="auto"/>
          <w:highlight w:val="none"/>
        </w:rPr>
        <w:t>供应商有下列情形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14:paraId="78929C77">
      <w:pPr>
        <w:ind w:firstLine="482" w:firstLineChars="200"/>
        <w:rPr>
          <w:rFonts w:ascii="宋体" w:hAnsi="宋体"/>
          <w:color w:val="auto"/>
          <w:highlight w:val="none"/>
        </w:rPr>
      </w:pPr>
      <w:r>
        <w:rPr>
          <w:rFonts w:hint="eastAsia" w:ascii="宋体" w:hAnsi="宋体" w:eastAsia="宋体"/>
          <w:b/>
          <w:bCs/>
          <w:color w:val="auto"/>
          <w:highlight w:val="none"/>
          <w:lang w:eastAsia="zh-CN"/>
        </w:rPr>
        <w:t>四</w:t>
      </w:r>
      <w:r>
        <w:rPr>
          <w:rFonts w:hint="eastAsia" w:ascii="宋体" w:hAnsi="宋体"/>
          <w:b/>
          <w:bCs/>
          <w:color w:val="auto"/>
          <w:highlight w:val="none"/>
        </w:rPr>
        <w:t>、《深圳经济特区政府采购条例实施细则》第七十七条 </w:t>
      </w:r>
      <w:r>
        <w:rPr>
          <w:rFonts w:hint="eastAsia" w:ascii="宋体" w:hAnsi="宋体"/>
          <w:color w:val="auto"/>
          <w:highlight w:val="none"/>
        </w:rPr>
        <w:t>供应商有下列情形之一的，属于隐瞒真实情况，提供虚假资料，按照采购条例第五十七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14:paraId="430F6F29">
      <w:pPr>
        <w:ind w:firstLine="480" w:firstLineChars="200"/>
        <w:rPr>
          <w:rFonts w:hint="eastAsia" w:ascii="宋体" w:hAnsi="宋体"/>
          <w:color w:val="auto"/>
          <w:highlight w:val="none"/>
        </w:rPr>
      </w:pPr>
      <w:r>
        <w:rPr>
          <w:rFonts w:hint="eastAsia" w:ascii="宋体" w:hAnsi="宋体"/>
          <w:color w:val="auto"/>
          <w:highlight w:val="none"/>
        </w:rPr>
        <w:t>投标供应商不能提供项目负责人或者主要技术人员的劳动合同、社会保险等劳动关系证明材料的，视为存在前款第（三）项规定的情形。</w:t>
      </w:r>
    </w:p>
    <w:p w14:paraId="4A8FC4D5">
      <w:pPr>
        <w:ind w:firstLine="480" w:firstLineChars="200"/>
        <w:rPr>
          <w:rFonts w:hint="eastAsia" w:ascii="宋体" w:hAnsi="宋体" w:eastAsia="宋体" w:cs="Times New Roman"/>
          <w:color w:val="auto"/>
          <w:highlight w:val="none"/>
          <w:lang w:eastAsia="zh-CN"/>
        </w:rPr>
      </w:pPr>
      <w:r>
        <w:rPr>
          <w:rFonts w:hint="eastAsia" w:ascii="宋体" w:hAnsi="宋体" w:eastAsia="宋体" w:cs="Times New Roman"/>
          <w:color w:val="auto"/>
          <w:highlight w:val="none"/>
          <w:lang w:eastAsia="zh-CN"/>
        </w:rPr>
        <w:t>五</w:t>
      </w:r>
      <w:r>
        <w:rPr>
          <w:rFonts w:hint="eastAsia" w:ascii="宋体" w:hAnsi="宋体" w:eastAsia="Times New Roman" w:cs="Times New Roman"/>
          <w:color w:val="auto"/>
          <w:highlight w:val="none"/>
        </w:rPr>
        <w:t>、请投标供应商阅读《政府采购违法行为风险知悉确认书》（内容详见“投标文件附件（信息不公开部分）”中“投标人认为需要加以说明的其他内容（格式自定）”</w:t>
      </w:r>
      <w:r>
        <w:rPr>
          <w:rFonts w:hint="eastAsia" w:ascii="宋体" w:hAnsi="宋体" w:eastAsia="宋体" w:cs="Times New Roman"/>
          <w:color w:val="auto"/>
          <w:highlight w:val="none"/>
          <w:lang w:eastAsia="zh-CN"/>
        </w:rPr>
        <w:t>）</w:t>
      </w:r>
      <w:r>
        <w:rPr>
          <w:rFonts w:hint="eastAsia" w:ascii="宋体" w:hAnsi="宋体" w:eastAsia="Times New Roman" w:cs="Times New Roman"/>
          <w:color w:val="auto"/>
          <w:highlight w:val="none"/>
        </w:rPr>
        <w:t>，并经各投标供应商负责人或投标授权代表签字并加盖单位公章后，扫描上传至投标文件一并提交。</w:t>
      </w:r>
    </w:p>
    <w:p w14:paraId="2FE2CC79">
      <w:pPr>
        <w:ind w:firstLine="480" w:firstLineChars="200"/>
        <w:rPr>
          <w:rFonts w:hint="eastAsia" w:ascii="宋体" w:hAnsi="宋体" w:eastAsia="Times New Roman" w:cs="Times New Roman"/>
          <w:color w:val="auto"/>
          <w:highlight w:val="none"/>
        </w:rPr>
      </w:pPr>
      <w:r>
        <w:rPr>
          <w:rFonts w:hint="eastAsia" w:ascii="宋体" w:hAnsi="宋体" w:eastAsia="Times New Roman" w:cs="Times New Roman"/>
          <w:color w:val="auto"/>
          <w:highlight w:val="none"/>
        </w:rPr>
        <w:t>注：该风险知悉确认书用于对供应商违法行为的警示，不作为供应商资格性审查及符合性审查条件。</w:t>
      </w:r>
    </w:p>
    <w:p w14:paraId="0685CACE">
      <w:pPr>
        <w:keepNext w:val="0"/>
        <w:keepLines w:val="0"/>
        <w:pageBreakBefore w:val="0"/>
        <w:widowControl/>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Times New Roman" w:cs="Times New Roman"/>
          <w:b w:val="0"/>
          <w:bCs w:val="0"/>
          <w:color w:val="auto"/>
          <w:highlight w:val="none"/>
          <w:lang w:val="en-US" w:eastAsia="zh-CN"/>
        </w:rPr>
      </w:pPr>
      <w:r>
        <w:rPr>
          <w:rFonts w:hint="eastAsia" w:ascii="宋体" w:hAnsi="宋体" w:cs="Times New Roman"/>
          <w:b w:val="0"/>
          <w:bCs w:val="0"/>
          <w:color w:val="auto"/>
          <w:sz w:val="24"/>
          <w:szCs w:val="24"/>
          <w:highlight w:val="none"/>
          <w:lang w:val="en-US" w:eastAsia="zh-CN"/>
        </w:rPr>
        <w:t>六</w:t>
      </w:r>
      <w:r>
        <w:rPr>
          <w:rFonts w:hint="eastAsia" w:ascii="宋体" w:hAnsi="宋体" w:eastAsia="Times New Roman" w:cs="Times New Roman"/>
          <w:b w:val="0"/>
          <w:bCs w:val="0"/>
          <w:color w:val="auto"/>
          <w:sz w:val="24"/>
          <w:szCs w:val="24"/>
          <w:highlight w:val="none"/>
          <w:lang w:val="en-US" w:eastAsia="zh-CN"/>
        </w:rPr>
        <w:t>、</w:t>
      </w:r>
      <w:r>
        <w:rPr>
          <w:rFonts w:hint="eastAsia" w:ascii="宋体" w:hAnsi="宋体" w:eastAsia="Times New Roman" w:cs="Times New Roman"/>
          <w:b w:val="0"/>
          <w:bCs w:val="0"/>
          <w:color w:val="auto"/>
          <w:highlight w:val="none"/>
        </w:rPr>
        <w:t>供应商在使用深圳政府采购智慧平台的投标文件制作工具创建投标文件时，该工具将自动在投标文件中记录文件创建标识码，同时提取投标文件制作电脑的网卡MAC地址、硬盘序列号、CPU 序列号、主板序列号和工具标识号，经加密生成文件制作机器码并在投标文件中记录。文件制作机器码一致表明不同供应商使用了同一设备编制投标文件，文件创建标识码一致表明不同供应商的投标文件为同一份文件，IP 地址一致表明上传投标文件时使用了相同的网络。</w:t>
      </w:r>
    </w:p>
    <w:p w14:paraId="7A47051B">
      <w:pPr>
        <w:keepNext w:val="0"/>
        <w:keepLines w:val="0"/>
        <w:pageBreakBefore w:val="0"/>
        <w:widowControl/>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Times New Roman" w:cs="Times New Roman"/>
          <w:b w:val="0"/>
          <w:bCs w:val="0"/>
          <w:color w:val="auto"/>
          <w:highlight w:val="none"/>
        </w:rPr>
      </w:pPr>
      <w:r>
        <w:rPr>
          <w:rFonts w:hint="eastAsia" w:ascii="宋体" w:hAnsi="宋体" w:eastAsia="宋体" w:cs="Times New Roman"/>
          <w:b w:val="0"/>
          <w:bCs w:val="0"/>
          <w:color w:val="auto"/>
          <w:highlight w:val="none"/>
          <w:lang w:eastAsia="zh-CN"/>
        </w:rPr>
        <w:t>七</w:t>
      </w:r>
      <w:r>
        <w:rPr>
          <w:rFonts w:hint="eastAsia" w:ascii="宋体" w:hAnsi="宋体" w:eastAsia="Times New Roman" w:cs="Times New Roman"/>
          <w:b w:val="0"/>
          <w:bCs w:val="0"/>
          <w:color w:val="auto"/>
          <w:highlight w:val="none"/>
        </w:rPr>
        <w:t>、为避免出现不同供应商投标文件的文件制作机器码、文件创建标识码、IP地址一致的异常情况，建议各供应商编制、上传投标文件时不要使用公共电脑设备或公共网络。</w:t>
      </w:r>
    </w:p>
    <w:p w14:paraId="001A09FB">
      <w:pPr>
        <w:keepNext w:val="0"/>
        <w:keepLines w:val="0"/>
        <w:pageBreakBefore w:val="0"/>
        <w:widowControl/>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Times New Roman" w:cs="Times New Roman"/>
          <w:b w:val="0"/>
          <w:bCs w:val="0"/>
          <w:color w:val="auto"/>
          <w:highlight w:val="none"/>
          <w:lang w:val="en-US" w:eastAsia="zh-CN"/>
        </w:rPr>
      </w:pPr>
      <w:r>
        <w:rPr>
          <w:rFonts w:hint="eastAsia" w:ascii="宋体" w:hAnsi="宋体" w:eastAsia="宋体" w:cs="Times New Roman"/>
          <w:b w:val="0"/>
          <w:bCs w:val="0"/>
          <w:color w:val="auto"/>
          <w:highlight w:val="none"/>
          <w:lang w:eastAsia="zh-CN"/>
        </w:rPr>
        <w:t>八</w:t>
      </w:r>
      <w:r>
        <w:rPr>
          <w:rFonts w:hint="eastAsia" w:ascii="宋体" w:hAnsi="宋体" w:eastAsia="Times New Roman" w:cs="Times New Roman"/>
          <w:b w:val="0"/>
          <w:bCs w:val="0"/>
          <w:color w:val="auto"/>
          <w:highlight w:val="none"/>
        </w:rPr>
        <w:t>、根据《深圳经济特区政府采购条例实施细则》第七十五条规定，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活动的行政处罚，请各供应商独立编制、上传投标文件，妥善保管和使用电子秘钥。</w:t>
      </w:r>
    </w:p>
    <w:p w14:paraId="4C0E34EB">
      <w:pPr>
        <w:rPr>
          <w:color w:val="auto"/>
          <w:highlight w:val="none"/>
        </w:rPr>
      </w:pPr>
    </w:p>
    <w:p w14:paraId="32F4CEC0">
      <w:pPr>
        <w:pStyle w:val="2"/>
        <w:rPr>
          <w:color w:val="auto"/>
          <w:highlight w:val="none"/>
        </w:rPr>
      </w:pPr>
      <w:r>
        <w:rPr>
          <w:rFonts w:hint="eastAsia"/>
          <w:color w:val="auto"/>
          <w:highlight w:val="none"/>
        </w:rPr>
        <w:br w:type="page"/>
      </w:r>
      <w:r>
        <w:rPr>
          <w:rFonts w:hint="eastAsia"/>
          <w:color w:val="auto"/>
          <w:highlight w:val="none"/>
        </w:rPr>
        <w:t>目   录</w:t>
      </w:r>
    </w:p>
    <w:p w14:paraId="117FF323">
      <w:pPr>
        <w:spacing w:line="360" w:lineRule="auto"/>
        <w:outlineLvl w:val="1"/>
        <w:rPr>
          <w:rFonts w:ascii="宋体" w:hAnsi="宋体" w:eastAsia="宋体"/>
          <w:b/>
          <w:color w:val="auto"/>
          <w:highlight w:val="none"/>
        </w:rPr>
      </w:pPr>
      <w:r>
        <w:rPr>
          <w:rFonts w:hint="eastAsia" w:ascii="宋体" w:hAnsi="宋体" w:eastAsia="宋体"/>
          <w:b/>
          <w:color w:val="auto"/>
          <w:highlight w:val="none"/>
        </w:rPr>
        <w:t>第一册  专用条款</w:t>
      </w:r>
    </w:p>
    <w:p w14:paraId="2ADE97DD">
      <w:pPr>
        <w:spacing w:line="360" w:lineRule="auto"/>
        <w:ind w:left="720" w:leftChars="300" w:firstLine="470" w:firstLineChars="196"/>
        <w:rPr>
          <w:rFonts w:hint="eastAsia" w:ascii="宋体" w:hAnsi="宋体" w:eastAsia="宋体"/>
          <w:color w:val="auto"/>
          <w:szCs w:val="21"/>
          <w:highlight w:val="none"/>
        </w:rPr>
      </w:pPr>
      <w:r>
        <w:rPr>
          <w:rFonts w:hint="eastAsia" w:ascii="宋体" w:hAnsi="宋体" w:eastAsia="宋体"/>
          <w:color w:val="auto"/>
          <w:szCs w:val="21"/>
          <w:highlight w:val="none"/>
        </w:rPr>
        <w:t>第一章  招标公告</w:t>
      </w:r>
    </w:p>
    <w:p w14:paraId="54ED0667">
      <w:pPr>
        <w:spacing w:line="360" w:lineRule="auto"/>
        <w:ind w:left="720" w:leftChars="300" w:firstLine="470" w:firstLineChars="196"/>
        <w:rPr>
          <w:rFonts w:hint="eastAsia" w:ascii="宋体" w:hAnsi="宋体" w:eastAsia="宋体"/>
          <w:color w:val="auto"/>
          <w:szCs w:val="21"/>
          <w:highlight w:val="none"/>
        </w:rPr>
      </w:pPr>
      <w:r>
        <w:rPr>
          <w:rFonts w:hint="eastAsia" w:ascii="宋体" w:hAnsi="宋体" w:eastAsia="宋体"/>
          <w:color w:val="auto"/>
          <w:szCs w:val="21"/>
          <w:highlight w:val="none"/>
        </w:rPr>
        <w:t xml:space="preserve">第二章  </w:t>
      </w:r>
      <w:bookmarkStart w:id="2" w:name="_Hlk71994379"/>
      <w:r>
        <w:rPr>
          <w:rFonts w:hint="eastAsia" w:ascii="宋体" w:hAnsi="宋体" w:eastAsia="宋体"/>
          <w:color w:val="auto"/>
          <w:szCs w:val="21"/>
          <w:highlight w:val="none"/>
        </w:rPr>
        <w:t>对通用条款的补充内容及其他关键信息</w:t>
      </w:r>
      <w:bookmarkEnd w:id="2"/>
    </w:p>
    <w:p w14:paraId="29B2EDE0">
      <w:pPr>
        <w:spacing w:line="360" w:lineRule="auto"/>
        <w:ind w:left="720" w:leftChars="300" w:firstLine="470" w:firstLineChars="196"/>
        <w:rPr>
          <w:rFonts w:hint="eastAsia" w:ascii="宋体" w:hAnsi="宋体" w:eastAsia="宋体"/>
          <w:color w:val="auto"/>
          <w:szCs w:val="21"/>
          <w:highlight w:val="none"/>
        </w:rPr>
      </w:pPr>
      <w:r>
        <w:rPr>
          <w:rFonts w:hint="eastAsia" w:ascii="宋体" w:hAnsi="宋体" w:eastAsia="宋体"/>
          <w:color w:val="auto"/>
          <w:szCs w:val="21"/>
          <w:highlight w:val="none"/>
        </w:rPr>
        <w:t>第三章  用户需求书</w:t>
      </w:r>
    </w:p>
    <w:p w14:paraId="299FCBAD">
      <w:pPr>
        <w:spacing w:line="360" w:lineRule="auto"/>
        <w:ind w:left="720" w:leftChars="300" w:firstLine="470" w:firstLineChars="196"/>
        <w:rPr>
          <w:rFonts w:hint="eastAsia" w:ascii="宋体" w:hAnsi="宋体" w:eastAsia="宋体"/>
          <w:color w:val="auto"/>
          <w:szCs w:val="21"/>
          <w:highlight w:val="none"/>
        </w:rPr>
      </w:pPr>
      <w:r>
        <w:rPr>
          <w:rFonts w:hint="eastAsia" w:ascii="宋体" w:hAnsi="宋体" w:eastAsia="宋体"/>
          <w:color w:val="auto"/>
          <w:szCs w:val="21"/>
          <w:highlight w:val="none"/>
        </w:rPr>
        <w:t>第四章  投标文件组成要求及格式</w:t>
      </w:r>
    </w:p>
    <w:p w14:paraId="7231E391">
      <w:pPr>
        <w:spacing w:line="360" w:lineRule="auto"/>
        <w:ind w:left="720" w:leftChars="300" w:firstLine="470" w:firstLineChars="196"/>
        <w:rPr>
          <w:rFonts w:hint="eastAsia" w:ascii="宋体" w:hAnsi="宋体" w:eastAsia="宋体"/>
          <w:color w:val="auto"/>
          <w:szCs w:val="21"/>
          <w:highlight w:val="none"/>
        </w:rPr>
      </w:pPr>
      <w:r>
        <w:rPr>
          <w:rFonts w:hint="eastAsia" w:ascii="宋体" w:hAnsi="宋体" w:eastAsia="宋体"/>
          <w:color w:val="auto"/>
          <w:szCs w:val="21"/>
          <w:highlight w:val="none"/>
        </w:rPr>
        <w:t>第五章  合同条款及格式</w:t>
      </w:r>
    </w:p>
    <w:p w14:paraId="1FD72AC4">
      <w:pPr>
        <w:rPr>
          <w:rFonts w:eastAsia="宋体"/>
          <w:color w:val="auto"/>
          <w:highlight w:val="none"/>
        </w:rPr>
      </w:pPr>
    </w:p>
    <w:p w14:paraId="75D10AB1">
      <w:pPr>
        <w:spacing w:line="360" w:lineRule="auto"/>
        <w:outlineLvl w:val="1"/>
        <w:rPr>
          <w:rFonts w:ascii="宋体" w:hAnsi="宋体" w:eastAsia="宋体"/>
          <w:b/>
          <w:color w:val="auto"/>
          <w:highlight w:val="none"/>
        </w:rPr>
      </w:pPr>
      <w:r>
        <w:rPr>
          <w:rFonts w:hint="eastAsia" w:ascii="宋体" w:hAnsi="宋体" w:eastAsia="宋体"/>
          <w:b/>
          <w:color w:val="auto"/>
          <w:highlight w:val="none"/>
        </w:rPr>
        <w:t>第二册  通用条款</w:t>
      </w:r>
    </w:p>
    <w:p w14:paraId="44B49440">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第一章  总则</w:t>
      </w:r>
    </w:p>
    <w:p w14:paraId="33DB0230">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第二章  招标文件</w:t>
      </w:r>
    </w:p>
    <w:p w14:paraId="40E956B0">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第三章  投标文件的编制</w:t>
      </w:r>
    </w:p>
    <w:p w14:paraId="553DCD20">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第四章  投标文件的递交</w:t>
      </w:r>
    </w:p>
    <w:p w14:paraId="036CAA27">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第五章  开标</w:t>
      </w:r>
    </w:p>
    <w:p w14:paraId="7780E810">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第六章  评审要求</w:t>
      </w:r>
    </w:p>
    <w:p w14:paraId="2C8B12F3">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第七章  评审程序及评审方法</w:t>
      </w:r>
    </w:p>
    <w:p w14:paraId="4224D621">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第八章  定标及公示</w:t>
      </w:r>
    </w:p>
    <w:p w14:paraId="6BC65866">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第九章  公开招标失败的后续处理</w:t>
      </w:r>
    </w:p>
    <w:p w14:paraId="5F134E04">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第十章  合同的授予与备案</w:t>
      </w:r>
    </w:p>
    <w:p w14:paraId="6B84A3F1">
      <w:pPr>
        <w:spacing w:line="360" w:lineRule="auto"/>
        <w:ind w:left="720" w:leftChars="300" w:firstLine="470" w:firstLineChars="196"/>
        <w:rPr>
          <w:rFonts w:ascii="宋体" w:hAnsi="宋体" w:eastAsia="宋体"/>
          <w:color w:val="auto"/>
          <w:szCs w:val="21"/>
          <w:highlight w:val="none"/>
        </w:rPr>
      </w:pPr>
      <w:r>
        <w:rPr>
          <w:rFonts w:hint="eastAsia" w:ascii="宋体" w:hAnsi="宋体" w:eastAsia="宋体"/>
          <w:color w:val="auto"/>
          <w:szCs w:val="21"/>
          <w:highlight w:val="none"/>
        </w:rPr>
        <w:t>第十一章  质疑处理</w:t>
      </w:r>
    </w:p>
    <w:p w14:paraId="6E906C8D">
      <w:pPr>
        <w:spacing w:line="360" w:lineRule="auto"/>
        <w:ind w:firstLine="480" w:firstLineChars="200"/>
        <w:rPr>
          <w:rFonts w:ascii="宋体" w:hAnsi="宋体" w:eastAsia="宋体"/>
          <w:color w:val="auto"/>
          <w:szCs w:val="21"/>
          <w:highlight w:val="none"/>
        </w:rPr>
      </w:pPr>
    </w:p>
    <w:p w14:paraId="57E637C7">
      <w:pPr>
        <w:pStyle w:val="2"/>
        <w:rPr>
          <w:color w:val="auto"/>
          <w:sz w:val="24"/>
          <w:highlight w:val="none"/>
        </w:rPr>
      </w:pPr>
      <w:r>
        <w:rPr>
          <w:rFonts w:eastAsia="宋体"/>
          <w:color w:val="auto"/>
          <w:highlight w:val="none"/>
        </w:rPr>
        <w:br w:type="page"/>
      </w:r>
      <w:bookmarkStart w:id="3" w:name="bt开标一览表"/>
      <w:bookmarkEnd w:id="3"/>
      <w:bookmarkStart w:id="4" w:name="bt本工程承诺书"/>
      <w:bookmarkEnd w:id="4"/>
      <w:bookmarkStart w:id="5" w:name="bt商务标投标文件格式"/>
      <w:bookmarkEnd w:id="5"/>
      <w:bookmarkStart w:id="6" w:name="合同格式"/>
      <w:bookmarkEnd w:id="6"/>
      <w:bookmarkStart w:id="7" w:name="bt合同格式"/>
      <w:bookmarkEnd w:id="7"/>
      <w:bookmarkStart w:id="8" w:name="bt项目管理班子配备情况"/>
      <w:bookmarkEnd w:id="8"/>
      <w:bookmarkStart w:id="9" w:name="bt投标函"/>
      <w:bookmarkEnd w:id="9"/>
      <w:bookmarkStart w:id="10" w:name="bt说明"/>
      <w:bookmarkEnd w:id="10"/>
      <w:bookmarkStart w:id="11" w:name="bt合同条款及格式"/>
      <w:bookmarkEnd w:id="11"/>
      <w:bookmarkStart w:id="12" w:name="bt投标人须知"/>
      <w:bookmarkEnd w:id="12"/>
      <w:bookmarkStart w:id="13" w:name="bt合同条款"/>
      <w:bookmarkEnd w:id="13"/>
      <w:bookmarkStart w:id="14" w:name="bt投标人情况介绍"/>
      <w:bookmarkEnd w:id="14"/>
      <w:bookmarkStart w:id="15" w:name="bt投标报价汇总表"/>
      <w:bookmarkEnd w:id="15"/>
      <w:bookmarkStart w:id="16" w:name="bt其他资料2"/>
      <w:bookmarkEnd w:id="16"/>
      <w:bookmarkStart w:id="17" w:name="bt投标文件签署授权委托书"/>
      <w:bookmarkEnd w:id="17"/>
      <w:bookmarkStart w:id="18" w:name="bt其他资料由投标人自定"/>
      <w:bookmarkEnd w:id="18"/>
      <w:bookmarkStart w:id="19" w:name="bt技术标投标文件格式"/>
      <w:bookmarkEnd w:id="19"/>
      <w:r>
        <w:rPr>
          <w:rFonts w:hint="eastAsia"/>
          <w:color w:val="auto"/>
          <w:highlight w:val="none"/>
        </w:rPr>
        <w:t>第一册专用条款</w:t>
      </w:r>
    </w:p>
    <w:p w14:paraId="4D94703A">
      <w:pPr>
        <w:pStyle w:val="5"/>
        <w:rPr>
          <w:b/>
          <w:bCs/>
          <w:color w:val="auto"/>
          <w:highlight w:val="none"/>
        </w:rPr>
      </w:pPr>
      <w:r>
        <w:rPr>
          <w:rFonts w:hint="eastAsia"/>
          <w:b/>
          <w:bCs/>
          <w:color w:val="auto"/>
          <w:highlight w:val="none"/>
        </w:rPr>
        <w:t xml:space="preserve">第一章  </w:t>
      </w:r>
      <w:r>
        <w:rPr>
          <w:rFonts w:hint="eastAsia" w:cs="宋体"/>
          <w:b/>
          <w:bCs/>
          <w:color w:val="auto"/>
          <w:szCs w:val="21"/>
          <w:highlight w:val="none"/>
        </w:rPr>
        <w:t>招标公告</w:t>
      </w:r>
      <w:r>
        <w:rPr>
          <w:rFonts w:hint="eastAsia"/>
          <w:b/>
          <w:bCs/>
          <w:color w:val="auto"/>
          <w:highlight w:val="none"/>
        </w:rPr>
        <w:t xml:space="preserve">  </w:t>
      </w:r>
    </w:p>
    <w:p w14:paraId="3E48C2A9">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本公告内涉及时间的相关内容均已对外发布的招标公告内容为准</w:t>
      </w:r>
    </w:p>
    <w:p w14:paraId="2F89CB77">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p>
    <w:p w14:paraId="1E64AC94">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lang w:eastAsia="zh-CN"/>
        </w:rPr>
      </w:pPr>
      <w:r>
        <w:rPr>
          <w:rFonts w:hint="eastAsia" w:ascii="宋体" w:hAnsi="宋体" w:eastAsia="宋体" w:cs="宋体"/>
          <w:b/>
          <w:color w:val="auto"/>
          <w:szCs w:val="21"/>
          <w:highlight w:val="none"/>
          <w:lang w:eastAsia="zh-CN"/>
        </w:rPr>
        <w:t>一、项目概况：</w:t>
      </w:r>
    </w:p>
    <w:p w14:paraId="78703934">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u w:val="single"/>
          <w:lang w:val="en-US" w:eastAsia="zh-CN"/>
        </w:rPr>
        <w:t>2025年通信线缆维护</w:t>
      </w:r>
      <w:r>
        <w:rPr>
          <w:rFonts w:hint="eastAsia" w:ascii="宋体" w:hAnsi="宋体" w:eastAsia="宋体" w:cs="宋体"/>
          <w:color w:val="auto"/>
          <w:highlight w:val="none"/>
        </w:rPr>
        <w:t>的潜在投标人应在（本公告附件中）获取招标文件，于</w:t>
      </w:r>
      <w:r>
        <w:rPr>
          <w:rFonts w:hint="eastAsia" w:ascii="宋体" w:hAnsi="宋体" w:eastAsia="宋体" w:cs="宋体"/>
          <w:color w:val="auto"/>
          <w:highlight w:val="none"/>
          <w:lang w:eastAsia="zh-CN"/>
        </w:rPr>
        <w:t>202</w:t>
      </w:r>
      <w:r>
        <w:rPr>
          <w:rFonts w:hint="eastAsia" w:ascii="宋体" w:hAnsi="宋体" w:eastAsia="宋体" w:cs="宋体"/>
          <w:color w:val="auto"/>
          <w:highlight w:val="none"/>
          <w:lang w:val="en-US" w:eastAsia="zh-CN"/>
        </w:rPr>
        <w:t>5</w:t>
      </w:r>
      <w:r>
        <w:rPr>
          <w:rFonts w:hint="eastAsia" w:ascii="宋体" w:hAnsi="宋体" w:eastAsia="宋体" w:cs="宋体"/>
          <w:color w:val="auto"/>
          <w:highlight w:val="none"/>
          <w:lang w:eastAsia="zh-CN"/>
        </w:rPr>
        <w:t>年</w:t>
      </w:r>
      <w:r>
        <w:rPr>
          <w:rFonts w:hint="eastAsia" w:ascii="宋体" w:hAnsi="宋体" w:eastAsia="宋体" w:cs="宋体"/>
          <w:color w:val="auto"/>
          <w:highlight w:val="none"/>
          <w:lang w:val="en-US" w:eastAsia="zh-CN"/>
        </w:rPr>
        <w:t>X</w:t>
      </w:r>
      <w:r>
        <w:rPr>
          <w:rFonts w:hint="eastAsia" w:ascii="宋体" w:hAnsi="宋体" w:eastAsia="宋体" w:cs="宋体"/>
          <w:color w:val="auto"/>
          <w:highlight w:val="none"/>
          <w:lang w:eastAsia="zh-CN"/>
        </w:rPr>
        <w:t>月</w:t>
      </w:r>
      <w:r>
        <w:rPr>
          <w:rFonts w:hint="eastAsia" w:ascii="宋体" w:hAnsi="宋体" w:eastAsia="宋体" w:cs="宋体"/>
          <w:color w:val="auto"/>
          <w:highlight w:val="none"/>
          <w:lang w:val="en-US" w:eastAsia="zh-CN"/>
        </w:rPr>
        <w:t>X</w:t>
      </w:r>
      <w:r>
        <w:rPr>
          <w:rFonts w:hint="eastAsia" w:ascii="宋体" w:hAnsi="宋体" w:eastAsia="宋体" w:cs="宋体"/>
          <w:color w:val="auto"/>
          <w:highlight w:val="none"/>
          <w:lang w:eastAsia="zh-CN"/>
        </w:rPr>
        <w:t>日</w:t>
      </w:r>
      <w:r>
        <w:rPr>
          <w:rFonts w:hint="eastAsia" w:ascii="宋体" w:hAnsi="宋体" w:eastAsia="宋体" w:cs="宋体"/>
          <w:color w:val="auto"/>
          <w:highlight w:val="none"/>
          <w:lang w:val="en-US" w:eastAsia="zh-CN"/>
        </w:rPr>
        <w:t>XX时XX分XX秒</w:t>
      </w:r>
      <w:r>
        <w:rPr>
          <w:rFonts w:hint="eastAsia" w:ascii="宋体" w:hAnsi="宋体" w:eastAsia="宋体" w:cs="宋体"/>
          <w:color w:val="auto"/>
          <w:highlight w:val="none"/>
        </w:rPr>
        <w:t>（北京时间）前递交投标文件。</w:t>
      </w:r>
    </w:p>
    <w:p w14:paraId="3DBFA37F">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一、项目基本情况</w:t>
      </w:r>
    </w:p>
    <w:p w14:paraId="1F1DE45B">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default" w:ascii="宋体" w:hAnsi="宋体" w:eastAsia="宋体" w:cs="宋体"/>
          <w:color w:val="auto"/>
          <w:highlight w:val="none"/>
          <w:lang w:val="en-US" w:eastAsia="zh-CN"/>
        </w:rPr>
      </w:pPr>
      <w:r>
        <w:rPr>
          <w:rFonts w:hint="eastAsia" w:ascii="宋体" w:hAnsi="宋体" w:eastAsia="宋体" w:cs="宋体"/>
          <w:color w:val="auto"/>
          <w:highlight w:val="none"/>
        </w:rPr>
        <w:t>1.项目编号：</w:t>
      </w:r>
      <w:r>
        <w:rPr>
          <w:rFonts w:hint="eastAsia" w:ascii="宋体" w:hAnsi="宋体" w:eastAsia="宋体" w:cs="宋体"/>
          <w:color w:val="auto"/>
          <w:highlight w:val="none"/>
          <w:u w:val="single"/>
          <w:lang w:val="en-US" w:eastAsia="zh-CN"/>
        </w:rPr>
        <w:t>SZDL2025000623</w:t>
      </w:r>
    </w:p>
    <w:p w14:paraId="34A8E261">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lang w:eastAsia="zh-CN"/>
        </w:rPr>
      </w:pPr>
      <w:r>
        <w:rPr>
          <w:rFonts w:hint="eastAsia" w:ascii="宋体" w:hAnsi="宋体" w:eastAsia="宋体" w:cs="宋体"/>
          <w:color w:val="auto"/>
          <w:highlight w:val="none"/>
        </w:rPr>
        <w:t>2.项目名称：</w:t>
      </w:r>
      <w:r>
        <w:rPr>
          <w:rFonts w:hint="eastAsia" w:ascii="宋体" w:hAnsi="宋体" w:eastAsia="宋体" w:cs="宋体"/>
          <w:color w:val="auto"/>
          <w:highlight w:val="none"/>
          <w:u w:val="single"/>
          <w:lang w:val="en-US" w:eastAsia="zh-CN"/>
        </w:rPr>
        <w:t>2025年通信线缆维护</w:t>
      </w:r>
    </w:p>
    <w:p w14:paraId="0624D4E1">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3.预算金额：</w:t>
      </w:r>
      <w:r>
        <w:rPr>
          <w:rFonts w:hint="eastAsia" w:ascii="宋体" w:hAnsi="宋体" w:eastAsia="宋体" w:cs="宋体"/>
          <w:color w:val="auto"/>
          <w:highlight w:val="none"/>
          <w:lang w:val="en-US" w:eastAsia="zh-CN"/>
        </w:rPr>
        <w:t>11,529,733.40元</w:t>
      </w:r>
    </w:p>
    <w:p w14:paraId="3F181560">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4.最高限价：</w:t>
      </w:r>
      <w:r>
        <w:rPr>
          <w:rFonts w:hint="eastAsia" w:ascii="宋体" w:hAnsi="宋体" w:eastAsia="宋体" w:cs="宋体"/>
          <w:color w:val="auto"/>
          <w:highlight w:val="none"/>
          <w:lang w:val="en-US" w:eastAsia="zh-CN"/>
        </w:rPr>
        <w:t>11,529,733.40元</w:t>
      </w:r>
    </w:p>
    <w:p w14:paraId="76539FB6">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5.采购需求：</w:t>
      </w:r>
    </w:p>
    <w:tbl>
      <w:tblPr>
        <w:tblStyle w:val="17"/>
        <w:tblW w:w="7941" w:type="dxa"/>
        <w:tblInd w:w="0" w:type="dxa"/>
        <w:tblBorders>
          <w:top w:val="outset" w:color="AAAAAA" w:sz="6" w:space="0"/>
          <w:left w:val="outset" w:color="AAAAAA" w:sz="6" w:space="0"/>
          <w:bottom w:val="outset" w:color="AAAAAA" w:sz="6" w:space="0"/>
          <w:right w:val="outset" w:color="AAAAAA" w:sz="6" w:space="0"/>
          <w:insideH w:val="none" w:color="auto" w:sz="0" w:space="0"/>
          <w:insideV w:val="none" w:color="auto" w:sz="0" w:space="0"/>
        </w:tblBorders>
        <w:tblLayout w:type="fixed"/>
        <w:tblCellMar>
          <w:top w:w="60" w:type="dxa"/>
          <w:left w:w="60" w:type="dxa"/>
          <w:bottom w:w="60" w:type="dxa"/>
          <w:right w:w="60" w:type="dxa"/>
        </w:tblCellMar>
      </w:tblPr>
      <w:tblGrid>
        <w:gridCol w:w="2228"/>
        <w:gridCol w:w="714"/>
        <w:gridCol w:w="714"/>
        <w:gridCol w:w="3571"/>
        <w:gridCol w:w="714"/>
      </w:tblGrid>
      <w:tr w14:paraId="03A8B27D">
        <w:tblPrEx>
          <w:tblBorders>
            <w:top w:val="outset" w:color="AAAAAA" w:sz="6" w:space="0"/>
            <w:left w:val="outset" w:color="AAAAAA" w:sz="6" w:space="0"/>
            <w:bottom w:val="outset" w:color="AAAAAA" w:sz="6" w:space="0"/>
            <w:right w:val="outset" w:color="AAAAAA" w:sz="6" w:space="0"/>
            <w:insideH w:val="none" w:color="auto" w:sz="0" w:space="0"/>
            <w:insideV w:val="none" w:color="auto" w:sz="0" w:space="0"/>
          </w:tblBorders>
          <w:tblCellMar>
            <w:top w:w="60" w:type="dxa"/>
            <w:left w:w="60" w:type="dxa"/>
            <w:bottom w:w="60" w:type="dxa"/>
            <w:right w:w="60" w:type="dxa"/>
          </w:tblCellMar>
        </w:tblPrEx>
        <w:tc>
          <w:tcPr>
            <w:tcW w:w="2228" w:type="dxa"/>
            <w:tcBorders>
              <w:top w:val="outset" w:color="AAAAAA" w:sz="6" w:space="0"/>
              <w:left w:val="outset" w:color="AAAAAA" w:sz="6" w:space="0"/>
              <w:bottom w:val="outset" w:color="AAAAAA" w:sz="6" w:space="0"/>
              <w:right w:val="outset" w:color="AAAAAA" w:sz="6" w:space="0"/>
            </w:tcBorders>
            <w:shd w:val="clear" w:color="auto" w:fill="ABCDEF"/>
            <w:vAlign w:val="center"/>
          </w:tcPr>
          <w:p w14:paraId="3EBBFE0D">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标的名称</w:t>
            </w:r>
          </w:p>
        </w:tc>
        <w:tc>
          <w:tcPr>
            <w:tcW w:w="714" w:type="dxa"/>
            <w:tcBorders>
              <w:top w:val="outset" w:color="AAAAAA" w:sz="6" w:space="0"/>
              <w:left w:val="outset" w:color="AAAAAA" w:sz="6" w:space="0"/>
              <w:bottom w:val="outset" w:color="AAAAAA" w:sz="6" w:space="0"/>
              <w:right w:val="outset" w:color="AAAAAA" w:sz="6" w:space="0"/>
            </w:tcBorders>
            <w:shd w:val="clear" w:color="auto" w:fill="ABCDEF"/>
            <w:vAlign w:val="center"/>
          </w:tcPr>
          <w:p w14:paraId="27CA952A">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数量</w:t>
            </w:r>
          </w:p>
        </w:tc>
        <w:tc>
          <w:tcPr>
            <w:tcW w:w="714" w:type="dxa"/>
            <w:tcBorders>
              <w:top w:val="outset" w:color="AAAAAA" w:sz="6" w:space="0"/>
              <w:left w:val="outset" w:color="AAAAAA" w:sz="6" w:space="0"/>
              <w:bottom w:val="outset" w:color="AAAAAA" w:sz="6" w:space="0"/>
              <w:right w:val="outset" w:color="AAAAAA" w:sz="6" w:space="0"/>
            </w:tcBorders>
            <w:shd w:val="clear" w:color="auto" w:fill="ABCDEF"/>
            <w:vAlign w:val="center"/>
          </w:tcPr>
          <w:p w14:paraId="01BBD335">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单位</w:t>
            </w:r>
          </w:p>
        </w:tc>
        <w:tc>
          <w:tcPr>
            <w:tcW w:w="3571" w:type="dxa"/>
            <w:tcBorders>
              <w:top w:val="outset" w:color="AAAAAA" w:sz="6" w:space="0"/>
              <w:left w:val="outset" w:color="AAAAAA" w:sz="6" w:space="0"/>
              <w:bottom w:val="outset" w:color="AAAAAA" w:sz="6" w:space="0"/>
              <w:right w:val="outset" w:color="AAAAAA" w:sz="6" w:space="0"/>
            </w:tcBorders>
            <w:shd w:val="clear" w:color="auto" w:fill="ABCDEF"/>
            <w:vAlign w:val="center"/>
          </w:tcPr>
          <w:p w14:paraId="2C08CDEA">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简要技术需求（服务需求）</w:t>
            </w:r>
          </w:p>
        </w:tc>
        <w:tc>
          <w:tcPr>
            <w:tcW w:w="714" w:type="dxa"/>
            <w:tcBorders>
              <w:top w:val="outset" w:color="AAAAAA" w:sz="6" w:space="0"/>
              <w:left w:val="outset" w:color="AAAAAA" w:sz="6" w:space="0"/>
              <w:bottom w:val="outset" w:color="AAAAAA" w:sz="6" w:space="0"/>
              <w:right w:val="outset" w:color="AAAAAA" w:sz="6" w:space="0"/>
            </w:tcBorders>
            <w:shd w:val="clear" w:color="auto" w:fill="ABCDEF"/>
            <w:vAlign w:val="center"/>
          </w:tcPr>
          <w:p w14:paraId="5EF9B10F">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备注</w:t>
            </w:r>
          </w:p>
        </w:tc>
      </w:tr>
      <w:tr w14:paraId="65701E09">
        <w:tblPrEx>
          <w:tblBorders>
            <w:top w:val="outset" w:color="AAAAAA" w:sz="6" w:space="0"/>
            <w:left w:val="outset" w:color="AAAAAA" w:sz="6" w:space="0"/>
            <w:bottom w:val="outset" w:color="AAAAAA" w:sz="6" w:space="0"/>
            <w:right w:val="outset" w:color="AAAAAA" w:sz="6" w:space="0"/>
            <w:insideH w:val="none" w:color="auto" w:sz="0" w:space="0"/>
            <w:insideV w:val="none" w:color="auto" w:sz="0" w:space="0"/>
          </w:tblBorders>
          <w:tblCellMar>
            <w:top w:w="60" w:type="dxa"/>
            <w:left w:w="60" w:type="dxa"/>
            <w:bottom w:w="60" w:type="dxa"/>
            <w:right w:w="60" w:type="dxa"/>
          </w:tblCellMar>
        </w:tblPrEx>
        <w:tc>
          <w:tcPr>
            <w:tcW w:w="2228" w:type="dxa"/>
            <w:tcBorders>
              <w:top w:val="outset" w:color="AAAAAA" w:sz="6" w:space="0"/>
              <w:left w:val="outset" w:color="AAAAAA" w:sz="6" w:space="0"/>
              <w:bottom w:val="outset" w:color="AAAAAA" w:sz="6" w:space="0"/>
              <w:right w:val="outset" w:color="AAAAAA" w:sz="6" w:space="0"/>
            </w:tcBorders>
            <w:vAlign w:val="center"/>
          </w:tcPr>
          <w:p w14:paraId="1B14CE1E">
            <w:pPr>
              <w:keepNext w:val="0"/>
              <w:keepLines w:val="0"/>
              <w:widowControl/>
              <w:suppressLineNumbers w:val="0"/>
              <w:spacing w:before="100" w:beforeAutospacing="1" w:after="100" w:afterAutospacing="1"/>
              <w:ind w:left="0" w:right="0"/>
              <w:jc w:val="center"/>
              <w:rPr>
                <w:rFonts w:hint="eastAsia" w:cs="宋体" w:asciiTheme="minorEastAsia" w:hAnsiTheme="minorEastAsia" w:eastAsiaTheme="minorEastAsia"/>
                <w:color w:val="auto"/>
                <w:szCs w:val="21"/>
                <w:highlight w:val="none"/>
                <w:lang w:eastAsia="zh-CN"/>
              </w:rPr>
            </w:pPr>
            <w:r>
              <w:rPr>
                <w:rFonts w:hint="eastAsia" w:ascii="宋体" w:hAnsi="宋体" w:eastAsia="宋体" w:cs="宋体"/>
                <w:color w:val="auto"/>
                <w:highlight w:val="none"/>
                <w:u w:val="single"/>
                <w:lang w:val="en-US" w:eastAsia="zh-CN"/>
              </w:rPr>
              <w:t>2025年通信线缆维护</w:t>
            </w:r>
          </w:p>
        </w:tc>
        <w:tc>
          <w:tcPr>
            <w:tcW w:w="714" w:type="dxa"/>
            <w:tcBorders>
              <w:top w:val="outset" w:color="AAAAAA" w:sz="6" w:space="0"/>
              <w:left w:val="outset" w:color="AAAAAA" w:sz="6" w:space="0"/>
              <w:bottom w:val="outset" w:color="AAAAAA" w:sz="6" w:space="0"/>
              <w:right w:val="outset" w:color="AAAAAA" w:sz="6" w:space="0"/>
            </w:tcBorders>
            <w:vAlign w:val="center"/>
          </w:tcPr>
          <w:p w14:paraId="0836DE39">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1.0</w:t>
            </w:r>
          </w:p>
        </w:tc>
        <w:tc>
          <w:tcPr>
            <w:tcW w:w="714" w:type="dxa"/>
            <w:tcBorders>
              <w:top w:val="outset" w:color="AAAAAA" w:sz="6" w:space="0"/>
              <w:left w:val="outset" w:color="AAAAAA" w:sz="6" w:space="0"/>
              <w:bottom w:val="outset" w:color="AAAAAA" w:sz="6" w:space="0"/>
              <w:right w:val="outset" w:color="AAAAAA" w:sz="6" w:space="0"/>
            </w:tcBorders>
            <w:vAlign w:val="center"/>
          </w:tcPr>
          <w:p w14:paraId="012EAF5B">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项</w:t>
            </w:r>
          </w:p>
        </w:tc>
        <w:tc>
          <w:tcPr>
            <w:tcW w:w="3571" w:type="dxa"/>
            <w:tcBorders>
              <w:top w:val="outset" w:color="AAAAAA" w:sz="6" w:space="0"/>
              <w:left w:val="outset" w:color="AAAAAA" w:sz="6" w:space="0"/>
              <w:bottom w:val="outset" w:color="AAAAAA" w:sz="6" w:space="0"/>
              <w:right w:val="outset" w:color="AAAAAA" w:sz="6" w:space="0"/>
            </w:tcBorders>
            <w:vAlign w:val="center"/>
          </w:tcPr>
          <w:p w14:paraId="48C3BF42">
            <w:pPr>
              <w:keepNext w:val="0"/>
              <w:keepLines w:val="0"/>
              <w:widowControl/>
              <w:suppressLineNumbers w:val="0"/>
              <w:spacing w:before="100" w:beforeAutospacing="1" w:after="100" w:afterAutospacing="1"/>
              <w:ind w:left="0" w:right="0"/>
              <w:jc w:val="center"/>
              <w:rPr>
                <w:rFonts w:hint="default" w:cs="宋体" w:asciiTheme="minorEastAsia" w:hAnsiTheme="minorEastAsia" w:eastAsiaTheme="minorEastAsia"/>
                <w:color w:val="auto"/>
                <w:szCs w:val="21"/>
                <w:highlight w:val="none"/>
              </w:rPr>
            </w:pPr>
            <w:r>
              <w:rPr>
                <w:rFonts w:hint="default" w:cs="宋体" w:asciiTheme="minorEastAsia" w:hAnsiTheme="minorEastAsia" w:eastAsiaTheme="minorEastAsia"/>
                <w:color w:val="auto"/>
                <w:szCs w:val="21"/>
                <w:highlight w:val="none"/>
              </w:rPr>
              <w:t>详见采购文件</w:t>
            </w:r>
          </w:p>
        </w:tc>
        <w:tc>
          <w:tcPr>
            <w:tcW w:w="714" w:type="dxa"/>
            <w:tcBorders>
              <w:top w:val="outset" w:color="AAAAAA" w:sz="6" w:space="0"/>
              <w:left w:val="outset" w:color="AAAAAA" w:sz="6" w:space="0"/>
              <w:bottom w:val="outset" w:color="AAAAAA" w:sz="6" w:space="0"/>
              <w:right w:val="outset" w:color="AAAAAA" w:sz="6" w:space="0"/>
            </w:tcBorders>
            <w:vAlign w:val="center"/>
          </w:tcPr>
          <w:p w14:paraId="3A2EDD3A">
            <w:pPr>
              <w:keepNext w:val="0"/>
              <w:keepLines w:val="0"/>
              <w:widowControl/>
              <w:suppressLineNumbers w:val="0"/>
              <w:spacing w:before="0" w:beforeAutospacing="0" w:after="0" w:afterAutospacing="0"/>
              <w:ind w:left="0" w:right="0"/>
              <w:jc w:val="center"/>
              <w:rPr>
                <w:rFonts w:hint="default" w:cs="宋体" w:asciiTheme="minorEastAsia" w:hAnsiTheme="minorEastAsia" w:eastAsiaTheme="minorEastAsia"/>
                <w:color w:val="auto"/>
                <w:szCs w:val="21"/>
                <w:highlight w:val="none"/>
              </w:rPr>
            </w:pPr>
          </w:p>
        </w:tc>
      </w:tr>
    </w:tbl>
    <w:p w14:paraId="04907FE8">
      <w:pPr>
        <w:spacing w:line="400" w:lineRule="exact"/>
        <w:ind w:firstLine="480" w:firstLineChars="200"/>
        <w:rPr>
          <w:rFonts w:hint="eastAsia" w:ascii="宋体" w:hAnsi="宋体" w:eastAsia="宋体" w:cs="宋体"/>
          <w:color w:val="auto"/>
          <w:highlight w:val="none"/>
        </w:rPr>
      </w:pPr>
      <w:r>
        <w:rPr>
          <w:rFonts w:hint="eastAsia" w:ascii="宋体" w:hAnsi="宋体" w:eastAsia="宋体" w:cs="宋体"/>
          <w:color w:val="auto"/>
          <w:highlight w:val="none"/>
        </w:rPr>
        <w:t>6.合同履行期限：详见招标文件。</w:t>
      </w:r>
    </w:p>
    <w:p w14:paraId="6EE437B7">
      <w:pPr>
        <w:spacing w:line="400" w:lineRule="exact"/>
        <w:ind w:firstLine="480" w:firstLineChars="200"/>
        <w:rPr>
          <w:rFonts w:hint="eastAsia" w:ascii="宋体" w:hAnsi="宋体" w:eastAsia="宋体" w:cs="宋体"/>
          <w:color w:val="auto"/>
          <w:highlight w:val="none"/>
        </w:rPr>
      </w:pPr>
      <w:r>
        <w:rPr>
          <w:rFonts w:hint="eastAsia" w:ascii="宋体" w:hAnsi="宋体" w:eastAsia="宋体" w:cs="宋体"/>
          <w:color w:val="auto"/>
          <w:highlight w:val="none"/>
        </w:rPr>
        <w:t>7.本项目</w:t>
      </w:r>
      <w:r>
        <w:rPr>
          <w:rFonts w:hint="eastAsia" w:ascii="宋体" w:hAnsi="宋体" w:eastAsia="宋体" w:cs="宋体"/>
          <w:color w:val="auto"/>
          <w:highlight w:val="none"/>
          <w:lang w:val="en-US" w:eastAsia="zh-CN"/>
        </w:rPr>
        <w:t>不</w:t>
      </w:r>
      <w:r>
        <w:rPr>
          <w:rFonts w:hint="eastAsia" w:ascii="宋体" w:hAnsi="宋体" w:eastAsia="宋体" w:cs="宋体"/>
          <w:color w:val="auto"/>
          <w:highlight w:val="none"/>
        </w:rPr>
        <w:t>接受联合体投标。</w:t>
      </w:r>
    </w:p>
    <w:p w14:paraId="520C4F52">
      <w:pPr>
        <w:spacing w:beforeLines="0" w:afterLines="0" w:line="240" w:lineRule="auto"/>
        <w:rPr>
          <w:rFonts w:hint="eastAsia" w:ascii="宋体" w:hAnsi="宋体" w:eastAsia="宋体" w:cs="宋体"/>
          <w:b/>
          <w:color w:val="auto"/>
          <w:szCs w:val="21"/>
          <w:highlight w:val="none"/>
          <w:lang w:eastAsia="zh-CN"/>
        </w:rPr>
      </w:pPr>
    </w:p>
    <w:p w14:paraId="2EC98FFD">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ascii="宋体" w:hAnsi="宋体" w:eastAsia="宋体" w:cs="宋体"/>
          <w:b/>
          <w:color w:val="auto"/>
          <w:szCs w:val="21"/>
          <w:highlight w:val="none"/>
        </w:rPr>
      </w:pPr>
      <w:r>
        <w:rPr>
          <w:rFonts w:hint="eastAsia" w:ascii="宋体" w:hAnsi="宋体" w:eastAsia="宋体" w:cs="宋体"/>
          <w:b/>
          <w:color w:val="auto"/>
          <w:szCs w:val="21"/>
          <w:highlight w:val="none"/>
          <w:lang w:eastAsia="zh-CN"/>
        </w:rPr>
        <w:t>二、</w:t>
      </w:r>
      <w:r>
        <w:rPr>
          <w:rFonts w:hint="eastAsia" w:ascii="宋体" w:hAnsi="宋体" w:eastAsia="宋体" w:cs="宋体"/>
          <w:b/>
          <w:color w:val="auto"/>
          <w:szCs w:val="21"/>
          <w:highlight w:val="none"/>
        </w:rPr>
        <w:t>投标人的资格要求：</w:t>
      </w:r>
    </w:p>
    <w:p w14:paraId="1A9CF8AC">
      <w:pPr>
        <w:spacing w:beforeLines="0" w:afterLines="0"/>
        <w:ind w:firstLine="480" w:firstLineChars="200"/>
        <w:jc w:val="both"/>
        <w:rPr>
          <w:rFonts w:ascii="宋体" w:hAnsi="宋体" w:eastAsia="宋体"/>
          <w:color w:val="auto"/>
          <w:szCs w:val="21"/>
          <w:highlight w:val="none"/>
        </w:rPr>
      </w:pPr>
      <w:r>
        <w:rPr>
          <w:rFonts w:hint="eastAsia" w:ascii="宋体" w:hAnsi="宋体" w:eastAsia="宋体"/>
          <w:color w:val="auto"/>
          <w:highlight w:val="none"/>
        </w:rPr>
        <w:t>1.投标人必须是具有独立法人资格或经其授权具有承接本项目能力的分支机构，或为具有独立承担民事责任能力的其它组织（提供营业执照或事业单位法人证书或其他证明材料，如果是分支机构投标，还须同时提供其具备独立法人资格的上级主体出具的有效授权书）。本项目不接受总公司与分支机构同时参与投标，也不接受同一总公司有两个或以上分支机构参与投标；如出现以上情形，该两家或以上投标人的投标文件均按无效投标处理</w:t>
      </w:r>
      <w:r>
        <w:rPr>
          <w:rFonts w:hint="eastAsia" w:ascii="宋体" w:hAnsi="宋体"/>
          <w:color w:val="auto"/>
          <w:kern w:val="0"/>
          <w:highlight w:val="none"/>
        </w:rPr>
        <w:t>；</w:t>
      </w:r>
    </w:p>
    <w:p w14:paraId="71828E8A">
      <w:pPr>
        <w:ind w:firstLine="480" w:firstLineChars="200"/>
        <w:jc w:val="both"/>
        <w:rPr>
          <w:rFonts w:hint="eastAsia" w:ascii="宋体" w:hAnsi="宋体" w:eastAsia="宋体"/>
          <w:color w:val="auto"/>
          <w:highlight w:val="none"/>
        </w:rPr>
      </w:pPr>
      <w:r>
        <w:rPr>
          <w:rFonts w:hint="eastAsia" w:ascii="宋体" w:hAnsi="宋体" w:eastAsia="宋体"/>
          <w:color w:val="auto"/>
          <w:highlight w:val="none"/>
        </w:rPr>
        <w:t>2.具备通信工程施工总承包二级以上资质（含二级）</w:t>
      </w:r>
      <w:r>
        <w:rPr>
          <w:rFonts w:hint="eastAsia" w:ascii="宋体" w:hAnsi="宋体" w:eastAsia="宋体"/>
          <w:color w:val="auto"/>
          <w:highlight w:val="none"/>
          <w:lang w:val="en-US" w:eastAsia="zh-CN"/>
        </w:rPr>
        <w:t>或省级/国家级安全技术防范企业设计施工维护能力评价等级证书（一级）</w:t>
      </w:r>
      <w:r>
        <w:rPr>
          <w:rFonts w:hint="eastAsia" w:ascii="宋体" w:hAnsi="宋体" w:eastAsia="宋体"/>
          <w:color w:val="auto"/>
          <w:highlight w:val="none"/>
        </w:rPr>
        <w:t>，提供以上有效证明文件扫描件，原件备查。</w:t>
      </w:r>
    </w:p>
    <w:p w14:paraId="66375274">
      <w:pPr>
        <w:ind w:firstLine="480" w:firstLineChars="200"/>
        <w:jc w:val="both"/>
        <w:rPr>
          <w:rFonts w:ascii="宋体" w:hAnsi="宋体" w:eastAsia="宋体"/>
          <w:color w:val="auto"/>
          <w:highlight w:val="none"/>
        </w:rPr>
      </w:pPr>
      <w:r>
        <w:rPr>
          <w:rFonts w:hint="eastAsia" w:ascii="宋体" w:hAnsi="宋体" w:eastAsia="宋体"/>
          <w:color w:val="auto"/>
          <w:highlight w:val="none"/>
          <w:lang w:val="en-US" w:eastAsia="zh-CN"/>
        </w:rPr>
        <w:t>3.</w:t>
      </w:r>
      <w:r>
        <w:rPr>
          <w:rFonts w:hint="eastAsia" w:ascii="宋体" w:hAnsi="宋体" w:eastAsia="宋体"/>
          <w:color w:val="auto"/>
          <w:highlight w:val="none"/>
        </w:rPr>
        <w:t>本项目不接受联合体投标，不接受进口产品参与投标（由供应商在《政府采购投标及履约承诺函》中作出声明）；</w:t>
      </w:r>
    </w:p>
    <w:p w14:paraId="742106DB">
      <w:pPr>
        <w:spacing w:beforeLines="0" w:afterLines="0"/>
        <w:ind w:firstLine="480" w:firstLineChars="200"/>
        <w:jc w:val="both"/>
        <w:rPr>
          <w:rFonts w:ascii="宋体" w:hAnsi="宋体" w:eastAsia="宋体"/>
          <w:color w:val="auto"/>
          <w:highlight w:val="none"/>
        </w:rPr>
      </w:pPr>
      <w:r>
        <w:rPr>
          <w:rFonts w:hint="eastAsia" w:ascii="宋体" w:hAnsi="宋体" w:eastAsia="宋体"/>
          <w:color w:val="auto"/>
          <w:highlight w:val="none"/>
          <w:lang w:val="en-US" w:eastAsia="zh-CN"/>
        </w:rPr>
        <w:t>4</w:t>
      </w:r>
      <w:r>
        <w:rPr>
          <w:rFonts w:hint="eastAsia" w:ascii="宋体" w:hAnsi="宋体" w:eastAsia="宋体"/>
          <w:color w:val="auto"/>
          <w:highlight w:val="none"/>
        </w:rPr>
        <w:t>.参与本项目政府采购活动时不存在被有关部门禁止参与政府采购活动且在有效期内的情况（由供应商在《政府采购投标及履约承诺函》中作出声明）；</w:t>
      </w:r>
    </w:p>
    <w:p w14:paraId="2630D365">
      <w:pPr>
        <w:spacing w:beforeLines="0" w:afterLines="0"/>
        <w:ind w:firstLine="480" w:firstLineChars="200"/>
        <w:jc w:val="both"/>
        <w:rPr>
          <w:rFonts w:ascii="宋体" w:hAnsi="宋体" w:eastAsia="宋体"/>
          <w:color w:val="auto"/>
          <w:highlight w:val="none"/>
        </w:rPr>
      </w:pPr>
      <w:r>
        <w:rPr>
          <w:rFonts w:hint="eastAsia" w:ascii="宋体" w:hAnsi="宋体" w:eastAsia="宋体"/>
          <w:color w:val="auto"/>
          <w:highlight w:val="none"/>
          <w:lang w:val="en-US" w:eastAsia="zh-CN"/>
        </w:rPr>
        <w:t>5</w:t>
      </w:r>
      <w:r>
        <w:rPr>
          <w:rFonts w:hint="eastAsia" w:ascii="宋体" w:hAnsi="宋体" w:eastAsia="宋体"/>
          <w:color w:val="auto"/>
          <w:highlight w:val="none"/>
        </w:rPr>
        <w:t>.具备《中华人民共和国政府采购法》第二十二条第一款的条件（由供应商在《政府采购投标及履约承诺函》中作出声明）；</w:t>
      </w:r>
    </w:p>
    <w:p w14:paraId="4A2B69E7">
      <w:pPr>
        <w:spacing w:beforeLines="0" w:afterLines="0"/>
        <w:ind w:firstLine="480" w:firstLineChars="200"/>
        <w:jc w:val="both"/>
        <w:rPr>
          <w:rFonts w:ascii="宋体" w:hAnsi="宋体" w:eastAsia="宋体"/>
          <w:color w:val="auto"/>
          <w:highlight w:val="none"/>
        </w:rPr>
      </w:pPr>
      <w:r>
        <w:rPr>
          <w:rFonts w:hint="eastAsia" w:ascii="宋体" w:hAnsi="宋体" w:eastAsia="宋体"/>
          <w:color w:val="auto"/>
          <w:highlight w:val="none"/>
          <w:lang w:val="en-US" w:eastAsia="zh-CN"/>
        </w:rPr>
        <w:t>6</w:t>
      </w:r>
      <w:r>
        <w:rPr>
          <w:rFonts w:hint="eastAsia" w:ascii="宋体" w:hAnsi="宋体" w:eastAsia="宋体"/>
          <w:color w:val="auto"/>
          <w:highlight w:val="none"/>
        </w:rPr>
        <w:t>.未被列入失信被执行人、</w:t>
      </w:r>
      <w:r>
        <w:rPr>
          <w:rFonts w:hint="eastAsia" w:ascii="宋体" w:hAnsi="宋体" w:eastAsia="宋体"/>
          <w:color w:val="auto"/>
          <w:highlight w:val="none"/>
          <w:lang w:eastAsia="zh-CN"/>
        </w:rPr>
        <w:t>重大税收违法失信主体</w:t>
      </w:r>
      <w:r>
        <w:rPr>
          <w:rFonts w:hint="eastAsia" w:ascii="宋体" w:hAnsi="宋体" w:eastAsia="宋体"/>
          <w:color w:val="auto"/>
          <w:highlight w:val="none"/>
        </w:rPr>
        <w:t>、政府采购严重违法失信行为记录名单（由供应商在《政府采购投标及履约承诺函》中作出声明）。</w:t>
      </w:r>
    </w:p>
    <w:p w14:paraId="1715D63E">
      <w:pPr>
        <w:spacing w:beforeLines="0" w:afterLines="0"/>
        <w:ind w:firstLine="480" w:firstLineChars="200"/>
        <w:jc w:val="both"/>
        <w:rPr>
          <w:rFonts w:hint="eastAsia" w:ascii="宋体" w:hAnsi="宋体" w:eastAsia="宋体"/>
          <w:color w:val="auto"/>
          <w:highlight w:val="none"/>
        </w:rPr>
      </w:pPr>
      <w:r>
        <w:rPr>
          <w:rFonts w:hint="eastAsia" w:ascii="宋体" w:hAnsi="宋体" w:eastAsia="宋体"/>
          <w:color w:val="auto"/>
          <w:highlight w:val="none"/>
          <w:lang w:val="en-US" w:eastAsia="zh-CN"/>
        </w:rPr>
        <w:t>7</w:t>
      </w:r>
      <w:r>
        <w:rPr>
          <w:rFonts w:hint="eastAsia" w:ascii="宋体" w:hAnsi="宋体" w:eastAsia="宋体"/>
          <w:color w:val="auto"/>
          <w:highlight w:val="none"/>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填写《供应商基本情况表》相关信息，如发现不同投标供应商的相关信息存在上述“不得”的情形，作投标无效处理）；</w:t>
      </w:r>
    </w:p>
    <w:p w14:paraId="712D16D5">
      <w:pPr>
        <w:spacing w:beforeLines="0" w:afterLines="0"/>
        <w:ind w:firstLine="480" w:firstLineChars="200"/>
        <w:jc w:val="both"/>
        <w:rPr>
          <w:rFonts w:hint="eastAsia" w:ascii="宋体" w:hAnsi="宋体" w:eastAsia="宋体"/>
          <w:color w:val="auto"/>
          <w:highlight w:val="none"/>
          <w:lang w:val="en-US" w:eastAsia="zh-CN"/>
        </w:rPr>
      </w:pPr>
      <w:r>
        <w:rPr>
          <w:rFonts w:hint="eastAsia" w:ascii="宋体" w:hAnsi="宋体" w:eastAsia="宋体"/>
          <w:color w:val="auto"/>
          <w:highlight w:val="none"/>
          <w:lang w:val="en-US" w:eastAsia="zh-CN"/>
        </w:rPr>
        <w:t>8.不存在《深圳市财政局政府采购供应商信用信息管理办法》（深财规〔2023〕3 号）列明的严重违法失信行为</w:t>
      </w:r>
      <w:r>
        <w:rPr>
          <w:rFonts w:hint="eastAsia" w:ascii="宋体" w:hAnsi="宋体" w:eastAsia="宋体"/>
          <w:color w:val="auto"/>
          <w:highlight w:val="none"/>
        </w:rPr>
        <w:t>（由供应商在《政府采购投标及履约承诺函》中作出声明）</w:t>
      </w:r>
      <w:r>
        <w:rPr>
          <w:rFonts w:hint="eastAsia" w:ascii="宋体" w:hAnsi="宋体" w:eastAsia="宋体"/>
          <w:color w:val="auto"/>
          <w:highlight w:val="none"/>
          <w:lang w:val="en-US" w:eastAsia="zh-CN"/>
        </w:rPr>
        <w:t>；</w:t>
      </w:r>
    </w:p>
    <w:p w14:paraId="0DC7B99E">
      <w:pPr>
        <w:spacing w:beforeLines="0" w:afterLines="0"/>
        <w:ind w:firstLine="480" w:firstLineChars="200"/>
        <w:jc w:val="both"/>
        <w:rPr>
          <w:rFonts w:ascii="宋体" w:hAnsi="宋体" w:eastAsia="宋体"/>
          <w:color w:val="auto"/>
          <w:highlight w:val="none"/>
        </w:rPr>
      </w:pPr>
      <w:r>
        <w:rPr>
          <w:rFonts w:hint="eastAsia" w:ascii="宋体" w:hAnsi="宋体" w:eastAsia="宋体"/>
          <w:color w:val="auto"/>
          <w:highlight w:val="none"/>
          <w:lang w:val="en-US" w:eastAsia="zh-CN"/>
        </w:rPr>
        <w:t>9</w:t>
      </w:r>
      <w:r>
        <w:rPr>
          <w:rFonts w:hint="eastAsia" w:ascii="宋体" w:hAnsi="宋体" w:eastAsia="宋体"/>
          <w:color w:val="auto"/>
          <w:highlight w:val="none"/>
        </w:rPr>
        <w:t>.为本项目提供整体设计、规范编制或者项目管理、监理、检测等服务的供应商，不得参加本项目投标。（由供应商在《政府采购投标及履约承诺函》中作出声明）；</w:t>
      </w:r>
    </w:p>
    <w:p w14:paraId="2A65E9D8">
      <w:pPr>
        <w:spacing w:beforeLines="0" w:afterLines="0"/>
        <w:ind w:firstLine="480" w:firstLineChars="200"/>
        <w:jc w:val="both"/>
        <w:rPr>
          <w:rFonts w:hint="eastAsia" w:ascii="宋体" w:hAnsi="宋体" w:eastAsia="宋体"/>
          <w:color w:val="auto"/>
          <w:highlight w:val="none"/>
          <w:lang w:eastAsia="zh-CN"/>
        </w:rPr>
      </w:pPr>
      <w:r>
        <w:rPr>
          <w:rFonts w:hint="eastAsia" w:ascii="宋体" w:hAnsi="宋体" w:eastAsia="宋体"/>
          <w:color w:val="auto"/>
          <w:highlight w:val="none"/>
          <w:lang w:val="en-US" w:eastAsia="zh-CN"/>
        </w:rPr>
        <w:t>10</w:t>
      </w:r>
      <w:r>
        <w:rPr>
          <w:rFonts w:hint="eastAsia" w:ascii="宋体" w:hAnsi="宋体" w:eastAsia="宋体"/>
          <w:color w:val="auto"/>
          <w:highlight w:val="none"/>
        </w:rPr>
        <w:t>.本项目是否专门面向中小</w:t>
      </w:r>
      <w:r>
        <w:rPr>
          <w:rFonts w:hint="eastAsia" w:ascii="宋体" w:hAnsi="宋体" w:eastAsia="宋体"/>
          <w:color w:val="auto"/>
          <w:highlight w:val="none"/>
          <w:lang w:eastAsia="zh-CN"/>
        </w:rPr>
        <w:t>微</w:t>
      </w:r>
      <w:r>
        <w:rPr>
          <w:rFonts w:hint="eastAsia" w:ascii="宋体" w:hAnsi="宋体" w:eastAsia="宋体"/>
          <w:color w:val="auto"/>
          <w:highlight w:val="none"/>
        </w:rPr>
        <w:t>企业采购：否</w:t>
      </w:r>
      <w:r>
        <w:rPr>
          <w:rFonts w:hint="eastAsia" w:ascii="宋体" w:hAnsi="宋体" w:eastAsia="宋体"/>
          <w:color w:val="auto"/>
          <w:kern w:val="0"/>
          <w:highlight w:val="none"/>
          <w:lang w:val="en-US" w:eastAsia="zh-CN"/>
        </w:rPr>
        <w:t>；</w:t>
      </w:r>
    </w:p>
    <w:p w14:paraId="236B6E1E">
      <w:pPr>
        <w:pStyle w:val="7"/>
        <w:spacing w:beforeLines="0" w:after="0" w:afterLines="0" w:line="240" w:lineRule="auto"/>
        <w:ind w:firstLine="482" w:firstLineChars="200"/>
        <w:rPr>
          <w:rFonts w:ascii="宋体" w:hAnsi="宋体" w:eastAsia="宋体"/>
          <w:b/>
          <w:bCs/>
          <w:color w:val="auto"/>
          <w:highlight w:val="none"/>
        </w:rPr>
      </w:pPr>
      <w:r>
        <w:rPr>
          <w:rFonts w:hint="eastAsia" w:ascii="宋体" w:hAnsi="宋体" w:eastAsia="宋体"/>
          <w:b/>
          <w:bCs/>
          <w:color w:val="auto"/>
          <w:highlight w:val="none"/>
        </w:rPr>
        <w:t>本项目所属行业类型为：</w:t>
      </w:r>
      <w:r>
        <w:rPr>
          <w:rFonts w:hint="eastAsia" w:ascii="宋体" w:hAnsi="宋体" w:eastAsia="宋体"/>
          <w:b/>
          <w:bCs/>
          <w:color w:val="auto"/>
          <w:highlight w:val="none"/>
          <w:u w:val="single"/>
        </w:rPr>
        <w:t>信息传输业</w:t>
      </w:r>
      <w:r>
        <w:rPr>
          <w:rFonts w:hint="eastAsia" w:ascii="宋体" w:hAnsi="宋体" w:eastAsia="宋体"/>
          <w:b/>
          <w:bCs/>
          <w:color w:val="auto"/>
          <w:highlight w:val="none"/>
        </w:rPr>
        <w:t>。</w:t>
      </w:r>
    </w:p>
    <w:p w14:paraId="36BEABC8">
      <w:pPr>
        <w:spacing w:beforeLines="0" w:afterLines="0"/>
        <w:ind w:firstLine="480" w:firstLineChars="200"/>
        <w:jc w:val="both"/>
        <w:rPr>
          <w:rFonts w:ascii="宋体" w:hAnsi="宋体" w:eastAsia="宋体"/>
          <w:color w:val="auto"/>
          <w:highlight w:val="none"/>
        </w:rPr>
      </w:pPr>
      <w:r>
        <w:rPr>
          <w:rFonts w:hint="eastAsia" w:ascii="宋体" w:hAnsi="宋体" w:eastAsia="宋体"/>
          <w:color w:val="auto"/>
          <w:highlight w:val="none"/>
        </w:rPr>
        <w:t>注：（1）采购代理机构将通过“信用中国”中“信用服务”栏的“</w:t>
      </w:r>
      <w:r>
        <w:rPr>
          <w:rFonts w:hint="eastAsia" w:ascii="宋体" w:hAnsi="宋体" w:eastAsia="宋体"/>
          <w:color w:val="auto"/>
          <w:highlight w:val="none"/>
          <w:lang w:eastAsia="zh-CN"/>
        </w:rPr>
        <w:t>重大税收违法失信主体</w:t>
      </w:r>
      <w:r>
        <w:rPr>
          <w:rFonts w:hint="eastAsia" w:ascii="宋体" w:hAnsi="宋体" w:eastAsia="宋体"/>
          <w:color w:val="auto"/>
          <w:highlight w:val="none"/>
        </w:rPr>
        <w:t>”“失信被执行人”</w:t>
      </w:r>
      <w:r>
        <w:rPr>
          <w:rFonts w:hint="eastAsia" w:ascii="宋体" w:hAnsi="宋体" w:eastAsia="宋体"/>
          <w:color w:val="auto"/>
          <w:highlight w:val="none"/>
          <w:lang w:eastAsia="zh-CN"/>
        </w:rPr>
        <w:t>，</w:t>
      </w:r>
      <w:r>
        <w:rPr>
          <w:rFonts w:hint="eastAsia" w:ascii="宋体" w:hAnsi="宋体" w:eastAsia="宋体"/>
          <w:color w:val="auto"/>
          <w:highlight w:val="none"/>
        </w:rPr>
        <w:t>“中国政府采购网”中的“政府采购严重违法失信行为记录名单”“深圳信用网”以及“深圳市政府采购监管网”为供应商信用信息的查询渠道，相关信息以开标当日的查询结果为准。信用信息查询记录应当作为项目档案材料一并保存；</w:t>
      </w:r>
    </w:p>
    <w:p w14:paraId="36CF0BF2">
      <w:pPr>
        <w:ind w:firstLine="480" w:firstLineChars="200"/>
        <w:jc w:val="both"/>
        <w:rPr>
          <w:rFonts w:hint="eastAsia" w:ascii="宋体" w:hAnsi="宋体" w:eastAsia="宋体"/>
          <w:color w:val="auto"/>
          <w:kern w:val="0"/>
          <w:highlight w:val="none"/>
          <w:lang w:eastAsia="zh-CN"/>
        </w:rPr>
      </w:pPr>
      <w:r>
        <w:rPr>
          <w:rFonts w:hint="eastAsia" w:ascii="宋体" w:hAnsi="宋体"/>
          <w:color w:val="auto"/>
          <w:kern w:val="0"/>
          <w:highlight w:val="none"/>
          <w:lang w:eastAsia="zh-CN"/>
        </w:rPr>
        <w:t>（</w:t>
      </w:r>
      <w:r>
        <w:rPr>
          <w:rFonts w:hint="eastAsia" w:ascii="宋体" w:hAnsi="宋体"/>
          <w:color w:val="auto"/>
          <w:kern w:val="0"/>
          <w:highlight w:val="none"/>
          <w:lang w:val="en-US" w:eastAsia="zh-CN"/>
        </w:rPr>
        <w:t>2</w:t>
      </w:r>
      <w:r>
        <w:rPr>
          <w:rFonts w:hint="eastAsia" w:ascii="宋体" w:hAnsi="宋体"/>
          <w:color w:val="auto"/>
          <w:kern w:val="0"/>
          <w:highlight w:val="none"/>
          <w:lang w:eastAsia="zh-CN"/>
        </w:rPr>
        <w:t>）</w:t>
      </w:r>
      <w:r>
        <w:rPr>
          <w:rFonts w:hint="eastAsia" w:ascii="仿宋" w:hAnsi="仿宋" w:eastAsia="仿宋" w:cs="仿宋"/>
          <w:color w:val="auto"/>
          <w:sz w:val="24"/>
          <w:highlight w:val="none"/>
        </w:rPr>
        <w:t>采购代理机构将通过国家企业信用信息公示系统(https://www.gsxt.gov.cn/index.html）或机关赋码和事业单位登记管理网（http://gjsy.gov.cn/sydwfrxxcx/)或全国社会组织信用信息公示平台（https://xxgs.chinanpo.mca.gov.cn/gsxt/newList 等网站查询供应商信息，相关信息以截标当日的查询结果为准</w:t>
      </w:r>
      <w:r>
        <w:rPr>
          <w:rFonts w:hint="eastAsia" w:ascii="宋体" w:hAnsi="宋体" w:eastAsia="宋体"/>
          <w:color w:val="auto"/>
          <w:kern w:val="0"/>
          <w:highlight w:val="none"/>
          <w:lang w:eastAsia="zh-CN"/>
        </w:rPr>
        <w:t>；</w:t>
      </w:r>
    </w:p>
    <w:p w14:paraId="20D39FDF">
      <w:pPr>
        <w:spacing w:beforeLines="0" w:afterLines="0"/>
        <w:ind w:firstLine="480" w:firstLineChars="200"/>
        <w:jc w:val="both"/>
        <w:rPr>
          <w:rFonts w:ascii="宋体" w:hAnsi="宋体" w:eastAsia="宋体"/>
          <w:color w:val="auto"/>
          <w:highlight w:val="none"/>
        </w:rPr>
      </w:pPr>
      <w:r>
        <w:rPr>
          <w:rFonts w:hint="eastAsia" w:ascii="宋体" w:hAnsi="宋体" w:eastAsia="宋体"/>
          <w:color w:val="auto"/>
          <w:highlight w:val="none"/>
        </w:rPr>
        <w:t>（</w:t>
      </w:r>
      <w:r>
        <w:rPr>
          <w:rFonts w:hint="eastAsia" w:ascii="宋体" w:hAnsi="宋体" w:eastAsia="宋体"/>
          <w:color w:val="auto"/>
          <w:highlight w:val="none"/>
          <w:lang w:val="en-US" w:eastAsia="zh-CN"/>
        </w:rPr>
        <w:t>3</w:t>
      </w:r>
      <w:r>
        <w:rPr>
          <w:rFonts w:hint="eastAsia" w:ascii="宋体" w:hAnsi="宋体" w:eastAsia="宋体"/>
          <w:color w:val="auto"/>
          <w:highlight w:val="none"/>
        </w:rPr>
        <w:t>）供应商投标（上传投标文件）请先行办理注册手续，具体请按照本公告“六、其他补充事宜”相关内容指引办理。</w:t>
      </w:r>
    </w:p>
    <w:p w14:paraId="1D0BD8B0">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p>
    <w:p w14:paraId="16287C1C">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default" w:ascii="宋体" w:hAnsi="宋体" w:eastAsia="宋体" w:cs="宋体"/>
          <w:b/>
          <w:color w:val="auto"/>
          <w:szCs w:val="21"/>
          <w:highlight w:val="none"/>
          <w:lang w:val="en-US" w:eastAsia="zh-CN"/>
        </w:rPr>
      </w:pPr>
      <w:r>
        <w:rPr>
          <w:rFonts w:hint="eastAsia" w:ascii="宋体" w:hAnsi="宋体" w:eastAsia="宋体" w:cs="宋体"/>
          <w:b/>
          <w:color w:val="auto"/>
          <w:szCs w:val="21"/>
          <w:highlight w:val="none"/>
        </w:rPr>
        <w:t>三、获取招标文件</w:t>
      </w:r>
    </w:p>
    <w:p w14:paraId="22D6AD26">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时间：发布招标公告当日至</w:t>
      </w:r>
      <w:r>
        <w:rPr>
          <w:rFonts w:hint="eastAsia" w:ascii="宋体" w:hAnsi="宋体" w:eastAsia="宋体" w:cs="宋体"/>
          <w:color w:val="auto"/>
          <w:highlight w:val="none"/>
          <w:lang w:val="en-US" w:eastAsia="zh-CN"/>
        </w:rPr>
        <w:t>2025年X月X日XX时XX分XX秒</w:t>
      </w:r>
      <w:r>
        <w:rPr>
          <w:rFonts w:hint="eastAsia" w:ascii="宋体" w:hAnsi="宋体" w:eastAsia="宋体" w:cs="宋体"/>
          <w:color w:val="auto"/>
          <w:highlight w:val="none"/>
        </w:rPr>
        <w:t xml:space="preserve">（北京时间） </w:t>
      </w:r>
    </w:p>
    <w:p w14:paraId="0EA6BA0B">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地点：登录深圳政府采购智慧平台（http://zfcg.szggzy.com:8081）下载本项目的招标文件。</w:t>
      </w:r>
    </w:p>
    <w:p w14:paraId="6A963196">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 xml:space="preserve">方式：在线下载。 </w:t>
      </w:r>
    </w:p>
    <w:p w14:paraId="31EEDC73">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售价：免费。</w:t>
      </w:r>
    </w:p>
    <w:p w14:paraId="670CC7F4">
      <w:pPr>
        <w:keepNext w:val="0"/>
        <w:keepLines w:val="0"/>
        <w:pageBreakBefore w:val="0"/>
        <w:widowControl/>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auto"/>
          <w:highlight w:val="none"/>
        </w:rPr>
      </w:pPr>
      <w:r>
        <w:rPr>
          <w:rFonts w:hint="eastAsia" w:ascii="宋体" w:hAnsi="宋体" w:eastAsia="宋体" w:cs="宋体"/>
          <w:color w:val="auto"/>
          <w:highlight w:val="none"/>
        </w:rPr>
        <w:t>凡已注册的深圳市网上政府采购供应商，按照授予的操作权限，可于发布招标公告当日至</w:t>
      </w:r>
      <w:r>
        <w:rPr>
          <w:rFonts w:hint="eastAsia" w:ascii="宋体" w:hAnsi="宋体" w:eastAsia="宋体" w:cs="宋体"/>
          <w:color w:val="auto"/>
          <w:highlight w:val="none"/>
          <w:lang w:val="en-US" w:eastAsia="zh-CN"/>
        </w:rPr>
        <w:t>2025年X月X日XX时XX分XX秒</w:t>
      </w:r>
      <w:r>
        <w:rPr>
          <w:rFonts w:hint="eastAsia" w:ascii="宋体" w:hAnsi="宋体" w:eastAsia="宋体" w:cs="宋体"/>
          <w:color w:val="auto"/>
          <w:highlight w:val="none"/>
        </w:rPr>
        <w:t>（北京时间）期间登录深圳政府采购智慧平台（http://zfcg.szggzy.com:8081/）下载本项目的采购文件。投标人如确定参加投标，首先要在深圳政府采购智慧平台网上办事子系统（http://zfcg.szggzy.com:8081/TPBidder/memberLogin）网上报名投标，方法为在网上办事子系统后点击“【招标公告】→【我要报名】”；如果网上报名后上传了投标文件，又不参加投标，应再到【我的项目】→【项目流程】→【递交投标(应答)文件】功能点中进行“【撤回本次投标】”操作；如果是未注册为深圳政府采购智慧平台（http://zfcg.szggzy.com:8081/）的供应商，请先办理密钥（请点击），并前往深圳公共资源交易中心（深圳交易集团有限公司政府采购业务分公司）绑定深圳政府采购智慧平台用户（地址：</w:t>
      </w:r>
      <w:r>
        <w:rPr>
          <w:rFonts w:hint="eastAsia" w:ascii="宋体" w:hAnsi="宋体" w:eastAsia="宋体" w:cs="宋体"/>
          <w:color w:val="auto"/>
          <w:highlight w:val="none"/>
          <w:lang w:eastAsia="zh-CN"/>
        </w:rPr>
        <w:t>深圳市南山区沙河西路3185号南山智谷A座（深圳交易集团总部大楼）3楼前台，咨询电话：0755-83948165、0755-83938966、4008301330</w:t>
      </w:r>
      <w:r>
        <w:rPr>
          <w:rFonts w:hint="eastAsia" w:ascii="宋体" w:hAnsi="宋体" w:eastAsia="宋体" w:cs="宋体"/>
          <w:color w:val="auto"/>
          <w:highlight w:val="none"/>
        </w:rPr>
        <w:t>），再进行投标报名。在网上报名后，点击“【我的项目】→【项目流程】→【采购文件下载】”进行招标文件的下载。</w:t>
      </w:r>
    </w:p>
    <w:p w14:paraId="20D78A1B">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p>
    <w:p w14:paraId="7078EA7D">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四、提交投标文件截止时间、开标时间和地点</w:t>
      </w:r>
    </w:p>
    <w:p w14:paraId="55C15DDD">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1.投标截止时间：所有投标文件应于</w:t>
      </w:r>
      <w:r>
        <w:rPr>
          <w:rFonts w:hint="eastAsia" w:ascii="宋体" w:hAnsi="宋体" w:eastAsia="宋体" w:cs="宋体"/>
          <w:color w:val="auto"/>
          <w:highlight w:val="none"/>
          <w:lang w:val="en-US" w:eastAsia="zh-CN"/>
        </w:rPr>
        <w:t>2025年X月X日XX时XX分XX秒（北京时间）</w:t>
      </w:r>
      <w:r>
        <w:rPr>
          <w:rFonts w:hint="eastAsia" w:ascii="宋体" w:hAnsi="宋体" w:eastAsia="宋体" w:cs="宋体"/>
          <w:color w:val="auto"/>
          <w:highlight w:val="none"/>
        </w:rPr>
        <w:t>之前上传到深圳政府采购智慧平台（http://zfcg.szggzy.com:8081/）。具体操作为登录“深圳政府采购智慧平台用户网上办事子系统（http://zfcg.szggzy.com:8081/TPBidder/memberLogin）”，用“【我的项目】→【项目流程】→【递交投标(应答)文件】”功能点上传投标文件。本项目电子投标文件最大容量为100MB，超过此容量的文件将被拒绝。    </w:t>
      </w:r>
    </w:p>
    <w:p w14:paraId="059EE5E6">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2.开标时间和地点：定于</w:t>
      </w:r>
      <w:r>
        <w:rPr>
          <w:rFonts w:hint="eastAsia" w:ascii="宋体" w:hAnsi="宋体" w:eastAsia="宋体" w:cs="宋体"/>
          <w:color w:val="auto"/>
          <w:highlight w:val="none"/>
          <w:lang w:val="en-US" w:eastAsia="zh-CN"/>
        </w:rPr>
        <w:t>2025年X月X日XX时XX分XX秒（北京时间）</w:t>
      </w:r>
      <w:r>
        <w:rPr>
          <w:rFonts w:hint="eastAsia" w:ascii="宋体" w:hAnsi="宋体" w:eastAsia="宋体" w:cs="宋体"/>
          <w:color w:val="auto"/>
          <w:highlight w:val="none"/>
        </w:rPr>
        <w:t>，在友和保险经纪有限公司公开开标。供应商可以登录“深圳政府采购智慧平台用户网上办事子系统（http://zfcg.szggzy.com:8081/TPBidder/memberLogin）”，在“【我的项目】→【项目流程】→【开标及解密】”进行在线解密、查询开标情况。</w:t>
      </w:r>
    </w:p>
    <w:p w14:paraId="50D51FC9">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3.在线解密：投标人须在</w:t>
      </w:r>
      <w:r>
        <w:rPr>
          <w:rFonts w:hint="eastAsia" w:ascii="宋体" w:hAnsi="宋体" w:eastAsia="宋体" w:cs="宋体"/>
          <w:color w:val="auto"/>
          <w:highlight w:val="none"/>
          <w:lang w:val="en-US" w:eastAsia="zh-CN"/>
        </w:rPr>
        <w:t>开标当日XX:XX:XX-XX:XX:XX期间</w:t>
      </w:r>
      <w:r>
        <w:rPr>
          <w:rFonts w:hint="eastAsia" w:ascii="宋体" w:hAnsi="宋体" w:eastAsia="宋体" w:cs="宋体"/>
          <w:color w:val="auto"/>
          <w:highlight w:val="none"/>
        </w:rPr>
        <w:t>进行解密，逾期未解密的作无效处理。解密方法：登录“深圳政府采购智慧平台用户网上办事子系统（http://zfcg.szggzy.com:8081/TPBidder/memberLogin）”，使用本单位制作电子投标文件同一个电子密钥，在“【我的项目】→【项目流程】→【开标及解密】”进行在线解密、查询开标情况。</w:t>
      </w:r>
    </w:p>
    <w:p w14:paraId="260A470F">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p>
    <w:p w14:paraId="5543A1AD">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五、公告期限</w:t>
      </w:r>
    </w:p>
    <w:p w14:paraId="1F771138">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自本公告发布之日起5个工作日。</w:t>
      </w:r>
    </w:p>
    <w:p w14:paraId="457AC845">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p>
    <w:p w14:paraId="083FE5F9">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六、其他补充事宜</w:t>
      </w:r>
    </w:p>
    <w:p w14:paraId="3A3D8712">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1.本项目实行网上投标，采用电子投标文件。</w:t>
      </w:r>
    </w:p>
    <w:p w14:paraId="603F5B17">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2.报名操作：投标人如确定参加投标，首先要在深圳政府采购网上报名投标，方法为登录深圳公共资源交易中心（深圳交易集团有限公司政府采购业务分公司）网后点击“招标公告”选中要报名标段点击“我要报名”或“代办→邀请提醒”；如果网上报名后上传了投标文件，又不参加投标，应再到【我的项目】→【项目流程】→【递交投标(应答)文件】→【上传投标文件】功能点中进行“撤标”操作；如果是未注册为深圳政府采购的供应商，请访问深圳公共资源交易中心（深圳交易集团有限公司政府采购业务分公司）（http://www.szzfcg.cn/）,先办理注册手续（注册咨询：83938966；电子密钥咨询：83948165</w:t>
      </w:r>
      <w:r>
        <w:rPr>
          <w:rFonts w:hint="eastAsia" w:ascii="宋体" w:hAnsi="宋体" w:eastAsia="宋体" w:cs="宋体"/>
          <w:color w:val="auto"/>
          <w:highlight w:val="none"/>
          <w:lang w:eastAsia="zh-CN"/>
        </w:rPr>
        <w:t>、</w:t>
      </w:r>
      <w:r>
        <w:rPr>
          <w:rFonts w:hint="eastAsia" w:ascii="宋体" w:hAnsi="宋体" w:eastAsia="宋体" w:cs="宋体"/>
          <w:color w:val="auto"/>
          <w:highlight w:val="none"/>
        </w:rPr>
        <w:t>4008301330 ），再进行投标报名。在网上报名后，点击“我的项目→项目流程”中进行招标文件的下载。</w:t>
      </w:r>
    </w:p>
    <w:p w14:paraId="458CFEE4">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3.开标操作：投标人可以登录“深圳公共资源交易中心（深圳交易集团有限公司政府采购业务分公司）网站”，在系统登录首页面即可查看开标情况。</w:t>
      </w:r>
    </w:p>
    <w:p w14:paraId="0D0B7592">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4.投标操作：具体操作为登录“深圳公共资源交易中心（深圳交易集团有限公司政府采购业务分公司）网站”，用“我的项目→项目流程→递交投标(应答)文件→上传投标文件”功能点上传投标文件。本项目电子投标文件最大容量为100MB，超过此容量的文件将被拒绝。</w:t>
      </w:r>
    </w:p>
    <w:p w14:paraId="3A2B9B0C">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5.采购文件澄清/修改事项：</w:t>
      </w:r>
      <w:r>
        <w:rPr>
          <w:rFonts w:hint="eastAsia" w:ascii="宋体" w:hAnsi="宋体" w:eastAsia="宋体" w:cs="宋体"/>
          <w:color w:val="auto"/>
          <w:highlight w:val="none"/>
          <w:lang w:val="en-US" w:eastAsia="zh-CN"/>
        </w:rPr>
        <w:t>2025年X月X日XX:XX:XX（北京时间）前</w:t>
      </w:r>
      <w:r>
        <w:rPr>
          <w:rFonts w:hint="eastAsia" w:ascii="宋体" w:hAnsi="宋体" w:eastAsia="宋体" w:cs="宋体"/>
          <w:color w:val="auto"/>
          <w:highlight w:val="none"/>
        </w:rPr>
        <w:t>，供应商如果认为采购文件存在不明确、不清晰和前后不一致等问题，可登录深圳公共资源交易中心网（http://zfcg.szggzy.com:8081/）→“深圳政府采购智慧平台用户网上办事子系统（http://zfcg.szggzy.com:8081/TPBidder/memberLogin）”，在“【我的项目】→【项目流程】→【提问】”功能点中填写需澄清内容</w:t>
      </w:r>
      <w:r>
        <w:rPr>
          <w:rFonts w:hint="eastAsia" w:ascii="宋体" w:hAnsi="宋体" w:eastAsia="宋体" w:cs="宋体"/>
          <w:color w:val="auto"/>
          <w:highlight w:val="none"/>
          <w:lang w:val="en-US" w:eastAsia="zh-CN"/>
        </w:rPr>
        <w:t>2025年X月X日XX:XX:XX（北京时间）</w:t>
      </w:r>
      <w:r>
        <w:rPr>
          <w:rFonts w:hint="eastAsia" w:ascii="宋体" w:hAnsi="宋体" w:eastAsia="宋体" w:cs="宋体"/>
          <w:color w:val="auto"/>
          <w:highlight w:val="none"/>
        </w:rPr>
        <w:t>前将采购文件澄清/修改情况在“【我的项目】→【项目流程】→【答疑澄清文件下载】”中公布，望投标人予以关注。</w:t>
      </w:r>
    </w:p>
    <w:p w14:paraId="3774DD9A">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重要提示：“提出采购文件澄清要求”不等同于“对采购文件质疑”，供应商提出的澄清要求内容如出现“质疑”字眼，将予以退回。供应商如认为采购文件存在限制性、倾向性、其权益受到损害，应在采购文件公布之日起七个工作日内以书面形式提出质疑。请质疑供应商根据深圳公共资源交易中心网（ https://www.szggzy.com/globalSearch/details.html?contentId=1211037）所发布的质疑指引、质疑函模板填写质疑函并提交质疑材料。质疑材料可以采用现场或邮寄方式提交，采用邮寄方式提交的，交邮时间应在本公告发布之日起七个工作日内。质疑材料现场提交、邮寄地址：深圳市福田区福田体育公园西北角友和招标代理服务中心（靠近北门）。</w:t>
      </w:r>
      <w:r>
        <w:rPr>
          <w:rFonts w:hint="eastAsia" w:ascii="宋体" w:hAnsi="宋体" w:eastAsia="宋体" w:cs="宋体"/>
          <w:color w:val="auto"/>
          <w:highlight w:val="none"/>
          <w:lang w:val="en-US" w:eastAsia="zh-CN"/>
        </w:rPr>
        <w:t>质疑咨询电话：0755-83881282，</w:t>
      </w:r>
      <w:r>
        <w:rPr>
          <w:rFonts w:hint="eastAsia" w:ascii="宋体" w:hAnsi="宋体" w:eastAsia="宋体" w:cs="宋体"/>
          <w:color w:val="auto"/>
          <w:highlight w:val="none"/>
          <w:lang w:eastAsia="zh-CN"/>
        </w:rPr>
        <w:t>质疑材料提交邮箱：ywjd@uho.cn</w:t>
      </w:r>
      <w:r>
        <w:rPr>
          <w:rFonts w:hint="eastAsia" w:ascii="宋体" w:hAnsi="宋体" w:eastAsia="宋体" w:cs="宋体"/>
          <w:b w:val="0"/>
          <w:bCs w:val="0"/>
          <w:color w:val="auto"/>
          <w:highlight w:val="none"/>
        </w:rPr>
        <w:t>。</w:t>
      </w:r>
      <w:r>
        <w:rPr>
          <w:rFonts w:hint="eastAsia" w:ascii="宋体" w:hAnsi="宋体" w:eastAsia="宋体" w:cs="宋体"/>
          <w:color w:val="auto"/>
          <w:highlight w:val="none"/>
        </w:rPr>
        <w:t xml:space="preserve">根据《深圳经济特区政府采购条例》第四十二条“供应商投诉的事项应当是经过质疑的事项”的规定，未经正式质疑的，将影响供应商行使向财政部门提起投诉的权利。） </w:t>
      </w:r>
    </w:p>
    <w:p w14:paraId="3A4F0CA1">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 xml:space="preserve">6.友和保险经纪有限公司有权对投标人就本项目要求提供的相关证明资料（原件）进行审查。供应商提供虚假资料被查实的，则可能面临被取消本项目中标资格、列入不良行为记录名单和三年内禁止参与深圳市政府采购活动的风险。 </w:t>
      </w:r>
    </w:p>
    <w:p w14:paraId="6A76506C">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7.本招标公告及本项目招标文件所涉及的时间一律为北京时间。投标人有义务在招标活动期间浏览深圳公共资源交易中心（深圳交易集团有限公司政府采购业务分公司）网（http://zfcg.szggzy.com:8081），在深圳公共资源交易中心（深圳交易集团有限公司政府采购业务分公司）网上公布的与本次招标项目有关的信息视为已送达各投标人。</w:t>
      </w:r>
    </w:p>
    <w:p w14:paraId="2E3301A7">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8.本项目不需要投标保证金。</w:t>
      </w:r>
    </w:p>
    <w:p w14:paraId="5FE2627E">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p>
    <w:p w14:paraId="56EB063E">
      <w:pPr>
        <w:keepNext w:val="0"/>
        <w:keepLines w:val="0"/>
        <w:pageBreakBefore w:val="0"/>
        <w:widowControl/>
        <w:kinsoku/>
        <w:wordWrap/>
        <w:overflowPunct/>
        <w:topLinePunct w:val="0"/>
        <w:autoSpaceDE/>
        <w:autoSpaceDN/>
        <w:bidi w:val="0"/>
        <w:adjustRightInd/>
        <w:snapToGrid/>
        <w:spacing w:beforeLines="0" w:afterLines="0" w:line="240" w:lineRule="auto"/>
        <w:ind w:firstLine="482" w:firstLineChars="200"/>
        <w:textAlignment w:val="auto"/>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七、对本次采购提出询问，请按以下方式联系</w:t>
      </w:r>
    </w:p>
    <w:p w14:paraId="3F74AB7C">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1.采购人信息</w:t>
      </w:r>
    </w:p>
    <w:p w14:paraId="2A35ECC5">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名　称：深圳市公安局交通警察局</w:t>
      </w:r>
    </w:p>
    <w:p w14:paraId="5784A9EF">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地　址：福田区莲花支路1006号</w:t>
      </w:r>
    </w:p>
    <w:p w14:paraId="70B7B879">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lang w:val="en-US" w:eastAsia="zh-CN"/>
        </w:rPr>
      </w:pPr>
      <w:r>
        <w:rPr>
          <w:rFonts w:hint="eastAsia" w:ascii="宋体" w:hAnsi="宋体" w:eastAsia="宋体" w:cs="宋体"/>
          <w:color w:val="auto"/>
          <w:highlight w:val="none"/>
        </w:rPr>
        <w:t>联系方式：陈志广</w:t>
      </w:r>
      <w:r>
        <w:rPr>
          <w:rFonts w:hint="eastAsia" w:ascii="宋体" w:hAnsi="宋体" w:eastAsia="宋体" w:cs="宋体"/>
          <w:color w:val="auto"/>
          <w:highlight w:val="none"/>
          <w:lang w:eastAsia="zh-CN"/>
        </w:rPr>
        <w:t>，18998919411</w:t>
      </w:r>
    </w:p>
    <w:p w14:paraId="47A34953">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2.招标机构</w:t>
      </w:r>
    </w:p>
    <w:p w14:paraId="6ABD6E20">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名　称：友和保险经纪有限公司</w:t>
      </w:r>
    </w:p>
    <w:p w14:paraId="629FE774">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地　址：深圳市福田区福田体育公园西北角友和招标代理服务中心（靠近北门）</w:t>
      </w:r>
    </w:p>
    <w:p w14:paraId="0A38DC5C">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监督举报：0755-83889803、83889016</w:t>
      </w:r>
    </w:p>
    <w:p w14:paraId="57897585">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r>
        <w:rPr>
          <w:rFonts w:hint="eastAsia" w:ascii="宋体" w:hAnsi="宋体" w:eastAsia="宋体" w:cs="宋体"/>
          <w:color w:val="auto"/>
          <w:highlight w:val="none"/>
        </w:rPr>
        <w:t>3.项目联系方式</w:t>
      </w:r>
    </w:p>
    <w:p w14:paraId="5EF556F3">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lang w:val="en-US" w:eastAsia="zh-CN"/>
        </w:rPr>
      </w:pPr>
      <w:r>
        <w:rPr>
          <w:rFonts w:hint="eastAsia" w:ascii="宋体" w:hAnsi="宋体" w:eastAsia="宋体" w:cs="宋体"/>
          <w:color w:val="auto"/>
          <w:highlight w:val="none"/>
        </w:rPr>
        <w:t>项目联系人：</w:t>
      </w:r>
      <w:r>
        <w:rPr>
          <w:rFonts w:hint="eastAsia" w:ascii="宋体" w:hAnsi="宋体" w:eastAsia="宋体" w:cs="宋体"/>
          <w:color w:val="auto"/>
          <w:highlight w:val="none"/>
          <w:lang w:val="en-US" w:eastAsia="zh-CN"/>
        </w:rPr>
        <w:t>方婕/张挺/王璐</w:t>
      </w:r>
    </w:p>
    <w:p w14:paraId="4E79AC87">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eastAsia="zh-CN"/>
        </w:rPr>
        <w:t>项目咨询</w:t>
      </w:r>
      <w:r>
        <w:rPr>
          <w:rFonts w:hint="eastAsia" w:ascii="宋体" w:hAnsi="宋体" w:eastAsia="宋体" w:cs="宋体"/>
          <w:color w:val="auto"/>
          <w:highlight w:val="none"/>
        </w:rPr>
        <w:t>：0755-8388</w:t>
      </w:r>
      <w:r>
        <w:rPr>
          <w:rFonts w:hint="eastAsia" w:ascii="宋体" w:hAnsi="宋体" w:eastAsia="宋体" w:cs="宋体"/>
          <w:color w:val="auto"/>
          <w:highlight w:val="none"/>
          <w:lang w:val="en-US" w:eastAsia="zh-CN"/>
        </w:rPr>
        <w:t>1282、0755-83889026</w:t>
      </w:r>
    </w:p>
    <w:p w14:paraId="35F37E40">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left"/>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投标报名：0755-83881111（总机）</w:t>
      </w:r>
    </w:p>
    <w:p w14:paraId="33284A35">
      <w:pPr>
        <w:pStyle w:val="35"/>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ind w:leftChars="200"/>
        <w:jc w:val="left"/>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highlight w:val="none"/>
          <w:lang w:val="en-US" w:eastAsia="zh-CN"/>
        </w:rPr>
        <w:t>4.</w:t>
      </w:r>
      <w:r>
        <w:rPr>
          <w:rFonts w:hint="eastAsia" w:ascii="宋体" w:hAnsi="宋体" w:eastAsia="宋体" w:cs="宋体"/>
          <w:color w:val="auto"/>
          <w:sz w:val="24"/>
          <w:szCs w:val="24"/>
          <w:highlight w:val="none"/>
        </w:rPr>
        <w:t>相关项目信息查询网址</w:t>
      </w:r>
    </w:p>
    <w:p w14:paraId="588B1DE9">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left"/>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深圳政府采购智慧平台</w:t>
      </w:r>
      <w:r>
        <w:rPr>
          <w:rFonts w:hint="eastAsia" w:ascii="宋体" w:hAnsi="宋体" w:eastAsia="宋体" w:cs="宋体"/>
          <w:color w:val="auto"/>
          <w:sz w:val="24"/>
          <w:szCs w:val="24"/>
          <w:highlight w:val="none"/>
          <w:lang w:val="en-US" w:eastAsia="zh-CN"/>
        </w:rPr>
        <w:t xml:space="preserve"> </w:t>
      </w:r>
      <w:r>
        <w:rPr>
          <w:rFonts w:hint="eastAsia" w:ascii="宋体" w:hAnsi="宋体" w:eastAsia="宋体" w:cs="宋体"/>
          <w:color w:val="auto"/>
          <w:sz w:val="24"/>
          <w:szCs w:val="24"/>
          <w:highlight w:val="none"/>
          <w:u w:val="none"/>
        </w:rPr>
        <w:t>http://zfcg.szggzy.com:8081/</w:t>
      </w:r>
    </w:p>
    <w:p w14:paraId="6272ADA5">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left"/>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友和招标代理服务网 http://yhzb.uho.cn/</w:t>
      </w:r>
    </w:p>
    <w:p w14:paraId="09C20673">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default" w:eastAsia="宋体"/>
          <w:color w:val="auto"/>
          <w:highlight w:val="none"/>
          <w:lang w:val="en-US" w:eastAsia="zh-CN"/>
        </w:rPr>
      </w:pPr>
    </w:p>
    <w:p w14:paraId="63B359CA">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color w:val="auto"/>
          <w:highlight w:val="none"/>
        </w:rPr>
      </w:pPr>
    </w:p>
    <w:p w14:paraId="08F02FAE">
      <w:pPr>
        <w:keepNext w:val="0"/>
        <w:keepLines w:val="0"/>
        <w:pageBreakBefore w:val="0"/>
        <w:widowControl/>
        <w:kinsoku/>
        <w:wordWrap/>
        <w:overflowPunct/>
        <w:topLinePunct w:val="0"/>
        <w:autoSpaceDE/>
        <w:autoSpaceDN/>
        <w:bidi w:val="0"/>
        <w:adjustRightInd/>
        <w:snapToGrid/>
        <w:spacing w:line="400" w:lineRule="exact"/>
        <w:ind w:firstLine="480" w:firstLineChars="200"/>
        <w:jc w:val="right"/>
        <w:textAlignment w:val="auto"/>
        <w:rPr>
          <w:rFonts w:hint="eastAsia" w:ascii="宋体" w:hAnsi="宋体" w:eastAsia="宋体" w:cs="宋体"/>
          <w:color w:val="auto"/>
          <w:highlight w:val="none"/>
        </w:rPr>
      </w:pPr>
      <w:r>
        <w:rPr>
          <w:rFonts w:hint="eastAsia" w:ascii="宋体" w:hAnsi="宋体" w:eastAsia="宋体" w:cs="宋体"/>
          <w:color w:val="auto"/>
          <w:highlight w:val="none"/>
        </w:rPr>
        <w:t>友和保险经纪有限公司</w:t>
      </w:r>
    </w:p>
    <w:p w14:paraId="0C08988D">
      <w:pPr>
        <w:keepNext w:val="0"/>
        <w:keepLines w:val="0"/>
        <w:pageBreakBefore w:val="0"/>
        <w:widowControl/>
        <w:kinsoku/>
        <w:wordWrap/>
        <w:overflowPunct/>
        <w:topLinePunct w:val="0"/>
        <w:autoSpaceDE/>
        <w:autoSpaceDN/>
        <w:bidi w:val="0"/>
        <w:adjustRightInd/>
        <w:snapToGrid/>
        <w:spacing w:line="400" w:lineRule="exact"/>
        <w:ind w:firstLine="480" w:firstLineChars="200"/>
        <w:jc w:val="right"/>
        <w:textAlignment w:val="auto"/>
        <w:rPr>
          <w:rFonts w:hint="eastAsia" w:ascii="宋体" w:hAnsi="宋体" w:eastAsia="宋体" w:cs="宋体"/>
          <w:color w:val="auto"/>
          <w:highlight w:val="none"/>
        </w:rPr>
      </w:pPr>
      <w:r>
        <w:rPr>
          <w:rFonts w:hint="eastAsia" w:ascii="宋体" w:hAnsi="宋体" w:eastAsia="宋体" w:cs="宋体"/>
          <w:color w:val="auto"/>
          <w:highlight w:val="none"/>
          <w:lang w:eastAsia="zh-CN"/>
        </w:rPr>
        <w:t>20</w:t>
      </w:r>
      <w:r>
        <w:rPr>
          <w:rFonts w:hint="eastAsia" w:ascii="宋体" w:hAnsi="宋体" w:eastAsia="宋体" w:cs="宋体"/>
          <w:color w:val="auto"/>
          <w:highlight w:val="none"/>
          <w:lang w:val="en-US" w:eastAsia="zh-CN"/>
        </w:rPr>
        <w:t>25</w:t>
      </w:r>
      <w:r>
        <w:rPr>
          <w:rFonts w:hint="eastAsia" w:ascii="宋体" w:hAnsi="宋体" w:eastAsia="宋体" w:cs="宋体"/>
          <w:color w:val="auto"/>
          <w:highlight w:val="none"/>
        </w:rPr>
        <w:t>年</w:t>
      </w:r>
      <w:r>
        <w:rPr>
          <w:rFonts w:hint="eastAsia" w:ascii="宋体" w:hAnsi="宋体" w:eastAsia="宋体" w:cs="宋体"/>
          <w:color w:val="auto"/>
          <w:highlight w:val="none"/>
          <w:lang w:val="en-US" w:eastAsia="zh-CN"/>
        </w:rPr>
        <w:t>X</w:t>
      </w:r>
      <w:r>
        <w:rPr>
          <w:rFonts w:hint="eastAsia" w:ascii="宋体" w:hAnsi="宋体" w:eastAsia="宋体" w:cs="宋体"/>
          <w:color w:val="auto"/>
          <w:highlight w:val="none"/>
        </w:rPr>
        <w:t>月</w:t>
      </w:r>
      <w:r>
        <w:rPr>
          <w:rFonts w:hint="eastAsia" w:ascii="宋体" w:hAnsi="宋体" w:eastAsia="宋体" w:cs="宋体"/>
          <w:color w:val="auto"/>
          <w:highlight w:val="none"/>
          <w:lang w:val="en-US" w:eastAsia="zh-CN"/>
        </w:rPr>
        <w:t>X</w:t>
      </w:r>
      <w:r>
        <w:rPr>
          <w:rFonts w:hint="eastAsia" w:ascii="宋体" w:hAnsi="宋体" w:eastAsia="宋体" w:cs="宋体"/>
          <w:color w:val="auto"/>
          <w:highlight w:val="none"/>
        </w:rPr>
        <w:t>日</w:t>
      </w:r>
    </w:p>
    <w:p w14:paraId="299283CF">
      <w:pPr>
        <w:rPr>
          <w:color w:val="auto"/>
          <w:highlight w:val="none"/>
        </w:rPr>
      </w:pPr>
    </w:p>
    <w:p w14:paraId="4A6B19E1">
      <w:pPr>
        <w:spacing w:beforeLines="0" w:afterLines="0"/>
        <w:rPr>
          <w:rFonts w:ascii="宋体" w:hAnsi="宋体" w:eastAsia="宋体" w:cs="宋体"/>
          <w:b/>
          <w:bCs/>
          <w:color w:val="auto"/>
          <w:szCs w:val="21"/>
          <w:highlight w:val="none"/>
        </w:rPr>
      </w:pPr>
    </w:p>
    <w:p w14:paraId="27838632">
      <w:pPr>
        <w:pStyle w:val="6"/>
        <w:spacing w:before="0" w:beforeLines="0" w:after="0" w:afterLines="0" w:line="240" w:lineRule="auto"/>
        <w:ind w:firstLine="0"/>
        <w:rPr>
          <w:rFonts w:ascii="宋体" w:hAnsi="宋体" w:eastAsia="宋体"/>
          <w:b/>
          <w:color w:val="auto"/>
          <w:sz w:val="28"/>
          <w:szCs w:val="28"/>
          <w:highlight w:val="none"/>
        </w:rPr>
      </w:pPr>
      <w:r>
        <w:rPr>
          <w:rFonts w:hint="eastAsia"/>
          <w:color w:val="auto"/>
          <w:szCs w:val="20"/>
          <w:highlight w:val="none"/>
        </w:rPr>
        <w:t>完整公告内容详见：http://zfcg.szggzy.com:8081/</w:t>
      </w:r>
    </w:p>
    <w:p w14:paraId="562975F9">
      <w:pPr>
        <w:spacing w:line="360" w:lineRule="auto"/>
        <w:rPr>
          <w:rFonts w:ascii="宋体" w:hAnsi="宋体" w:eastAsia="宋体"/>
          <w:color w:val="auto"/>
          <w:highlight w:val="none"/>
        </w:rPr>
      </w:pPr>
      <w:r>
        <w:rPr>
          <w:rFonts w:hint="eastAsia" w:ascii="宋体" w:hAnsi="宋体" w:eastAsia="宋体"/>
          <w:color w:val="auto"/>
          <w:highlight w:val="none"/>
        </w:rPr>
        <w:br w:type="page"/>
      </w:r>
    </w:p>
    <w:p w14:paraId="528C7FF4">
      <w:pPr>
        <w:pStyle w:val="5"/>
        <w:rPr>
          <w:color w:val="auto"/>
          <w:sz w:val="28"/>
          <w:szCs w:val="28"/>
          <w:highlight w:val="none"/>
        </w:rPr>
      </w:pPr>
      <w:r>
        <w:rPr>
          <w:rFonts w:hint="eastAsia"/>
          <w:color w:val="auto"/>
          <w:sz w:val="28"/>
          <w:szCs w:val="28"/>
          <w:highlight w:val="none"/>
        </w:rPr>
        <w:t>第二章 对通用条款的补充内容及其他关键信息</w:t>
      </w:r>
    </w:p>
    <w:p w14:paraId="7A207F08">
      <w:pPr>
        <w:jc w:val="center"/>
        <w:outlineLvl w:val="2"/>
        <w:rPr>
          <w:b/>
          <w:bCs/>
          <w:color w:val="auto"/>
          <w:sz w:val="28"/>
          <w:szCs w:val="28"/>
          <w:highlight w:val="none"/>
        </w:rPr>
      </w:pPr>
      <w:bookmarkStart w:id="20" w:name="_Toc73518117"/>
      <w:bookmarkStart w:id="21" w:name="_Toc101074876"/>
      <w:bookmarkStart w:id="22" w:name="_Toc60560625"/>
      <w:bookmarkStart w:id="23" w:name="_Toc100052364"/>
      <w:bookmarkStart w:id="24" w:name="_Toc73517639"/>
      <w:bookmarkStart w:id="25" w:name="_Toc60631620"/>
      <w:bookmarkStart w:id="26" w:name="_Toc73521635"/>
      <w:bookmarkStart w:id="27" w:name="_Toc73521547"/>
      <w:r>
        <w:rPr>
          <w:rFonts w:hint="eastAsia" w:ascii="宋体" w:hAnsi="宋体" w:eastAsia="宋体" w:cs="宋体"/>
          <w:b/>
          <w:bCs/>
          <w:color w:val="auto"/>
          <w:sz w:val="28"/>
          <w:szCs w:val="28"/>
          <w:highlight w:val="none"/>
        </w:rPr>
        <w:t>一、对通用条款的补充内容</w:t>
      </w:r>
    </w:p>
    <w:bookmarkEnd w:id="20"/>
    <w:bookmarkEnd w:id="21"/>
    <w:bookmarkEnd w:id="22"/>
    <w:bookmarkEnd w:id="23"/>
    <w:bookmarkEnd w:id="24"/>
    <w:bookmarkEnd w:id="25"/>
    <w:bookmarkEnd w:id="26"/>
    <w:bookmarkEnd w:id="27"/>
    <w:tbl>
      <w:tblPr>
        <w:tblStyle w:val="17"/>
        <w:tblW w:w="8367"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978"/>
        <w:gridCol w:w="1888"/>
        <w:gridCol w:w="5501"/>
      </w:tblGrid>
      <w:tr w14:paraId="3265080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0340B83C">
            <w:pPr>
              <w:keepNext w:val="0"/>
              <w:keepLines w:val="0"/>
              <w:widowControl/>
              <w:suppressLineNumbers w:val="0"/>
              <w:spacing w:before="0" w:beforeAutospacing="0" w:after="0" w:afterAutospacing="0"/>
              <w:ind w:left="0" w:right="0"/>
              <w:jc w:val="center"/>
              <w:rPr>
                <w:rFonts w:hint="default" w:ascii="宋体" w:hAnsi="宋体"/>
                <w:b/>
                <w:bCs/>
                <w:color w:val="auto"/>
                <w:highlight w:val="none"/>
              </w:rPr>
            </w:pPr>
            <w:r>
              <w:rPr>
                <w:rFonts w:hint="eastAsia" w:ascii="宋体" w:hAnsi="宋体"/>
                <w:b/>
                <w:bCs/>
                <w:color w:val="auto"/>
                <w:highlight w:val="none"/>
              </w:rPr>
              <w:t>通用条款序号</w:t>
            </w:r>
          </w:p>
        </w:tc>
        <w:tc>
          <w:tcPr>
            <w:tcW w:w="1888" w:type="dxa"/>
            <w:vAlign w:val="center"/>
          </w:tcPr>
          <w:p w14:paraId="3B306419">
            <w:pPr>
              <w:keepNext w:val="0"/>
              <w:keepLines w:val="0"/>
              <w:widowControl/>
              <w:suppressLineNumbers w:val="0"/>
              <w:spacing w:before="0" w:beforeAutospacing="0" w:after="0" w:afterAutospacing="0"/>
              <w:ind w:left="0" w:right="0"/>
              <w:jc w:val="center"/>
              <w:rPr>
                <w:rFonts w:hint="default" w:ascii="宋体" w:hAnsi="宋体"/>
                <w:b/>
                <w:bCs/>
                <w:color w:val="auto"/>
                <w:highlight w:val="none"/>
              </w:rPr>
            </w:pPr>
            <w:r>
              <w:rPr>
                <w:rFonts w:hint="eastAsia" w:ascii="宋体" w:hAnsi="宋体"/>
                <w:b/>
                <w:bCs/>
                <w:color w:val="auto"/>
                <w:highlight w:val="none"/>
              </w:rPr>
              <w:t>涉及事项</w:t>
            </w:r>
          </w:p>
        </w:tc>
        <w:tc>
          <w:tcPr>
            <w:tcW w:w="5501" w:type="dxa"/>
            <w:vAlign w:val="center"/>
          </w:tcPr>
          <w:p w14:paraId="1E1282A6">
            <w:pPr>
              <w:keepNext w:val="0"/>
              <w:keepLines w:val="0"/>
              <w:widowControl/>
              <w:suppressLineNumbers w:val="0"/>
              <w:spacing w:before="0" w:beforeAutospacing="0" w:after="0" w:afterAutospacing="0"/>
              <w:ind w:left="0" w:right="0"/>
              <w:jc w:val="center"/>
              <w:rPr>
                <w:rFonts w:hint="default" w:ascii="宋体" w:hAnsi="宋体"/>
                <w:b/>
                <w:bCs/>
                <w:color w:val="auto"/>
                <w:highlight w:val="none"/>
              </w:rPr>
            </w:pPr>
            <w:r>
              <w:rPr>
                <w:rFonts w:hint="eastAsia" w:ascii="宋体" w:hAnsi="宋体"/>
                <w:b/>
                <w:bCs/>
                <w:color w:val="auto"/>
                <w:highlight w:val="none"/>
              </w:rPr>
              <w:t xml:space="preserve">具 </w:t>
            </w:r>
            <w:r>
              <w:rPr>
                <w:rFonts w:hint="default" w:ascii="宋体" w:hAnsi="宋体"/>
                <w:b/>
                <w:bCs/>
                <w:color w:val="auto"/>
                <w:highlight w:val="none"/>
              </w:rPr>
              <w:t xml:space="preserve"> </w:t>
            </w:r>
            <w:r>
              <w:rPr>
                <w:rFonts w:hint="eastAsia" w:ascii="宋体" w:hAnsi="宋体"/>
                <w:b/>
                <w:bCs/>
                <w:color w:val="auto"/>
                <w:highlight w:val="none"/>
              </w:rPr>
              <w:t xml:space="preserve">体 </w:t>
            </w:r>
            <w:r>
              <w:rPr>
                <w:rFonts w:hint="default" w:ascii="宋体" w:hAnsi="宋体"/>
                <w:b/>
                <w:bCs/>
                <w:color w:val="auto"/>
                <w:highlight w:val="none"/>
              </w:rPr>
              <w:t xml:space="preserve"> </w:t>
            </w:r>
            <w:r>
              <w:rPr>
                <w:rFonts w:hint="eastAsia" w:ascii="宋体" w:hAnsi="宋体"/>
                <w:b/>
                <w:bCs/>
                <w:color w:val="auto"/>
                <w:highlight w:val="none"/>
              </w:rPr>
              <w:t xml:space="preserve">补 </w:t>
            </w:r>
            <w:r>
              <w:rPr>
                <w:rFonts w:hint="default" w:ascii="宋体" w:hAnsi="宋体"/>
                <w:b/>
                <w:bCs/>
                <w:color w:val="auto"/>
                <w:highlight w:val="none"/>
              </w:rPr>
              <w:t xml:space="preserve"> </w:t>
            </w:r>
            <w:r>
              <w:rPr>
                <w:rFonts w:hint="eastAsia" w:ascii="宋体" w:hAnsi="宋体"/>
                <w:b/>
                <w:bCs/>
                <w:color w:val="auto"/>
                <w:highlight w:val="none"/>
              </w:rPr>
              <w:t xml:space="preserve">充 </w:t>
            </w:r>
            <w:r>
              <w:rPr>
                <w:rFonts w:hint="default" w:ascii="宋体" w:hAnsi="宋体"/>
                <w:b/>
                <w:bCs/>
                <w:color w:val="auto"/>
                <w:highlight w:val="none"/>
              </w:rPr>
              <w:t xml:space="preserve"> </w:t>
            </w:r>
            <w:r>
              <w:rPr>
                <w:rFonts w:hint="eastAsia" w:ascii="宋体" w:hAnsi="宋体"/>
                <w:b/>
                <w:bCs/>
                <w:color w:val="auto"/>
                <w:highlight w:val="none"/>
              </w:rPr>
              <w:t xml:space="preserve">内 </w:t>
            </w:r>
            <w:r>
              <w:rPr>
                <w:rFonts w:hint="default" w:ascii="宋体" w:hAnsi="宋体"/>
                <w:b/>
                <w:bCs/>
                <w:color w:val="auto"/>
                <w:highlight w:val="none"/>
              </w:rPr>
              <w:t xml:space="preserve"> </w:t>
            </w:r>
            <w:r>
              <w:rPr>
                <w:rFonts w:hint="eastAsia" w:ascii="宋体" w:hAnsi="宋体"/>
                <w:b/>
                <w:bCs/>
                <w:color w:val="auto"/>
                <w:highlight w:val="none"/>
              </w:rPr>
              <w:t>容</w:t>
            </w:r>
          </w:p>
        </w:tc>
      </w:tr>
      <w:tr w14:paraId="018E2B12">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06959568">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3</w:t>
            </w:r>
            <w:r>
              <w:rPr>
                <w:rFonts w:hint="default" w:ascii="宋体" w:hAnsi="宋体"/>
                <w:color w:val="auto"/>
                <w:highlight w:val="none"/>
              </w:rPr>
              <w:t>.1</w:t>
            </w:r>
          </w:p>
        </w:tc>
        <w:tc>
          <w:tcPr>
            <w:tcW w:w="1888" w:type="dxa"/>
            <w:vAlign w:val="center"/>
          </w:tcPr>
          <w:p w14:paraId="4E2EBE6F">
            <w:pPr>
              <w:keepNext w:val="0"/>
              <w:keepLines w:val="0"/>
              <w:widowControl/>
              <w:suppressLineNumbers w:val="0"/>
              <w:spacing w:before="0" w:beforeAutospacing="0" w:after="0" w:afterAutospacing="0"/>
              <w:ind w:left="0" w:right="0"/>
              <w:jc w:val="center"/>
              <w:rPr>
                <w:rFonts w:hint="default"/>
                <w:color w:val="auto"/>
                <w:highlight w:val="none"/>
              </w:rPr>
            </w:pPr>
            <w:r>
              <w:rPr>
                <w:rFonts w:hint="eastAsia"/>
                <w:color w:val="auto"/>
                <w:highlight w:val="none"/>
              </w:rPr>
              <w:t>采购人</w:t>
            </w:r>
          </w:p>
        </w:tc>
        <w:tc>
          <w:tcPr>
            <w:tcW w:w="5501" w:type="dxa"/>
            <w:vAlign w:val="center"/>
          </w:tcPr>
          <w:p w14:paraId="5C3AEFE8">
            <w:pPr>
              <w:keepNext w:val="0"/>
              <w:keepLines w:val="0"/>
              <w:widowControl/>
              <w:suppressLineNumbers w:val="0"/>
              <w:spacing w:before="0" w:beforeAutospacing="0" w:after="0" w:afterAutospacing="0"/>
              <w:ind w:left="0" w:right="0"/>
              <w:jc w:val="center"/>
              <w:rPr>
                <w:rFonts w:hint="eastAsia" w:ascii="宋体" w:hAnsi="宋体" w:eastAsiaTheme="minorEastAsia"/>
                <w:color w:val="auto"/>
                <w:highlight w:val="none"/>
                <w:lang w:eastAsia="zh-CN"/>
              </w:rPr>
            </w:pPr>
            <w:r>
              <w:rPr>
                <w:rFonts w:hint="eastAsia" w:ascii="宋体" w:hAnsi="宋体" w:eastAsiaTheme="minorEastAsia"/>
                <w:color w:val="auto"/>
                <w:highlight w:val="none"/>
                <w:lang w:eastAsia="zh-CN"/>
              </w:rPr>
              <w:t>深圳市公安局交通警察局</w:t>
            </w:r>
          </w:p>
        </w:tc>
      </w:tr>
      <w:tr w14:paraId="2AB04402">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0E8ADCF4">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3</w:t>
            </w:r>
            <w:r>
              <w:rPr>
                <w:rFonts w:hint="default" w:ascii="宋体" w:hAnsi="宋体"/>
                <w:color w:val="auto"/>
                <w:highlight w:val="none"/>
              </w:rPr>
              <w:t>.2</w:t>
            </w:r>
          </w:p>
        </w:tc>
        <w:tc>
          <w:tcPr>
            <w:tcW w:w="1888" w:type="dxa"/>
            <w:vAlign w:val="center"/>
          </w:tcPr>
          <w:p w14:paraId="7FB6989F">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采购机构</w:t>
            </w:r>
          </w:p>
        </w:tc>
        <w:tc>
          <w:tcPr>
            <w:tcW w:w="5501" w:type="dxa"/>
            <w:vAlign w:val="center"/>
          </w:tcPr>
          <w:p w14:paraId="4B01394A">
            <w:pPr>
              <w:keepNext w:val="0"/>
              <w:keepLines w:val="0"/>
              <w:widowControl/>
              <w:suppressLineNumbers w:val="0"/>
              <w:spacing w:before="0" w:beforeAutospacing="0" w:after="0" w:afterAutospacing="0"/>
              <w:ind w:left="0" w:right="0"/>
              <w:jc w:val="center"/>
              <w:rPr>
                <w:rFonts w:hint="default" w:ascii="宋体" w:hAnsi="宋体" w:eastAsia="宋体"/>
                <w:color w:val="auto"/>
                <w:highlight w:val="none"/>
              </w:rPr>
            </w:pPr>
            <w:r>
              <w:rPr>
                <w:rFonts w:hint="eastAsia" w:ascii="宋体" w:hAnsi="宋体" w:eastAsia="宋体"/>
                <w:color w:val="auto"/>
                <w:highlight w:val="none"/>
              </w:rPr>
              <w:t>友和保险经纪有限公司</w:t>
            </w:r>
          </w:p>
        </w:tc>
      </w:tr>
      <w:tr w14:paraId="1766D28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75BE0813">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5</w:t>
            </w:r>
            <w:r>
              <w:rPr>
                <w:rFonts w:hint="default" w:ascii="宋体" w:hAnsi="宋体"/>
                <w:color w:val="auto"/>
                <w:highlight w:val="none"/>
              </w:rPr>
              <w:t>.3</w:t>
            </w:r>
          </w:p>
        </w:tc>
        <w:tc>
          <w:tcPr>
            <w:tcW w:w="1888" w:type="dxa"/>
            <w:vAlign w:val="center"/>
          </w:tcPr>
          <w:p w14:paraId="14406E7A">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联合体投标</w:t>
            </w:r>
          </w:p>
        </w:tc>
        <w:tc>
          <w:tcPr>
            <w:tcW w:w="5501" w:type="dxa"/>
            <w:vAlign w:val="center"/>
          </w:tcPr>
          <w:p w14:paraId="048484BA">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不接受</w:t>
            </w:r>
          </w:p>
        </w:tc>
      </w:tr>
      <w:tr w14:paraId="4479C51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1DB1AD51">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9</w:t>
            </w:r>
          </w:p>
        </w:tc>
        <w:tc>
          <w:tcPr>
            <w:tcW w:w="1888" w:type="dxa"/>
            <w:vAlign w:val="center"/>
          </w:tcPr>
          <w:p w14:paraId="5C11ADBF">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踏勘现场</w:t>
            </w:r>
          </w:p>
        </w:tc>
        <w:tc>
          <w:tcPr>
            <w:tcW w:w="5501" w:type="dxa"/>
            <w:vAlign w:val="center"/>
          </w:tcPr>
          <w:p w14:paraId="2F6C0BB6">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不组织</w:t>
            </w:r>
          </w:p>
        </w:tc>
      </w:tr>
      <w:tr w14:paraId="3137802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4BE71E1F">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1</w:t>
            </w:r>
            <w:r>
              <w:rPr>
                <w:rFonts w:hint="default" w:ascii="宋体" w:hAnsi="宋体"/>
                <w:color w:val="auto"/>
                <w:highlight w:val="none"/>
              </w:rPr>
              <w:t>0</w:t>
            </w:r>
          </w:p>
        </w:tc>
        <w:tc>
          <w:tcPr>
            <w:tcW w:w="1888" w:type="dxa"/>
            <w:vAlign w:val="center"/>
          </w:tcPr>
          <w:p w14:paraId="3D82500B">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标前会议</w:t>
            </w:r>
          </w:p>
        </w:tc>
        <w:tc>
          <w:tcPr>
            <w:tcW w:w="5501" w:type="dxa"/>
            <w:vAlign w:val="center"/>
          </w:tcPr>
          <w:p w14:paraId="262E4DF2">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不组织</w:t>
            </w:r>
          </w:p>
        </w:tc>
      </w:tr>
      <w:tr w14:paraId="4920517C">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76132A45">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1</w:t>
            </w:r>
            <w:r>
              <w:rPr>
                <w:rFonts w:hint="default" w:ascii="宋体" w:hAnsi="宋体"/>
                <w:color w:val="auto"/>
                <w:highlight w:val="none"/>
              </w:rPr>
              <w:t>2</w:t>
            </w:r>
            <w:r>
              <w:rPr>
                <w:rFonts w:hint="eastAsia" w:ascii="宋体" w:hAnsi="宋体"/>
                <w:color w:val="auto"/>
                <w:highlight w:val="none"/>
              </w:rPr>
              <w:t>/1</w:t>
            </w:r>
            <w:r>
              <w:rPr>
                <w:rFonts w:hint="default" w:ascii="宋体" w:hAnsi="宋体"/>
                <w:color w:val="auto"/>
                <w:highlight w:val="none"/>
              </w:rPr>
              <w:t>3</w:t>
            </w:r>
          </w:p>
        </w:tc>
        <w:tc>
          <w:tcPr>
            <w:tcW w:w="1888" w:type="dxa"/>
            <w:vAlign w:val="center"/>
          </w:tcPr>
          <w:p w14:paraId="1EC5141F">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招标文件的澄清和修改</w:t>
            </w:r>
          </w:p>
        </w:tc>
        <w:tc>
          <w:tcPr>
            <w:tcW w:w="5501" w:type="dxa"/>
            <w:vAlign w:val="center"/>
          </w:tcPr>
          <w:p w14:paraId="5D8B5A57">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不晚于投标截止日三日前（详见招标公告），投标人有义务在招标期间在</w:t>
            </w:r>
            <w:r>
              <w:rPr>
                <w:rFonts w:hint="eastAsia" w:ascii="宋体" w:hAnsi="宋体" w:eastAsia="宋体"/>
                <w:color w:val="auto"/>
                <w:highlight w:val="none"/>
              </w:rPr>
              <w:t>招标机构</w:t>
            </w:r>
            <w:r>
              <w:rPr>
                <w:rFonts w:hint="eastAsia" w:ascii="宋体" w:hAnsi="宋体"/>
                <w:color w:val="auto"/>
                <w:highlight w:val="none"/>
              </w:rPr>
              <w:t>网站浏览与本项目有关的澄清和修改信息</w:t>
            </w:r>
          </w:p>
        </w:tc>
      </w:tr>
      <w:tr w14:paraId="24F6FF4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37EDA892">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2</w:t>
            </w:r>
            <w:r>
              <w:rPr>
                <w:rFonts w:hint="default" w:ascii="宋体" w:hAnsi="宋体"/>
                <w:color w:val="auto"/>
                <w:highlight w:val="none"/>
              </w:rPr>
              <w:t>0</w:t>
            </w:r>
          </w:p>
        </w:tc>
        <w:tc>
          <w:tcPr>
            <w:tcW w:w="1888" w:type="dxa"/>
            <w:vAlign w:val="center"/>
          </w:tcPr>
          <w:p w14:paraId="62EDA9AE">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投标有效期</w:t>
            </w:r>
          </w:p>
        </w:tc>
        <w:tc>
          <w:tcPr>
            <w:tcW w:w="5501" w:type="dxa"/>
            <w:vAlign w:val="center"/>
          </w:tcPr>
          <w:p w14:paraId="66AC7609">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120个日历日</w:t>
            </w:r>
          </w:p>
        </w:tc>
      </w:tr>
      <w:tr w14:paraId="7DAA66BC">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75D62869">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2</w:t>
            </w:r>
            <w:r>
              <w:rPr>
                <w:rFonts w:hint="default" w:ascii="宋体" w:hAnsi="宋体"/>
                <w:color w:val="auto"/>
                <w:highlight w:val="none"/>
              </w:rPr>
              <w:t>2</w:t>
            </w:r>
          </w:p>
        </w:tc>
        <w:tc>
          <w:tcPr>
            <w:tcW w:w="1888" w:type="dxa"/>
            <w:vAlign w:val="center"/>
          </w:tcPr>
          <w:p w14:paraId="25E2BA6F">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投标人的替代方案</w:t>
            </w:r>
          </w:p>
        </w:tc>
        <w:tc>
          <w:tcPr>
            <w:tcW w:w="5501" w:type="dxa"/>
            <w:vAlign w:val="center"/>
          </w:tcPr>
          <w:p w14:paraId="0E03FAF7">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不接受</w:t>
            </w:r>
          </w:p>
        </w:tc>
      </w:tr>
      <w:tr w14:paraId="5B0DB51C">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052325C4">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2</w:t>
            </w:r>
            <w:r>
              <w:rPr>
                <w:rFonts w:hint="default" w:ascii="宋体" w:hAnsi="宋体"/>
                <w:color w:val="auto"/>
                <w:highlight w:val="none"/>
              </w:rPr>
              <w:t>5</w:t>
            </w:r>
          </w:p>
        </w:tc>
        <w:tc>
          <w:tcPr>
            <w:tcW w:w="1888" w:type="dxa"/>
            <w:vAlign w:val="center"/>
          </w:tcPr>
          <w:p w14:paraId="0D9C6620">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投标文件的大小</w:t>
            </w:r>
          </w:p>
        </w:tc>
        <w:tc>
          <w:tcPr>
            <w:tcW w:w="5501" w:type="dxa"/>
            <w:vAlign w:val="center"/>
          </w:tcPr>
          <w:p w14:paraId="5AF7E28B">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投标文件大小不得超过</w:t>
            </w:r>
            <w:r>
              <w:rPr>
                <w:rFonts w:hint="default" w:ascii="宋体" w:hAnsi="宋体"/>
                <w:color w:val="auto"/>
                <w:highlight w:val="none"/>
              </w:rPr>
              <w:t>1</w:t>
            </w:r>
            <w:r>
              <w:rPr>
                <w:rFonts w:hint="eastAsia" w:ascii="宋体" w:hAnsi="宋体"/>
                <w:color w:val="auto"/>
                <w:highlight w:val="none"/>
              </w:rPr>
              <w:t>00MB</w:t>
            </w:r>
          </w:p>
        </w:tc>
      </w:tr>
      <w:tr w14:paraId="78FC9F6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56A6B877">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2</w:t>
            </w:r>
            <w:r>
              <w:rPr>
                <w:rFonts w:hint="default" w:ascii="宋体" w:hAnsi="宋体"/>
                <w:color w:val="auto"/>
                <w:highlight w:val="none"/>
              </w:rPr>
              <w:t>6</w:t>
            </w:r>
          </w:p>
        </w:tc>
        <w:tc>
          <w:tcPr>
            <w:tcW w:w="1888" w:type="dxa"/>
            <w:vAlign w:val="center"/>
          </w:tcPr>
          <w:p w14:paraId="06E22361">
            <w:pPr>
              <w:keepNext w:val="0"/>
              <w:keepLines w:val="0"/>
              <w:widowControl/>
              <w:suppressLineNumbers w:val="0"/>
              <w:spacing w:before="0" w:beforeAutospacing="0" w:after="0" w:afterAutospacing="0"/>
              <w:ind w:left="0" w:right="0"/>
              <w:jc w:val="center"/>
              <w:rPr>
                <w:rFonts w:hint="default" w:ascii="宋体" w:hAnsi="宋体"/>
                <w:color w:val="auto"/>
                <w:highlight w:val="none"/>
              </w:rPr>
            </w:pPr>
            <w:bookmarkStart w:id="28" w:name="_Hlk71664860"/>
            <w:r>
              <w:rPr>
                <w:rFonts w:hint="eastAsia" w:ascii="宋体" w:hAnsi="宋体"/>
                <w:color w:val="auto"/>
                <w:highlight w:val="none"/>
              </w:rPr>
              <w:t>样品、现场演示、方案讲解</w:t>
            </w:r>
            <w:bookmarkEnd w:id="28"/>
          </w:p>
        </w:tc>
        <w:tc>
          <w:tcPr>
            <w:tcW w:w="5501" w:type="dxa"/>
            <w:vAlign w:val="center"/>
          </w:tcPr>
          <w:p w14:paraId="748C66C5">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default" w:ascii="Wingdings 2" w:hAnsi="Wingdings 2"/>
                <w:b/>
                <w:color w:val="auto"/>
                <w:highlight w:val="none"/>
              </w:rPr>
              <w:sym w:font="Wingdings 2" w:char="F052"/>
            </w:r>
            <w:r>
              <w:rPr>
                <w:rFonts w:hint="eastAsia" w:ascii="宋体" w:hAnsi="宋体"/>
                <w:color w:val="auto"/>
                <w:highlight w:val="none"/>
              </w:rPr>
              <w:t xml:space="preserve"> 无</w:t>
            </w:r>
          </w:p>
        </w:tc>
      </w:tr>
      <w:tr w14:paraId="4AADF3C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632F762E">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3</w:t>
            </w:r>
            <w:r>
              <w:rPr>
                <w:rFonts w:hint="default" w:ascii="宋体" w:hAnsi="宋体"/>
                <w:color w:val="auto"/>
                <w:highlight w:val="none"/>
              </w:rPr>
              <w:t>7</w:t>
            </w:r>
          </w:p>
        </w:tc>
        <w:tc>
          <w:tcPr>
            <w:tcW w:w="1888" w:type="dxa"/>
            <w:vAlign w:val="center"/>
          </w:tcPr>
          <w:p w14:paraId="5CBCB4BB">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评审方法</w:t>
            </w:r>
          </w:p>
        </w:tc>
        <w:tc>
          <w:tcPr>
            <w:tcW w:w="5501" w:type="dxa"/>
            <w:vAlign w:val="center"/>
          </w:tcPr>
          <w:p w14:paraId="19B05943">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default" w:ascii="Wingdings 2" w:hAnsi="Wingdings 2"/>
                <w:b/>
                <w:color w:val="auto"/>
                <w:highlight w:val="none"/>
              </w:rPr>
              <w:sym w:font="Wingdings 2" w:char="F052"/>
            </w:r>
            <w:r>
              <w:rPr>
                <w:rFonts w:hint="eastAsia" w:ascii="宋体" w:hAnsi="宋体"/>
                <w:b/>
                <w:color w:val="auto"/>
                <w:highlight w:val="none"/>
              </w:rPr>
              <w:t xml:space="preserve"> </w:t>
            </w:r>
            <w:r>
              <w:rPr>
                <w:rFonts w:hint="eastAsia" w:ascii="宋体" w:hAnsi="宋体"/>
                <w:color w:val="auto"/>
                <w:highlight w:val="none"/>
              </w:rPr>
              <w:t>综合评分法</w:t>
            </w:r>
          </w:p>
        </w:tc>
      </w:tr>
      <w:tr w14:paraId="59343FC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1538D0C4">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3</w:t>
            </w:r>
            <w:r>
              <w:rPr>
                <w:rFonts w:hint="default" w:ascii="宋体" w:hAnsi="宋体"/>
                <w:color w:val="auto"/>
                <w:highlight w:val="none"/>
              </w:rPr>
              <w:t>8</w:t>
            </w:r>
          </w:p>
        </w:tc>
        <w:tc>
          <w:tcPr>
            <w:tcW w:w="1888" w:type="dxa"/>
            <w:vAlign w:val="center"/>
          </w:tcPr>
          <w:p w14:paraId="6E7E0EA1">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定标方法</w:t>
            </w:r>
          </w:p>
        </w:tc>
        <w:tc>
          <w:tcPr>
            <w:tcW w:w="5501" w:type="dxa"/>
            <w:vAlign w:val="center"/>
          </w:tcPr>
          <w:p w14:paraId="40DD6792">
            <w:pPr>
              <w:keepNext w:val="0"/>
              <w:keepLines w:val="0"/>
              <w:widowControl/>
              <w:suppressLineNumbers w:val="0"/>
              <w:spacing w:before="0" w:beforeAutospacing="0" w:after="0" w:afterAutospacing="0"/>
              <w:ind w:left="0" w:right="0"/>
              <w:jc w:val="center"/>
              <w:rPr>
                <w:rFonts w:hint="default" w:ascii="宋体" w:hAnsi="宋体" w:eastAsia="宋体"/>
                <w:color w:val="auto"/>
                <w:highlight w:val="none"/>
              </w:rPr>
            </w:pPr>
            <w:r>
              <w:rPr>
                <w:rFonts w:hint="default" w:ascii="Wingdings 2" w:hAnsi="Wingdings 2" w:eastAsia="宋体"/>
                <w:b/>
                <w:color w:val="auto"/>
                <w:highlight w:val="none"/>
              </w:rPr>
              <w:t>无</w:t>
            </w:r>
          </w:p>
        </w:tc>
      </w:tr>
      <w:tr w14:paraId="0D612DB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vAlign w:val="center"/>
          </w:tcPr>
          <w:p w14:paraId="329A170E">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4</w:t>
            </w:r>
            <w:r>
              <w:rPr>
                <w:rFonts w:hint="default" w:ascii="宋体" w:hAnsi="宋体"/>
                <w:color w:val="auto"/>
                <w:highlight w:val="none"/>
              </w:rPr>
              <w:t>6</w:t>
            </w:r>
          </w:p>
        </w:tc>
        <w:tc>
          <w:tcPr>
            <w:tcW w:w="1888" w:type="dxa"/>
            <w:vAlign w:val="center"/>
          </w:tcPr>
          <w:p w14:paraId="38846665">
            <w:pPr>
              <w:keepNext w:val="0"/>
              <w:keepLines w:val="0"/>
              <w:widowControl/>
              <w:suppressLineNumbers w:val="0"/>
              <w:spacing w:before="0" w:beforeAutospacing="0" w:after="0" w:afterAutospacing="0"/>
              <w:ind w:left="0" w:right="0"/>
              <w:jc w:val="center"/>
              <w:rPr>
                <w:rFonts w:hint="default" w:ascii="宋体" w:hAnsi="宋体"/>
                <w:color w:val="auto"/>
                <w:highlight w:val="none"/>
              </w:rPr>
            </w:pPr>
            <w:r>
              <w:rPr>
                <w:rFonts w:hint="eastAsia" w:ascii="宋体" w:hAnsi="宋体"/>
                <w:color w:val="auto"/>
                <w:highlight w:val="none"/>
              </w:rPr>
              <w:t>履约担保</w:t>
            </w:r>
          </w:p>
        </w:tc>
        <w:tc>
          <w:tcPr>
            <w:tcW w:w="5501" w:type="dxa"/>
            <w:vAlign w:val="center"/>
          </w:tcPr>
          <w:p w14:paraId="74110D9B">
            <w:pPr>
              <w:pStyle w:val="8"/>
              <w:keepNext w:val="0"/>
              <w:keepLines w:val="0"/>
              <w:widowControl/>
              <w:suppressLineNumbers w:val="0"/>
              <w:jc w:val="center"/>
              <w:rPr>
                <w:rFonts w:hint="default" w:ascii="宋体" w:hAnsi="宋体" w:cs="宋体" w:eastAsiaTheme="minorEastAsia"/>
                <w:color w:val="auto"/>
                <w:szCs w:val="21"/>
                <w:highlight w:val="none"/>
                <w:lang w:val="en-US" w:eastAsia="zh-CN"/>
              </w:rPr>
            </w:pPr>
            <w:r>
              <w:rPr>
                <w:rFonts w:hint="eastAsia" w:ascii="宋体" w:hAnsi="宋体" w:cs="宋体" w:eastAsiaTheme="minorEastAsia"/>
                <w:color w:val="auto"/>
                <w:szCs w:val="21"/>
                <w:highlight w:val="none"/>
                <w:lang w:val="en-US" w:eastAsia="zh-CN"/>
              </w:rPr>
              <w:t>无</w:t>
            </w:r>
          </w:p>
        </w:tc>
      </w:tr>
    </w:tbl>
    <w:p w14:paraId="6714859F">
      <w:pPr>
        <w:rPr>
          <w:b/>
          <w:color w:val="auto"/>
          <w:highlight w:val="none"/>
        </w:rPr>
      </w:pPr>
      <w:r>
        <w:rPr>
          <w:rFonts w:hint="eastAsia"/>
          <w:color w:val="auto"/>
          <w:szCs w:val="21"/>
          <w:highlight w:val="none"/>
        </w:rPr>
        <w:t>备注：本表是通用条款相关条款的补充和明确，如与通用条款内容相冲突的，以本表为准。</w:t>
      </w:r>
      <w:r>
        <w:rPr>
          <w:rFonts w:hint="eastAsia"/>
          <w:b/>
          <w:bCs/>
          <w:color w:val="auto"/>
          <w:szCs w:val="21"/>
          <w:highlight w:val="none"/>
        </w:rPr>
        <w:t>本项目使用深圳政府采购智慧平台进行操作，通用条款中如有与深圳政府采购智慧平台操作流程不一致的内容，请以深圳政府采购智慧平台</w:t>
      </w:r>
      <w:r>
        <w:rPr>
          <w:b/>
          <w:bCs/>
          <w:color w:val="auto"/>
          <w:szCs w:val="21"/>
          <w:highlight w:val="none"/>
        </w:rPr>
        <w:t>zfcg.szggzy.com:8081</w:t>
      </w:r>
      <w:r>
        <w:rPr>
          <w:rFonts w:hint="eastAsia"/>
          <w:b/>
          <w:bCs/>
          <w:color w:val="auto"/>
          <w:szCs w:val="21"/>
          <w:highlight w:val="none"/>
        </w:rPr>
        <w:t>公布的操作手册内容为准。</w:t>
      </w:r>
    </w:p>
    <w:p w14:paraId="1B1F293F">
      <w:pPr>
        <w:rPr>
          <w:b/>
          <w:color w:val="auto"/>
          <w:highlight w:val="none"/>
        </w:rPr>
      </w:pPr>
    </w:p>
    <w:p w14:paraId="7E48DFE6">
      <w:pPr>
        <w:jc w:val="center"/>
        <w:outlineLvl w:val="2"/>
        <w:rPr>
          <w:rFonts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二、其他关键信息</w:t>
      </w:r>
    </w:p>
    <w:p w14:paraId="76CD8595">
      <w:pPr>
        <w:ind w:firstLine="480" w:firstLineChars="200"/>
        <w:rPr>
          <w:rFonts w:hint="eastAsia" w:ascii="仿宋" w:hAnsi="仿宋" w:eastAsia="仿宋" w:cs="仿宋"/>
          <w:b/>
          <w:color w:val="auto"/>
          <w:sz w:val="24"/>
          <w:highlight w:val="none"/>
        </w:rPr>
      </w:pPr>
      <w:r>
        <w:rPr>
          <w:rFonts w:hint="eastAsia"/>
          <w:b/>
          <w:bCs/>
          <w:color w:val="auto"/>
          <w:highlight w:val="none"/>
        </w:rPr>
        <w:t>（一）评标定标信息</w:t>
      </w:r>
    </w:p>
    <w:p w14:paraId="3172A154">
      <w:pPr>
        <w:ind w:firstLine="482" w:firstLineChars="200"/>
        <w:rPr>
          <w:rFonts w:ascii="仿宋" w:hAnsi="仿宋" w:eastAsia="仿宋" w:cs="仿宋"/>
          <w:b/>
          <w:color w:val="auto"/>
          <w:sz w:val="24"/>
          <w:highlight w:val="none"/>
        </w:rPr>
      </w:pPr>
      <w:r>
        <w:rPr>
          <w:rFonts w:hint="eastAsia" w:ascii="仿宋" w:hAnsi="仿宋" w:eastAsia="仿宋" w:cs="仿宋"/>
          <w:b/>
          <w:color w:val="auto"/>
          <w:sz w:val="24"/>
          <w:highlight w:val="none"/>
        </w:rPr>
        <w:t>适用于非评定分离项目</w:t>
      </w:r>
    </w:p>
    <w:p w14:paraId="7A57DFD3">
      <w:pPr>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本次评标采用综合评分法，投标文件满足招标文件全部实质性要求，且按照招标文件中规定的各项评审因素进行量化打分，评标结果按评审后得分由高到低顺序排列。得分相同的，按投标报价由低到高顺序排列。得分且投标报价相同的，按技术/服务部分得分由高到低排列。得分、投标报价和技术/服务部分得分均相同的并列，出现并列情况采取随机抽取的方式确定，具体操作办法及流程由评审委员会确定，以评审总得分最高的投标人为中标供应商（排名第二的投标人为第一替补中标候选人、排名第三的投标人为第二替补中标候选人）。</w:t>
      </w:r>
    </w:p>
    <w:tbl>
      <w:tblPr>
        <w:tblStyle w:val="18"/>
        <w:tblpPr w:leftFromText="180" w:rightFromText="180" w:vertAnchor="text" w:horzAnchor="page" w:tblpX="1989" w:tblpY="141"/>
        <w:tblOverlap w:val="never"/>
        <w:tblW w:w="81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90"/>
        <w:gridCol w:w="4065"/>
      </w:tblGrid>
      <w:tr w14:paraId="4ABE3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90" w:type="dxa"/>
            <w:vAlign w:val="top"/>
          </w:tcPr>
          <w:p w14:paraId="45EBFF5D">
            <w:pPr>
              <w:keepNext w:val="0"/>
              <w:keepLines w:val="0"/>
              <w:widowControl w:val="0"/>
              <w:suppressLineNumbers w:val="0"/>
              <w:spacing w:before="0" w:beforeAutospacing="0" w:after="0" w:afterAutospacing="0"/>
              <w:ind w:left="0" w:right="0"/>
              <w:jc w:val="center"/>
              <w:rPr>
                <w:rFonts w:hint="default"/>
                <w:color w:val="auto"/>
                <w:highlight w:val="none"/>
              </w:rPr>
            </w:pPr>
            <w:bookmarkStart w:id="29" w:name="_Hlk74239733"/>
            <w:r>
              <w:rPr>
                <w:rFonts w:hint="eastAsia"/>
                <w:color w:val="auto"/>
                <w:highlight w:val="none"/>
              </w:rPr>
              <w:t>评标方法</w:t>
            </w:r>
          </w:p>
        </w:tc>
        <w:tc>
          <w:tcPr>
            <w:tcW w:w="4065" w:type="dxa"/>
            <w:vAlign w:val="top"/>
          </w:tcPr>
          <w:p w14:paraId="6E696831">
            <w:pPr>
              <w:keepNext w:val="0"/>
              <w:keepLines w:val="0"/>
              <w:widowControl w:val="0"/>
              <w:suppressLineNumbers w:val="0"/>
              <w:spacing w:before="0" w:beforeAutospacing="0" w:after="0" w:afterAutospacing="0"/>
              <w:ind w:left="0" w:right="0"/>
              <w:jc w:val="center"/>
              <w:rPr>
                <w:rFonts w:hint="default"/>
                <w:color w:val="auto"/>
                <w:highlight w:val="none"/>
              </w:rPr>
            </w:pPr>
            <w:r>
              <w:rPr>
                <w:rFonts w:hint="eastAsia"/>
                <w:color w:val="auto"/>
                <w:highlight w:val="none"/>
              </w:rPr>
              <w:t>综合评分法</w:t>
            </w:r>
          </w:p>
        </w:tc>
      </w:tr>
      <w:tr w14:paraId="4D1AF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90" w:type="dxa"/>
            <w:vAlign w:val="top"/>
          </w:tcPr>
          <w:p w14:paraId="432CCDF8">
            <w:pPr>
              <w:keepNext w:val="0"/>
              <w:keepLines w:val="0"/>
              <w:widowControl w:val="0"/>
              <w:suppressLineNumbers w:val="0"/>
              <w:spacing w:before="0" w:beforeAutospacing="0" w:after="0" w:afterAutospacing="0"/>
              <w:ind w:left="0" w:right="0"/>
              <w:jc w:val="center"/>
              <w:rPr>
                <w:rFonts w:hint="default"/>
                <w:color w:val="auto"/>
                <w:highlight w:val="none"/>
              </w:rPr>
            </w:pPr>
            <w:r>
              <w:rPr>
                <w:rFonts w:hint="eastAsia"/>
                <w:color w:val="auto"/>
                <w:highlight w:val="none"/>
              </w:rPr>
              <w:t>候选中标供应商家数</w:t>
            </w:r>
          </w:p>
        </w:tc>
        <w:tc>
          <w:tcPr>
            <w:tcW w:w="4065" w:type="dxa"/>
            <w:vAlign w:val="top"/>
          </w:tcPr>
          <w:p w14:paraId="0D6F54E4">
            <w:pPr>
              <w:keepNext w:val="0"/>
              <w:keepLines w:val="0"/>
              <w:widowControl w:val="0"/>
              <w:suppressLineNumbers w:val="0"/>
              <w:spacing w:before="0" w:beforeAutospacing="0" w:after="0" w:afterAutospacing="0"/>
              <w:ind w:left="0" w:right="0"/>
              <w:jc w:val="center"/>
              <w:rPr>
                <w:rFonts w:hint="default"/>
                <w:color w:val="auto"/>
                <w:highlight w:val="none"/>
              </w:rPr>
            </w:pPr>
            <w:r>
              <w:rPr>
                <w:rFonts w:hint="eastAsia"/>
                <w:color w:val="auto"/>
                <w:highlight w:val="none"/>
              </w:rPr>
              <w:t>3</w:t>
            </w:r>
          </w:p>
        </w:tc>
      </w:tr>
      <w:tr w14:paraId="7B10EE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90" w:type="dxa"/>
            <w:vAlign w:val="top"/>
          </w:tcPr>
          <w:p w14:paraId="7873AEC2">
            <w:pPr>
              <w:keepNext w:val="0"/>
              <w:keepLines w:val="0"/>
              <w:widowControl w:val="0"/>
              <w:suppressLineNumbers w:val="0"/>
              <w:spacing w:before="0" w:beforeAutospacing="0" w:after="0" w:afterAutospacing="0"/>
              <w:ind w:left="0" w:right="0"/>
              <w:jc w:val="center"/>
              <w:rPr>
                <w:rFonts w:hint="default"/>
                <w:color w:val="auto"/>
                <w:highlight w:val="none"/>
              </w:rPr>
            </w:pPr>
            <w:r>
              <w:rPr>
                <w:rFonts w:hint="eastAsia"/>
                <w:color w:val="auto"/>
                <w:highlight w:val="none"/>
              </w:rPr>
              <w:t>中标供应商家数</w:t>
            </w:r>
          </w:p>
        </w:tc>
        <w:tc>
          <w:tcPr>
            <w:tcW w:w="4065" w:type="dxa"/>
            <w:vAlign w:val="top"/>
          </w:tcPr>
          <w:p w14:paraId="21147CA4">
            <w:pPr>
              <w:keepNext w:val="0"/>
              <w:keepLines w:val="0"/>
              <w:widowControl w:val="0"/>
              <w:suppressLineNumbers w:val="0"/>
              <w:spacing w:before="0" w:beforeAutospacing="0" w:after="0" w:afterAutospacing="0"/>
              <w:ind w:left="0" w:right="0"/>
              <w:jc w:val="center"/>
              <w:rPr>
                <w:rFonts w:hint="default"/>
                <w:color w:val="auto"/>
                <w:highlight w:val="none"/>
              </w:rPr>
            </w:pPr>
            <w:r>
              <w:rPr>
                <w:rFonts w:hint="eastAsia"/>
                <w:color w:val="auto"/>
                <w:highlight w:val="none"/>
              </w:rPr>
              <w:t>1</w:t>
            </w:r>
          </w:p>
        </w:tc>
      </w:tr>
      <w:bookmarkEnd w:id="29"/>
    </w:tbl>
    <w:p w14:paraId="4DB98DFF">
      <w:pPr>
        <w:pStyle w:val="7"/>
        <w:rPr>
          <w:color w:val="auto"/>
          <w:highlight w:val="none"/>
        </w:rPr>
      </w:pPr>
    </w:p>
    <w:p w14:paraId="7B26DA42">
      <w:pPr>
        <w:ind w:firstLine="480" w:firstLineChars="200"/>
        <w:rPr>
          <w:rFonts w:ascii="仿宋" w:hAnsi="仿宋" w:eastAsia="仿宋" w:cs="仿宋"/>
          <w:color w:val="auto"/>
          <w:sz w:val="24"/>
          <w:highlight w:val="none"/>
        </w:rPr>
      </w:pPr>
      <w:r>
        <w:rPr>
          <w:rFonts w:hint="eastAsia" w:ascii="仿宋" w:hAnsi="仿宋" w:eastAsia="仿宋" w:cs="仿宋"/>
          <w:color w:val="auto"/>
          <w:sz w:val="24"/>
          <w:highlight w:val="none"/>
        </w:rPr>
        <w:t>评审委员会对每个通过资格性检查和符合性检查且报价不超过最高限价的投标人进行评审、打分，然后汇总每个投标人每项</w:t>
      </w:r>
      <w:r>
        <w:rPr>
          <w:rFonts w:hint="eastAsia" w:ascii="仿宋" w:hAnsi="仿宋" w:eastAsia="仿宋" w:cs="仿宋"/>
          <w:color w:val="auto"/>
          <w:sz w:val="24"/>
          <w:highlight w:val="none"/>
          <w:lang w:eastAsia="zh-CN"/>
        </w:rPr>
        <w:t>评审因素</w:t>
      </w:r>
      <w:r>
        <w:rPr>
          <w:rFonts w:hint="eastAsia" w:ascii="仿宋" w:hAnsi="仿宋" w:eastAsia="仿宋" w:cs="仿宋"/>
          <w:color w:val="auto"/>
          <w:sz w:val="24"/>
          <w:highlight w:val="none"/>
        </w:rPr>
        <w:t>的评分。</w:t>
      </w:r>
    </w:p>
    <w:p w14:paraId="1BE4AC7E">
      <w:pPr>
        <w:ind w:firstLine="480" w:firstLineChars="200"/>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rPr>
        <w:t>评委会在评审时，按照</w:t>
      </w:r>
      <w:r>
        <w:rPr>
          <w:rFonts w:hint="eastAsia" w:ascii="仿宋" w:hAnsi="仿宋" w:eastAsia="仿宋" w:cs="仿宋"/>
          <w:color w:val="auto"/>
          <w:sz w:val="24"/>
          <w:highlight w:val="none"/>
          <w:lang w:eastAsia="zh-CN"/>
        </w:rPr>
        <w:t>《评标信息》中</w:t>
      </w:r>
      <w:r>
        <w:rPr>
          <w:rFonts w:hint="eastAsia" w:ascii="仿宋" w:hAnsi="仿宋" w:eastAsia="仿宋" w:cs="仿宋"/>
          <w:color w:val="auto"/>
          <w:sz w:val="24"/>
          <w:highlight w:val="none"/>
        </w:rPr>
        <w:t>的评审因素，对进入该阶段评审的各投标文件进行分析和比较</w:t>
      </w:r>
      <w:r>
        <w:rPr>
          <w:rFonts w:hint="eastAsia" w:ascii="仿宋" w:hAnsi="仿宋" w:eastAsia="仿宋" w:cs="仿宋"/>
          <w:color w:val="auto"/>
          <w:sz w:val="24"/>
          <w:highlight w:val="none"/>
          <w:lang w:eastAsia="zh-CN"/>
        </w:rPr>
        <w:t>。</w:t>
      </w:r>
    </w:p>
    <w:p w14:paraId="54508F0D">
      <w:pPr>
        <w:spacing w:line="360" w:lineRule="auto"/>
        <w:ind w:firstLine="480" w:firstLineChars="200"/>
        <w:rPr>
          <w:b/>
          <w:bCs/>
          <w:color w:val="auto"/>
          <w:highlight w:val="none"/>
        </w:rPr>
      </w:pPr>
      <w:r>
        <w:rPr>
          <w:rFonts w:hint="eastAsia"/>
          <w:b/>
          <w:color w:val="auto"/>
          <w:highlight w:val="none"/>
        </w:rPr>
        <w:t>（二）其他事项</w:t>
      </w:r>
    </w:p>
    <w:p w14:paraId="74358556">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b/>
          <w:bCs/>
          <w:color w:val="auto"/>
          <w:highlight w:val="none"/>
        </w:rPr>
      </w:pPr>
      <w:r>
        <w:rPr>
          <w:b/>
          <w:bCs/>
          <w:color w:val="auto"/>
          <w:highlight w:val="none"/>
        </w:rPr>
        <w:t>1</w:t>
      </w:r>
      <w:r>
        <w:rPr>
          <w:rFonts w:hint="eastAsia" w:eastAsia="宋体"/>
          <w:b/>
          <w:bCs/>
          <w:color w:val="auto"/>
          <w:highlight w:val="none"/>
          <w:lang w:val="en-US" w:eastAsia="zh-CN"/>
        </w:rPr>
        <w:t>.</w:t>
      </w:r>
      <w:r>
        <w:rPr>
          <w:rFonts w:hint="eastAsia"/>
          <w:b/>
          <w:bCs/>
          <w:color w:val="auto"/>
          <w:highlight w:val="none"/>
        </w:rPr>
        <w:t>关于享受优惠政策的主体及价格扣除比例</w:t>
      </w:r>
    </w:p>
    <w:p w14:paraId="66DAC58C">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rPr>
          <w:rFonts w:hint="eastAsia"/>
          <w:color w:val="auto"/>
          <w:highlight w:val="none"/>
        </w:rPr>
      </w:pPr>
      <w:r>
        <w:rPr>
          <w:rFonts w:hint="eastAsia"/>
          <w:color w:val="auto"/>
          <w:highlight w:val="none"/>
        </w:rPr>
        <w:t>（1）投标人提供的服务</w:t>
      </w:r>
      <w:r>
        <w:rPr>
          <w:rFonts w:hint="eastAsia" w:ascii="宋体" w:hAnsi="宋体" w:eastAsia="宋体" w:cs="宋体"/>
          <w:color w:val="auto"/>
          <w:highlight w:val="none"/>
        </w:rPr>
        <w:t>全部</w:t>
      </w:r>
      <w:r>
        <w:rPr>
          <w:rFonts w:hint="eastAsia"/>
          <w:color w:val="auto"/>
          <w:highlight w:val="none"/>
        </w:rPr>
        <w:t>均由优惠主体承接，则对其投标总价给予</w:t>
      </w:r>
      <w:r>
        <w:rPr>
          <w:color w:val="auto"/>
          <w:highlight w:val="none"/>
        </w:rPr>
        <w:t xml:space="preserve"> 10</w:t>
      </w:r>
      <w:r>
        <w:rPr>
          <w:rFonts w:hint="eastAsia"/>
          <w:color w:val="auto"/>
          <w:highlight w:val="none"/>
        </w:rPr>
        <w:t>%扣除，用扣除后的价格参与评审。</w:t>
      </w:r>
    </w:p>
    <w:p w14:paraId="2ECFD7CB">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rPr>
          <w:rFonts w:hint="eastAsia"/>
          <w:color w:val="auto"/>
          <w:highlight w:val="none"/>
        </w:rPr>
      </w:pPr>
      <w:r>
        <w:rPr>
          <w:rFonts w:hint="eastAsia"/>
          <w:color w:val="auto"/>
          <w:highlight w:val="none"/>
          <w:lang w:eastAsia="zh-CN"/>
        </w:rPr>
        <w:t>（</w:t>
      </w:r>
      <w:r>
        <w:rPr>
          <w:rFonts w:hint="eastAsia"/>
          <w:color w:val="auto"/>
          <w:highlight w:val="none"/>
          <w:lang w:val="en-US" w:eastAsia="zh-CN"/>
        </w:rPr>
        <w:t>2</w:t>
      </w:r>
      <w:r>
        <w:rPr>
          <w:rFonts w:hint="eastAsia"/>
          <w:color w:val="auto"/>
          <w:highlight w:val="none"/>
          <w:lang w:eastAsia="zh-CN"/>
        </w:rPr>
        <w:t>）</w:t>
      </w:r>
      <w:r>
        <w:rPr>
          <w:rFonts w:hint="eastAsia"/>
          <w:color w:val="auto"/>
          <w:highlight w:val="none"/>
        </w:rPr>
        <w:t>接受大中型企业与小微企业组成联合体或者允许大中型企业向一家或者多家小微企业分包的采购项目，对于联合协议或者分包意向协议约定小微企业的合同份额占到合同总金额30%以上的，将对联合体或者大中型企业的报价给予</w:t>
      </w:r>
      <w:r>
        <w:rPr>
          <w:rFonts w:hint="eastAsia"/>
          <w:color w:val="auto"/>
          <w:highlight w:val="none"/>
          <w:lang w:val="en-US" w:eastAsia="zh-CN"/>
        </w:rPr>
        <w:t>4</w:t>
      </w:r>
      <w:r>
        <w:rPr>
          <w:rFonts w:hint="eastAsia"/>
          <w:color w:val="auto"/>
          <w:highlight w:val="none"/>
        </w:rPr>
        <w:t>%的扣除。</w:t>
      </w:r>
    </w:p>
    <w:p w14:paraId="0248C224">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rPr>
          <w:rFonts w:hint="eastAsia" w:ascii="宋体" w:hAnsi="宋体" w:eastAsia="宋体" w:cs="宋体"/>
          <w:b/>
          <w:bCs/>
          <w:color w:val="auto"/>
          <w:highlight w:val="none"/>
        </w:rPr>
      </w:pPr>
      <w:r>
        <w:rPr>
          <w:rFonts w:hint="eastAsia" w:eastAsia="宋体"/>
          <w:color w:val="auto"/>
          <w:highlight w:val="none"/>
          <w:lang w:eastAsia="zh-CN"/>
        </w:rPr>
        <w:t>（</w:t>
      </w:r>
      <w:r>
        <w:rPr>
          <w:rFonts w:hint="eastAsia" w:eastAsia="宋体"/>
          <w:color w:val="auto"/>
          <w:highlight w:val="none"/>
          <w:lang w:val="en-US" w:eastAsia="zh-CN"/>
        </w:rPr>
        <w:t>3</w:t>
      </w:r>
      <w:r>
        <w:rPr>
          <w:rFonts w:hint="eastAsia" w:eastAsia="宋体"/>
          <w:color w:val="auto"/>
          <w:highlight w:val="none"/>
          <w:lang w:eastAsia="zh-CN"/>
        </w:rPr>
        <w:t>）</w:t>
      </w:r>
      <w:r>
        <w:rPr>
          <w:rFonts w:hint="eastAsia"/>
          <w:color w:val="auto"/>
          <w:highlight w:val="none"/>
        </w:rPr>
        <w:t>满足多项优惠政策的企业，不重复享受多项价格扣除政策。</w:t>
      </w:r>
      <w:r>
        <w:rPr>
          <w:rFonts w:hint="eastAsia" w:ascii="宋体" w:hAnsi="宋体" w:eastAsia="宋体" w:cs="宋体"/>
          <w:b/>
          <w:bCs/>
          <w:color w:val="auto"/>
          <w:highlight w:val="none"/>
        </w:rPr>
        <w:t>政策调整后价格仅作为评审依据，不作为中标价格。享受价格扣除获得政府采购合同的，小微企业不得将合同分包给大中型企业。</w:t>
      </w:r>
    </w:p>
    <w:p w14:paraId="1B280B48">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bCs/>
          <w:color w:val="auto"/>
          <w:highlight w:val="none"/>
        </w:rPr>
      </w:pPr>
      <w:r>
        <w:rPr>
          <w:rFonts w:hint="eastAsia"/>
          <w:color w:val="auto"/>
          <w:highlight w:val="none"/>
        </w:rPr>
        <w:t>备注：（a）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政府采购活动中视同中小企业；(</w:t>
      </w:r>
      <w:r>
        <w:rPr>
          <w:color w:val="auto"/>
          <w:highlight w:val="none"/>
        </w:rPr>
        <w:t>b)</w:t>
      </w:r>
      <w:r>
        <w:rPr>
          <w:rFonts w:hint="eastAsia"/>
          <w:color w:val="auto"/>
          <w:highlight w:val="none"/>
        </w:rPr>
        <w:t>优惠主体承接是指提供服务的人员为中小企业依照《中华人民共和国劳动合同法》订立劳动合同的从业人员。(</w:t>
      </w:r>
      <w:r>
        <w:rPr>
          <w:color w:val="auto"/>
          <w:highlight w:val="none"/>
        </w:rPr>
        <w:t>c)</w:t>
      </w:r>
      <w:r>
        <w:rPr>
          <w:rFonts w:hint="eastAsia" w:ascii="宋体" w:hAnsi="宋体"/>
          <w:bCs/>
          <w:color w:val="auto"/>
          <w:highlight w:val="none"/>
        </w:rPr>
        <w:t>小型企业、微型企业、残疾人福利性单位作为优惠主体的认定资料为《中小企业声明函》、《残疾人福利性单位声明函》；监狱企业作为优惠主体的认定资料为省级以上监狱管理局、戒毒管理局出具的监狱企业证明文件。</w:t>
      </w:r>
    </w:p>
    <w:p w14:paraId="751664D4">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hint="eastAsia" w:ascii="宋体" w:hAnsi="宋体"/>
          <w:bCs/>
          <w:color w:val="auto"/>
          <w:highlight w:val="none"/>
        </w:rPr>
      </w:pPr>
      <w:r>
        <w:rPr>
          <w:rFonts w:hint="eastAsia" w:ascii="宋体" w:hAnsi="宋体"/>
          <w:bCs/>
          <w:color w:val="auto"/>
          <w:highlight w:val="none"/>
        </w:rPr>
        <w:t>本项目采购标的对应的中小企业划分标准所属行业，根据《中小企业划型标准规定》（工信部联企业〔2011〕300号）、《</w:t>
      </w:r>
      <w:r>
        <w:rPr>
          <w:rFonts w:ascii="宋体" w:hAnsi="宋体"/>
          <w:bCs/>
          <w:color w:val="auto"/>
          <w:highlight w:val="none"/>
        </w:rPr>
        <w:t>统计上大中小微型企业划分办法（2017）</w:t>
      </w:r>
      <w:r>
        <w:rPr>
          <w:rFonts w:hint="eastAsia" w:ascii="宋体" w:hAnsi="宋体"/>
          <w:bCs/>
          <w:color w:val="auto"/>
          <w:highlight w:val="none"/>
        </w:rPr>
        <w:t>》（国统字〔2017〕213号）或国务院批准的其他中小企业划分标准文件确定。</w:t>
      </w:r>
    </w:p>
    <w:p w14:paraId="6912F497">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b/>
          <w:bCs/>
          <w:color w:val="auto"/>
          <w:highlight w:val="none"/>
          <w:lang w:val="en-US" w:eastAsia="zh-CN"/>
        </w:rPr>
      </w:pPr>
      <w:r>
        <w:rPr>
          <w:rFonts w:hint="eastAsia"/>
          <w:b/>
          <w:bCs/>
          <w:color w:val="auto"/>
          <w:highlight w:val="none"/>
          <w:lang w:val="en-US" w:eastAsia="zh-CN"/>
        </w:rPr>
        <w:t>2.关于落实政府绿色采购有关事项</w:t>
      </w:r>
    </w:p>
    <w:p w14:paraId="40F7521B">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hint="default" w:ascii="宋体" w:hAnsi="宋体"/>
          <w:bCs/>
          <w:color w:val="auto"/>
          <w:highlight w:val="none"/>
          <w:lang w:val="en-US" w:eastAsia="zh-CN"/>
        </w:rPr>
      </w:pPr>
      <w:r>
        <w:rPr>
          <w:rFonts w:hint="eastAsia" w:ascii="宋体" w:hAnsi="宋体"/>
          <w:bCs/>
          <w:color w:val="auto"/>
          <w:highlight w:val="none"/>
          <w:lang w:val="en-US" w:eastAsia="zh-CN"/>
        </w:rPr>
        <w:t>根据《深圳市财政局关于大力推广政府绿色采购有关事项的通知》（深财购〔2023〕49号）要求，如拟采购的产品属于节能产品或环境标志产品政府采购品目清单范围的，将在采购需求中对产品进行标识，并依据国家确认的认证机构出具的、处于有效期之内的节能产品或环境标志产品认证证书，对获得证书的产品实施政府优先采购或强制采购。如项目涉及商品包装、快递包装、绿色建筑和绿色建材、绿色数据中心等内容，需求标准将严格执行《商品包装政府采购需求标准（试行）》、《快递包装政府采购需求标准（试行）》（财办库〔2020〕123号）、《绿色建筑和绿色建材政府采购需求标准》（财办库〔2022〕35号）、《绿色数据中心政府采购需求标准（试行）》（财办库〔2023〕7号）等文件要求，并在采购文件和采购合同中载明具体需求、履约验收条款和违约责任，促进绿色包装、绿色运输、绿色建筑、绿色建材和绿色数据中心在政府采购领域的应用。</w:t>
      </w:r>
    </w:p>
    <w:p w14:paraId="178F083C">
      <w:pPr>
        <w:spacing w:line="360" w:lineRule="auto"/>
        <w:jc w:val="center"/>
        <w:rPr>
          <w:rFonts w:hint="eastAsia" w:cs="宋体"/>
          <w:b/>
          <w:bCs/>
          <w:color w:val="auto"/>
          <w:sz w:val="28"/>
          <w:szCs w:val="28"/>
          <w:highlight w:val="none"/>
        </w:rPr>
      </w:pPr>
      <w:bookmarkStart w:id="30" w:name="_Toc128884461"/>
    </w:p>
    <w:p w14:paraId="16F35764">
      <w:pPr>
        <w:keepNext w:val="0"/>
        <w:keepLines w:val="0"/>
        <w:pageBreakBefore w:val="0"/>
        <w:widowControl/>
        <w:kinsoku/>
        <w:wordWrap/>
        <w:overflowPunct/>
        <w:topLinePunct w:val="0"/>
        <w:autoSpaceDE/>
        <w:autoSpaceDN/>
        <w:bidi w:val="0"/>
        <w:adjustRightInd/>
        <w:snapToGrid/>
        <w:spacing w:line="360" w:lineRule="auto"/>
        <w:jc w:val="center"/>
        <w:textAlignment w:val="auto"/>
        <w:outlineLvl w:val="1"/>
        <w:rPr>
          <w:b/>
          <w:bCs/>
          <w:color w:val="auto"/>
          <w:sz w:val="28"/>
          <w:szCs w:val="28"/>
          <w:highlight w:val="none"/>
        </w:rPr>
      </w:pPr>
      <w:r>
        <w:rPr>
          <w:rFonts w:hint="eastAsia" w:cs="宋体"/>
          <w:b/>
          <w:bCs/>
          <w:color w:val="auto"/>
          <w:sz w:val="28"/>
          <w:szCs w:val="28"/>
          <w:highlight w:val="none"/>
        </w:rPr>
        <w:t>第三章</w:t>
      </w:r>
      <w:r>
        <w:rPr>
          <w:rFonts w:hint="eastAsia"/>
          <w:b/>
          <w:bCs/>
          <w:color w:val="auto"/>
          <w:sz w:val="28"/>
          <w:szCs w:val="28"/>
          <w:highlight w:val="none"/>
        </w:rPr>
        <w:t xml:space="preserve"> </w:t>
      </w:r>
      <w:r>
        <w:rPr>
          <w:rFonts w:hint="eastAsia" w:cs="宋体"/>
          <w:b/>
          <w:bCs/>
          <w:color w:val="auto"/>
          <w:sz w:val="28"/>
          <w:szCs w:val="28"/>
          <w:highlight w:val="none"/>
        </w:rPr>
        <w:t>用户需求书</w:t>
      </w:r>
    </w:p>
    <w:bookmarkEnd w:id="30"/>
    <w:p w14:paraId="20F61387">
      <w:pPr>
        <w:spacing w:line="360" w:lineRule="auto"/>
        <w:jc w:val="center"/>
        <w:outlineLvl w:val="2"/>
        <w:rPr>
          <w:rFonts w:eastAsia="宋体"/>
          <w:b/>
          <w:bCs/>
          <w:color w:val="auto"/>
          <w:highlight w:val="none"/>
        </w:rPr>
      </w:pPr>
      <w:bookmarkStart w:id="31" w:name="_Toc11426270"/>
      <w:r>
        <w:rPr>
          <w:rFonts w:hint="eastAsia" w:ascii="宋体" w:hAnsi="宋体" w:eastAsia="宋体" w:cs="宋体"/>
          <w:b/>
          <w:bCs/>
          <w:color w:val="auto"/>
          <w:highlight w:val="none"/>
        </w:rPr>
        <w:t>一、项目基本信息</w:t>
      </w:r>
    </w:p>
    <w:tbl>
      <w:tblPr>
        <w:tblStyle w:val="17"/>
        <w:tblpPr w:leftFromText="180" w:rightFromText="180" w:vertAnchor="text" w:horzAnchor="margin" w:tblpXSpec="center" w:tblpY="173"/>
        <w:tblW w:w="82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8"/>
        <w:gridCol w:w="2166"/>
        <w:gridCol w:w="2175"/>
        <w:gridCol w:w="2205"/>
        <w:gridCol w:w="1224"/>
      </w:tblGrid>
      <w:tr w14:paraId="6BAF4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8" w:type="dxa"/>
            <w:shd w:val="clear" w:color="auto" w:fill="C6D9F0" w:themeFill="text2" w:themeFillTint="33"/>
            <w:vAlign w:val="center"/>
          </w:tcPr>
          <w:p w14:paraId="5F0F105A">
            <w:pPr>
              <w:keepNext w:val="0"/>
              <w:keepLines w:val="0"/>
              <w:widowControl/>
              <w:suppressLineNumbers w:val="0"/>
              <w:spacing w:before="0" w:beforeAutospacing="0" w:after="0" w:afterAutospacing="0"/>
              <w:ind w:left="0" w:right="0"/>
              <w:jc w:val="center"/>
              <w:rPr>
                <w:rFonts w:hint="default"/>
                <w:b/>
                <w:color w:val="auto"/>
                <w:szCs w:val="21"/>
                <w:highlight w:val="none"/>
              </w:rPr>
            </w:pPr>
            <w:r>
              <w:rPr>
                <w:rFonts w:hint="eastAsia" w:ascii="宋体" w:hAnsi="宋体" w:eastAsia="宋体" w:cs="宋体"/>
                <w:b/>
                <w:color w:val="auto"/>
                <w:szCs w:val="21"/>
                <w:highlight w:val="none"/>
              </w:rPr>
              <w:t>序</w:t>
            </w:r>
            <w:r>
              <w:rPr>
                <w:rFonts w:hint="eastAsia"/>
                <w:b/>
                <w:color w:val="auto"/>
                <w:szCs w:val="21"/>
                <w:highlight w:val="none"/>
              </w:rPr>
              <w:t>号</w:t>
            </w:r>
          </w:p>
        </w:tc>
        <w:tc>
          <w:tcPr>
            <w:tcW w:w="2166" w:type="dxa"/>
            <w:shd w:val="clear" w:color="auto" w:fill="C6D9F0" w:themeFill="text2" w:themeFillTint="33"/>
            <w:vAlign w:val="center"/>
          </w:tcPr>
          <w:p w14:paraId="7DB5B603">
            <w:pPr>
              <w:keepNext w:val="0"/>
              <w:keepLines w:val="0"/>
              <w:widowControl/>
              <w:suppressLineNumbers w:val="0"/>
              <w:spacing w:before="0" w:beforeAutospacing="0" w:after="0" w:afterAutospacing="0"/>
              <w:ind w:left="0" w:right="0"/>
              <w:jc w:val="center"/>
              <w:rPr>
                <w:rFonts w:hint="default"/>
                <w:b/>
                <w:color w:val="auto"/>
                <w:szCs w:val="21"/>
                <w:highlight w:val="none"/>
              </w:rPr>
            </w:pPr>
            <w:r>
              <w:rPr>
                <w:rFonts w:hint="eastAsia"/>
                <w:b/>
                <w:color w:val="auto"/>
                <w:szCs w:val="21"/>
                <w:highlight w:val="none"/>
              </w:rPr>
              <w:t>采购项目名称</w:t>
            </w:r>
          </w:p>
        </w:tc>
        <w:tc>
          <w:tcPr>
            <w:tcW w:w="2175" w:type="dxa"/>
            <w:shd w:val="clear" w:color="auto" w:fill="C6D9F0" w:themeFill="text2" w:themeFillTint="33"/>
            <w:vAlign w:val="center"/>
          </w:tcPr>
          <w:p w14:paraId="64520E4F">
            <w:pPr>
              <w:keepNext w:val="0"/>
              <w:keepLines w:val="0"/>
              <w:widowControl/>
              <w:suppressLineNumbers w:val="0"/>
              <w:spacing w:before="0" w:beforeAutospacing="0" w:after="0" w:afterAutospacing="0"/>
              <w:ind w:left="0" w:right="0"/>
              <w:jc w:val="center"/>
              <w:rPr>
                <w:rFonts w:hint="default"/>
                <w:b/>
                <w:color w:val="auto"/>
                <w:szCs w:val="21"/>
                <w:highlight w:val="none"/>
              </w:rPr>
            </w:pPr>
            <w:r>
              <w:rPr>
                <w:rFonts w:hint="eastAsia"/>
                <w:b/>
                <w:color w:val="auto"/>
                <w:szCs w:val="21"/>
                <w:highlight w:val="none"/>
              </w:rPr>
              <w:t>财政预算限额（元）</w:t>
            </w:r>
          </w:p>
        </w:tc>
        <w:tc>
          <w:tcPr>
            <w:tcW w:w="2205" w:type="dxa"/>
            <w:shd w:val="clear" w:color="auto" w:fill="C6D9F0" w:themeFill="text2" w:themeFillTint="33"/>
            <w:vAlign w:val="center"/>
          </w:tcPr>
          <w:p w14:paraId="5809229E">
            <w:pPr>
              <w:keepNext w:val="0"/>
              <w:keepLines w:val="0"/>
              <w:widowControl/>
              <w:suppressLineNumbers w:val="0"/>
              <w:spacing w:before="0" w:beforeAutospacing="0" w:after="0" w:afterAutospacing="0"/>
              <w:ind w:left="0" w:right="0"/>
              <w:jc w:val="center"/>
              <w:rPr>
                <w:rFonts w:hint="default"/>
                <w:b/>
                <w:color w:val="auto"/>
                <w:szCs w:val="21"/>
                <w:highlight w:val="none"/>
              </w:rPr>
            </w:pPr>
            <w:r>
              <w:rPr>
                <w:rFonts w:hint="eastAsia"/>
                <w:b/>
                <w:color w:val="auto"/>
                <w:szCs w:val="21"/>
                <w:highlight w:val="none"/>
              </w:rPr>
              <w:t>最高限价（元）</w:t>
            </w:r>
          </w:p>
        </w:tc>
        <w:tc>
          <w:tcPr>
            <w:tcW w:w="1224" w:type="dxa"/>
            <w:shd w:val="clear" w:color="auto" w:fill="C6D9F0" w:themeFill="text2" w:themeFillTint="33"/>
            <w:vAlign w:val="center"/>
          </w:tcPr>
          <w:p w14:paraId="0CD77742">
            <w:pPr>
              <w:keepNext w:val="0"/>
              <w:keepLines w:val="0"/>
              <w:widowControl/>
              <w:suppressLineNumbers w:val="0"/>
              <w:spacing w:before="0" w:beforeAutospacing="0" w:after="0" w:afterAutospacing="0"/>
              <w:ind w:left="0" w:right="0"/>
              <w:jc w:val="center"/>
              <w:rPr>
                <w:rFonts w:hint="eastAsia" w:eastAsiaTheme="minorEastAsia"/>
                <w:b/>
                <w:color w:val="auto"/>
                <w:szCs w:val="21"/>
                <w:highlight w:val="none"/>
                <w:lang w:eastAsia="zh-CN"/>
              </w:rPr>
            </w:pPr>
            <w:r>
              <w:rPr>
                <w:rFonts w:hint="eastAsia"/>
                <w:b/>
                <w:color w:val="auto"/>
                <w:szCs w:val="21"/>
                <w:highlight w:val="none"/>
                <w:lang w:val="en-US" w:eastAsia="zh-CN"/>
              </w:rPr>
              <w:t>备注</w:t>
            </w:r>
          </w:p>
        </w:tc>
      </w:tr>
      <w:tr w14:paraId="6870F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trPr>
        <w:tc>
          <w:tcPr>
            <w:tcW w:w="438" w:type="dxa"/>
            <w:vAlign w:val="center"/>
          </w:tcPr>
          <w:p w14:paraId="3391695C">
            <w:pPr>
              <w:keepNext w:val="0"/>
              <w:keepLines w:val="0"/>
              <w:widowControl/>
              <w:suppressLineNumbers w:val="0"/>
              <w:spacing w:before="0" w:beforeAutospacing="0" w:after="0" w:afterAutospacing="0"/>
              <w:ind w:left="0" w:right="0"/>
              <w:jc w:val="center"/>
              <w:rPr>
                <w:rFonts w:hint="default"/>
                <w:bCs/>
                <w:color w:val="auto"/>
                <w:szCs w:val="21"/>
                <w:highlight w:val="none"/>
              </w:rPr>
            </w:pPr>
            <w:r>
              <w:rPr>
                <w:rFonts w:hint="eastAsia"/>
                <w:bCs/>
                <w:color w:val="auto"/>
                <w:szCs w:val="21"/>
                <w:highlight w:val="none"/>
              </w:rPr>
              <w:t>1</w:t>
            </w:r>
          </w:p>
        </w:tc>
        <w:tc>
          <w:tcPr>
            <w:tcW w:w="2166" w:type="dxa"/>
            <w:vAlign w:val="center"/>
          </w:tcPr>
          <w:p w14:paraId="1345B85B">
            <w:pPr>
              <w:keepNext w:val="0"/>
              <w:keepLines w:val="0"/>
              <w:widowControl/>
              <w:suppressLineNumbers w:val="0"/>
              <w:spacing w:before="0" w:beforeAutospacing="0" w:after="0" w:afterAutospacing="0"/>
              <w:ind w:left="0" w:right="0"/>
              <w:jc w:val="center"/>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lang w:eastAsia="zh-CN"/>
              </w:rPr>
              <w:t>2025年通信线缆维护</w:t>
            </w:r>
          </w:p>
        </w:tc>
        <w:tc>
          <w:tcPr>
            <w:tcW w:w="2175" w:type="dxa"/>
            <w:vAlign w:val="center"/>
          </w:tcPr>
          <w:p w14:paraId="469A178C">
            <w:pPr>
              <w:keepNext w:val="0"/>
              <w:keepLines w:val="0"/>
              <w:widowControl/>
              <w:suppressLineNumbers w:val="0"/>
              <w:spacing w:before="0" w:beforeAutospacing="0" w:after="0" w:afterAutospacing="0"/>
              <w:ind w:left="0" w:right="0"/>
              <w:jc w:val="center"/>
              <w:rPr>
                <w:rFonts w:hint="eastAsia" w:eastAsiaTheme="minorEastAsia"/>
                <w:b/>
                <w:bCs/>
                <w:color w:val="auto"/>
                <w:szCs w:val="21"/>
                <w:highlight w:val="none"/>
                <w:lang w:eastAsia="zh-CN"/>
              </w:rPr>
            </w:pPr>
            <w:r>
              <w:rPr>
                <w:rFonts w:hint="eastAsia" w:eastAsiaTheme="minorEastAsia"/>
                <w:b/>
                <w:bCs/>
                <w:color w:val="auto"/>
                <w:szCs w:val="21"/>
                <w:highlight w:val="none"/>
                <w:lang w:eastAsia="zh-CN"/>
              </w:rPr>
              <w:t>11,529,733.40</w:t>
            </w:r>
          </w:p>
        </w:tc>
        <w:tc>
          <w:tcPr>
            <w:tcW w:w="2205" w:type="dxa"/>
            <w:vAlign w:val="center"/>
          </w:tcPr>
          <w:p w14:paraId="5F45AC33">
            <w:pPr>
              <w:keepNext w:val="0"/>
              <w:keepLines w:val="0"/>
              <w:widowControl/>
              <w:suppressLineNumbers w:val="0"/>
              <w:spacing w:before="0" w:beforeAutospacing="0" w:after="0" w:afterAutospacing="0"/>
              <w:ind w:left="0" w:right="0"/>
              <w:jc w:val="center"/>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lang w:eastAsia="zh-CN"/>
              </w:rPr>
              <w:t>11,529,733.40</w:t>
            </w:r>
          </w:p>
        </w:tc>
        <w:tc>
          <w:tcPr>
            <w:tcW w:w="1224" w:type="dxa"/>
            <w:vAlign w:val="center"/>
          </w:tcPr>
          <w:p w14:paraId="6BF68A27">
            <w:pPr>
              <w:keepNext w:val="0"/>
              <w:keepLines w:val="0"/>
              <w:widowControl/>
              <w:suppressLineNumbers w:val="0"/>
              <w:spacing w:before="0" w:beforeAutospacing="0" w:after="0" w:afterAutospacing="0"/>
              <w:ind w:left="0" w:right="0"/>
              <w:jc w:val="center"/>
              <w:rPr>
                <w:rFonts w:hint="eastAsia" w:ascii="宋体" w:hAnsi="宋体" w:eastAsia="宋体" w:cs="宋体"/>
                <w:bCs/>
                <w:color w:val="auto"/>
                <w:szCs w:val="21"/>
                <w:highlight w:val="none"/>
                <w:lang w:eastAsia="zh-CN"/>
              </w:rPr>
            </w:pPr>
          </w:p>
        </w:tc>
      </w:tr>
    </w:tbl>
    <w:p w14:paraId="4B642188">
      <w:pPr>
        <w:ind w:firstLine="480" w:firstLineChars="200"/>
        <w:rPr>
          <w:rFonts w:ascii="宋体" w:hAnsi="宋体"/>
          <w:b/>
          <w:color w:val="auto"/>
          <w:szCs w:val="21"/>
          <w:highlight w:val="none"/>
        </w:rPr>
      </w:pPr>
      <w:r>
        <w:rPr>
          <w:rFonts w:hint="eastAsia" w:ascii="宋体" w:hAnsi="宋体"/>
          <w:b/>
          <w:color w:val="auto"/>
          <w:szCs w:val="21"/>
          <w:highlight w:val="none"/>
        </w:rPr>
        <w:t>本项目在财政预算金额下设定最高限价，如投标人的投标报价超过最高限价，将按照符合性审查要求作投标无效处理</w:t>
      </w:r>
    </w:p>
    <w:p w14:paraId="5AD9469D">
      <w:pPr>
        <w:pStyle w:val="6"/>
        <w:rPr>
          <w:color w:val="auto"/>
          <w:highlight w:val="none"/>
        </w:rPr>
      </w:pPr>
    </w:p>
    <w:p w14:paraId="744C0D9A">
      <w:pPr>
        <w:spacing w:line="360" w:lineRule="auto"/>
        <w:jc w:val="center"/>
        <w:outlineLvl w:val="2"/>
        <w:rPr>
          <w:rFonts w:ascii="宋体" w:hAnsi="宋体" w:eastAsia="宋体" w:cs="宋体"/>
          <w:b/>
          <w:bCs/>
          <w:color w:val="auto"/>
          <w:highlight w:val="none"/>
        </w:rPr>
      </w:pPr>
      <w:r>
        <w:rPr>
          <w:rFonts w:hint="eastAsia" w:ascii="宋体" w:hAnsi="宋体" w:eastAsia="宋体" w:cs="宋体"/>
          <w:b/>
          <w:bCs/>
          <w:color w:val="auto"/>
          <w:highlight w:val="none"/>
        </w:rPr>
        <w:t>二、</w:t>
      </w:r>
      <w:bookmarkStart w:id="32" w:name="_Hlk72073432"/>
      <w:r>
        <w:rPr>
          <w:rFonts w:hint="eastAsia" w:ascii="宋体" w:hAnsi="宋体" w:eastAsia="宋体" w:cs="宋体"/>
          <w:b/>
          <w:bCs/>
          <w:color w:val="auto"/>
          <w:highlight w:val="none"/>
        </w:rPr>
        <w:t>服务需求明细</w:t>
      </w:r>
      <w:bookmarkEnd w:id="32"/>
    </w:p>
    <w:tbl>
      <w:tblPr>
        <w:tblStyle w:val="17"/>
        <w:tblW w:w="8273" w:type="dxa"/>
        <w:jc w:val="center"/>
        <w:tblLayout w:type="fixed"/>
        <w:tblCellMar>
          <w:top w:w="0" w:type="dxa"/>
          <w:left w:w="108" w:type="dxa"/>
          <w:bottom w:w="0" w:type="dxa"/>
          <w:right w:w="108" w:type="dxa"/>
        </w:tblCellMar>
      </w:tblPr>
      <w:tblGrid>
        <w:gridCol w:w="633"/>
        <w:gridCol w:w="3641"/>
        <w:gridCol w:w="797"/>
        <w:gridCol w:w="780"/>
        <w:gridCol w:w="1414"/>
        <w:gridCol w:w="1008"/>
      </w:tblGrid>
      <w:tr w14:paraId="1B83C483">
        <w:tblPrEx>
          <w:tblCellMar>
            <w:top w:w="0" w:type="dxa"/>
            <w:left w:w="108" w:type="dxa"/>
            <w:bottom w:w="0" w:type="dxa"/>
            <w:right w:w="108" w:type="dxa"/>
          </w:tblCellMar>
        </w:tblPrEx>
        <w:trPr>
          <w:trHeight w:val="552" w:hRule="atLeast"/>
          <w:jc w:val="center"/>
        </w:trPr>
        <w:tc>
          <w:tcPr>
            <w:tcW w:w="633" w:type="dxa"/>
            <w:tcBorders>
              <w:top w:val="single" w:color="000000" w:sz="4" w:space="0"/>
              <w:left w:val="single" w:color="000000" w:sz="4" w:space="0"/>
              <w:bottom w:val="single" w:color="000000" w:sz="4" w:space="0"/>
              <w:right w:val="single" w:color="auto" w:sz="4" w:space="0"/>
            </w:tcBorders>
            <w:shd w:val="clear" w:color="auto" w:fill="C6D9F1"/>
            <w:tcMar>
              <w:top w:w="15" w:type="dxa"/>
              <w:left w:w="15" w:type="dxa"/>
              <w:bottom w:w="15" w:type="dxa"/>
              <w:right w:w="15" w:type="dxa"/>
            </w:tcMar>
            <w:vAlign w:val="center"/>
          </w:tcPr>
          <w:p w14:paraId="6400C891">
            <w:pPr>
              <w:keepNext w:val="0"/>
              <w:keepLines w:val="0"/>
              <w:widowControl/>
              <w:suppressLineNumbers w:val="0"/>
              <w:spacing w:before="0" w:beforeAutospacing="0" w:after="0" w:afterAutospacing="0"/>
              <w:ind w:left="0" w:right="0"/>
              <w:jc w:val="center"/>
              <w:rPr>
                <w:rFonts w:hint="default"/>
                <w:b/>
                <w:bCs/>
                <w:color w:val="auto"/>
                <w:highlight w:val="none"/>
              </w:rPr>
            </w:pPr>
            <w:r>
              <w:rPr>
                <w:rFonts w:hint="eastAsia" w:ascii="宋体" w:hAnsi="宋体" w:eastAsia="宋体" w:cs="宋体"/>
                <w:b/>
                <w:bCs/>
                <w:color w:val="auto"/>
                <w:highlight w:val="none"/>
              </w:rPr>
              <w:t>序号</w:t>
            </w:r>
          </w:p>
        </w:tc>
        <w:tc>
          <w:tcPr>
            <w:tcW w:w="3641" w:type="dxa"/>
            <w:tcBorders>
              <w:top w:val="single" w:color="000000" w:sz="4" w:space="0"/>
              <w:left w:val="single" w:color="auto" w:sz="4" w:space="0"/>
              <w:bottom w:val="single" w:color="000000" w:sz="4" w:space="0"/>
              <w:right w:val="single" w:color="000000" w:sz="4" w:space="0"/>
            </w:tcBorders>
            <w:shd w:val="clear" w:color="auto" w:fill="C6D9F1"/>
            <w:tcMar>
              <w:top w:w="15" w:type="dxa"/>
              <w:left w:w="15" w:type="dxa"/>
              <w:bottom w:w="15" w:type="dxa"/>
              <w:right w:w="15" w:type="dxa"/>
            </w:tcMar>
            <w:vAlign w:val="center"/>
          </w:tcPr>
          <w:p w14:paraId="6A14500D">
            <w:pPr>
              <w:keepNext w:val="0"/>
              <w:keepLines w:val="0"/>
              <w:widowControl/>
              <w:suppressLineNumbers w:val="0"/>
              <w:spacing w:before="0" w:beforeAutospacing="0" w:after="0" w:afterAutospacing="0"/>
              <w:ind w:left="0" w:right="0"/>
              <w:jc w:val="center"/>
              <w:rPr>
                <w:rFonts w:hint="default"/>
                <w:b/>
                <w:bCs/>
                <w:color w:val="auto"/>
                <w:highlight w:val="none"/>
              </w:rPr>
            </w:pPr>
            <w:r>
              <w:rPr>
                <w:rFonts w:hint="eastAsia" w:ascii="宋体" w:hAnsi="宋体" w:eastAsia="宋体" w:cs="宋体"/>
                <w:b/>
                <w:bCs/>
                <w:color w:val="auto"/>
                <w:highlight w:val="none"/>
              </w:rPr>
              <w:t>服务名称（标的名称）</w:t>
            </w:r>
          </w:p>
        </w:tc>
        <w:tc>
          <w:tcPr>
            <w:tcW w:w="797" w:type="dxa"/>
            <w:tcBorders>
              <w:top w:val="single" w:color="000000" w:sz="4" w:space="0"/>
              <w:left w:val="single" w:color="000000" w:sz="4" w:space="0"/>
              <w:bottom w:val="single" w:color="000000" w:sz="4" w:space="0"/>
              <w:right w:val="single" w:color="000000" w:sz="4" w:space="0"/>
            </w:tcBorders>
            <w:shd w:val="clear" w:color="auto" w:fill="C6D9F1"/>
            <w:tcMar>
              <w:top w:w="15" w:type="dxa"/>
              <w:left w:w="15" w:type="dxa"/>
              <w:bottom w:w="15" w:type="dxa"/>
              <w:right w:w="15" w:type="dxa"/>
            </w:tcMar>
            <w:vAlign w:val="center"/>
          </w:tcPr>
          <w:p w14:paraId="63187D0C">
            <w:pPr>
              <w:keepNext w:val="0"/>
              <w:keepLines w:val="0"/>
              <w:widowControl/>
              <w:suppressLineNumbers w:val="0"/>
              <w:spacing w:before="0" w:beforeAutospacing="0" w:after="0" w:afterAutospacing="0"/>
              <w:ind w:left="0" w:right="0"/>
              <w:jc w:val="center"/>
              <w:rPr>
                <w:rFonts w:hint="default"/>
                <w:b/>
                <w:bCs/>
                <w:color w:val="auto"/>
                <w:highlight w:val="none"/>
              </w:rPr>
            </w:pPr>
            <w:r>
              <w:rPr>
                <w:rFonts w:hint="eastAsia" w:ascii="宋体" w:hAnsi="宋体" w:eastAsia="宋体" w:cs="宋体"/>
                <w:b/>
                <w:bCs/>
                <w:color w:val="auto"/>
                <w:highlight w:val="none"/>
              </w:rPr>
              <w:t>单位</w:t>
            </w:r>
          </w:p>
        </w:tc>
        <w:tc>
          <w:tcPr>
            <w:tcW w:w="780" w:type="dxa"/>
            <w:tcBorders>
              <w:top w:val="single" w:color="000000" w:sz="4" w:space="0"/>
              <w:left w:val="single" w:color="000000" w:sz="4" w:space="0"/>
              <w:bottom w:val="single" w:color="000000" w:sz="4" w:space="0"/>
              <w:right w:val="single" w:color="000000" w:sz="4" w:space="0"/>
            </w:tcBorders>
            <w:shd w:val="clear" w:color="auto" w:fill="C6D9F1"/>
            <w:tcMar>
              <w:top w:w="15" w:type="dxa"/>
              <w:left w:w="15" w:type="dxa"/>
              <w:bottom w:w="15" w:type="dxa"/>
              <w:right w:w="15" w:type="dxa"/>
            </w:tcMar>
            <w:vAlign w:val="center"/>
          </w:tcPr>
          <w:p w14:paraId="179B68A1">
            <w:pPr>
              <w:keepNext w:val="0"/>
              <w:keepLines w:val="0"/>
              <w:widowControl/>
              <w:suppressLineNumbers w:val="0"/>
              <w:spacing w:before="0" w:beforeAutospacing="0" w:after="0" w:afterAutospacing="0"/>
              <w:ind w:left="0" w:right="0"/>
              <w:jc w:val="center"/>
              <w:rPr>
                <w:rFonts w:hint="default"/>
                <w:b/>
                <w:bCs/>
                <w:color w:val="auto"/>
                <w:highlight w:val="none"/>
              </w:rPr>
            </w:pPr>
            <w:r>
              <w:rPr>
                <w:rFonts w:hint="eastAsia" w:ascii="宋体" w:hAnsi="宋体" w:eastAsia="宋体" w:cs="宋体"/>
                <w:b/>
                <w:bCs/>
                <w:color w:val="auto"/>
                <w:highlight w:val="none"/>
              </w:rPr>
              <w:t>数量</w:t>
            </w:r>
          </w:p>
        </w:tc>
        <w:tc>
          <w:tcPr>
            <w:tcW w:w="1414" w:type="dxa"/>
            <w:tcBorders>
              <w:top w:val="single" w:color="000000" w:sz="4" w:space="0"/>
              <w:left w:val="single" w:color="000000" w:sz="4" w:space="0"/>
              <w:bottom w:val="single" w:color="000000" w:sz="4" w:space="0"/>
              <w:right w:val="single" w:color="000000" w:sz="4" w:space="0"/>
            </w:tcBorders>
            <w:shd w:val="clear" w:color="auto" w:fill="C6D9F1"/>
            <w:tcMar>
              <w:top w:w="15" w:type="dxa"/>
              <w:left w:w="15" w:type="dxa"/>
              <w:bottom w:w="15" w:type="dxa"/>
              <w:right w:w="15" w:type="dxa"/>
            </w:tcMar>
            <w:vAlign w:val="center"/>
          </w:tcPr>
          <w:p w14:paraId="2F22B36D">
            <w:pPr>
              <w:keepNext w:val="0"/>
              <w:keepLines w:val="0"/>
              <w:widowControl/>
              <w:suppressLineNumbers w:val="0"/>
              <w:spacing w:before="0" w:beforeAutospacing="0" w:after="0" w:afterAutospacing="0"/>
              <w:ind w:left="0" w:right="0"/>
              <w:jc w:val="center"/>
              <w:rPr>
                <w:rFonts w:hint="default"/>
                <w:b/>
                <w:bCs/>
                <w:color w:val="auto"/>
                <w:highlight w:val="none"/>
              </w:rPr>
            </w:pPr>
            <w:r>
              <w:rPr>
                <w:rFonts w:hint="eastAsia" w:ascii="宋体" w:hAnsi="宋体" w:eastAsia="宋体" w:cs="宋体"/>
                <w:b/>
                <w:bCs/>
                <w:color w:val="auto"/>
                <w:highlight w:val="none"/>
              </w:rPr>
              <w:t>所属行业</w:t>
            </w:r>
          </w:p>
        </w:tc>
        <w:tc>
          <w:tcPr>
            <w:tcW w:w="1008" w:type="dxa"/>
            <w:tcBorders>
              <w:top w:val="single" w:color="000000" w:sz="4" w:space="0"/>
              <w:left w:val="single" w:color="000000" w:sz="4" w:space="0"/>
              <w:bottom w:val="single" w:color="000000" w:sz="4" w:space="0"/>
              <w:right w:val="single" w:color="000000" w:sz="4" w:space="0"/>
            </w:tcBorders>
            <w:shd w:val="clear" w:color="auto" w:fill="C6D9F1"/>
            <w:tcMar>
              <w:top w:w="15" w:type="dxa"/>
              <w:left w:w="15" w:type="dxa"/>
              <w:bottom w:w="15" w:type="dxa"/>
              <w:right w:w="15" w:type="dxa"/>
            </w:tcMar>
            <w:vAlign w:val="center"/>
          </w:tcPr>
          <w:p w14:paraId="0A9D89C9">
            <w:pPr>
              <w:keepNext w:val="0"/>
              <w:keepLines w:val="0"/>
              <w:widowControl/>
              <w:suppressLineNumbers w:val="0"/>
              <w:spacing w:before="0" w:beforeAutospacing="0" w:after="0" w:afterAutospacing="0"/>
              <w:ind w:left="0" w:right="0"/>
              <w:jc w:val="center"/>
              <w:rPr>
                <w:rFonts w:hint="default"/>
                <w:b/>
                <w:bCs/>
                <w:color w:val="auto"/>
                <w:highlight w:val="none"/>
              </w:rPr>
            </w:pPr>
            <w:r>
              <w:rPr>
                <w:rFonts w:hint="eastAsia" w:ascii="宋体" w:hAnsi="宋体" w:eastAsia="宋体" w:cs="宋体"/>
                <w:b/>
                <w:bCs/>
                <w:color w:val="auto"/>
                <w:highlight w:val="none"/>
              </w:rPr>
              <w:t>备注</w:t>
            </w:r>
          </w:p>
        </w:tc>
      </w:tr>
      <w:tr w14:paraId="606C7B2F">
        <w:tblPrEx>
          <w:tblCellMar>
            <w:top w:w="0" w:type="dxa"/>
            <w:left w:w="108" w:type="dxa"/>
            <w:bottom w:w="0" w:type="dxa"/>
            <w:right w:w="108" w:type="dxa"/>
          </w:tblCellMar>
        </w:tblPrEx>
        <w:trPr>
          <w:trHeight w:val="841" w:hRule="atLeast"/>
          <w:jc w:val="center"/>
        </w:trPr>
        <w:tc>
          <w:tcPr>
            <w:tcW w:w="633" w:type="dxa"/>
            <w:tcBorders>
              <w:top w:val="single" w:color="000000" w:sz="4" w:space="0"/>
              <w:left w:val="single" w:color="000000" w:sz="4" w:space="0"/>
              <w:bottom w:val="single" w:color="000000" w:sz="4" w:space="0"/>
              <w:right w:val="single" w:color="auto" w:sz="4" w:space="0"/>
            </w:tcBorders>
            <w:tcMar>
              <w:top w:w="15" w:type="dxa"/>
              <w:left w:w="15" w:type="dxa"/>
              <w:bottom w:w="15" w:type="dxa"/>
              <w:right w:w="15" w:type="dxa"/>
            </w:tcMar>
            <w:vAlign w:val="center"/>
          </w:tcPr>
          <w:p w14:paraId="1F6CB471">
            <w:pPr>
              <w:keepNext w:val="0"/>
              <w:keepLines w:val="0"/>
              <w:widowControl/>
              <w:suppressLineNumbers w:val="0"/>
              <w:spacing w:before="0" w:beforeAutospacing="0" w:after="0" w:afterAutospacing="0"/>
              <w:ind w:left="0" w:right="0"/>
              <w:jc w:val="center"/>
              <w:rPr>
                <w:rFonts w:hint="default"/>
                <w:color w:val="auto"/>
                <w:highlight w:val="none"/>
              </w:rPr>
            </w:pPr>
            <w:r>
              <w:rPr>
                <w:rFonts w:hint="eastAsia"/>
                <w:color w:val="auto"/>
                <w:highlight w:val="none"/>
              </w:rPr>
              <w:t>1</w:t>
            </w:r>
          </w:p>
        </w:tc>
        <w:tc>
          <w:tcPr>
            <w:tcW w:w="3641" w:type="dxa"/>
            <w:tcBorders>
              <w:top w:val="single" w:color="000000" w:sz="4" w:space="0"/>
              <w:left w:val="single" w:color="auto" w:sz="4" w:space="0"/>
              <w:bottom w:val="single" w:color="000000" w:sz="4" w:space="0"/>
              <w:right w:val="single" w:color="000000" w:sz="4" w:space="0"/>
            </w:tcBorders>
            <w:tcMar>
              <w:top w:w="15" w:type="dxa"/>
              <w:left w:w="15" w:type="dxa"/>
              <w:bottom w:w="15" w:type="dxa"/>
              <w:right w:w="15" w:type="dxa"/>
            </w:tcMar>
            <w:vAlign w:val="center"/>
          </w:tcPr>
          <w:p w14:paraId="4DDCDAB7">
            <w:pPr>
              <w:keepNext w:val="0"/>
              <w:keepLines w:val="0"/>
              <w:widowControl/>
              <w:suppressLineNumbers w:val="0"/>
              <w:spacing w:before="0" w:beforeAutospacing="0" w:after="0" w:afterAutospacing="0"/>
              <w:ind w:left="0" w:right="0"/>
              <w:jc w:val="center"/>
              <w:rPr>
                <w:rFonts w:hint="eastAsia" w:asciiTheme="minorEastAsia" w:hAnsiTheme="minorEastAsia" w:eastAsiaTheme="minorEastAsia"/>
                <w:b/>
                <w:bCs/>
                <w:color w:val="auto"/>
                <w:highlight w:val="none"/>
                <w:lang w:eastAsia="zh-CN"/>
              </w:rPr>
            </w:pPr>
            <w:r>
              <w:rPr>
                <w:rFonts w:hint="eastAsia" w:asciiTheme="minorEastAsia" w:hAnsiTheme="minorEastAsia" w:eastAsiaTheme="minorEastAsia"/>
                <w:b/>
                <w:bCs/>
                <w:color w:val="auto"/>
                <w:highlight w:val="none"/>
                <w:lang w:eastAsia="zh-CN"/>
              </w:rPr>
              <w:t>2025年通信线缆维护</w:t>
            </w:r>
          </w:p>
        </w:tc>
        <w:tc>
          <w:tcPr>
            <w:tcW w:w="797"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14:paraId="60E95089">
            <w:pPr>
              <w:keepNext w:val="0"/>
              <w:keepLines w:val="0"/>
              <w:widowControl/>
              <w:suppressLineNumbers w:val="0"/>
              <w:spacing w:before="0" w:beforeAutospacing="0" w:after="0" w:afterAutospacing="0"/>
              <w:ind w:left="0" w:right="0"/>
              <w:jc w:val="center"/>
              <w:rPr>
                <w:rFonts w:hint="default"/>
                <w:bCs/>
                <w:color w:val="auto"/>
                <w:highlight w:val="none"/>
              </w:rPr>
            </w:pPr>
            <w:r>
              <w:rPr>
                <w:rFonts w:hint="eastAsia" w:ascii="宋体" w:hAnsi="宋体" w:eastAsia="宋体" w:cs="宋体"/>
                <w:bCs/>
                <w:color w:val="auto"/>
                <w:highlight w:val="none"/>
              </w:rPr>
              <w:t>项</w:t>
            </w:r>
          </w:p>
        </w:tc>
        <w:tc>
          <w:tcPr>
            <w:tcW w:w="780"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14:paraId="032BE4D7">
            <w:pPr>
              <w:keepNext w:val="0"/>
              <w:keepLines w:val="0"/>
              <w:widowControl/>
              <w:suppressLineNumbers w:val="0"/>
              <w:spacing w:before="0" w:beforeAutospacing="0" w:after="0" w:afterAutospacing="0"/>
              <w:ind w:left="0" w:right="0"/>
              <w:jc w:val="center"/>
              <w:rPr>
                <w:rFonts w:hint="default"/>
                <w:bCs/>
                <w:color w:val="auto"/>
                <w:highlight w:val="none"/>
              </w:rPr>
            </w:pPr>
            <w:r>
              <w:rPr>
                <w:rFonts w:hint="default"/>
                <w:bCs/>
                <w:color w:val="auto"/>
                <w:highlight w:val="none"/>
              </w:rPr>
              <w:t>1</w:t>
            </w:r>
          </w:p>
        </w:tc>
        <w:tc>
          <w:tcPr>
            <w:tcW w:w="141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14:paraId="06679701">
            <w:pPr>
              <w:keepNext w:val="0"/>
              <w:keepLines w:val="0"/>
              <w:widowControl/>
              <w:suppressLineNumbers w:val="0"/>
              <w:spacing w:before="0" w:beforeAutospacing="0" w:after="0" w:afterAutospacing="0"/>
              <w:ind w:left="0" w:right="0"/>
              <w:jc w:val="center"/>
              <w:rPr>
                <w:rFonts w:hint="default" w:ascii="宋体" w:hAnsi="宋体" w:eastAsia="宋体" w:cs="宋体"/>
                <w:bCs/>
                <w:color w:val="auto"/>
                <w:highlight w:val="none"/>
              </w:rPr>
            </w:pPr>
            <w:r>
              <w:rPr>
                <w:rFonts w:hint="eastAsia" w:ascii="宋体" w:hAnsi="宋体" w:eastAsia="宋体" w:cs="宋体"/>
                <w:bCs/>
                <w:color w:val="auto"/>
                <w:highlight w:val="none"/>
              </w:rPr>
              <w:t>信息传输业</w:t>
            </w:r>
          </w:p>
        </w:tc>
        <w:tc>
          <w:tcPr>
            <w:tcW w:w="1008"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14:paraId="4120110E">
            <w:pPr>
              <w:keepNext w:val="0"/>
              <w:keepLines w:val="0"/>
              <w:widowControl/>
              <w:suppressLineNumbers w:val="0"/>
              <w:spacing w:before="0" w:beforeAutospacing="0" w:after="0" w:afterAutospacing="0"/>
              <w:ind w:left="0" w:right="0"/>
              <w:jc w:val="center"/>
              <w:rPr>
                <w:rFonts w:hint="default"/>
                <w:bCs/>
                <w:color w:val="auto"/>
                <w:highlight w:val="none"/>
              </w:rPr>
            </w:pPr>
          </w:p>
        </w:tc>
      </w:tr>
      <w:bookmarkEnd w:id="31"/>
    </w:tbl>
    <w:p w14:paraId="46FD05D0">
      <w:pPr>
        <w:rPr>
          <w:b/>
          <w:color w:val="auto"/>
          <w:sz w:val="28"/>
          <w:highlight w:val="none"/>
        </w:rPr>
      </w:pPr>
      <w:r>
        <w:rPr>
          <w:b/>
          <w:color w:val="auto"/>
          <w:sz w:val="28"/>
          <w:highlight w:val="none"/>
        </w:rPr>
        <w:t>项目</w:t>
      </w:r>
      <w:r>
        <w:rPr>
          <w:rFonts w:hint="eastAsia"/>
          <w:b/>
          <w:color w:val="auto"/>
          <w:sz w:val="28"/>
          <w:highlight w:val="none"/>
        </w:rPr>
        <w:t>概况：</w:t>
      </w:r>
    </w:p>
    <w:p w14:paraId="36B645C8">
      <w:pPr>
        <w:ind w:firstLine="480" w:firstLineChars="200"/>
        <w:rPr>
          <w:rFonts w:hint="eastAsia" w:ascii="宋体" w:hAnsi="宋体"/>
          <w:b w:val="0"/>
          <w:bCs/>
          <w:color w:val="auto"/>
          <w:szCs w:val="21"/>
          <w:highlight w:val="none"/>
        </w:rPr>
      </w:pPr>
      <w:bookmarkStart w:id="33" w:name="_Toc320311558"/>
      <w:bookmarkEnd w:id="33"/>
      <w:bookmarkStart w:id="34" w:name="_Toc11426271"/>
      <w:r>
        <w:rPr>
          <w:rFonts w:hint="eastAsia" w:ascii="宋体" w:hAnsi="宋体"/>
          <w:b w:val="0"/>
          <w:bCs/>
          <w:color w:val="auto"/>
          <w:szCs w:val="21"/>
          <w:highlight w:val="none"/>
        </w:rPr>
        <w:t>深圳市公安交警通信缆线是整个道路交通监控系统的信息传递载体，也是重要的基础设施。为保障各道路交通监控系统通信的安全和通畅，做好通信缆线及相关设施的维护保障工作，以及应急工程的材料供应、安装施工，特进行本项目的采购。</w:t>
      </w:r>
    </w:p>
    <w:p w14:paraId="369744C3">
      <w:pPr>
        <w:ind w:left="547" w:leftChars="228" w:firstLine="420" w:firstLineChars="200"/>
        <w:rPr>
          <w:rFonts w:cs="仿宋" w:asciiTheme="minorEastAsia" w:hAnsiTheme="minorEastAsia"/>
          <w:color w:val="auto"/>
          <w:sz w:val="21"/>
          <w:szCs w:val="21"/>
          <w:highlight w:val="none"/>
        </w:rPr>
      </w:pPr>
    </w:p>
    <w:p w14:paraId="272D5C9F">
      <w:pPr>
        <w:spacing w:line="360" w:lineRule="auto"/>
        <w:jc w:val="center"/>
        <w:outlineLvl w:val="2"/>
        <w:rPr>
          <w:rFonts w:ascii="宋体" w:hAnsi="宋体" w:eastAsia="宋体" w:cs="宋体"/>
          <w:b/>
          <w:bCs/>
          <w:color w:val="auto"/>
          <w:highlight w:val="none"/>
        </w:rPr>
      </w:pPr>
      <w:r>
        <w:rPr>
          <w:rFonts w:hint="eastAsia" w:ascii="宋体" w:hAnsi="宋体" w:eastAsia="宋体" w:cs="宋体"/>
          <w:b/>
          <w:bCs/>
          <w:color w:val="auto"/>
          <w:highlight w:val="none"/>
        </w:rPr>
        <w:t>三</w:t>
      </w:r>
      <w:r>
        <w:rPr>
          <w:rFonts w:ascii="宋体" w:hAnsi="宋体" w:eastAsia="宋体" w:cs="宋体"/>
          <w:b/>
          <w:bCs/>
          <w:color w:val="auto"/>
          <w:highlight w:val="none"/>
        </w:rPr>
        <w:t>、</w:t>
      </w:r>
      <w:r>
        <w:rPr>
          <w:rFonts w:hint="eastAsia" w:ascii="宋体" w:hAnsi="宋体" w:eastAsia="宋体" w:cs="宋体"/>
          <w:b/>
          <w:bCs/>
          <w:color w:val="auto"/>
          <w:highlight w:val="none"/>
        </w:rPr>
        <w:t>实质性条款</w:t>
      </w:r>
    </w:p>
    <w:tbl>
      <w:tblPr>
        <w:tblStyle w:val="17"/>
        <w:tblW w:w="81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5"/>
        <w:gridCol w:w="7483"/>
      </w:tblGrid>
      <w:tr w14:paraId="5AFDC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jc w:val="center"/>
        </w:trPr>
        <w:tc>
          <w:tcPr>
            <w:tcW w:w="705" w:type="dxa"/>
          </w:tcPr>
          <w:p w14:paraId="15473F3F">
            <w:pPr>
              <w:keepNext w:val="0"/>
              <w:keepLines w:val="0"/>
              <w:widowControl/>
              <w:suppressLineNumbers w:val="0"/>
              <w:adjustRightInd w:val="0"/>
              <w:snapToGrid w:val="0"/>
              <w:spacing w:before="0" w:beforeAutospacing="0" w:after="0" w:afterAutospacing="0" w:line="360" w:lineRule="auto"/>
              <w:ind w:left="0" w:right="0"/>
              <w:jc w:val="center"/>
              <w:rPr>
                <w:rFonts w:hint="default" w:asciiTheme="minorEastAsia" w:hAnsiTheme="minorEastAsia"/>
                <w:color w:val="auto"/>
                <w:sz w:val="21"/>
                <w:szCs w:val="21"/>
                <w:highlight w:val="none"/>
              </w:rPr>
            </w:pPr>
            <w:r>
              <w:rPr>
                <w:rFonts w:hint="eastAsia" w:asciiTheme="minorEastAsia" w:hAnsiTheme="minorEastAsia"/>
                <w:color w:val="auto"/>
                <w:sz w:val="21"/>
                <w:szCs w:val="21"/>
                <w:highlight w:val="none"/>
              </w:rPr>
              <w:t>序号</w:t>
            </w:r>
          </w:p>
        </w:tc>
        <w:tc>
          <w:tcPr>
            <w:tcW w:w="7483" w:type="dxa"/>
          </w:tcPr>
          <w:p w14:paraId="7FC42456">
            <w:pPr>
              <w:keepNext w:val="0"/>
              <w:keepLines w:val="0"/>
              <w:widowControl/>
              <w:suppressLineNumbers w:val="0"/>
              <w:adjustRightInd w:val="0"/>
              <w:snapToGrid w:val="0"/>
              <w:spacing w:before="0" w:beforeAutospacing="0" w:after="0" w:afterAutospacing="0" w:line="360" w:lineRule="auto"/>
              <w:ind w:left="0" w:right="0"/>
              <w:jc w:val="center"/>
              <w:rPr>
                <w:rFonts w:hint="default" w:asciiTheme="minorEastAsia" w:hAnsiTheme="minorEastAsia"/>
                <w:color w:val="auto"/>
                <w:sz w:val="21"/>
                <w:szCs w:val="21"/>
                <w:highlight w:val="none"/>
              </w:rPr>
            </w:pPr>
            <w:r>
              <w:rPr>
                <w:rFonts w:hint="eastAsia" w:asciiTheme="minorEastAsia" w:hAnsiTheme="minorEastAsia"/>
                <w:color w:val="auto"/>
                <w:sz w:val="21"/>
                <w:szCs w:val="21"/>
                <w:highlight w:val="none"/>
              </w:rPr>
              <w:t>实质性条款具体内容</w:t>
            </w:r>
          </w:p>
        </w:tc>
      </w:tr>
      <w:tr w14:paraId="42498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5" w:type="dxa"/>
            <w:vAlign w:val="top"/>
          </w:tcPr>
          <w:p w14:paraId="49581DB1">
            <w:pPr>
              <w:keepNext w:val="0"/>
              <w:keepLines w:val="0"/>
              <w:widowControl/>
              <w:suppressLineNumbers w:val="0"/>
              <w:adjustRightInd w:val="0"/>
              <w:snapToGrid w:val="0"/>
              <w:spacing w:before="0" w:beforeAutospacing="0" w:after="0" w:afterAutospacing="0" w:line="360" w:lineRule="auto"/>
              <w:ind w:left="0" w:right="0"/>
              <w:jc w:val="center"/>
              <w:rPr>
                <w:rFonts w:hint="eastAsia" w:cs="Times New Roman" w:asciiTheme="minorEastAsia" w:hAnsiTheme="minorEastAsia"/>
                <w:color w:val="auto"/>
                <w:sz w:val="21"/>
                <w:szCs w:val="21"/>
                <w:highlight w:val="none"/>
              </w:rPr>
            </w:pPr>
            <w:r>
              <w:rPr>
                <w:rFonts w:hint="eastAsia" w:ascii="宋体" w:hAnsi="宋体" w:eastAsia="宋体"/>
                <w:color w:val="auto"/>
                <w:szCs w:val="21"/>
                <w:highlight w:val="none"/>
              </w:rPr>
              <w:t>1</w:t>
            </w:r>
          </w:p>
        </w:tc>
        <w:tc>
          <w:tcPr>
            <w:tcW w:w="7483" w:type="dxa"/>
            <w:vAlign w:val="top"/>
          </w:tcPr>
          <w:p w14:paraId="0A885AEF">
            <w:pPr>
              <w:pStyle w:val="8"/>
              <w:keepNext w:val="0"/>
              <w:keepLines w:val="0"/>
              <w:widowControl/>
              <w:suppressLineNumbers w:val="0"/>
              <w:rPr>
                <w:rFonts w:hint="eastAsia" w:cs="Times New Roman" w:asciiTheme="minorEastAsia" w:hAnsiTheme="minorEastAsia"/>
                <w:color w:val="auto"/>
                <w:sz w:val="21"/>
                <w:szCs w:val="21"/>
                <w:highlight w:val="none"/>
              </w:rPr>
            </w:pPr>
            <w:r>
              <w:rPr>
                <w:rFonts w:hint="eastAsia" w:cs="Times New Roman" w:asciiTheme="minorEastAsia" w:hAnsiTheme="minorEastAsia"/>
                <w:color w:val="auto"/>
                <w:sz w:val="21"/>
                <w:szCs w:val="21"/>
                <w:highlight w:val="none"/>
              </w:rPr>
              <w:t>★1.投标人承诺实际履约的项目团队成员为投标文件中提供的拟安排人员，如因客观原因需调整人员，须具备与拟安排人员同等或以上资质，且征得采购人同意，否则视为主动放弃中标资格【提供承诺函】。</w:t>
            </w:r>
          </w:p>
        </w:tc>
      </w:tr>
      <w:tr w14:paraId="66AAE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5" w:type="dxa"/>
            <w:vAlign w:val="top"/>
          </w:tcPr>
          <w:p w14:paraId="05F9AB7D">
            <w:pPr>
              <w:keepNext w:val="0"/>
              <w:keepLines w:val="0"/>
              <w:widowControl/>
              <w:suppressLineNumbers w:val="0"/>
              <w:adjustRightInd w:val="0"/>
              <w:snapToGrid w:val="0"/>
              <w:spacing w:before="0" w:beforeAutospacing="0" w:after="0" w:afterAutospacing="0" w:line="360" w:lineRule="auto"/>
              <w:ind w:left="0" w:right="0"/>
              <w:jc w:val="center"/>
              <w:rPr>
                <w:rFonts w:hint="eastAsia" w:cs="Times New Roman" w:asciiTheme="minorEastAsia" w:hAnsiTheme="minorEastAsia"/>
                <w:color w:val="auto"/>
                <w:sz w:val="21"/>
                <w:szCs w:val="21"/>
                <w:highlight w:val="none"/>
              </w:rPr>
            </w:pPr>
            <w:r>
              <w:rPr>
                <w:rFonts w:hint="eastAsia" w:ascii="宋体" w:hAnsi="宋体" w:eastAsia="宋体"/>
                <w:color w:val="auto"/>
                <w:szCs w:val="21"/>
                <w:highlight w:val="none"/>
                <w:lang w:val="en-US" w:eastAsia="zh-CN"/>
              </w:rPr>
              <w:t>2</w:t>
            </w:r>
          </w:p>
        </w:tc>
        <w:tc>
          <w:tcPr>
            <w:tcW w:w="7483" w:type="dxa"/>
            <w:vAlign w:val="top"/>
          </w:tcPr>
          <w:p w14:paraId="4ACB9C2B">
            <w:pPr>
              <w:pStyle w:val="8"/>
              <w:keepNext w:val="0"/>
              <w:keepLines w:val="0"/>
              <w:widowControl/>
              <w:suppressLineNumbers w:val="0"/>
              <w:rPr>
                <w:rFonts w:hint="eastAsia" w:cs="Times New Roman" w:asciiTheme="minorEastAsia" w:hAnsiTheme="minorEastAsia"/>
                <w:color w:val="auto"/>
                <w:sz w:val="21"/>
                <w:szCs w:val="21"/>
                <w:highlight w:val="none"/>
              </w:rPr>
            </w:pPr>
            <w:r>
              <w:rPr>
                <w:rFonts w:hint="eastAsia" w:cs="Times New Roman" w:asciiTheme="minorEastAsia" w:hAnsiTheme="minorEastAsia"/>
                <w:color w:val="auto"/>
                <w:sz w:val="21"/>
                <w:szCs w:val="21"/>
                <w:highlight w:val="none"/>
              </w:rPr>
              <w:t>★（2）投标人承诺为本项目投入1名项目负责人以及10名项目团队成员，负责光缆资源的优化规划、故障跟踪、抢修及新增光资源录入等工作，并配备足够的日常维护辅助人员和专职安全员【提供承诺函】。</w:t>
            </w:r>
          </w:p>
        </w:tc>
      </w:tr>
      <w:tr w14:paraId="7CBF4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5" w:type="dxa"/>
            <w:vAlign w:val="top"/>
          </w:tcPr>
          <w:p w14:paraId="4BAF15EA">
            <w:pPr>
              <w:keepNext w:val="0"/>
              <w:keepLines w:val="0"/>
              <w:widowControl/>
              <w:suppressLineNumbers w:val="0"/>
              <w:adjustRightInd w:val="0"/>
              <w:snapToGrid w:val="0"/>
              <w:spacing w:before="0" w:beforeAutospacing="0" w:after="0" w:afterAutospacing="0" w:line="360" w:lineRule="auto"/>
              <w:ind w:left="0" w:right="0"/>
              <w:jc w:val="center"/>
              <w:rPr>
                <w:rFonts w:hint="eastAsia" w:cs="Times New Roman" w:asciiTheme="minorEastAsia" w:hAnsiTheme="minorEastAsia"/>
                <w:color w:val="auto"/>
                <w:sz w:val="21"/>
                <w:szCs w:val="21"/>
                <w:highlight w:val="none"/>
              </w:rPr>
            </w:pPr>
            <w:r>
              <w:rPr>
                <w:rFonts w:hint="eastAsia" w:ascii="宋体" w:hAnsi="宋体" w:eastAsia="宋体"/>
                <w:color w:val="auto"/>
                <w:szCs w:val="21"/>
                <w:highlight w:val="none"/>
                <w:lang w:val="en-US" w:eastAsia="zh-CN"/>
              </w:rPr>
              <w:t>3</w:t>
            </w:r>
          </w:p>
        </w:tc>
        <w:tc>
          <w:tcPr>
            <w:tcW w:w="7483" w:type="dxa"/>
            <w:vAlign w:val="top"/>
          </w:tcPr>
          <w:p w14:paraId="73CEB8CD">
            <w:pPr>
              <w:pStyle w:val="8"/>
              <w:keepNext w:val="0"/>
              <w:keepLines w:val="0"/>
              <w:widowControl/>
              <w:suppressLineNumbers w:val="0"/>
              <w:rPr>
                <w:rFonts w:hint="eastAsia" w:cs="Times New Roman" w:asciiTheme="minorEastAsia" w:hAnsiTheme="minorEastAsia"/>
                <w:color w:val="auto"/>
                <w:sz w:val="21"/>
                <w:szCs w:val="21"/>
                <w:highlight w:val="none"/>
              </w:rPr>
            </w:pPr>
            <w:r>
              <w:rPr>
                <w:rFonts w:hint="eastAsia" w:cs="Times New Roman" w:asciiTheme="minorEastAsia" w:hAnsiTheme="minorEastAsia"/>
                <w:color w:val="auto"/>
                <w:sz w:val="21"/>
                <w:szCs w:val="21"/>
                <w:highlight w:val="none"/>
              </w:rPr>
              <w:t>★（八）其他要求</w:t>
            </w:r>
          </w:p>
          <w:p w14:paraId="064B08B6">
            <w:pPr>
              <w:pStyle w:val="8"/>
              <w:keepNext w:val="0"/>
              <w:keepLines w:val="0"/>
              <w:widowControl/>
              <w:suppressLineNumbers w:val="0"/>
              <w:rPr>
                <w:rFonts w:hint="eastAsia" w:cs="Times New Roman" w:asciiTheme="minorEastAsia" w:hAnsiTheme="minorEastAsia"/>
                <w:color w:val="auto"/>
                <w:sz w:val="21"/>
                <w:szCs w:val="21"/>
                <w:highlight w:val="none"/>
              </w:rPr>
            </w:pPr>
            <w:r>
              <w:rPr>
                <w:rFonts w:hint="eastAsia" w:cs="Times New Roman" w:asciiTheme="minorEastAsia" w:hAnsiTheme="minorEastAsia"/>
                <w:color w:val="auto"/>
                <w:sz w:val="21"/>
                <w:szCs w:val="21"/>
                <w:highlight w:val="none"/>
              </w:rPr>
              <w:t>投标人公司经营状况良好，自2024年1月1日至今未出现因拖欠员工工资而造成社会不良影响的情形。【提供承诺函】</w:t>
            </w:r>
          </w:p>
        </w:tc>
      </w:tr>
    </w:tbl>
    <w:p w14:paraId="1503B9FF">
      <w:pPr>
        <w:rPr>
          <w:color w:val="auto"/>
          <w:sz w:val="21"/>
          <w:highlight w:val="none"/>
        </w:rPr>
      </w:pPr>
      <w:r>
        <w:rPr>
          <w:rFonts w:hint="eastAsia"/>
          <w:color w:val="auto"/>
          <w:sz w:val="21"/>
          <w:highlight w:val="none"/>
        </w:rPr>
        <w:t>注：上表所列内容为不可负偏离条款，负偏离将视为未实质性满足招标文件要求作投标无效处理。</w:t>
      </w:r>
    </w:p>
    <w:p w14:paraId="509E997E">
      <w:pPr>
        <w:rPr>
          <w:rFonts w:hint="eastAsia" w:asciiTheme="minorEastAsia" w:hAnsiTheme="minorEastAsia" w:eastAsiaTheme="minorEastAsia"/>
          <w:color w:val="auto"/>
          <w:szCs w:val="21"/>
          <w:highlight w:val="none"/>
        </w:rPr>
      </w:pPr>
      <w:r>
        <w:rPr>
          <w:rFonts w:hint="eastAsia" w:asciiTheme="minorEastAsia" w:hAnsiTheme="minorEastAsia" w:eastAsiaTheme="minorEastAsia"/>
          <w:color w:val="auto"/>
          <w:szCs w:val="21"/>
          <w:highlight w:val="none"/>
        </w:rPr>
        <w:br w:type="page"/>
      </w:r>
    </w:p>
    <w:p w14:paraId="70DFDEF3">
      <w:pPr>
        <w:pStyle w:val="3"/>
        <w:jc w:val="center"/>
        <w:rPr>
          <w:rFonts w:asciiTheme="minorEastAsia" w:hAnsiTheme="minorEastAsia" w:eastAsiaTheme="minorEastAsia"/>
          <w:color w:val="auto"/>
          <w:szCs w:val="21"/>
          <w:highlight w:val="none"/>
        </w:rPr>
      </w:pPr>
      <w:r>
        <w:rPr>
          <w:rFonts w:hint="eastAsia" w:asciiTheme="minorEastAsia" w:hAnsiTheme="minorEastAsia" w:eastAsiaTheme="minorEastAsia"/>
          <w:color w:val="auto"/>
          <w:szCs w:val="21"/>
          <w:highlight w:val="none"/>
        </w:rPr>
        <w:t>四、项目服务要求</w:t>
      </w:r>
    </w:p>
    <w:p w14:paraId="56B2D8B0">
      <w:pPr>
        <w:pStyle w:val="36"/>
        <w:numPr>
          <w:ilvl w:val="0"/>
          <w:numId w:val="2"/>
        </w:numPr>
        <w:ind w:firstLineChars="0"/>
        <w:rPr>
          <w:rFonts w:ascii="宋体" w:hAnsi="宋体" w:eastAsia="宋体" w:cs="Times New Roman"/>
          <w:b/>
          <w:snapToGrid w:val="0"/>
          <w:color w:val="auto"/>
          <w:kern w:val="0"/>
          <w:highlight w:val="none"/>
          <w:lang w:val="en-US" w:eastAsia="zh-CN"/>
        </w:rPr>
      </w:pPr>
      <w:r>
        <w:rPr>
          <w:rFonts w:hint="eastAsia" w:ascii="宋体" w:hAnsi="宋体" w:eastAsia="宋体" w:cs="Times New Roman"/>
          <w:b/>
          <w:snapToGrid w:val="0"/>
          <w:color w:val="auto"/>
          <w:kern w:val="0"/>
          <w:highlight w:val="none"/>
          <w:lang w:val="en-US" w:eastAsia="zh-CN"/>
        </w:rPr>
        <w:t>项目概况</w:t>
      </w:r>
    </w:p>
    <w:p w14:paraId="4CEE9225">
      <w:pPr>
        <w:widowControl w:val="0"/>
        <w:ind w:firstLine="420" w:firstLineChars="200"/>
        <w:jc w:val="both"/>
        <w:rPr>
          <w:rFonts w:ascii="宋体" w:hAnsi="宋体" w:eastAsia="宋体" w:cs="Times New Roman"/>
          <w:b/>
          <w:snapToGrid w:val="0"/>
          <w:color w:val="auto"/>
          <w:kern w:val="0"/>
          <w:sz w:val="21"/>
          <w:highlight w:val="none"/>
          <w:lang w:val="en-US" w:eastAsia="zh-CN" w:bidi="ar-SA"/>
        </w:rPr>
      </w:pPr>
      <w:r>
        <w:rPr>
          <w:rFonts w:hint="eastAsia" w:ascii="宋体" w:hAnsi="宋体" w:eastAsia="宋体" w:cs="Times New Roman"/>
          <w:color w:val="auto"/>
          <w:kern w:val="2"/>
          <w:sz w:val="21"/>
          <w:highlight w:val="none"/>
          <w:lang w:val="en-US" w:eastAsia="zh-CN" w:bidi="ar-SA"/>
        </w:rPr>
        <w:t>深圳市公安交警通信缆线是整个道路交通监控系统的信息传递载体，也是重要的基础设施。为保障各道路交通监控系统通信的安全和通畅，做好通信缆线及相关设施的维护保障工作，以及应急工程的材料供应、安装施工，特进行本项目的采购。</w:t>
      </w:r>
    </w:p>
    <w:p w14:paraId="5A8F38C6">
      <w:pPr>
        <w:widowControl w:val="0"/>
        <w:ind w:left="422"/>
        <w:jc w:val="both"/>
        <w:rPr>
          <w:rFonts w:ascii="宋体" w:hAnsi="宋体" w:eastAsia="宋体" w:cs="Times New Roman"/>
          <w:b/>
          <w:snapToGrid w:val="0"/>
          <w:color w:val="auto"/>
          <w:kern w:val="0"/>
          <w:sz w:val="21"/>
          <w:highlight w:val="none"/>
          <w:lang w:val="en-US" w:eastAsia="zh-CN" w:bidi="ar-SA"/>
        </w:rPr>
      </w:pPr>
    </w:p>
    <w:p w14:paraId="2F3A41F7">
      <w:pPr>
        <w:pStyle w:val="36"/>
        <w:numPr>
          <w:ilvl w:val="0"/>
          <w:numId w:val="2"/>
        </w:numPr>
        <w:ind w:firstLineChars="0"/>
        <w:rPr>
          <w:rFonts w:hint="eastAsia" w:ascii="宋体" w:hAnsi="宋体" w:eastAsia="宋体" w:cs="Times New Roman"/>
          <w:snapToGrid w:val="0"/>
          <w:color w:val="auto"/>
          <w:kern w:val="0"/>
          <w:highlight w:val="none"/>
          <w:lang w:val="en-US" w:eastAsia="zh-CN"/>
        </w:rPr>
      </w:pPr>
      <w:r>
        <w:rPr>
          <w:rFonts w:hint="eastAsia" w:ascii="宋体" w:hAnsi="宋体" w:eastAsia="宋体" w:cs="Times New Roman"/>
          <w:b/>
          <w:snapToGrid w:val="0"/>
          <w:color w:val="auto"/>
          <w:kern w:val="0"/>
          <w:highlight w:val="none"/>
          <w:lang w:val="en-US" w:eastAsia="zh-CN"/>
        </w:rPr>
        <w:t>服务内容</w:t>
      </w:r>
    </w:p>
    <w:p w14:paraId="35AEDE97">
      <w:pPr>
        <w:widowControl w:val="0"/>
        <w:tabs>
          <w:tab w:val="left" w:pos="900"/>
        </w:tabs>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对深圳市交通警察局管理范围内的通信光缆进行维护。维护从机房光传输设备至前端光传输设备（ONU、光收发器）接口之间的所有光缆主干、各分支缆线约7900公里及微波通信传输设备。</w:t>
      </w:r>
    </w:p>
    <w:p w14:paraId="70CEA851">
      <w:pPr>
        <w:pStyle w:val="37"/>
        <w:spacing w:before="0" w:beforeAutospacing="0" w:after="0" w:afterAutospacing="0" w:line="360" w:lineRule="auto"/>
        <w:ind w:firstLine="422" w:firstLineChars="200"/>
        <w:rPr>
          <w:rFonts w:eastAsia="宋体"/>
          <w:b/>
          <w:bCs/>
          <w:color w:val="auto"/>
          <w:kern w:val="2"/>
          <w:sz w:val="21"/>
          <w:szCs w:val="21"/>
          <w:highlight w:val="none"/>
        </w:rPr>
      </w:pPr>
      <w:r>
        <w:rPr>
          <w:rFonts w:hint="eastAsia" w:eastAsia="宋体"/>
          <w:b/>
          <w:bCs/>
          <w:color w:val="auto"/>
          <w:kern w:val="2"/>
          <w:sz w:val="21"/>
          <w:szCs w:val="21"/>
          <w:highlight w:val="none"/>
        </w:rPr>
        <w:t>一、通信光缆日常维护内容如下：</w:t>
      </w:r>
    </w:p>
    <w:tbl>
      <w:tblPr>
        <w:tblStyle w:val="17"/>
        <w:tblW w:w="4917" w:type="pct"/>
        <w:tblInd w:w="0" w:type="dxa"/>
        <w:tblLayout w:type="autofit"/>
        <w:tblCellMar>
          <w:top w:w="0" w:type="dxa"/>
          <w:left w:w="108" w:type="dxa"/>
          <w:bottom w:w="0" w:type="dxa"/>
          <w:right w:w="108" w:type="dxa"/>
        </w:tblCellMar>
      </w:tblPr>
      <w:tblGrid>
        <w:gridCol w:w="322"/>
        <w:gridCol w:w="430"/>
        <w:gridCol w:w="2284"/>
        <w:gridCol w:w="5486"/>
      </w:tblGrid>
      <w:tr w14:paraId="5F1A7A77">
        <w:tblPrEx>
          <w:tblCellMar>
            <w:top w:w="0" w:type="dxa"/>
            <w:left w:w="108" w:type="dxa"/>
            <w:bottom w:w="0" w:type="dxa"/>
            <w:right w:w="108" w:type="dxa"/>
          </w:tblCellMar>
        </w:tblPrEx>
        <w:trPr>
          <w:trHeight w:val="419" w:hRule="atLeast"/>
        </w:trPr>
        <w:tc>
          <w:tcPr>
            <w:tcW w:w="586" w:type="pct"/>
            <w:tcBorders>
              <w:top w:val="single" w:color="auto" w:sz="4" w:space="0"/>
              <w:left w:val="single" w:color="auto" w:sz="4" w:space="0"/>
              <w:bottom w:val="single" w:color="auto" w:sz="4" w:space="0"/>
              <w:right w:val="single" w:color="auto" w:sz="4" w:space="0"/>
            </w:tcBorders>
            <w:noWrap/>
            <w:vAlign w:val="center"/>
          </w:tcPr>
          <w:p w14:paraId="5BDA8DF1">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序号</w:t>
            </w:r>
          </w:p>
        </w:tc>
        <w:tc>
          <w:tcPr>
            <w:tcW w:w="734" w:type="pct"/>
            <w:tcBorders>
              <w:top w:val="single" w:color="auto" w:sz="4" w:space="0"/>
              <w:left w:val="nil"/>
              <w:bottom w:val="single" w:color="auto" w:sz="4" w:space="0"/>
              <w:right w:val="single" w:color="auto" w:sz="4" w:space="0"/>
            </w:tcBorders>
            <w:noWrap/>
            <w:vAlign w:val="center"/>
          </w:tcPr>
          <w:p w14:paraId="58EA136C">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  目</w:t>
            </w:r>
          </w:p>
        </w:tc>
        <w:tc>
          <w:tcPr>
            <w:tcW w:w="3680" w:type="pct"/>
            <w:gridSpan w:val="2"/>
            <w:tcBorders>
              <w:top w:val="single" w:color="auto" w:sz="4" w:space="0"/>
              <w:left w:val="nil"/>
              <w:bottom w:val="single" w:color="auto" w:sz="4" w:space="0"/>
              <w:right w:val="single" w:color="000000" w:sz="4" w:space="0"/>
            </w:tcBorders>
            <w:noWrap/>
            <w:vAlign w:val="center"/>
          </w:tcPr>
          <w:p w14:paraId="462C87A4">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内  容</w:t>
            </w:r>
          </w:p>
        </w:tc>
      </w:tr>
      <w:tr w14:paraId="0AF3A550">
        <w:tblPrEx>
          <w:tblCellMar>
            <w:top w:w="0" w:type="dxa"/>
            <w:left w:w="108" w:type="dxa"/>
            <w:bottom w:w="0" w:type="dxa"/>
            <w:right w:w="108" w:type="dxa"/>
          </w:tblCellMar>
        </w:tblPrEx>
        <w:trPr>
          <w:trHeight w:val="589" w:hRule="atLeast"/>
        </w:trPr>
        <w:tc>
          <w:tcPr>
            <w:tcW w:w="586" w:type="pct"/>
            <w:vMerge w:val="restart"/>
            <w:tcBorders>
              <w:top w:val="nil"/>
              <w:left w:val="single" w:color="auto" w:sz="4" w:space="0"/>
              <w:right w:val="single" w:color="auto" w:sz="4" w:space="0"/>
            </w:tcBorders>
            <w:noWrap/>
            <w:vAlign w:val="center"/>
          </w:tcPr>
          <w:p w14:paraId="447A551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w:t>
            </w:r>
          </w:p>
        </w:tc>
        <w:tc>
          <w:tcPr>
            <w:tcW w:w="734" w:type="pct"/>
            <w:vMerge w:val="restart"/>
            <w:tcBorders>
              <w:top w:val="nil"/>
              <w:left w:val="single" w:color="auto" w:sz="4" w:space="0"/>
              <w:right w:val="single" w:color="auto" w:sz="4" w:space="0"/>
            </w:tcBorders>
            <w:noWrap/>
            <w:vAlign w:val="center"/>
          </w:tcPr>
          <w:p w14:paraId="511224AA">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日常检修</w:t>
            </w:r>
          </w:p>
        </w:tc>
        <w:tc>
          <w:tcPr>
            <w:tcW w:w="3680" w:type="pct"/>
            <w:gridSpan w:val="2"/>
            <w:tcBorders>
              <w:top w:val="single" w:color="auto" w:sz="4" w:space="0"/>
              <w:left w:val="nil"/>
              <w:bottom w:val="single" w:color="auto" w:sz="4" w:space="0"/>
              <w:right w:val="single" w:color="000000" w:sz="4" w:space="0"/>
            </w:tcBorders>
            <w:noWrap/>
            <w:vAlign w:val="bottom"/>
          </w:tcPr>
          <w:p w14:paraId="708379A4">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A、室外线路及沙井检查（含线路检查、人孔、人井检查等）：在井内对线路上的光缆、接头进行检查，查看光缆是否有破皮、打结、弯曲等情况出现；查看接头是否有破损，漏水等情况出现。同时做好整理、标记防水、防鼠患处理。</w:t>
            </w:r>
          </w:p>
        </w:tc>
      </w:tr>
      <w:tr w14:paraId="6E42E52A">
        <w:tblPrEx>
          <w:tblCellMar>
            <w:top w:w="0" w:type="dxa"/>
            <w:left w:w="108" w:type="dxa"/>
            <w:bottom w:w="0" w:type="dxa"/>
            <w:right w:w="108" w:type="dxa"/>
          </w:tblCellMar>
        </w:tblPrEx>
        <w:trPr>
          <w:trHeight w:val="600" w:hRule="atLeast"/>
        </w:trPr>
        <w:tc>
          <w:tcPr>
            <w:tcW w:w="586" w:type="pct"/>
            <w:vMerge w:val="continue"/>
            <w:tcBorders>
              <w:left w:val="single" w:color="auto" w:sz="4" w:space="0"/>
              <w:right w:val="single" w:color="auto" w:sz="4" w:space="0"/>
            </w:tcBorders>
            <w:noWrap/>
            <w:vAlign w:val="center"/>
          </w:tcPr>
          <w:p w14:paraId="72ADEE5E">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left w:val="single" w:color="auto" w:sz="4" w:space="0"/>
              <w:right w:val="single" w:color="auto" w:sz="4" w:space="0"/>
            </w:tcBorders>
            <w:noWrap/>
            <w:vAlign w:val="center"/>
          </w:tcPr>
          <w:p w14:paraId="20E15915">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3680" w:type="pct"/>
            <w:gridSpan w:val="2"/>
            <w:tcBorders>
              <w:top w:val="single" w:color="auto" w:sz="4" w:space="0"/>
              <w:left w:val="nil"/>
              <w:bottom w:val="single" w:color="auto" w:sz="4" w:space="0"/>
              <w:right w:val="single" w:color="000000" w:sz="4" w:space="0"/>
            </w:tcBorders>
            <w:noWrap/>
            <w:vAlign w:val="bottom"/>
          </w:tcPr>
          <w:p w14:paraId="1607B230">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B、室内光缆及分线设备检查：在机房、弱电井等地方对楼内光缆进行检查。查看楼内光缆是否有破损、打结、等情况；机房配线架上光缆，做好纤芯长度测试、记录纤芯使用情况，核对上次记录情况，做好新增纤芯占用及空余纤芯情况记录；检查机房内跳纤收否完好，标签是否正确等，并做好防水、防鼠患处理。</w:t>
            </w:r>
          </w:p>
        </w:tc>
      </w:tr>
      <w:tr w14:paraId="5839BA6A">
        <w:tblPrEx>
          <w:tblCellMar>
            <w:top w:w="0" w:type="dxa"/>
            <w:left w:w="108" w:type="dxa"/>
            <w:bottom w:w="0" w:type="dxa"/>
            <w:right w:w="108" w:type="dxa"/>
          </w:tblCellMar>
        </w:tblPrEx>
        <w:trPr>
          <w:trHeight w:val="600" w:hRule="atLeast"/>
        </w:trPr>
        <w:tc>
          <w:tcPr>
            <w:tcW w:w="586" w:type="pct"/>
            <w:vMerge w:val="continue"/>
            <w:tcBorders>
              <w:left w:val="single" w:color="auto" w:sz="4" w:space="0"/>
              <w:bottom w:val="single" w:color="auto" w:sz="4" w:space="0"/>
              <w:right w:val="single" w:color="auto" w:sz="4" w:space="0"/>
            </w:tcBorders>
            <w:noWrap/>
            <w:vAlign w:val="center"/>
          </w:tcPr>
          <w:p w14:paraId="097CEED8">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left w:val="single" w:color="auto" w:sz="4" w:space="0"/>
              <w:bottom w:val="single" w:color="auto" w:sz="4" w:space="0"/>
              <w:right w:val="single" w:color="auto" w:sz="4" w:space="0"/>
            </w:tcBorders>
            <w:noWrap/>
            <w:vAlign w:val="center"/>
          </w:tcPr>
          <w:p w14:paraId="4B855AA0">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3680" w:type="pct"/>
            <w:gridSpan w:val="2"/>
            <w:tcBorders>
              <w:top w:val="single" w:color="auto" w:sz="4" w:space="0"/>
              <w:left w:val="nil"/>
              <w:bottom w:val="single" w:color="auto" w:sz="4" w:space="0"/>
              <w:right w:val="single" w:color="000000" w:sz="4" w:space="0"/>
            </w:tcBorders>
            <w:noWrap/>
            <w:vAlign w:val="bottom"/>
          </w:tcPr>
          <w:p w14:paraId="68D5B916">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C、在接报通信线缆故障或自主发现故障后，按照采购人规定要求响应处置。</w:t>
            </w:r>
          </w:p>
        </w:tc>
      </w:tr>
      <w:tr w14:paraId="65797E2F">
        <w:tblPrEx>
          <w:tblCellMar>
            <w:top w:w="0" w:type="dxa"/>
            <w:left w:w="108" w:type="dxa"/>
            <w:bottom w:w="0" w:type="dxa"/>
            <w:right w:w="108" w:type="dxa"/>
          </w:tblCellMar>
        </w:tblPrEx>
        <w:trPr>
          <w:trHeight w:val="912" w:hRule="atLeast"/>
        </w:trPr>
        <w:tc>
          <w:tcPr>
            <w:tcW w:w="586" w:type="pct"/>
            <w:tcBorders>
              <w:top w:val="nil"/>
              <w:left w:val="single" w:color="auto" w:sz="4" w:space="0"/>
              <w:bottom w:val="single" w:color="auto" w:sz="4" w:space="0"/>
              <w:right w:val="single" w:color="auto" w:sz="4" w:space="0"/>
            </w:tcBorders>
            <w:noWrap/>
            <w:vAlign w:val="center"/>
          </w:tcPr>
          <w:p w14:paraId="054E345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w:t>
            </w:r>
          </w:p>
        </w:tc>
        <w:tc>
          <w:tcPr>
            <w:tcW w:w="734" w:type="pct"/>
            <w:vMerge w:val="restart"/>
            <w:tcBorders>
              <w:top w:val="nil"/>
              <w:left w:val="single" w:color="auto" w:sz="4" w:space="0"/>
              <w:bottom w:val="single" w:color="auto" w:sz="4" w:space="0"/>
              <w:right w:val="single" w:color="auto" w:sz="4" w:space="0"/>
            </w:tcBorders>
            <w:noWrap/>
            <w:vAlign w:val="center"/>
          </w:tcPr>
          <w:p w14:paraId="1E876B31">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基本维护</w:t>
            </w:r>
          </w:p>
        </w:tc>
        <w:tc>
          <w:tcPr>
            <w:tcW w:w="1049" w:type="pct"/>
            <w:vMerge w:val="restart"/>
            <w:tcBorders>
              <w:top w:val="nil"/>
              <w:left w:val="single" w:color="auto" w:sz="4" w:space="0"/>
              <w:right w:val="single" w:color="auto" w:sz="4" w:space="0"/>
            </w:tcBorders>
            <w:noWrap/>
            <w:vAlign w:val="center"/>
          </w:tcPr>
          <w:p w14:paraId="146228B0">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资料统计、报表</w:t>
            </w:r>
          </w:p>
        </w:tc>
        <w:tc>
          <w:tcPr>
            <w:tcW w:w="2631" w:type="pct"/>
            <w:vMerge w:val="restart"/>
            <w:tcBorders>
              <w:top w:val="nil"/>
              <w:left w:val="nil"/>
              <w:right w:val="single" w:color="auto" w:sz="4" w:space="0"/>
            </w:tcBorders>
            <w:noWrap/>
            <w:vAlign w:val="center"/>
          </w:tcPr>
          <w:p w14:paraId="1F2013D3">
            <w:pPr>
              <w:keepNext w:val="0"/>
              <w:keepLines w:val="0"/>
              <w:widowControl/>
              <w:numPr>
                <w:ilvl w:val="0"/>
                <w:numId w:val="3"/>
              </w:numPr>
              <w:suppressLineNumbers w:val="0"/>
              <w:spacing w:before="0" w:beforeAutospacing="0" w:after="0" w:afterAutospacing="0" w:line="360" w:lineRule="auto"/>
              <w:ind w:left="360" w:right="0" w:hanging="36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维护资料整理统计；按采购人要求排查、整理、录入、更新相关资料</w:t>
            </w:r>
          </w:p>
        </w:tc>
      </w:tr>
      <w:tr w14:paraId="37C771E4">
        <w:tblPrEx>
          <w:tblCellMar>
            <w:top w:w="0" w:type="dxa"/>
            <w:left w:w="108" w:type="dxa"/>
            <w:bottom w:w="0" w:type="dxa"/>
            <w:right w:w="108" w:type="dxa"/>
          </w:tblCellMar>
        </w:tblPrEx>
        <w:trPr>
          <w:trHeight w:val="468" w:hRule="atLeast"/>
        </w:trPr>
        <w:tc>
          <w:tcPr>
            <w:tcW w:w="586" w:type="pct"/>
            <w:vMerge w:val="restart"/>
            <w:tcBorders>
              <w:top w:val="nil"/>
              <w:left w:val="single" w:color="auto" w:sz="4" w:space="0"/>
              <w:bottom w:val="single" w:color="auto" w:sz="4" w:space="0"/>
              <w:right w:val="single" w:color="auto" w:sz="4" w:space="0"/>
            </w:tcBorders>
            <w:noWrap/>
            <w:vAlign w:val="center"/>
          </w:tcPr>
          <w:p w14:paraId="12892690">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34" w:type="pct"/>
            <w:vMerge w:val="continue"/>
            <w:tcBorders>
              <w:top w:val="nil"/>
              <w:left w:val="single" w:color="auto" w:sz="4" w:space="0"/>
              <w:bottom w:val="single" w:color="auto" w:sz="4" w:space="0"/>
              <w:right w:val="single" w:color="auto" w:sz="4" w:space="0"/>
            </w:tcBorders>
            <w:noWrap/>
            <w:vAlign w:val="center"/>
          </w:tcPr>
          <w:p w14:paraId="6446F0F6">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left w:val="single" w:color="auto" w:sz="4" w:space="0"/>
              <w:right w:val="single" w:color="auto" w:sz="4" w:space="0"/>
            </w:tcBorders>
            <w:noWrap/>
            <w:vAlign w:val="center"/>
          </w:tcPr>
          <w:p w14:paraId="434715D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vMerge w:val="continue"/>
            <w:tcBorders>
              <w:left w:val="nil"/>
              <w:bottom w:val="single" w:color="auto" w:sz="4" w:space="0"/>
              <w:right w:val="single" w:color="auto" w:sz="4" w:space="0"/>
            </w:tcBorders>
            <w:noWrap/>
            <w:vAlign w:val="bottom"/>
          </w:tcPr>
          <w:p w14:paraId="324D0EBB">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p>
        </w:tc>
      </w:tr>
      <w:tr w14:paraId="6EBE6D18">
        <w:tblPrEx>
          <w:tblCellMar>
            <w:top w:w="0" w:type="dxa"/>
            <w:left w:w="108" w:type="dxa"/>
            <w:bottom w:w="0" w:type="dxa"/>
            <w:right w:w="108" w:type="dxa"/>
          </w:tblCellMar>
        </w:tblPrEx>
        <w:trPr>
          <w:trHeight w:val="443" w:hRule="atLeast"/>
        </w:trPr>
        <w:tc>
          <w:tcPr>
            <w:tcW w:w="586" w:type="pct"/>
            <w:vMerge w:val="continue"/>
            <w:tcBorders>
              <w:top w:val="nil"/>
              <w:left w:val="single" w:color="auto" w:sz="4" w:space="0"/>
              <w:bottom w:val="single" w:color="auto" w:sz="4" w:space="0"/>
              <w:right w:val="single" w:color="auto" w:sz="4" w:space="0"/>
            </w:tcBorders>
            <w:noWrap/>
            <w:vAlign w:val="center"/>
          </w:tcPr>
          <w:p w14:paraId="2117A10A">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6DCE00C9">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left w:val="single" w:color="auto" w:sz="4" w:space="0"/>
              <w:right w:val="single" w:color="auto" w:sz="4" w:space="0"/>
            </w:tcBorders>
            <w:noWrap/>
            <w:vAlign w:val="center"/>
          </w:tcPr>
          <w:p w14:paraId="012BA11E">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bottom"/>
          </w:tcPr>
          <w:p w14:paraId="65FA745D">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B、维护及抢修台账</w:t>
            </w:r>
          </w:p>
        </w:tc>
      </w:tr>
      <w:tr w14:paraId="61A55D75">
        <w:tblPrEx>
          <w:tblCellMar>
            <w:top w:w="0" w:type="dxa"/>
            <w:left w:w="108" w:type="dxa"/>
            <w:bottom w:w="0" w:type="dxa"/>
            <w:right w:w="108" w:type="dxa"/>
          </w:tblCellMar>
        </w:tblPrEx>
        <w:trPr>
          <w:trHeight w:val="449" w:hRule="atLeast"/>
        </w:trPr>
        <w:tc>
          <w:tcPr>
            <w:tcW w:w="586" w:type="pct"/>
            <w:vMerge w:val="continue"/>
            <w:tcBorders>
              <w:top w:val="nil"/>
              <w:left w:val="single" w:color="auto" w:sz="4" w:space="0"/>
              <w:bottom w:val="single" w:color="auto" w:sz="4" w:space="0"/>
              <w:right w:val="single" w:color="auto" w:sz="4" w:space="0"/>
            </w:tcBorders>
            <w:noWrap/>
            <w:vAlign w:val="center"/>
          </w:tcPr>
          <w:p w14:paraId="0D866029">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7186B2C5">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left w:val="single" w:color="auto" w:sz="4" w:space="0"/>
              <w:right w:val="single" w:color="auto" w:sz="4" w:space="0"/>
            </w:tcBorders>
            <w:noWrap/>
            <w:vAlign w:val="center"/>
          </w:tcPr>
          <w:p w14:paraId="25A62095">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bottom"/>
          </w:tcPr>
          <w:p w14:paraId="4E7E32C8">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C、测试报告</w:t>
            </w:r>
          </w:p>
        </w:tc>
      </w:tr>
      <w:tr w14:paraId="3856A133">
        <w:tblPrEx>
          <w:tblCellMar>
            <w:top w:w="0" w:type="dxa"/>
            <w:left w:w="108" w:type="dxa"/>
            <w:bottom w:w="0" w:type="dxa"/>
            <w:right w:w="108" w:type="dxa"/>
          </w:tblCellMar>
        </w:tblPrEx>
        <w:trPr>
          <w:trHeight w:val="469" w:hRule="atLeast"/>
        </w:trPr>
        <w:tc>
          <w:tcPr>
            <w:tcW w:w="586" w:type="pct"/>
            <w:vMerge w:val="continue"/>
            <w:tcBorders>
              <w:top w:val="nil"/>
              <w:left w:val="single" w:color="auto" w:sz="4" w:space="0"/>
              <w:bottom w:val="single" w:color="auto" w:sz="4" w:space="0"/>
              <w:right w:val="single" w:color="auto" w:sz="4" w:space="0"/>
            </w:tcBorders>
            <w:noWrap/>
            <w:vAlign w:val="center"/>
          </w:tcPr>
          <w:p w14:paraId="569E18E0">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72C8991D">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left w:val="single" w:color="auto" w:sz="4" w:space="0"/>
              <w:bottom w:val="single" w:color="auto" w:sz="4" w:space="0"/>
              <w:right w:val="single" w:color="auto" w:sz="4" w:space="0"/>
            </w:tcBorders>
            <w:noWrap/>
            <w:vAlign w:val="center"/>
          </w:tcPr>
          <w:p w14:paraId="7E5F4424">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bottom"/>
          </w:tcPr>
          <w:p w14:paraId="12C59B46">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D、项目结算资料</w:t>
            </w:r>
          </w:p>
        </w:tc>
      </w:tr>
      <w:tr w14:paraId="5537BF78">
        <w:tblPrEx>
          <w:tblCellMar>
            <w:top w:w="0" w:type="dxa"/>
            <w:left w:w="108" w:type="dxa"/>
            <w:bottom w:w="0" w:type="dxa"/>
            <w:right w:w="108" w:type="dxa"/>
          </w:tblCellMar>
        </w:tblPrEx>
        <w:trPr>
          <w:trHeight w:val="499" w:hRule="atLeast"/>
        </w:trPr>
        <w:tc>
          <w:tcPr>
            <w:tcW w:w="586" w:type="pct"/>
            <w:vMerge w:val="restart"/>
            <w:tcBorders>
              <w:top w:val="nil"/>
              <w:left w:val="single" w:color="auto" w:sz="4" w:space="0"/>
              <w:bottom w:val="single" w:color="auto" w:sz="4" w:space="0"/>
              <w:right w:val="single" w:color="auto" w:sz="4" w:space="0"/>
            </w:tcBorders>
            <w:noWrap/>
            <w:vAlign w:val="center"/>
          </w:tcPr>
          <w:p w14:paraId="1AAD2E99">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w:t>
            </w:r>
          </w:p>
        </w:tc>
        <w:tc>
          <w:tcPr>
            <w:tcW w:w="734" w:type="pct"/>
            <w:vMerge w:val="continue"/>
            <w:tcBorders>
              <w:top w:val="nil"/>
              <w:left w:val="single" w:color="auto" w:sz="4" w:space="0"/>
              <w:bottom w:val="single" w:color="auto" w:sz="4" w:space="0"/>
              <w:right w:val="single" w:color="auto" w:sz="4" w:space="0"/>
            </w:tcBorders>
            <w:noWrap/>
            <w:vAlign w:val="center"/>
          </w:tcPr>
          <w:p w14:paraId="3999C535">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restart"/>
            <w:tcBorders>
              <w:top w:val="nil"/>
              <w:left w:val="single" w:color="auto" w:sz="4" w:space="0"/>
              <w:bottom w:val="single" w:color="auto" w:sz="4" w:space="0"/>
              <w:right w:val="single" w:color="auto" w:sz="4" w:space="0"/>
            </w:tcBorders>
            <w:noWrap/>
            <w:vAlign w:val="center"/>
          </w:tcPr>
          <w:p w14:paraId="7F12269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日常配合</w:t>
            </w:r>
          </w:p>
        </w:tc>
        <w:tc>
          <w:tcPr>
            <w:tcW w:w="2631" w:type="pct"/>
            <w:tcBorders>
              <w:top w:val="nil"/>
              <w:left w:val="nil"/>
              <w:bottom w:val="single" w:color="auto" w:sz="4" w:space="0"/>
              <w:right w:val="single" w:color="auto" w:sz="4" w:space="0"/>
            </w:tcBorders>
            <w:noWrap/>
            <w:vAlign w:val="bottom"/>
          </w:tcPr>
          <w:p w14:paraId="18826F4E">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A、专项任务的通信保障、应急预案</w:t>
            </w:r>
          </w:p>
        </w:tc>
      </w:tr>
      <w:tr w14:paraId="373AEF32">
        <w:tblPrEx>
          <w:tblCellMar>
            <w:top w:w="0" w:type="dxa"/>
            <w:left w:w="108" w:type="dxa"/>
            <w:bottom w:w="0" w:type="dxa"/>
            <w:right w:w="108" w:type="dxa"/>
          </w:tblCellMar>
        </w:tblPrEx>
        <w:trPr>
          <w:trHeight w:val="585" w:hRule="atLeast"/>
        </w:trPr>
        <w:tc>
          <w:tcPr>
            <w:tcW w:w="586" w:type="pct"/>
            <w:vMerge w:val="continue"/>
            <w:tcBorders>
              <w:top w:val="nil"/>
              <w:left w:val="single" w:color="auto" w:sz="4" w:space="0"/>
              <w:bottom w:val="single" w:color="auto" w:sz="4" w:space="0"/>
              <w:right w:val="single" w:color="auto" w:sz="4" w:space="0"/>
            </w:tcBorders>
            <w:noWrap/>
            <w:vAlign w:val="center"/>
          </w:tcPr>
          <w:p w14:paraId="295A01F8">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369CEAD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top w:val="nil"/>
              <w:left w:val="single" w:color="auto" w:sz="4" w:space="0"/>
              <w:bottom w:val="single" w:color="auto" w:sz="4" w:space="0"/>
              <w:right w:val="single" w:color="auto" w:sz="4" w:space="0"/>
            </w:tcBorders>
            <w:noWrap/>
            <w:vAlign w:val="center"/>
          </w:tcPr>
          <w:p w14:paraId="25784CEC">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top"/>
          </w:tcPr>
          <w:p w14:paraId="2D13DE9B">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B、光缆被盗、被破坏与光缆割接方案的跟踪、上报</w:t>
            </w:r>
          </w:p>
        </w:tc>
      </w:tr>
      <w:tr w14:paraId="315901C5">
        <w:tblPrEx>
          <w:tblCellMar>
            <w:top w:w="0" w:type="dxa"/>
            <w:left w:w="108" w:type="dxa"/>
            <w:bottom w:w="0" w:type="dxa"/>
            <w:right w:w="108" w:type="dxa"/>
          </w:tblCellMar>
        </w:tblPrEx>
        <w:trPr>
          <w:trHeight w:val="365" w:hRule="atLeast"/>
        </w:trPr>
        <w:tc>
          <w:tcPr>
            <w:tcW w:w="586" w:type="pct"/>
            <w:vMerge w:val="continue"/>
            <w:tcBorders>
              <w:top w:val="nil"/>
              <w:left w:val="single" w:color="auto" w:sz="4" w:space="0"/>
              <w:bottom w:val="single" w:color="auto" w:sz="4" w:space="0"/>
              <w:right w:val="single" w:color="auto" w:sz="4" w:space="0"/>
            </w:tcBorders>
            <w:noWrap/>
            <w:vAlign w:val="center"/>
          </w:tcPr>
          <w:p w14:paraId="159AB99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644AE1E6">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top w:val="nil"/>
              <w:left w:val="single" w:color="auto" w:sz="4" w:space="0"/>
              <w:bottom w:val="single" w:color="auto" w:sz="4" w:space="0"/>
              <w:right w:val="single" w:color="auto" w:sz="4" w:space="0"/>
            </w:tcBorders>
            <w:noWrap/>
            <w:vAlign w:val="center"/>
          </w:tcPr>
          <w:p w14:paraId="2C71238B">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top"/>
          </w:tcPr>
          <w:p w14:paraId="3232DDAD">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C、设备跳纤、跳线服务</w:t>
            </w:r>
          </w:p>
        </w:tc>
      </w:tr>
      <w:tr w14:paraId="075CD8A2">
        <w:tblPrEx>
          <w:tblCellMar>
            <w:top w:w="0" w:type="dxa"/>
            <w:left w:w="108" w:type="dxa"/>
            <w:bottom w:w="0" w:type="dxa"/>
            <w:right w:w="108" w:type="dxa"/>
          </w:tblCellMar>
        </w:tblPrEx>
        <w:trPr>
          <w:trHeight w:val="469" w:hRule="atLeast"/>
        </w:trPr>
        <w:tc>
          <w:tcPr>
            <w:tcW w:w="586" w:type="pct"/>
            <w:vMerge w:val="continue"/>
            <w:tcBorders>
              <w:top w:val="nil"/>
              <w:left w:val="single" w:color="auto" w:sz="4" w:space="0"/>
              <w:bottom w:val="single" w:color="auto" w:sz="4" w:space="0"/>
              <w:right w:val="single" w:color="auto" w:sz="4" w:space="0"/>
            </w:tcBorders>
            <w:noWrap/>
            <w:vAlign w:val="center"/>
          </w:tcPr>
          <w:p w14:paraId="367743EC">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7EEFAD29">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top w:val="nil"/>
              <w:left w:val="single" w:color="auto" w:sz="4" w:space="0"/>
              <w:bottom w:val="single" w:color="auto" w:sz="4" w:space="0"/>
              <w:right w:val="single" w:color="auto" w:sz="4" w:space="0"/>
            </w:tcBorders>
            <w:noWrap/>
            <w:vAlign w:val="center"/>
          </w:tcPr>
          <w:p w14:paraId="5E580CD9">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bottom"/>
          </w:tcPr>
          <w:p w14:paraId="3FEC783A">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D、拟建工程配合调研</w:t>
            </w:r>
          </w:p>
        </w:tc>
      </w:tr>
      <w:tr w14:paraId="79D95038">
        <w:tblPrEx>
          <w:tblCellMar>
            <w:top w:w="0" w:type="dxa"/>
            <w:left w:w="108" w:type="dxa"/>
            <w:bottom w:w="0" w:type="dxa"/>
            <w:right w:w="108" w:type="dxa"/>
          </w:tblCellMar>
        </w:tblPrEx>
        <w:trPr>
          <w:trHeight w:val="499" w:hRule="atLeast"/>
        </w:trPr>
        <w:tc>
          <w:tcPr>
            <w:tcW w:w="586" w:type="pct"/>
            <w:vMerge w:val="continue"/>
            <w:tcBorders>
              <w:top w:val="nil"/>
              <w:left w:val="single" w:color="auto" w:sz="4" w:space="0"/>
              <w:bottom w:val="single" w:color="auto" w:sz="4" w:space="0"/>
              <w:right w:val="single" w:color="auto" w:sz="4" w:space="0"/>
            </w:tcBorders>
            <w:noWrap/>
            <w:vAlign w:val="center"/>
          </w:tcPr>
          <w:p w14:paraId="31BA2B66">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734" w:type="pct"/>
            <w:vMerge w:val="continue"/>
            <w:tcBorders>
              <w:top w:val="nil"/>
              <w:left w:val="single" w:color="auto" w:sz="4" w:space="0"/>
              <w:bottom w:val="single" w:color="auto" w:sz="4" w:space="0"/>
              <w:right w:val="single" w:color="auto" w:sz="4" w:space="0"/>
            </w:tcBorders>
            <w:noWrap/>
            <w:vAlign w:val="center"/>
          </w:tcPr>
          <w:p w14:paraId="2D396D4F">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049" w:type="pct"/>
            <w:vMerge w:val="continue"/>
            <w:tcBorders>
              <w:top w:val="nil"/>
              <w:left w:val="single" w:color="auto" w:sz="4" w:space="0"/>
              <w:bottom w:val="single" w:color="auto" w:sz="4" w:space="0"/>
              <w:right w:val="single" w:color="auto" w:sz="4" w:space="0"/>
            </w:tcBorders>
            <w:noWrap/>
            <w:vAlign w:val="center"/>
          </w:tcPr>
          <w:p w14:paraId="3BBF9F64">
            <w:pPr>
              <w:keepNext w:val="0"/>
              <w:keepLines w:val="0"/>
              <w:widowControl/>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2631" w:type="pct"/>
            <w:tcBorders>
              <w:top w:val="nil"/>
              <w:left w:val="nil"/>
              <w:bottom w:val="single" w:color="auto" w:sz="4" w:space="0"/>
              <w:right w:val="single" w:color="auto" w:sz="4" w:space="0"/>
            </w:tcBorders>
            <w:noWrap/>
            <w:vAlign w:val="bottom"/>
          </w:tcPr>
          <w:p w14:paraId="2A26D9DD">
            <w:pPr>
              <w:keepNext w:val="0"/>
              <w:keepLines w:val="0"/>
              <w:widowControl/>
              <w:suppressLineNumbers w:val="0"/>
              <w:spacing w:before="0" w:beforeAutospacing="0" w:after="0" w:afterAutospacing="0" w:line="360" w:lineRule="auto"/>
              <w:ind w:left="0" w:right="0"/>
              <w:jc w:val="left"/>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E、协助采购人对的外建移交单位查找接入点</w:t>
            </w:r>
          </w:p>
        </w:tc>
      </w:tr>
    </w:tbl>
    <w:p w14:paraId="191AC79F">
      <w:pPr>
        <w:pStyle w:val="37"/>
        <w:spacing w:before="0" w:beforeAutospacing="0" w:after="0" w:afterAutospacing="0" w:line="360" w:lineRule="auto"/>
        <w:ind w:firstLine="422" w:firstLineChars="200"/>
        <w:rPr>
          <w:rFonts w:eastAsia="宋体"/>
          <w:b/>
          <w:color w:val="auto"/>
          <w:sz w:val="21"/>
          <w:szCs w:val="21"/>
          <w:highlight w:val="none"/>
        </w:rPr>
      </w:pPr>
      <w:r>
        <w:rPr>
          <w:rFonts w:hint="eastAsia" w:eastAsia="宋体"/>
          <w:b/>
          <w:color w:val="auto"/>
          <w:sz w:val="21"/>
          <w:szCs w:val="21"/>
          <w:highlight w:val="none"/>
        </w:rPr>
        <w:t>注：维护量以附件1《通信光缆日常维护投标报价表》中列明的为准。</w:t>
      </w:r>
    </w:p>
    <w:p w14:paraId="615EA69D">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（一）维护及工程的技术要求</w:t>
      </w:r>
    </w:p>
    <w:p w14:paraId="395AE133">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1.前端设备点位至机房要求光衰损耗范围：0db～-20db</w:t>
      </w:r>
      <w:r>
        <w:rPr>
          <w:rFonts w:hint="eastAsia" w:ascii="Times New Roman" w:hAnsi="Times New Roman" w:eastAsia="宋体" w:cs="Times New Roman"/>
          <w:color w:val="auto"/>
          <w:kern w:val="2"/>
          <w:sz w:val="21"/>
          <w:highlight w:val="none"/>
          <w:lang w:val="en-US" w:eastAsia="zh-CN" w:bidi="ar-SA"/>
        </w:rPr>
        <w:t>（响应区间最小值大于等于-20db，最大值小于等于0db即可）</w:t>
      </w:r>
      <w:r>
        <w:rPr>
          <w:rFonts w:hint="eastAsia" w:ascii="宋体" w:hAnsi="宋体" w:eastAsia="宋体" w:cs="宋体"/>
          <w:color w:val="auto"/>
          <w:kern w:val="2"/>
          <w:sz w:val="21"/>
          <w:szCs w:val="21"/>
          <w:highlight w:val="none"/>
          <w:lang w:val="en-US" w:eastAsia="zh-CN" w:bidi="ar-SA"/>
        </w:rPr>
        <w:t>；</w:t>
      </w:r>
    </w:p>
    <w:p w14:paraId="13CF114E">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2.主干环网要求光衰损耗范围：0db～-18db</w:t>
      </w:r>
      <w:r>
        <w:rPr>
          <w:rFonts w:hint="eastAsia" w:ascii="Times New Roman" w:hAnsi="Times New Roman" w:eastAsia="宋体" w:cs="Times New Roman"/>
          <w:color w:val="auto"/>
          <w:kern w:val="2"/>
          <w:sz w:val="21"/>
          <w:highlight w:val="none"/>
          <w:lang w:val="en-US" w:eastAsia="zh-CN" w:bidi="ar-SA"/>
        </w:rPr>
        <w:t>（响应区间最小值大于等于-18db，最大值小于等于0db即可）</w:t>
      </w:r>
      <w:r>
        <w:rPr>
          <w:rFonts w:hint="eastAsia" w:ascii="宋体" w:hAnsi="宋体" w:eastAsia="宋体" w:cs="宋体"/>
          <w:color w:val="auto"/>
          <w:kern w:val="2"/>
          <w:sz w:val="21"/>
          <w:szCs w:val="21"/>
          <w:highlight w:val="none"/>
          <w:lang w:val="en-US" w:eastAsia="zh-CN" w:bidi="ar-SA"/>
        </w:rPr>
        <w:t>。</w:t>
      </w:r>
    </w:p>
    <w:p w14:paraId="75DE3B62">
      <w:pPr>
        <w:widowControl w:val="0"/>
        <w:spacing w:line="360" w:lineRule="auto"/>
        <w:ind w:firstLine="420" w:firstLineChars="200"/>
        <w:jc w:val="both"/>
        <w:rPr>
          <w:rFonts w:ascii="宋体" w:hAnsi="宋体" w:eastAsia="宋体" w:cs="宋体"/>
          <w:b/>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（二）项目必备工具</w:t>
      </w:r>
      <w:r>
        <w:rPr>
          <w:rFonts w:hint="eastAsia" w:ascii="宋体" w:hAnsi="宋体" w:eastAsia="宋体" w:cs="宋体"/>
          <w:b/>
          <w:color w:val="auto"/>
          <w:kern w:val="2"/>
          <w:sz w:val="21"/>
          <w:szCs w:val="21"/>
          <w:highlight w:val="none"/>
          <w:lang w:val="en-US" w:eastAsia="zh-CN" w:bidi="ar-SA"/>
        </w:rPr>
        <w:t>（包括但不限于以下备件、工具和材料）</w:t>
      </w:r>
    </w:p>
    <w:p w14:paraId="5FCD951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1.备件与工具清单</w:t>
      </w:r>
    </w:p>
    <w:tbl>
      <w:tblPr>
        <w:tblStyle w:val="1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14"/>
        <w:gridCol w:w="1674"/>
        <w:gridCol w:w="1125"/>
        <w:gridCol w:w="1309"/>
      </w:tblGrid>
      <w:tr w14:paraId="4FE75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exact"/>
          <w:tblHeader/>
        </w:trPr>
        <w:tc>
          <w:tcPr>
            <w:tcW w:w="2589" w:type="pct"/>
            <w:noWrap/>
            <w:vAlign w:val="center"/>
          </w:tcPr>
          <w:p w14:paraId="60292238">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名称</w:t>
            </w:r>
          </w:p>
        </w:tc>
        <w:tc>
          <w:tcPr>
            <w:tcW w:w="982" w:type="pct"/>
            <w:noWrap/>
            <w:vAlign w:val="center"/>
          </w:tcPr>
          <w:p w14:paraId="5FA0611B">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单位</w:t>
            </w:r>
          </w:p>
        </w:tc>
        <w:tc>
          <w:tcPr>
            <w:tcW w:w="660" w:type="pct"/>
            <w:noWrap/>
            <w:vAlign w:val="center"/>
          </w:tcPr>
          <w:p w14:paraId="389F6E95">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数量</w:t>
            </w:r>
          </w:p>
        </w:tc>
        <w:tc>
          <w:tcPr>
            <w:tcW w:w="767" w:type="pct"/>
            <w:noWrap/>
            <w:vAlign w:val="center"/>
          </w:tcPr>
          <w:p w14:paraId="45F354D8">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备注</w:t>
            </w:r>
          </w:p>
        </w:tc>
      </w:tr>
      <w:tr w14:paraId="6E24A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3" w:hRule="exact"/>
        </w:trPr>
        <w:tc>
          <w:tcPr>
            <w:tcW w:w="2589" w:type="pct"/>
            <w:noWrap/>
            <w:vAlign w:val="center"/>
          </w:tcPr>
          <w:p w14:paraId="78444BF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光缆熔接机</w:t>
            </w:r>
          </w:p>
        </w:tc>
        <w:tc>
          <w:tcPr>
            <w:tcW w:w="982" w:type="pct"/>
            <w:noWrap/>
            <w:vAlign w:val="center"/>
          </w:tcPr>
          <w:p w14:paraId="0A446E59">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台</w:t>
            </w:r>
          </w:p>
        </w:tc>
        <w:tc>
          <w:tcPr>
            <w:tcW w:w="660" w:type="pct"/>
            <w:noWrap/>
            <w:vAlign w:val="center"/>
          </w:tcPr>
          <w:p w14:paraId="318C6DED">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6</w:t>
            </w:r>
          </w:p>
        </w:tc>
        <w:tc>
          <w:tcPr>
            <w:tcW w:w="767" w:type="pct"/>
            <w:noWrap/>
            <w:vAlign w:val="center"/>
          </w:tcPr>
          <w:p w14:paraId="17C21267">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4C417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exact"/>
        </w:trPr>
        <w:tc>
          <w:tcPr>
            <w:tcW w:w="2589" w:type="pct"/>
            <w:noWrap/>
            <w:vAlign w:val="center"/>
          </w:tcPr>
          <w:p w14:paraId="69C0E7AF">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光脉冲反射仪（OTDR）</w:t>
            </w:r>
          </w:p>
        </w:tc>
        <w:tc>
          <w:tcPr>
            <w:tcW w:w="982" w:type="pct"/>
            <w:noWrap/>
            <w:vAlign w:val="center"/>
          </w:tcPr>
          <w:p w14:paraId="04AFF19A">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台</w:t>
            </w:r>
          </w:p>
        </w:tc>
        <w:tc>
          <w:tcPr>
            <w:tcW w:w="660" w:type="pct"/>
            <w:noWrap/>
            <w:vAlign w:val="center"/>
          </w:tcPr>
          <w:p w14:paraId="6384FEE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6</w:t>
            </w:r>
          </w:p>
        </w:tc>
        <w:tc>
          <w:tcPr>
            <w:tcW w:w="767" w:type="pct"/>
            <w:noWrap/>
            <w:vAlign w:val="center"/>
          </w:tcPr>
          <w:p w14:paraId="6D15933C">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3BB98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exact"/>
        </w:trPr>
        <w:tc>
          <w:tcPr>
            <w:tcW w:w="2589" w:type="pct"/>
            <w:noWrap/>
            <w:vAlign w:val="center"/>
          </w:tcPr>
          <w:p w14:paraId="00B76773">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光功率计</w:t>
            </w:r>
          </w:p>
        </w:tc>
        <w:tc>
          <w:tcPr>
            <w:tcW w:w="982" w:type="pct"/>
            <w:noWrap/>
            <w:vAlign w:val="center"/>
          </w:tcPr>
          <w:p w14:paraId="688A593D">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部</w:t>
            </w:r>
          </w:p>
        </w:tc>
        <w:tc>
          <w:tcPr>
            <w:tcW w:w="660" w:type="pct"/>
            <w:noWrap/>
            <w:vAlign w:val="center"/>
          </w:tcPr>
          <w:p w14:paraId="23F8F5B3">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6</w:t>
            </w:r>
          </w:p>
        </w:tc>
        <w:tc>
          <w:tcPr>
            <w:tcW w:w="767" w:type="pct"/>
            <w:noWrap/>
            <w:vAlign w:val="center"/>
          </w:tcPr>
          <w:p w14:paraId="3B0DFBB9">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4E05F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exact"/>
        </w:trPr>
        <w:tc>
          <w:tcPr>
            <w:tcW w:w="2589" w:type="pct"/>
            <w:noWrap/>
            <w:vAlign w:val="center"/>
          </w:tcPr>
          <w:p w14:paraId="24185AC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发电机</w:t>
            </w:r>
          </w:p>
        </w:tc>
        <w:tc>
          <w:tcPr>
            <w:tcW w:w="982" w:type="pct"/>
            <w:noWrap/>
            <w:vAlign w:val="center"/>
          </w:tcPr>
          <w:p w14:paraId="561FB66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台</w:t>
            </w:r>
          </w:p>
        </w:tc>
        <w:tc>
          <w:tcPr>
            <w:tcW w:w="660" w:type="pct"/>
            <w:noWrap/>
            <w:vAlign w:val="center"/>
          </w:tcPr>
          <w:p w14:paraId="29AF212B">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67" w:type="pct"/>
            <w:noWrap/>
            <w:vAlign w:val="center"/>
          </w:tcPr>
          <w:p w14:paraId="00D13378">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2D163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2589" w:type="pct"/>
            <w:noWrap/>
            <w:vAlign w:val="center"/>
          </w:tcPr>
          <w:p w14:paraId="5595C9A8">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抽水机</w:t>
            </w:r>
          </w:p>
        </w:tc>
        <w:tc>
          <w:tcPr>
            <w:tcW w:w="982" w:type="pct"/>
            <w:noWrap/>
            <w:vAlign w:val="center"/>
          </w:tcPr>
          <w:p w14:paraId="473079D3">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台</w:t>
            </w:r>
          </w:p>
        </w:tc>
        <w:tc>
          <w:tcPr>
            <w:tcW w:w="660" w:type="pct"/>
            <w:noWrap/>
            <w:vAlign w:val="center"/>
          </w:tcPr>
          <w:p w14:paraId="1DDFEABC">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67" w:type="pct"/>
            <w:noWrap/>
            <w:vAlign w:val="center"/>
          </w:tcPr>
          <w:p w14:paraId="679DC05E">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4E48B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1" w:hRule="exact"/>
        </w:trPr>
        <w:tc>
          <w:tcPr>
            <w:tcW w:w="2589" w:type="pct"/>
            <w:noWrap/>
            <w:vAlign w:val="center"/>
          </w:tcPr>
          <w:p w14:paraId="494A5B4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冲击钻</w:t>
            </w:r>
          </w:p>
        </w:tc>
        <w:tc>
          <w:tcPr>
            <w:tcW w:w="982" w:type="pct"/>
            <w:noWrap/>
            <w:vAlign w:val="center"/>
          </w:tcPr>
          <w:p w14:paraId="6478E020">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把</w:t>
            </w:r>
          </w:p>
        </w:tc>
        <w:tc>
          <w:tcPr>
            <w:tcW w:w="660" w:type="pct"/>
            <w:noWrap/>
            <w:vAlign w:val="center"/>
          </w:tcPr>
          <w:p w14:paraId="2B33B3B0">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67" w:type="pct"/>
            <w:noWrap/>
            <w:vAlign w:val="center"/>
          </w:tcPr>
          <w:p w14:paraId="6843697B">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022FE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1" w:hRule="exact"/>
        </w:trPr>
        <w:tc>
          <w:tcPr>
            <w:tcW w:w="2589" w:type="pct"/>
            <w:noWrap/>
            <w:vAlign w:val="center"/>
          </w:tcPr>
          <w:p w14:paraId="616944E6">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切割机</w:t>
            </w:r>
          </w:p>
        </w:tc>
        <w:tc>
          <w:tcPr>
            <w:tcW w:w="982" w:type="pct"/>
            <w:noWrap/>
            <w:vAlign w:val="center"/>
          </w:tcPr>
          <w:p w14:paraId="7DE3E886">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台</w:t>
            </w:r>
          </w:p>
        </w:tc>
        <w:tc>
          <w:tcPr>
            <w:tcW w:w="660" w:type="pct"/>
            <w:noWrap/>
            <w:vAlign w:val="center"/>
          </w:tcPr>
          <w:p w14:paraId="660F8864">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67" w:type="pct"/>
            <w:noWrap/>
            <w:vAlign w:val="center"/>
          </w:tcPr>
          <w:p w14:paraId="4C9F8827">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06130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1" w:hRule="exact"/>
        </w:trPr>
        <w:tc>
          <w:tcPr>
            <w:tcW w:w="2589" w:type="pct"/>
            <w:noWrap/>
            <w:vAlign w:val="center"/>
          </w:tcPr>
          <w:p w14:paraId="370E50E4">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兆欧表</w:t>
            </w:r>
          </w:p>
        </w:tc>
        <w:tc>
          <w:tcPr>
            <w:tcW w:w="982" w:type="pct"/>
            <w:noWrap/>
            <w:vAlign w:val="center"/>
          </w:tcPr>
          <w:p w14:paraId="3EEA6EEB">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660" w:type="pct"/>
            <w:noWrap/>
            <w:vAlign w:val="center"/>
          </w:tcPr>
          <w:p w14:paraId="5680CDC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67" w:type="pct"/>
            <w:noWrap/>
            <w:vAlign w:val="center"/>
          </w:tcPr>
          <w:p w14:paraId="74444197">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0113D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1" w:hRule="exact"/>
        </w:trPr>
        <w:tc>
          <w:tcPr>
            <w:tcW w:w="2589" w:type="pct"/>
            <w:noWrap/>
            <w:vAlign w:val="center"/>
          </w:tcPr>
          <w:p w14:paraId="55513C4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万用表</w:t>
            </w:r>
          </w:p>
        </w:tc>
        <w:tc>
          <w:tcPr>
            <w:tcW w:w="982" w:type="pct"/>
            <w:noWrap/>
            <w:vAlign w:val="center"/>
          </w:tcPr>
          <w:p w14:paraId="29DCB848">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660" w:type="pct"/>
            <w:noWrap/>
            <w:vAlign w:val="center"/>
          </w:tcPr>
          <w:p w14:paraId="7BD31CB9">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767" w:type="pct"/>
            <w:noWrap/>
            <w:vAlign w:val="center"/>
          </w:tcPr>
          <w:p w14:paraId="712C850C">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bl>
    <w:p w14:paraId="1BA51E8A">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p>
    <w:p w14:paraId="18D5EAC2">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2.备用材料清单</w:t>
      </w:r>
    </w:p>
    <w:tbl>
      <w:tblPr>
        <w:tblStyle w:val="17"/>
        <w:tblW w:w="4998" w:type="pct"/>
        <w:tblInd w:w="0" w:type="dxa"/>
        <w:tblLayout w:type="autofit"/>
        <w:tblCellMar>
          <w:top w:w="0" w:type="dxa"/>
          <w:left w:w="30" w:type="dxa"/>
          <w:bottom w:w="0" w:type="dxa"/>
          <w:right w:w="30" w:type="dxa"/>
        </w:tblCellMar>
      </w:tblPr>
      <w:tblGrid>
        <w:gridCol w:w="1775"/>
        <w:gridCol w:w="2076"/>
        <w:gridCol w:w="1471"/>
        <w:gridCol w:w="1245"/>
        <w:gridCol w:w="1796"/>
      </w:tblGrid>
      <w:tr w14:paraId="3E246118">
        <w:tblPrEx>
          <w:tblCellMar>
            <w:top w:w="0" w:type="dxa"/>
            <w:left w:w="30" w:type="dxa"/>
            <w:bottom w:w="0" w:type="dxa"/>
            <w:right w:w="30" w:type="dxa"/>
          </w:tblCellMar>
        </w:tblPrEx>
        <w:trPr>
          <w:trHeight w:val="284" w:hRule="atLeast"/>
        </w:trPr>
        <w:tc>
          <w:tcPr>
            <w:tcW w:w="1061" w:type="pct"/>
            <w:tcBorders>
              <w:top w:val="single" w:color="auto" w:sz="4" w:space="0"/>
              <w:left w:val="single" w:color="auto" w:sz="6" w:space="0"/>
              <w:bottom w:val="single" w:color="auto" w:sz="6" w:space="0"/>
              <w:right w:val="single" w:color="auto" w:sz="6" w:space="0"/>
            </w:tcBorders>
            <w:noWrap/>
            <w:vAlign w:val="top"/>
          </w:tcPr>
          <w:p w14:paraId="5CF8FE8D">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设备材料名称</w:t>
            </w:r>
          </w:p>
        </w:tc>
        <w:tc>
          <w:tcPr>
            <w:tcW w:w="1241" w:type="pct"/>
            <w:tcBorders>
              <w:top w:val="single" w:color="auto" w:sz="4" w:space="0"/>
              <w:left w:val="single" w:color="auto" w:sz="6" w:space="0"/>
              <w:bottom w:val="single" w:color="auto" w:sz="6" w:space="0"/>
              <w:right w:val="single" w:color="auto" w:sz="6" w:space="0"/>
            </w:tcBorders>
            <w:noWrap/>
            <w:vAlign w:val="top"/>
          </w:tcPr>
          <w:p w14:paraId="0687C55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规格型号</w:t>
            </w:r>
          </w:p>
        </w:tc>
        <w:tc>
          <w:tcPr>
            <w:tcW w:w="879" w:type="pct"/>
            <w:tcBorders>
              <w:top w:val="single" w:color="auto" w:sz="4" w:space="0"/>
              <w:left w:val="single" w:color="auto" w:sz="6" w:space="0"/>
              <w:bottom w:val="single" w:color="auto" w:sz="6" w:space="0"/>
              <w:right w:val="single" w:color="auto" w:sz="6" w:space="0"/>
            </w:tcBorders>
            <w:noWrap/>
            <w:vAlign w:val="top"/>
          </w:tcPr>
          <w:p w14:paraId="66B9348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单位</w:t>
            </w:r>
          </w:p>
        </w:tc>
        <w:tc>
          <w:tcPr>
            <w:tcW w:w="744" w:type="pct"/>
            <w:tcBorders>
              <w:top w:val="single" w:color="auto" w:sz="4" w:space="0"/>
              <w:left w:val="single" w:color="auto" w:sz="6" w:space="0"/>
              <w:bottom w:val="single" w:color="auto" w:sz="6" w:space="0"/>
              <w:right w:val="single" w:color="auto" w:sz="4" w:space="0"/>
            </w:tcBorders>
            <w:noWrap/>
            <w:vAlign w:val="top"/>
          </w:tcPr>
          <w:p w14:paraId="10F82DE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数量</w:t>
            </w:r>
          </w:p>
        </w:tc>
        <w:tc>
          <w:tcPr>
            <w:tcW w:w="1073" w:type="pct"/>
            <w:tcBorders>
              <w:top w:val="single" w:color="auto" w:sz="4" w:space="0"/>
              <w:left w:val="single" w:color="auto" w:sz="6" w:space="0"/>
              <w:bottom w:val="single" w:color="auto" w:sz="6" w:space="0"/>
              <w:right w:val="single" w:color="auto" w:sz="4" w:space="0"/>
            </w:tcBorders>
            <w:noWrap/>
            <w:vAlign w:val="top"/>
          </w:tcPr>
          <w:p w14:paraId="73F17E0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备注</w:t>
            </w:r>
          </w:p>
        </w:tc>
      </w:tr>
      <w:tr w14:paraId="53A9E815">
        <w:tblPrEx>
          <w:tblCellMar>
            <w:top w:w="0" w:type="dxa"/>
            <w:left w:w="30" w:type="dxa"/>
            <w:bottom w:w="0" w:type="dxa"/>
            <w:right w:w="30" w:type="dxa"/>
          </w:tblCellMar>
        </w:tblPrEx>
        <w:trPr>
          <w:cantSplit/>
          <w:trHeight w:val="284" w:hRule="atLeast"/>
        </w:trPr>
        <w:tc>
          <w:tcPr>
            <w:tcW w:w="1061" w:type="pct"/>
            <w:vMerge w:val="restart"/>
            <w:tcBorders>
              <w:top w:val="single" w:color="auto" w:sz="4" w:space="0"/>
              <w:left w:val="single" w:color="auto" w:sz="6" w:space="0"/>
              <w:right w:val="single" w:color="auto" w:sz="6" w:space="0"/>
            </w:tcBorders>
            <w:noWrap/>
            <w:vAlign w:val="center"/>
          </w:tcPr>
          <w:p w14:paraId="1F5DAB3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铠装光缆</w:t>
            </w:r>
          </w:p>
        </w:tc>
        <w:tc>
          <w:tcPr>
            <w:tcW w:w="1241" w:type="pct"/>
            <w:tcBorders>
              <w:top w:val="single" w:color="auto" w:sz="4" w:space="0"/>
              <w:left w:val="single" w:color="auto" w:sz="6" w:space="0"/>
              <w:bottom w:val="single" w:color="auto" w:sz="4" w:space="0"/>
              <w:right w:val="single" w:color="auto" w:sz="6" w:space="0"/>
            </w:tcBorders>
            <w:noWrap/>
            <w:vAlign w:val="top"/>
          </w:tcPr>
          <w:p w14:paraId="0314BF9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GYTA53-2芯</w:t>
            </w:r>
          </w:p>
        </w:tc>
        <w:tc>
          <w:tcPr>
            <w:tcW w:w="879" w:type="pct"/>
            <w:tcBorders>
              <w:top w:val="single" w:color="auto" w:sz="4" w:space="0"/>
              <w:left w:val="single" w:color="auto" w:sz="6" w:space="0"/>
              <w:bottom w:val="single" w:color="auto" w:sz="4" w:space="0"/>
              <w:right w:val="single" w:color="auto" w:sz="6" w:space="0"/>
            </w:tcBorders>
            <w:noWrap/>
            <w:vAlign w:val="top"/>
          </w:tcPr>
          <w:p w14:paraId="4D69D36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6C32F3C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10</w:t>
            </w:r>
          </w:p>
        </w:tc>
        <w:tc>
          <w:tcPr>
            <w:tcW w:w="1073" w:type="pct"/>
            <w:tcBorders>
              <w:top w:val="single" w:color="auto" w:sz="4" w:space="0"/>
              <w:left w:val="single" w:color="auto" w:sz="6" w:space="0"/>
              <w:bottom w:val="single" w:color="auto" w:sz="4" w:space="0"/>
              <w:right w:val="single" w:color="auto" w:sz="4" w:space="0"/>
            </w:tcBorders>
            <w:noWrap/>
            <w:vAlign w:val="top"/>
          </w:tcPr>
          <w:p w14:paraId="77A9F1B3">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25F1567C">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center"/>
          </w:tcPr>
          <w:p w14:paraId="0AE1592D">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7E4DB726">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GYTA53-4芯</w:t>
            </w:r>
          </w:p>
        </w:tc>
        <w:tc>
          <w:tcPr>
            <w:tcW w:w="879" w:type="pct"/>
            <w:tcBorders>
              <w:top w:val="single" w:color="auto" w:sz="4" w:space="0"/>
              <w:left w:val="single" w:color="auto" w:sz="6" w:space="0"/>
              <w:bottom w:val="single" w:color="auto" w:sz="4" w:space="0"/>
              <w:right w:val="single" w:color="auto" w:sz="6" w:space="0"/>
            </w:tcBorders>
            <w:noWrap/>
            <w:vAlign w:val="top"/>
          </w:tcPr>
          <w:p w14:paraId="430F2FA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45D88BC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8</w:t>
            </w:r>
          </w:p>
        </w:tc>
        <w:tc>
          <w:tcPr>
            <w:tcW w:w="1073" w:type="pct"/>
            <w:tcBorders>
              <w:top w:val="single" w:color="auto" w:sz="4" w:space="0"/>
              <w:left w:val="single" w:color="auto" w:sz="6" w:space="0"/>
              <w:bottom w:val="single" w:color="auto" w:sz="4" w:space="0"/>
              <w:right w:val="single" w:color="auto" w:sz="4" w:space="0"/>
            </w:tcBorders>
            <w:noWrap/>
            <w:vAlign w:val="top"/>
          </w:tcPr>
          <w:p w14:paraId="1D60390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7E46C87C">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top"/>
          </w:tcPr>
          <w:p w14:paraId="59A09F6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7672299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GYTA53-6芯</w:t>
            </w:r>
          </w:p>
        </w:tc>
        <w:tc>
          <w:tcPr>
            <w:tcW w:w="879" w:type="pct"/>
            <w:tcBorders>
              <w:top w:val="single" w:color="auto" w:sz="4" w:space="0"/>
              <w:left w:val="single" w:color="auto" w:sz="6" w:space="0"/>
              <w:bottom w:val="single" w:color="auto" w:sz="4" w:space="0"/>
              <w:right w:val="single" w:color="auto" w:sz="6" w:space="0"/>
            </w:tcBorders>
            <w:noWrap/>
            <w:vAlign w:val="top"/>
          </w:tcPr>
          <w:p w14:paraId="4FE343EC">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0ADFEBE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767E92EA">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30666802">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top"/>
          </w:tcPr>
          <w:p w14:paraId="62628B2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0CEE082C">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GYTA53-8芯</w:t>
            </w:r>
          </w:p>
        </w:tc>
        <w:tc>
          <w:tcPr>
            <w:tcW w:w="879" w:type="pct"/>
            <w:tcBorders>
              <w:top w:val="single" w:color="auto" w:sz="4" w:space="0"/>
              <w:left w:val="single" w:color="auto" w:sz="6" w:space="0"/>
              <w:bottom w:val="single" w:color="auto" w:sz="4" w:space="0"/>
              <w:right w:val="single" w:color="auto" w:sz="6" w:space="0"/>
            </w:tcBorders>
            <w:noWrap/>
            <w:vAlign w:val="top"/>
          </w:tcPr>
          <w:p w14:paraId="471469F5">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73BD555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1C69FAE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48F15BBD">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top"/>
          </w:tcPr>
          <w:p w14:paraId="62CE64CC">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6F34C3E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GYTA53-12芯</w:t>
            </w:r>
          </w:p>
        </w:tc>
        <w:tc>
          <w:tcPr>
            <w:tcW w:w="879" w:type="pct"/>
            <w:tcBorders>
              <w:top w:val="single" w:color="auto" w:sz="4" w:space="0"/>
              <w:left w:val="single" w:color="auto" w:sz="6" w:space="0"/>
              <w:bottom w:val="single" w:color="auto" w:sz="4" w:space="0"/>
              <w:right w:val="single" w:color="auto" w:sz="6" w:space="0"/>
            </w:tcBorders>
            <w:noWrap/>
            <w:vAlign w:val="top"/>
          </w:tcPr>
          <w:p w14:paraId="167D2EB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5CC1BC6D">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6AD226E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4ADFCCB4">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top"/>
          </w:tcPr>
          <w:p w14:paraId="27E97B56">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48B3354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GYTA53-24芯</w:t>
            </w:r>
          </w:p>
        </w:tc>
        <w:tc>
          <w:tcPr>
            <w:tcW w:w="879" w:type="pct"/>
            <w:tcBorders>
              <w:top w:val="single" w:color="auto" w:sz="4" w:space="0"/>
              <w:left w:val="single" w:color="auto" w:sz="6" w:space="0"/>
              <w:bottom w:val="single" w:color="auto" w:sz="4" w:space="0"/>
              <w:right w:val="single" w:color="auto" w:sz="6" w:space="0"/>
            </w:tcBorders>
            <w:noWrap/>
            <w:vAlign w:val="top"/>
          </w:tcPr>
          <w:p w14:paraId="1C76904A">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28A1F2B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1EFC74D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103B7C89">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top"/>
          </w:tcPr>
          <w:p w14:paraId="53DE0B2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319082A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GYTA53-48芯</w:t>
            </w:r>
          </w:p>
        </w:tc>
        <w:tc>
          <w:tcPr>
            <w:tcW w:w="879" w:type="pct"/>
            <w:tcBorders>
              <w:top w:val="single" w:color="auto" w:sz="4" w:space="0"/>
              <w:left w:val="single" w:color="auto" w:sz="6" w:space="0"/>
              <w:bottom w:val="single" w:color="auto" w:sz="4" w:space="0"/>
              <w:right w:val="single" w:color="auto" w:sz="6" w:space="0"/>
            </w:tcBorders>
            <w:noWrap/>
            <w:vAlign w:val="top"/>
          </w:tcPr>
          <w:p w14:paraId="33B92DE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428563D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45C3922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7C40F4CA">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top"/>
          </w:tcPr>
          <w:p w14:paraId="6F9402E3">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1D1D335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GYTA53-96芯</w:t>
            </w:r>
          </w:p>
        </w:tc>
        <w:tc>
          <w:tcPr>
            <w:tcW w:w="879" w:type="pct"/>
            <w:tcBorders>
              <w:top w:val="single" w:color="auto" w:sz="4" w:space="0"/>
              <w:left w:val="single" w:color="auto" w:sz="6" w:space="0"/>
              <w:bottom w:val="single" w:color="auto" w:sz="4" w:space="0"/>
              <w:right w:val="single" w:color="auto" w:sz="6" w:space="0"/>
            </w:tcBorders>
            <w:noWrap/>
            <w:vAlign w:val="top"/>
          </w:tcPr>
          <w:p w14:paraId="6082243D">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6B6199F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3910BA3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6C65A32E">
        <w:tblPrEx>
          <w:tblCellMar>
            <w:top w:w="0" w:type="dxa"/>
            <w:left w:w="30" w:type="dxa"/>
            <w:bottom w:w="0" w:type="dxa"/>
            <w:right w:w="30" w:type="dxa"/>
          </w:tblCellMar>
        </w:tblPrEx>
        <w:trPr>
          <w:cantSplit/>
          <w:trHeight w:val="90" w:hRule="atLeast"/>
        </w:trPr>
        <w:tc>
          <w:tcPr>
            <w:tcW w:w="1061" w:type="pct"/>
            <w:vMerge w:val="continue"/>
            <w:tcBorders>
              <w:left w:val="single" w:color="auto" w:sz="6" w:space="0"/>
              <w:bottom w:val="single" w:color="auto" w:sz="4" w:space="0"/>
              <w:right w:val="single" w:color="auto" w:sz="6" w:space="0"/>
            </w:tcBorders>
            <w:noWrap/>
            <w:vAlign w:val="top"/>
          </w:tcPr>
          <w:p w14:paraId="5824D6C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014A579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GYTA53-144芯</w:t>
            </w:r>
          </w:p>
        </w:tc>
        <w:tc>
          <w:tcPr>
            <w:tcW w:w="879" w:type="pct"/>
            <w:tcBorders>
              <w:top w:val="single" w:color="auto" w:sz="4" w:space="0"/>
              <w:left w:val="single" w:color="auto" w:sz="6" w:space="0"/>
              <w:bottom w:val="single" w:color="auto" w:sz="4" w:space="0"/>
              <w:right w:val="single" w:color="auto" w:sz="6" w:space="0"/>
            </w:tcBorders>
            <w:noWrap/>
            <w:vAlign w:val="top"/>
          </w:tcPr>
          <w:p w14:paraId="3676157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公里</w:t>
            </w:r>
          </w:p>
        </w:tc>
        <w:tc>
          <w:tcPr>
            <w:tcW w:w="744" w:type="pct"/>
            <w:tcBorders>
              <w:top w:val="single" w:color="auto" w:sz="4" w:space="0"/>
              <w:left w:val="single" w:color="auto" w:sz="6" w:space="0"/>
              <w:bottom w:val="single" w:color="auto" w:sz="4" w:space="0"/>
              <w:right w:val="single" w:color="auto" w:sz="4" w:space="0"/>
            </w:tcBorders>
            <w:noWrap/>
            <w:vAlign w:val="top"/>
          </w:tcPr>
          <w:p w14:paraId="2520247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6" w:space="0"/>
              <w:bottom w:val="single" w:color="auto" w:sz="4" w:space="0"/>
              <w:right w:val="single" w:color="auto" w:sz="4" w:space="0"/>
            </w:tcBorders>
            <w:noWrap/>
            <w:vAlign w:val="top"/>
          </w:tcPr>
          <w:p w14:paraId="788E66F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0B43C3DB">
        <w:tblPrEx>
          <w:tblCellMar>
            <w:top w:w="0" w:type="dxa"/>
            <w:left w:w="30" w:type="dxa"/>
            <w:bottom w:w="0" w:type="dxa"/>
            <w:right w:w="30" w:type="dxa"/>
          </w:tblCellMar>
        </w:tblPrEx>
        <w:trPr>
          <w:cantSplit/>
          <w:trHeight w:val="284" w:hRule="atLeast"/>
        </w:trPr>
        <w:tc>
          <w:tcPr>
            <w:tcW w:w="1061" w:type="pct"/>
            <w:vMerge w:val="restart"/>
            <w:tcBorders>
              <w:left w:val="single" w:color="auto" w:sz="6" w:space="0"/>
              <w:right w:val="single" w:color="auto" w:sz="6" w:space="0"/>
            </w:tcBorders>
            <w:noWrap/>
            <w:vAlign w:val="center"/>
          </w:tcPr>
          <w:p w14:paraId="33D12E1D">
            <w:pPr>
              <w:pStyle w:val="13"/>
              <w:keepNext w:val="0"/>
              <w:keepLines w:val="0"/>
              <w:suppressLineNumbers w:val="0"/>
              <w:spacing w:before="0" w:beforeAutospacing="0" w:after="0" w:afterAutospacing="0" w:line="360" w:lineRule="auto"/>
              <w:ind w:left="0" w:right="0"/>
              <w:jc w:val="center"/>
              <w:rPr>
                <w:rFonts w:hint="default" w:ascii="宋体" w:hAnsi="宋体" w:eastAsia="宋体" w:cs="宋体"/>
                <w:color w:val="auto"/>
                <w:szCs w:val="21"/>
                <w:highlight w:val="none"/>
              </w:rPr>
            </w:pPr>
            <w:r>
              <w:rPr>
                <w:rFonts w:hint="eastAsia" w:ascii="宋体" w:hAnsi="宋体" w:eastAsia="宋体" w:cs="宋体"/>
                <w:color w:val="auto"/>
                <w:szCs w:val="21"/>
                <w:highlight w:val="none"/>
              </w:rPr>
              <w:t>光跳线</w:t>
            </w:r>
          </w:p>
        </w:tc>
        <w:tc>
          <w:tcPr>
            <w:tcW w:w="1241" w:type="pct"/>
            <w:tcBorders>
              <w:top w:val="single" w:color="auto" w:sz="4" w:space="0"/>
              <w:left w:val="single" w:color="auto" w:sz="6" w:space="0"/>
              <w:bottom w:val="single" w:color="auto" w:sz="4" w:space="0"/>
              <w:right w:val="single" w:color="auto" w:sz="6" w:space="0"/>
            </w:tcBorders>
            <w:noWrap/>
            <w:vAlign w:val="top"/>
          </w:tcPr>
          <w:p w14:paraId="7B8DE77D">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FC-FC  3m</w:t>
            </w:r>
          </w:p>
        </w:tc>
        <w:tc>
          <w:tcPr>
            <w:tcW w:w="879" w:type="pct"/>
            <w:tcBorders>
              <w:top w:val="single" w:color="auto" w:sz="4" w:space="0"/>
              <w:left w:val="single" w:color="auto" w:sz="6" w:space="0"/>
              <w:bottom w:val="single" w:color="auto" w:sz="4" w:space="0"/>
              <w:right w:val="single" w:color="auto" w:sz="6" w:space="0"/>
            </w:tcBorders>
            <w:noWrap/>
            <w:vAlign w:val="top"/>
          </w:tcPr>
          <w:p w14:paraId="5CEFF17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条</w:t>
            </w:r>
          </w:p>
        </w:tc>
        <w:tc>
          <w:tcPr>
            <w:tcW w:w="744" w:type="pct"/>
            <w:tcBorders>
              <w:top w:val="single" w:color="auto" w:sz="4" w:space="0"/>
              <w:left w:val="single" w:color="auto" w:sz="6" w:space="0"/>
              <w:bottom w:val="single" w:color="auto" w:sz="4" w:space="0"/>
              <w:right w:val="single" w:color="auto" w:sz="4" w:space="0"/>
            </w:tcBorders>
            <w:noWrap/>
            <w:vAlign w:val="top"/>
          </w:tcPr>
          <w:p w14:paraId="098CFA6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30</w:t>
            </w:r>
          </w:p>
        </w:tc>
        <w:tc>
          <w:tcPr>
            <w:tcW w:w="1073" w:type="pct"/>
            <w:tcBorders>
              <w:top w:val="single" w:color="auto" w:sz="4" w:space="0"/>
              <w:left w:val="single" w:color="auto" w:sz="6" w:space="0"/>
              <w:bottom w:val="single" w:color="auto" w:sz="4" w:space="0"/>
              <w:right w:val="single" w:color="auto" w:sz="4" w:space="0"/>
            </w:tcBorders>
            <w:noWrap/>
            <w:vAlign w:val="top"/>
          </w:tcPr>
          <w:p w14:paraId="097864A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6FA966F2">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center"/>
          </w:tcPr>
          <w:p w14:paraId="3B6FEB9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23A171F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FC-LC  3m</w:t>
            </w:r>
          </w:p>
        </w:tc>
        <w:tc>
          <w:tcPr>
            <w:tcW w:w="879" w:type="pct"/>
            <w:tcBorders>
              <w:top w:val="single" w:color="auto" w:sz="4" w:space="0"/>
              <w:left w:val="single" w:color="auto" w:sz="6" w:space="0"/>
              <w:bottom w:val="single" w:color="auto" w:sz="4" w:space="0"/>
              <w:right w:val="single" w:color="auto" w:sz="6" w:space="0"/>
            </w:tcBorders>
            <w:noWrap/>
            <w:vAlign w:val="top"/>
          </w:tcPr>
          <w:p w14:paraId="333E390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条</w:t>
            </w:r>
          </w:p>
        </w:tc>
        <w:tc>
          <w:tcPr>
            <w:tcW w:w="744" w:type="pct"/>
            <w:tcBorders>
              <w:top w:val="single" w:color="auto" w:sz="4" w:space="0"/>
              <w:left w:val="single" w:color="auto" w:sz="6" w:space="0"/>
              <w:bottom w:val="single" w:color="auto" w:sz="4" w:space="0"/>
              <w:right w:val="single" w:color="auto" w:sz="4" w:space="0"/>
            </w:tcBorders>
            <w:noWrap/>
            <w:vAlign w:val="top"/>
          </w:tcPr>
          <w:p w14:paraId="4EB3CD4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30</w:t>
            </w:r>
          </w:p>
        </w:tc>
        <w:tc>
          <w:tcPr>
            <w:tcW w:w="1073" w:type="pct"/>
            <w:tcBorders>
              <w:top w:val="single" w:color="auto" w:sz="4" w:space="0"/>
              <w:left w:val="single" w:color="auto" w:sz="6" w:space="0"/>
              <w:bottom w:val="single" w:color="auto" w:sz="4" w:space="0"/>
              <w:right w:val="single" w:color="auto" w:sz="4" w:space="0"/>
            </w:tcBorders>
            <w:noWrap/>
            <w:vAlign w:val="top"/>
          </w:tcPr>
          <w:p w14:paraId="1D0DAB36">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1C71497C">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center"/>
          </w:tcPr>
          <w:p w14:paraId="0B3A199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2BC1505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FC-FC  5m</w:t>
            </w:r>
          </w:p>
        </w:tc>
        <w:tc>
          <w:tcPr>
            <w:tcW w:w="879" w:type="pct"/>
            <w:tcBorders>
              <w:top w:val="single" w:color="auto" w:sz="4" w:space="0"/>
              <w:left w:val="single" w:color="auto" w:sz="6" w:space="0"/>
              <w:bottom w:val="single" w:color="auto" w:sz="4" w:space="0"/>
              <w:right w:val="single" w:color="auto" w:sz="6" w:space="0"/>
            </w:tcBorders>
            <w:noWrap/>
            <w:vAlign w:val="top"/>
          </w:tcPr>
          <w:p w14:paraId="0E2048A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条</w:t>
            </w:r>
          </w:p>
        </w:tc>
        <w:tc>
          <w:tcPr>
            <w:tcW w:w="744" w:type="pct"/>
            <w:tcBorders>
              <w:top w:val="single" w:color="auto" w:sz="4" w:space="0"/>
              <w:left w:val="single" w:color="auto" w:sz="6" w:space="0"/>
              <w:bottom w:val="single" w:color="auto" w:sz="4" w:space="0"/>
              <w:right w:val="single" w:color="auto" w:sz="4" w:space="0"/>
            </w:tcBorders>
            <w:noWrap/>
            <w:vAlign w:val="top"/>
          </w:tcPr>
          <w:p w14:paraId="2D1F16F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30</w:t>
            </w:r>
          </w:p>
        </w:tc>
        <w:tc>
          <w:tcPr>
            <w:tcW w:w="1073" w:type="pct"/>
            <w:tcBorders>
              <w:top w:val="single" w:color="auto" w:sz="4" w:space="0"/>
              <w:left w:val="single" w:color="auto" w:sz="6" w:space="0"/>
              <w:bottom w:val="single" w:color="auto" w:sz="4" w:space="0"/>
              <w:right w:val="single" w:color="auto" w:sz="4" w:space="0"/>
            </w:tcBorders>
            <w:noWrap/>
            <w:vAlign w:val="top"/>
          </w:tcPr>
          <w:p w14:paraId="00AA327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6A1A7CA9">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center"/>
          </w:tcPr>
          <w:p w14:paraId="4954CF85">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7EB3C63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FC-LC  5m</w:t>
            </w:r>
          </w:p>
        </w:tc>
        <w:tc>
          <w:tcPr>
            <w:tcW w:w="879" w:type="pct"/>
            <w:tcBorders>
              <w:top w:val="single" w:color="auto" w:sz="4" w:space="0"/>
              <w:left w:val="single" w:color="auto" w:sz="6" w:space="0"/>
              <w:bottom w:val="single" w:color="auto" w:sz="4" w:space="0"/>
              <w:right w:val="single" w:color="auto" w:sz="6" w:space="0"/>
            </w:tcBorders>
            <w:noWrap/>
            <w:vAlign w:val="top"/>
          </w:tcPr>
          <w:p w14:paraId="682749D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b/>
                <w:bCs/>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条</w:t>
            </w:r>
          </w:p>
        </w:tc>
        <w:tc>
          <w:tcPr>
            <w:tcW w:w="744" w:type="pct"/>
            <w:tcBorders>
              <w:top w:val="single" w:color="auto" w:sz="4" w:space="0"/>
              <w:left w:val="single" w:color="auto" w:sz="6" w:space="0"/>
              <w:bottom w:val="single" w:color="auto" w:sz="4" w:space="0"/>
              <w:right w:val="single" w:color="auto" w:sz="4" w:space="0"/>
            </w:tcBorders>
            <w:noWrap/>
            <w:vAlign w:val="top"/>
          </w:tcPr>
          <w:p w14:paraId="30FAB81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20</w:t>
            </w:r>
          </w:p>
        </w:tc>
        <w:tc>
          <w:tcPr>
            <w:tcW w:w="1073" w:type="pct"/>
            <w:tcBorders>
              <w:top w:val="single" w:color="auto" w:sz="4" w:space="0"/>
              <w:left w:val="single" w:color="auto" w:sz="6" w:space="0"/>
              <w:bottom w:val="single" w:color="auto" w:sz="4" w:space="0"/>
              <w:right w:val="single" w:color="auto" w:sz="4" w:space="0"/>
            </w:tcBorders>
            <w:noWrap/>
            <w:vAlign w:val="top"/>
          </w:tcPr>
          <w:p w14:paraId="6490B60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7E70AF11">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right w:val="single" w:color="auto" w:sz="6" w:space="0"/>
            </w:tcBorders>
            <w:noWrap/>
            <w:vAlign w:val="center"/>
          </w:tcPr>
          <w:p w14:paraId="021CE47D">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63D2F6BA">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FC-FC  10m</w:t>
            </w:r>
          </w:p>
        </w:tc>
        <w:tc>
          <w:tcPr>
            <w:tcW w:w="879" w:type="pct"/>
            <w:tcBorders>
              <w:top w:val="single" w:color="auto" w:sz="4" w:space="0"/>
              <w:left w:val="single" w:color="auto" w:sz="6" w:space="0"/>
              <w:bottom w:val="single" w:color="auto" w:sz="4" w:space="0"/>
              <w:right w:val="single" w:color="auto" w:sz="6" w:space="0"/>
            </w:tcBorders>
            <w:noWrap/>
            <w:vAlign w:val="top"/>
          </w:tcPr>
          <w:p w14:paraId="14FEEAB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条</w:t>
            </w:r>
          </w:p>
        </w:tc>
        <w:tc>
          <w:tcPr>
            <w:tcW w:w="744" w:type="pct"/>
            <w:tcBorders>
              <w:top w:val="single" w:color="auto" w:sz="4" w:space="0"/>
              <w:left w:val="single" w:color="auto" w:sz="6" w:space="0"/>
              <w:bottom w:val="single" w:color="auto" w:sz="4" w:space="0"/>
              <w:right w:val="single" w:color="auto" w:sz="4" w:space="0"/>
            </w:tcBorders>
            <w:noWrap/>
            <w:vAlign w:val="top"/>
          </w:tcPr>
          <w:p w14:paraId="7F7D489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20</w:t>
            </w:r>
          </w:p>
        </w:tc>
        <w:tc>
          <w:tcPr>
            <w:tcW w:w="1073" w:type="pct"/>
            <w:tcBorders>
              <w:top w:val="single" w:color="auto" w:sz="4" w:space="0"/>
              <w:left w:val="single" w:color="auto" w:sz="6" w:space="0"/>
              <w:bottom w:val="single" w:color="auto" w:sz="4" w:space="0"/>
              <w:right w:val="single" w:color="auto" w:sz="4" w:space="0"/>
            </w:tcBorders>
            <w:noWrap/>
            <w:vAlign w:val="top"/>
          </w:tcPr>
          <w:p w14:paraId="3104746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19CB404E">
        <w:tblPrEx>
          <w:tblCellMar>
            <w:top w:w="0" w:type="dxa"/>
            <w:left w:w="30" w:type="dxa"/>
            <w:bottom w:w="0" w:type="dxa"/>
            <w:right w:w="30" w:type="dxa"/>
          </w:tblCellMar>
        </w:tblPrEx>
        <w:trPr>
          <w:cantSplit/>
          <w:trHeight w:val="284" w:hRule="atLeast"/>
        </w:trPr>
        <w:tc>
          <w:tcPr>
            <w:tcW w:w="1061" w:type="pct"/>
            <w:vMerge w:val="continue"/>
            <w:tcBorders>
              <w:left w:val="single" w:color="auto" w:sz="6" w:space="0"/>
              <w:bottom w:val="single" w:color="auto" w:sz="4" w:space="0"/>
              <w:right w:val="single" w:color="auto" w:sz="6" w:space="0"/>
            </w:tcBorders>
            <w:noWrap/>
            <w:vAlign w:val="center"/>
          </w:tcPr>
          <w:p w14:paraId="6EF2E1D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6" w:space="0"/>
              <w:bottom w:val="single" w:color="auto" w:sz="4" w:space="0"/>
              <w:right w:val="single" w:color="auto" w:sz="6" w:space="0"/>
            </w:tcBorders>
            <w:noWrap/>
            <w:vAlign w:val="top"/>
          </w:tcPr>
          <w:p w14:paraId="44F71B45">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FC-LC  10m</w:t>
            </w:r>
          </w:p>
        </w:tc>
        <w:tc>
          <w:tcPr>
            <w:tcW w:w="879" w:type="pct"/>
            <w:tcBorders>
              <w:top w:val="single" w:color="auto" w:sz="4" w:space="0"/>
              <w:left w:val="single" w:color="auto" w:sz="6" w:space="0"/>
              <w:bottom w:val="single" w:color="auto" w:sz="4" w:space="0"/>
              <w:right w:val="single" w:color="auto" w:sz="6" w:space="0"/>
            </w:tcBorders>
            <w:noWrap/>
            <w:vAlign w:val="top"/>
          </w:tcPr>
          <w:p w14:paraId="6C55935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条</w:t>
            </w:r>
          </w:p>
        </w:tc>
        <w:tc>
          <w:tcPr>
            <w:tcW w:w="744" w:type="pct"/>
            <w:tcBorders>
              <w:top w:val="single" w:color="auto" w:sz="4" w:space="0"/>
              <w:left w:val="single" w:color="auto" w:sz="6" w:space="0"/>
              <w:bottom w:val="single" w:color="auto" w:sz="4" w:space="0"/>
              <w:right w:val="single" w:color="auto" w:sz="4" w:space="0"/>
            </w:tcBorders>
            <w:noWrap/>
            <w:vAlign w:val="top"/>
          </w:tcPr>
          <w:p w14:paraId="7B3096A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20</w:t>
            </w:r>
          </w:p>
        </w:tc>
        <w:tc>
          <w:tcPr>
            <w:tcW w:w="1073" w:type="pct"/>
            <w:tcBorders>
              <w:top w:val="single" w:color="auto" w:sz="4" w:space="0"/>
              <w:left w:val="single" w:color="auto" w:sz="6" w:space="0"/>
              <w:bottom w:val="single" w:color="auto" w:sz="4" w:space="0"/>
              <w:right w:val="single" w:color="auto" w:sz="4" w:space="0"/>
            </w:tcBorders>
            <w:noWrap/>
            <w:vAlign w:val="top"/>
          </w:tcPr>
          <w:p w14:paraId="34C3CA5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7E9FA028">
        <w:tblPrEx>
          <w:tblCellMar>
            <w:top w:w="0" w:type="dxa"/>
            <w:left w:w="30" w:type="dxa"/>
            <w:bottom w:w="0" w:type="dxa"/>
            <w:right w:w="30" w:type="dxa"/>
          </w:tblCellMar>
        </w:tblPrEx>
        <w:trPr>
          <w:cantSplit/>
          <w:trHeight w:val="284" w:hRule="atLeast"/>
        </w:trPr>
        <w:tc>
          <w:tcPr>
            <w:tcW w:w="1061" w:type="pct"/>
            <w:vMerge w:val="restart"/>
            <w:tcBorders>
              <w:top w:val="single" w:color="auto" w:sz="4" w:space="0"/>
              <w:left w:val="single" w:color="auto" w:sz="4" w:space="0"/>
              <w:bottom w:val="single" w:color="auto" w:sz="4" w:space="0"/>
              <w:right w:val="single" w:color="auto" w:sz="4" w:space="0"/>
            </w:tcBorders>
            <w:noWrap/>
            <w:vAlign w:val="center"/>
          </w:tcPr>
          <w:p w14:paraId="76B1CE2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光缆接头盒</w:t>
            </w:r>
          </w:p>
        </w:tc>
        <w:tc>
          <w:tcPr>
            <w:tcW w:w="1241" w:type="pct"/>
            <w:tcBorders>
              <w:top w:val="single" w:color="auto" w:sz="4" w:space="0"/>
              <w:left w:val="single" w:color="auto" w:sz="4" w:space="0"/>
              <w:bottom w:val="single" w:color="auto" w:sz="4" w:space="0"/>
              <w:right w:val="single" w:color="auto" w:sz="4" w:space="0"/>
            </w:tcBorders>
            <w:noWrap/>
            <w:vAlign w:val="top"/>
          </w:tcPr>
          <w:p w14:paraId="336C65F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12芯</w:t>
            </w:r>
          </w:p>
        </w:tc>
        <w:tc>
          <w:tcPr>
            <w:tcW w:w="879" w:type="pct"/>
            <w:tcBorders>
              <w:top w:val="single" w:color="auto" w:sz="4" w:space="0"/>
              <w:left w:val="single" w:color="auto" w:sz="4" w:space="0"/>
              <w:bottom w:val="single" w:color="auto" w:sz="4" w:space="0"/>
              <w:right w:val="single" w:color="auto" w:sz="4" w:space="0"/>
            </w:tcBorders>
            <w:noWrap/>
            <w:vAlign w:val="top"/>
          </w:tcPr>
          <w:p w14:paraId="1B6A4AC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60255AC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50</w:t>
            </w:r>
          </w:p>
        </w:tc>
        <w:tc>
          <w:tcPr>
            <w:tcW w:w="1073" w:type="pct"/>
            <w:tcBorders>
              <w:top w:val="single" w:color="auto" w:sz="4" w:space="0"/>
              <w:left w:val="single" w:color="auto" w:sz="4" w:space="0"/>
              <w:bottom w:val="single" w:color="auto" w:sz="4" w:space="0"/>
              <w:right w:val="single" w:color="auto" w:sz="4" w:space="0"/>
            </w:tcBorders>
            <w:noWrap/>
            <w:vAlign w:val="top"/>
          </w:tcPr>
          <w:p w14:paraId="67976D5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31D03F10">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5E8A168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6E1A115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24芯</w:t>
            </w:r>
          </w:p>
        </w:tc>
        <w:tc>
          <w:tcPr>
            <w:tcW w:w="879" w:type="pct"/>
            <w:tcBorders>
              <w:top w:val="single" w:color="auto" w:sz="4" w:space="0"/>
              <w:left w:val="single" w:color="auto" w:sz="4" w:space="0"/>
              <w:bottom w:val="single" w:color="auto" w:sz="4" w:space="0"/>
              <w:right w:val="single" w:color="auto" w:sz="4" w:space="0"/>
            </w:tcBorders>
            <w:noWrap/>
            <w:vAlign w:val="top"/>
          </w:tcPr>
          <w:p w14:paraId="1E78F92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343E7F2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30</w:t>
            </w:r>
          </w:p>
        </w:tc>
        <w:tc>
          <w:tcPr>
            <w:tcW w:w="1073" w:type="pct"/>
            <w:tcBorders>
              <w:top w:val="single" w:color="auto" w:sz="4" w:space="0"/>
              <w:left w:val="single" w:color="auto" w:sz="4" w:space="0"/>
              <w:bottom w:val="single" w:color="auto" w:sz="4" w:space="0"/>
              <w:right w:val="single" w:color="auto" w:sz="4" w:space="0"/>
            </w:tcBorders>
            <w:noWrap/>
            <w:vAlign w:val="top"/>
          </w:tcPr>
          <w:p w14:paraId="2C5498A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0D07FCD5">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6C3F2E1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6502DC3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48芯</w:t>
            </w:r>
          </w:p>
        </w:tc>
        <w:tc>
          <w:tcPr>
            <w:tcW w:w="879" w:type="pct"/>
            <w:tcBorders>
              <w:top w:val="single" w:color="auto" w:sz="4" w:space="0"/>
              <w:left w:val="single" w:color="auto" w:sz="4" w:space="0"/>
              <w:bottom w:val="single" w:color="auto" w:sz="4" w:space="0"/>
              <w:right w:val="single" w:color="auto" w:sz="4" w:space="0"/>
            </w:tcBorders>
            <w:noWrap/>
            <w:vAlign w:val="top"/>
          </w:tcPr>
          <w:p w14:paraId="6B84B8E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3529D2D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073" w:type="pct"/>
            <w:tcBorders>
              <w:top w:val="single" w:color="auto" w:sz="4" w:space="0"/>
              <w:left w:val="single" w:color="auto" w:sz="4" w:space="0"/>
              <w:bottom w:val="single" w:color="auto" w:sz="4" w:space="0"/>
              <w:right w:val="single" w:color="auto" w:sz="4" w:space="0"/>
            </w:tcBorders>
            <w:noWrap/>
            <w:vAlign w:val="top"/>
          </w:tcPr>
          <w:p w14:paraId="6052A6F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7952D59C">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0F99731C">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63D4B1E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96芯</w:t>
            </w:r>
          </w:p>
        </w:tc>
        <w:tc>
          <w:tcPr>
            <w:tcW w:w="879" w:type="pct"/>
            <w:tcBorders>
              <w:top w:val="single" w:color="auto" w:sz="4" w:space="0"/>
              <w:left w:val="single" w:color="auto" w:sz="4" w:space="0"/>
              <w:bottom w:val="single" w:color="auto" w:sz="4" w:space="0"/>
              <w:right w:val="single" w:color="auto" w:sz="4" w:space="0"/>
            </w:tcBorders>
            <w:noWrap/>
            <w:vAlign w:val="top"/>
          </w:tcPr>
          <w:p w14:paraId="06CAFE93">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2B705337">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073" w:type="pct"/>
            <w:tcBorders>
              <w:top w:val="single" w:color="auto" w:sz="4" w:space="0"/>
              <w:left w:val="single" w:color="auto" w:sz="4" w:space="0"/>
              <w:bottom w:val="single" w:color="auto" w:sz="4" w:space="0"/>
              <w:right w:val="single" w:color="auto" w:sz="4" w:space="0"/>
            </w:tcBorders>
            <w:noWrap/>
            <w:vAlign w:val="top"/>
          </w:tcPr>
          <w:p w14:paraId="52B727EC">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5E4C4367">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6C5D7C73">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00F6C31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144芯</w:t>
            </w:r>
          </w:p>
        </w:tc>
        <w:tc>
          <w:tcPr>
            <w:tcW w:w="879" w:type="pct"/>
            <w:tcBorders>
              <w:top w:val="single" w:color="auto" w:sz="4" w:space="0"/>
              <w:left w:val="single" w:color="auto" w:sz="4" w:space="0"/>
              <w:bottom w:val="single" w:color="auto" w:sz="4" w:space="0"/>
              <w:right w:val="single" w:color="auto" w:sz="4" w:space="0"/>
            </w:tcBorders>
            <w:noWrap/>
            <w:vAlign w:val="top"/>
          </w:tcPr>
          <w:p w14:paraId="76D725F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4BD2786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w:t>
            </w:r>
          </w:p>
        </w:tc>
        <w:tc>
          <w:tcPr>
            <w:tcW w:w="1073" w:type="pct"/>
            <w:tcBorders>
              <w:top w:val="single" w:color="auto" w:sz="4" w:space="0"/>
              <w:left w:val="single" w:color="auto" w:sz="4" w:space="0"/>
              <w:bottom w:val="single" w:color="auto" w:sz="4" w:space="0"/>
              <w:right w:val="single" w:color="auto" w:sz="4" w:space="0"/>
            </w:tcBorders>
            <w:noWrap/>
            <w:vAlign w:val="top"/>
          </w:tcPr>
          <w:p w14:paraId="4009B9A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4FECB8BB">
        <w:tblPrEx>
          <w:tblCellMar>
            <w:top w:w="0" w:type="dxa"/>
            <w:left w:w="30" w:type="dxa"/>
            <w:bottom w:w="0" w:type="dxa"/>
            <w:right w:w="30" w:type="dxa"/>
          </w:tblCellMar>
        </w:tblPrEx>
        <w:trPr>
          <w:cantSplit/>
          <w:trHeight w:val="284" w:hRule="atLeast"/>
        </w:trPr>
        <w:tc>
          <w:tcPr>
            <w:tcW w:w="1061" w:type="pct"/>
            <w:vMerge w:val="restart"/>
            <w:tcBorders>
              <w:top w:val="single" w:color="auto" w:sz="4" w:space="0"/>
              <w:left w:val="single" w:color="auto" w:sz="4" w:space="0"/>
              <w:bottom w:val="single" w:color="auto" w:sz="4" w:space="0"/>
              <w:right w:val="single" w:color="auto" w:sz="4" w:space="0"/>
            </w:tcBorders>
            <w:noWrap/>
            <w:vAlign w:val="center"/>
          </w:tcPr>
          <w:p w14:paraId="25BA0D9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光缆终端盒</w:t>
            </w:r>
          </w:p>
        </w:tc>
        <w:tc>
          <w:tcPr>
            <w:tcW w:w="1241" w:type="pct"/>
            <w:tcBorders>
              <w:top w:val="single" w:color="auto" w:sz="4" w:space="0"/>
              <w:left w:val="single" w:color="auto" w:sz="4" w:space="0"/>
              <w:bottom w:val="single" w:color="auto" w:sz="4" w:space="0"/>
              <w:right w:val="single" w:color="auto" w:sz="4" w:space="0"/>
            </w:tcBorders>
            <w:noWrap/>
            <w:vAlign w:val="top"/>
          </w:tcPr>
          <w:p w14:paraId="4AAE0349">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12芯</w:t>
            </w:r>
          </w:p>
        </w:tc>
        <w:tc>
          <w:tcPr>
            <w:tcW w:w="879" w:type="pct"/>
            <w:tcBorders>
              <w:top w:val="single" w:color="auto" w:sz="4" w:space="0"/>
              <w:left w:val="single" w:color="auto" w:sz="4" w:space="0"/>
              <w:bottom w:val="single" w:color="auto" w:sz="4" w:space="0"/>
              <w:right w:val="single" w:color="auto" w:sz="4" w:space="0"/>
            </w:tcBorders>
            <w:noWrap/>
            <w:vAlign w:val="top"/>
          </w:tcPr>
          <w:p w14:paraId="449ACD01">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78D67130">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50</w:t>
            </w:r>
          </w:p>
        </w:tc>
        <w:tc>
          <w:tcPr>
            <w:tcW w:w="1073" w:type="pct"/>
            <w:tcBorders>
              <w:top w:val="single" w:color="auto" w:sz="4" w:space="0"/>
              <w:left w:val="single" w:color="auto" w:sz="4" w:space="0"/>
              <w:bottom w:val="single" w:color="auto" w:sz="4" w:space="0"/>
              <w:right w:val="single" w:color="auto" w:sz="4" w:space="0"/>
            </w:tcBorders>
            <w:noWrap/>
            <w:vAlign w:val="top"/>
          </w:tcPr>
          <w:p w14:paraId="6456357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24F2C9D5">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518C9044">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5A8679DA">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24芯</w:t>
            </w:r>
          </w:p>
        </w:tc>
        <w:tc>
          <w:tcPr>
            <w:tcW w:w="879" w:type="pct"/>
            <w:tcBorders>
              <w:top w:val="single" w:color="auto" w:sz="4" w:space="0"/>
              <w:left w:val="single" w:color="auto" w:sz="4" w:space="0"/>
              <w:bottom w:val="single" w:color="auto" w:sz="4" w:space="0"/>
              <w:right w:val="single" w:color="auto" w:sz="4" w:space="0"/>
            </w:tcBorders>
            <w:noWrap/>
            <w:vAlign w:val="top"/>
          </w:tcPr>
          <w:p w14:paraId="5FC56763">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256A985C">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073" w:type="pct"/>
            <w:tcBorders>
              <w:top w:val="single" w:color="auto" w:sz="4" w:space="0"/>
              <w:left w:val="single" w:color="auto" w:sz="4" w:space="0"/>
              <w:bottom w:val="single" w:color="auto" w:sz="4" w:space="0"/>
              <w:right w:val="single" w:color="auto" w:sz="4" w:space="0"/>
            </w:tcBorders>
            <w:noWrap/>
            <w:vAlign w:val="top"/>
          </w:tcPr>
          <w:p w14:paraId="7ADF117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6772372F">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026309B2">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0AAD8B56">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48芯</w:t>
            </w:r>
          </w:p>
        </w:tc>
        <w:tc>
          <w:tcPr>
            <w:tcW w:w="879" w:type="pct"/>
            <w:tcBorders>
              <w:top w:val="single" w:color="auto" w:sz="4" w:space="0"/>
              <w:left w:val="single" w:color="auto" w:sz="4" w:space="0"/>
              <w:bottom w:val="single" w:color="auto" w:sz="4" w:space="0"/>
              <w:right w:val="single" w:color="auto" w:sz="4" w:space="0"/>
            </w:tcBorders>
            <w:noWrap/>
            <w:vAlign w:val="top"/>
          </w:tcPr>
          <w:p w14:paraId="704147C5">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78D29F6A">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073" w:type="pct"/>
            <w:tcBorders>
              <w:top w:val="single" w:color="auto" w:sz="4" w:space="0"/>
              <w:left w:val="single" w:color="auto" w:sz="4" w:space="0"/>
              <w:bottom w:val="single" w:color="auto" w:sz="4" w:space="0"/>
              <w:right w:val="single" w:color="auto" w:sz="4" w:space="0"/>
            </w:tcBorders>
            <w:noWrap/>
            <w:vAlign w:val="top"/>
          </w:tcPr>
          <w:p w14:paraId="213AFE7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r w14:paraId="74839A92">
        <w:tblPrEx>
          <w:tblCellMar>
            <w:top w:w="0" w:type="dxa"/>
            <w:left w:w="30" w:type="dxa"/>
            <w:bottom w:w="0" w:type="dxa"/>
            <w:right w:w="30" w:type="dxa"/>
          </w:tblCellMar>
        </w:tblPrEx>
        <w:trPr>
          <w:cantSplit/>
          <w:trHeight w:val="284" w:hRule="atLeast"/>
        </w:trPr>
        <w:tc>
          <w:tcPr>
            <w:tcW w:w="1061" w:type="pct"/>
            <w:vMerge w:val="continue"/>
            <w:tcBorders>
              <w:top w:val="single" w:color="auto" w:sz="4" w:space="0"/>
              <w:left w:val="single" w:color="auto" w:sz="4" w:space="0"/>
              <w:bottom w:val="single" w:color="auto" w:sz="4" w:space="0"/>
              <w:right w:val="single" w:color="auto" w:sz="4" w:space="0"/>
            </w:tcBorders>
            <w:noWrap/>
            <w:vAlign w:val="center"/>
          </w:tcPr>
          <w:p w14:paraId="7768F43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c>
          <w:tcPr>
            <w:tcW w:w="1241" w:type="pct"/>
            <w:tcBorders>
              <w:top w:val="single" w:color="auto" w:sz="4" w:space="0"/>
              <w:left w:val="single" w:color="auto" w:sz="4" w:space="0"/>
              <w:bottom w:val="single" w:color="auto" w:sz="4" w:space="0"/>
              <w:right w:val="single" w:color="auto" w:sz="4" w:space="0"/>
            </w:tcBorders>
            <w:noWrap/>
            <w:vAlign w:val="top"/>
          </w:tcPr>
          <w:p w14:paraId="42599CAF">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72芯</w:t>
            </w:r>
          </w:p>
        </w:tc>
        <w:tc>
          <w:tcPr>
            <w:tcW w:w="879" w:type="pct"/>
            <w:tcBorders>
              <w:top w:val="single" w:color="auto" w:sz="4" w:space="0"/>
              <w:left w:val="single" w:color="auto" w:sz="4" w:space="0"/>
              <w:bottom w:val="single" w:color="auto" w:sz="4" w:space="0"/>
              <w:right w:val="single" w:color="auto" w:sz="4" w:space="0"/>
            </w:tcBorders>
            <w:noWrap/>
            <w:vAlign w:val="top"/>
          </w:tcPr>
          <w:p w14:paraId="3E5B798E">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个</w:t>
            </w:r>
          </w:p>
        </w:tc>
        <w:tc>
          <w:tcPr>
            <w:tcW w:w="744" w:type="pct"/>
            <w:tcBorders>
              <w:top w:val="single" w:color="auto" w:sz="4" w:space="0"/>
              <w:left w:val="single" w:color="auto" w:sz="4" w:space="0"/>
              <w:bottom w:val="single" w:color="auto" w:sz="4" w:space="0"/>
              <w:right w:val="single" w:color="auto" w:sz="4" w:space="0"/>
            </w:tcBorders>
            <w:noWrap/>
            <w:vAlign w:val="top"/>
          </w:tcPr>
          <w:p w14:paraId="09797F2B">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073" w:type="pct"/>
            <w:tcBorders>
              <w:top w:val="single" w:color="auto" w:sz="4" w:space="0"/>
              <w:left w:val="single" w:color="auto" w:sz="4" w:space="0"/>
              <w:bottom w:val="single" w:color="auto" w:sz="4" w:space="0"/>
              <w:right w:val="single" w:color="auto" w:sz="4" w:space="0"/>
            </w:tcBorders>
            <w:noWrap/>
            <w:vAlign w:val="top"/>
          </w:tcPr>
          <w:p w14:paraId="164F2C88">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宋体"/>
                <w:color w:val="auto"/>
                <w:kern w:val="2"/>
                <w:sz w:val="21"/>
                <w:szCs w:val="21"/>
                <w:highlight w:val="none"/>
                <w:lang w:val="en-US" w:eastAsia="zh-CN" w:bidi="ar-SA"/>
              </w:rPr>
            </w:pPr>
          </w:p>
        </w:tc>
      </w:tr>
    </w:tbl>
    <w:p w14:paraId="3F024788">
      <w:pPr>
        <w:widowControl w:val="0"/>
        <w:tabs>
          <w:tab w:val="left" w:pos="900"/>
        </w:tabs>
        <w:spacing w:line="360" w:lineRule="auto"/>
        <w:ind w:firstLine="422" w:firstLineChars="200"/>
        <w:jc w:val="both"/>
        <w:rPr>
          <w:rFonts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kern w:val="2"/>
          <w:sz w:val="21"/>
          <w:szCs w:val="21"/>
          <w:highlight w:val="none"/>
          <w:lang w:val="en-US" w:eastAsia="zh-CN" w:bidi="ar-SA"/>
        </w:rPr>
        <w:t>二、通信光缆应急工程</w:t>
      </w:r>
    </w:p>
    <w:p w14:paraId="36BEFAF1">
      <w:pPr>
        <w:widowControl/>
        <w:spacing w:line="360" w:lineRule="auto"/>
        <w:ind w:firstLine="420" w:firstLineChars="200"/>
        <w:jc w:val="left"/>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（一）中标人须在招标服务期内完成采购人下达的因交通信号路口、电子警察、闭路、诱导屏、车牌识别设备点位新建、迁移、改造等所需配套光缆的应急工程施工任务。</w:t>
      </w:r>
    </w:p>
    <w:p w14:paraId="32857F8B">
      <w:pPr>
        <w:widowControl/>
        <w:spacing w:line="360" w:lineRule="auto"/>
        <w:ind w:firstLine="420" w:firstLineChars="200"/>
        <w:jc w:val="left"/>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（二）道路交通组织改变、规范变化等，需调整管线、变更光缆路由等，不属于日常维护范围，需要采购人下达任务后及时安排改造、完善等工程。</w:t>
      </w:r>
    </w:p>
    <w:p w14:paraId="5EC7A101">
      <w:pPr>
        <w:widowControl/>
        <w:spacing w:line="360" w:lineRule="auto"/>
        <w:ind w:firstLine="420" w:firstLineChars="200"/>
        <w:jc w:val="left"/>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（三） 因前端设备机箱、现有通信管道的调整、迁移、拆除等原因，造成光缆需迁改或重新敷设的，不属于日常维护范围，需要采购人下达任务后及时安排改造、完善等工程。</w:t>
      </w:r>
    </w:p>
    <w:p w14:paraId="4F95792A">
      <w:pPr>
        <w:widowControl w:val="0"/>
        <w:tabs>
          <w:tab w:val="left" w:pos="900"/>
        </w:tabs>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（四） 因光缆链路不满足使用标准需要优化及光缆、光缆中间连接设备的老化破损严重，满足报废条件，无法继续使用的，不属于日常维护范围，需要采购人下达任务后及时安排改造、完善等工程。</w:t>
      </w:r>
    </w:p>
    <w:p w14:paraId="5AF6B8F1">
      <w:pPr>
        <w:widowControl/>
        <w:spacing w:line="360" w:lineRule="auto"/>
        <w:ind w:firstLine="420" w:firstLineChars="200"/>
        <w:jc w:val="left"/>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（五）中标人对所完成的应急工程及提供的设备质保期1年，时间自竣/交工验收合格之日起计算。质保期内，任何设备质量问题和施工质量问题由中标</w:t>
      </w:r>
      <w:r>
        <w:rPr>
          <w:rFonts w:ascii="宋体" w:hAnsi="宋体" w:eastAsia="宋体" w:cs="宋体"/>
          <w:color w:val="auto"/>
          <w:kern w:val="2"/>
          <w:sz w:val="21"/>
          <w:szCs w:val="21"/>
          <w:highlight w:val="none"/>
          <w:lang w:val="en-US" w:eastAsia="zh-CN" w:bidi="ar-SA"/>
        </w:rPr>
        <w:t>人负责修复。</w:t>
      </w:r>
    </w:p>
    <w:p w14:paraId="591D5A2B">
      <w:pPr>
        <w:pStyle w:val="37"/>
        <w:spacing w:before="0" w:beforeAutospacing="0" w:after="0" w:afterAutospacing="0" w:line="360" w:lineRule="auto"/>
        <w:ind w:firstLine="422" w:firstLineChars="200"/>
        <w:rPr>
          <w:rFonts w:eastAsia="宋体"/>
          <w:b/>
          <w:color w:val="auto"/>
          <w:sz w:val="21"/>
          <w:szCs w:val="21"/>
          <w:highlight w:val="none"/>
        </w:rPr>
      </w:pPr>
      <w:r>
        <w:rPr>
          <w:rFonts w:eastAsia="宋体"/>
          <w:b/>
          <w:color w:val="auto"/>
          <w:sz w:val="21"/>
          <w:szCs w:val="21"/>
          <w:highlight w:val="none"/>
        </w:rPr>
        <w:t>注：应急工程量</w:t>
      </w:r>
      <w:r>
        <w:rPr>
          <w:rFonts w:hint="eastAsia" w:eastAsia="宋体"/>
          <w:b/>
          <w:color w:val="auto"/>
          <w:sz w:val="21"/>
          <w:szCs w:val="21"/>
          <w:highlight w:val="none"/>
          <w:lang w:eastAsia="zh-CN"/>
        </w:rPr>
        <w:t>参考</w:t>
      </w:r>
      <w:r>
        <w:rPr>
          <w:rFonts w:eastAsia="宋体"/>
          <w:b/>
          <w:color w:val="auto"/>
          <w:sz w:val="21"/>
          <w:szCs w:val="21"/>
          <w:highlight w:val="none"/>
        </w:rPr>
        <w:t>附件</w:t>
      </w:r>
      <w:r>
        <w:rPr>
          <w:rFonts w:hint="eastAsia" w:eastAsia="宋体"/>
          <w:b/>
          <w:color w:val="auto"/>
          <w:sz w:val="21"/>
          <w:szCs w:val="21"/>
          <w:highlight w:val="none"/>
        </w:rPr>
        <w:t>1《通信光缆应急工程投标报价表》</w:t>
      </w:r>
      <w:r>
        <w:rPr>
          <w:rFonts w:hint="eastAsia" w:eastAsia="宋体"/>
          <w:b/>
          <w:color w:val="auto"/>
          <w:sz w:val="21"/>
          <w:szCs w:val="21"/>
          <w:highlight w:val="none"/>
          <w:lang w:eastAsia="zh-CN"/>
        </w:rPr>
        <w:t>，</w:t>
      </w:r>
      <w:r>
        <w:rPr>
          <w:rFonts w:hint="eastAsia" w:eastAsia="宋体"/>
          <w:b/>
          <w:color w:val="auto"/>
          <w:sz w:val="21"/>
          <w:szCs w:val="21"/>
          <w:highlight w:val="none"/>
        </w:rPr>
        <w:t>应急工程量表仅供报价参考，最终以实际发生工程量为准。</w:t>
      </w:r>
    </w:p>
    <w:p w14:paraId="01DBE58B">
      <w:pPr>
        <w:widowControl w:val="0"/>
        <w:spacing w:line="360" w:lineRule="auto"/>
        <w:ind w:firstLine="422" w:firstLineChars="200"/>
        <w:jc w:val="both"/>
        <w:rPr>
          <w:rFonts w:ascii="宋体" w:hAnsi="宋体" w:eastAsia="宋体" w:cs="宋体"/>
          <w:b/>
          <w:color w:val="auto"/>
          <w:kern w:val="2"/>
          <w:sz w:val="21"/>
          <w:szCs w:val="21"/>
          <w:highlight w:val="none"/>
          <w:lang w:val="en-US" w:eastAsia="zh-CN" w:bidi="ar-SA"/>
        </w:rPr>
      </w:pPr>
      <w:r>
        <w:rPr>
          <w:rFonts w:hint="eastAsia" w:ascii="宋体" w:hAnsi="宋体" w:eastAsia="宋体" w:cs="宋体"/>
          <w:b/>
          <w:color w:val="auto"/>
          <w:kern w:val="2"/>
          <w:sz w:val="21"/>
          <w:szCs w:val="21"/>
          <w:highlight w:val="none"/>
          <w:lang w:val="en-US" w:eastAsia="zh-CN" w:bidi="ar-SA"/>
        </w:rPr>
        <w:t>三、项目管理和服务要求</w:t>
      </w:r>
    </w:p>
    <w:p w14:paraId="3672F7E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（一）维护基本要求</w:t>
      </w:r>
    </w:p>
    <w:p w14:paraId="6F21254C">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须承担不可抗自然力以外的其他各种原因造成的缆线丢失或损坏（包括被盗）责任及费用，发现问题及时上报采购人并在规定期限内修复，费用全部包含在维护费用中。如由不可抗力原因造成（不可抗自然力的界定以深圳市政府三防办公室和地震局发布的消息为准）的，则由采购人另行实施应急工程进行修复。</w:t>
      </w:r>
    </w:p>
    <w:p w14:paraId="39615C20">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（二）维护任务要求</w:t>
      </w:r>
    </w:p>
    <w:p w14:paraId="5C411E3D">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1.必需的通信工具及全套通信缆线专用维修测试仪器及设备（包括光功率计、光时域反射仪（OTDR）、光纤融接机等），确保维护工作的正常运行。</w:t>
      </w:r>
    </w:p>
    <w:p w14:paraId="6582E5E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2.中标人应配备足够维修的备品及一定数量的线缆（常规型号）作为紧急备用，不得因备件短缺延误故障修复时间。</w:t>
      </w:r>
    </w:p>
    <w:p w14:paraId="24EC664E">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每次维修需把修复线路的光衰测试台账、原因分析等以台账的形式及时上报。中标人定期上报维护报表及工作总结，报表中要有详细的故障统计、处理措施、接报及处理时间等。总结中应包含真实处理情况、统计信息，且通过采购单位审核。</w:t>
      </w:r>
    </w:p>
    <w:p w14:paraId="1386123A">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4.中标人要根据光缆线路的具体情况，制订切实可行的维护计划，并严格实施。特别对于线路的薄弱环节，接头部位、道路施工、环境变迁等特殊情况下都要提出专门的维护检修方案。</w:t>
      </w:r>
    </w:p>
    <w:p w14:paraId="41A741F4">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5.中标人要认真做好维护范围内缆线维护资料的收集、整理、更新、保管工作,因中标公司未提交资料而引起的任何责任由中标人承担：</w:t>
      </w:r>
    </w:p>
    <w:p w14:paraId="1D6BA9D3">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（1）中标人在服务期内须对维护范围内整套缆线维护资料在采购单位要求的系统进行实时更新。</w:t>
      </w:r>
    </w:p>
    <w:p w14:paraId="160B805D">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（2）资料包括光缆路由图、系统图、机房（楼内）走线平面路由图、配线架成端示意图和成端资料、接续表等。</w:t>
      </w:r>
    </w:p>
    <w:p w14:paraId="59610E89">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6.由于线路迁移、更换光缆等原因需割接时，中标人应充分调查实际情况，并向采购人提交割接方案。</w:t>
      </w:r>
    </w:p>
    <w:p w14:paraId="7699B09C">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7.中标人须配合采购人完成4G及5G通讯、微波通讯等其他通讯技术的安装、测试、调度、应用等工作。</w:t>
      </w:r>
    </w:p>
    <w:p w14:paraId="218B1A0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 xml:space="preserve">8.中标人须根据采购人要求，完成应急工程机房内设备通讯链路的联通工作。 </w:t>
      </w:r>
    </w:p>
    <w:p w14:paraId="4C4FBA9B">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9.中标人须根据采购人要求，完成系统平台数据治理工作。</w:t>
      </w:r>
    </w:p>
    <w:p w14:paraId="25D6AFEB">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（1）补充开展交警维护范围内未完成光缆数据的录入。</w:t>
      </w:r>
    </w:p>
    <w:p w14:paraId="47F3BFC0">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（2）中标人要每月完成光缆数据更新工作并提交报表台账（新增、移交接管光缆的录入和核减光缆的数据更新）。</w:t>
      </w:r>
    </w:p>
    <w:p w14:paraId="09A52069">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10.中标人须接受采购人制定的</w:t>
      </w:r>
      <w:r>
        <w:rPr>
          <w:rFonts w:hint="eastAsia" w:ascii="宋体" w:hAnsi="宋体" w:eastAsia="宋体" w:cs="宋体"/>
          <w:b/>
          <w:bCs/>
          <w:color w:val="auto"/>
          <w:kern w:val="2"/>
          <w:sz w:val="21"/>
          <w:szCs w:val="21"/>
          <w:highlight w:val="none"/>
          <w:lang w:val="en-US" w:eastAsia="zh-CN" w:bidi="ar-SA"/>
        </w:rPr>
        <w:t xml:space="preserve"> 附件2《深圳交警设施运维考核办法》</w:t>
      </w:r>
      <w:r>
        <w:rPr>
          <w:rFonts w:hint="eastAsia" w:ascii="宋体" w:hAnsi="宋体" w:eastAsia="宋体" w:cs="宋体"/>
          <w:color w:val="auto"/>
          <w:kern w:val="2"/>
          <w:sz w:val="21"/>
          <w:szCs w:val="21"/>
          <w:highlight w:val="none"/>
          <w:lang w:val="en-US" w:eastAsia="zh-CN" w:bidi="ar-SA"/>
        </w:rPr>
        <w:t>要求和考核。</w:t>
      </w:r>
    </w:p>
    <w:p w14:paraId="4DAE3471">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（三）日常检查要求</w:t>
      </w:r>
    </w:p>
    <w:p w14:paraId="488D1375">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1.每个月对维护范围内主、次干环网光缆，汇聚光交箱、ODF架熔纤盘进行检修，并检查挂牌情况（缺失的需补挂），进行拍照记录，并提交检查报告。遇恶劣气候和外力影响地段还应加强检修。</w:t>
      </w:r>
    </w:p>
    <w:p w14:paraId="37E267B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2.机房配线架、终端盒、缆线成端检修。</w:t>
      </w:r>
    </w:p>
    <w:p w14:paraId="1E610D5C">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3.根据线路设备和沿线环境变化，及时排除隐患。</w:t>
      </w:r>
    </w:p>
    <w:p w14:paraId="23F739FA">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4.每次检查都应认真记录，发现问题及时汇报并处理。</w:t>
      </w:r>
    </w:p>
    <w:p w14:paraId="3DF81594">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5.及时上报因道路施工可能影响光缆的点位情况。</w:t>
      </w:r>
    </w:p>
    <w:p w14:paraId="08226AF5">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（四）响应时间要求</w:t>
      </w:r>
    </w:p>
    <w:p w14:paraId="661EB109">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1.日常维修：接故障报告后派专业维修人员携带必要工具于30分钟内到达现场，4小时内修复。</w:t>
      </w:r>
    </w:p>
    <w:p w14:paraId="7705B7DC">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专项抢修：接采购人专项抢修任务通知后派专业维修人员携带必要工具于30分钟内到达现场，并做出具体方案、计划，按要求进行抢修。在遇到台风、暴雨、雷击等情况，或根据采购人的特殊勤务安排，中标人须立即启动应急保障预案，增派维修人员在维护区域内检修或者待命，加强外场光缆和工程的检查，发现损坏情况时要立即实施抢修。在突发大面积故障时，中标人能够同时进行不少于6个以上故障点位的维护抢修。确属不可抗力造成的大范围设备损坏，中标人须立刻将损坏情况统计报采购人，并在采购人规定的时限内修复。</w:t>
      </w:r>
    </w:p>
    <w:p w14:paraId="70B68F94">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3.专项保障：按采购人专项保障方案部署，中标人应提前安排维护人员值班，维护人员值班表必须提前送至采购人，并按采购人要求及时做好各项维护保障工作。</w:t>
      </w:r>
    </w:p>
    <w:p w14:paraId="48D81D63">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中标人须设立全天维护专用值班电话，并保证24小时通讯畅通，发现故障或接到故障需及时响应。投标人需依照采购人要求配备相应的专用设备，并能够按照采购人需求实现定位和实时上传维护现场视频（或图片）的功能，落实重要工作过程拍照留档，以便采购人进行检查。维护人员值班表必须提前报采购人，人员变动需以书面形式提前告知。按</w:t>
      </w:r>
      <w:r>
        <w:rPr>
          <w:rFonts w:hint="eastAsia" w:ascii="宋体" w:hAnsi="宋体" w:eastAsia="宋体" w:cs="宋体"/>
          <w:b/>
          <w:color w:val="auto"/>
          <w:kern w:val="2"/>
          <w:sz w:val="21"/>
          <w:szCs w:val="21"/>
          <w:highlight w:val="none"/>
          <w:lang w:val="en-US" w:eastAsia="zh-CN" w:bidi="ar-SA"/>
        </w:rPr>
        <w:t xml:space="preserve"> 附件2《深圳交警设施运维考核办法》</w:t>
      </w:r>
      <w:r>
        <w:rPr>
          <w:rFonts w:hint="eastAsia" w:ascii="宋体" w:hAnsi="宋体" w:eastAsia="宋体" w:cs="宋体"/>
          <w:color w:val="auto"/>
          <w:kern w:val="2"/>
          <w:sz w:val="21"/>
          <w:szCs w:val="21"/>
          <w:highlight w:val="none"/>
          <w:lang w:val="en-US" w:eastAsia="zh-CN" w:bidi="ar-SA"/>
        </w:rPr>
        <w:t>要求快速响应，立即实施维护抢修，需在采购人规定时间内完成维修任务，维修工作完成后依照采购人规定的时间内提交故障报表，报表中应真实地反映出故障现象、故障原因、处理措施、故障接报和处理完毕时间等。</w:t>
      </w:r>
    </w:p>
    <w:p w14:paraId="130A2249">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（五）安全责任要求</w:t>
      </w:r>
    </w:p>
    <w:p w14:paraId="43CF8A9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在日常维护过程中施工现场安全防护措施须严格按照《中华人民共和国道路交通安全法》、《中华人民共和国公共安全行业标准》规定，安全生产文明施工，承担维护过程中的设备备品、备件、仪器、工具、车辆、通讯工具、工程材料、软件升级及人工的全部费用(包括前端设备、机房设备等)；应当承担由于全市交通监控设施、通信光缆维护工作中产生的所有安全责任，如设备、线缆漏电或设备、零件松动、脱落等（包括由不可抗力引起的设备、线缆的漏电、松动或脱落）引起的事故责任或在维护工作中涉及自身和第三方的人身和财产安全责任及由此发生的一切费用；</w:t>
      </w:r>
    </w:p>
    <w:p w14:paraId="4D96CF9C">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在开展维护任务时须严格依法依规进行安全文明施工。工程作业人员、车辆必须依法依规办理相关证件（包含占道、开挖施工许可），施工人员需穿着统一规范的工程作业服装和反光衣，并配带工作证，施工完毕后须做好清除障碍物和善后工作，完善道路相关交通设施及标志标线，按道路安全通行技术要求和标准恢复路面，并及时报告采购人。</w:t>
      </w:r>
    </w:p>
    <w:p w14:paraId="453BCEF3">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（六）工作交接要求</w:t>
      </w:r>
    </w:p>
    <w:p w14:paraId="6EA703C2">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中标人须在合同签订之日起全权负责合同内的光缆的维护管养工作，并30个日历日内完成交接工作和上报移交报告，逾期按</w:t>
      </w:r>
      <w:r>
        <w:rPr>
          <w:rFonts w:hint="eastAsia" w:ascii="宋体" w:hAnsi="宋体" w:eastAsia="宋体" w:cs="宋体"/>
          <w:b/>
          <w:bCs/>
          <w:color w:val="auto"/>
          <w:kern w:val="2"/>
          <w:sz w:val="21"/>
          <w:szCs w:val="21"/>
          <w:highlight w:val="none"/>
          <w:lang w:val="en-US" w:eastAsia="zh-CN" w:bidi="ar-SA"/>
        </w:rPr>
        <w:t>附件2</w:t>
      </w:r>
      <w:r>
        <w:rPr>
          <w:rFonts w:hint="eastAsia" w:ascii="宋体" w:hAnsi="宋体" w:eastAsia="宋体" w:cs="宋体"/>
          <w:b/>
          <w:color w:val="auto"/>
          <w:kern w:val="2"/>
          <w:sz w:val="21"/>
          <w:szCs w:val="21"/>
          <w:highlight w:val="none"/>
          <w:lang w:val="en-US" w:eastAsia="zh-CN" w:bidi="ar-SA"/>
        </w:rPr>
        <w:t>《深圳交警设施运维考核办法》</w:t>
      </w:r>
      <w:r>
        <w:rPr>
          <w:rFonts w:hint="eastAsia" w:ascii="宋体" w:hAnsi="宋体" w:eastAsia="宋体" w:cs="宋体"/>
          <w:color w:val="auto"/>
          <w:kern w:val="2"/>
          <w:sz w:val="21"/>
          <w:szCs w:val="21"/>
          <w:highlight w:val="none"/>
          <w:lang w:val="en-US" w:eastAsia="zh-CN" w:bidi="ar-SA"/>
        </w:rPr>
        <w:t>进行处罚及考核。</w:t>
      </w:r>
    </w:p>
    <w:p w14:paraId="2302C734">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（七）应急工程要求</w:t>
      </w:r>
    </w:p>
    <w:p w14:paraId="479F95D4">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须根据工程实际情况给出可行性建议，并制定工程方案。施工现场涉及到与相关管道公司、城管、绿化、供电、电信、物业等其他部门协调的，由中标人负责，办理有关施工许可等事宜，由此产生的协调费用由中标单位承担。</w:t>
      </w:r>
    </w:p>
    <w:p w14:paraId="280F7501">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2.中标人提供的缆线或设备的型号、技术规格等不得低于现有的配置。</w:t>
      </w:r>
    </w:p>
    <w:p w14:paraId="5BEB59F5">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 xml:space="preserve">3.中标人需在采购人下达的应急工程任务书上规定的工期内完成应急工程的建设。 </w:t>
      </w:r>
    </w:p>
    <w:p w14:paraId="703DC909">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4.应急工程应按照采购人和监理方核准后的最终实际发生的工程量结算。</w:t>
      </w:r>
    </w:p>
    <w:p w14:paraId="07A9B6D7">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5.因工程需要租用光纤或通信管道的，中标人可向采购人申请协助，协调光纤、通信管道的出租方，中标人需做到以下方面：</w:t>
      </w:r>
    </w:p>
    <w:p w14:paraId="5CFC552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（1）中标人须按照采购人实际需求向出租方提交申请。</w:t>
      </w:r>
    </w:p>
    <w:p w14:paraId="67F8E2F7">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（2）中标人、采购人或出租方签订协议事宜。</w:t>
      </w:r>
    </w:p>
    <w:p w14:paraId="46435AAB">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（3）按照协议的具体要求向出租方支付费用，并向采购人提供工程实施前后必要的技术支持，并完成工程的缆线跳接、测试等事宜。</w:t>
      </w:r>
    </w:p>
    <w:p w14:paraId="2700905E">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（八）通信管道、光纤链路租赁要求</w:t>
      </w:r>
    </w:p>
    <w:p w14:paraId="23629315">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结合新建工程及应急任务的实际需求，经评估，2025年深圳市交通警察局需要租用市政通信管道约2160公里,租用链路为170条，具体数量以实际为准。</w:t>
      </w:r>
    </w:p>
    <w:p w14:paraId="729099B6">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1.中标人在收到中标通知书后30个日历日内根据采购人提供的资料信息，完成往年需要续租的通信管道、光纤链路资料的收集、整理及核对工作。</w:t>
      </w:r>
    </w:p>
    <w:p w14:paraId="5DEA4C46">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2.中标人在签订合同后30个日历日内配合采购人与通信管道、光纤链路出租方完成续租合同的签订，因中标人原因造成未能及时完成续租合同签订造成采购人业务受到影响，须中标人承担全部责任。</w:t>
      </w:r>
    </w:p>
    <w:p w14:paraId="1D08828D">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3.因应急工程建设需要申请租赁通信管道的，中标人需要配合采购人完成通信管道申请租赁的所有流程。</w:t>
      </w:r>
    </w:p>
    <w:p w14:paraId="3AD0DCE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4.维护过程中，租赁的光纤链路发生故障，修复工作由出租方负责，中标人需配合报障。紧急情况下，中标人需配合先完成抢修。</w:t>
      </w:r>
    </w:p>
    <w:p w14:paraId="1C5B7942">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（九）人员及车辆配备要求</w:t>
      </w:r>
    </w:p>
    <w:p w14:paraId="5D2BF784">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Times New Roman" w:hAnsi="Times New Roman" w:eastAsia="宋体" w:cs="Times New Roman"/>
          <w:color w:val="auto"/>
          <w:kern w:val="2"/>
          <w:sz w:val="21"/>
          <w:highlight w:val="none"/>
          <w:lang w:val="en-US" w:eastAsia="zh-CN" w:bidi="ar-SA"/>
        </w:rPr>
        <w:t>★</w:t>
      </w:r>
      <w:r>
        <w:rPr>
          <w:rFonts w:hint="eastAsia" w:ascii="宋体" w:hAnsi="宋体" w:eastAsia="宋体" w:cs="宋体"/>
          <w:color w:val="auto"/>
          <w:kern w:val="2"/>
          <w:sz w:val="21"/>
          <w:szCs w:val="21"/>
          <w:highlight w:val="none"/>
          <w:lang w:val="en-US" w:eastAsia="zh-CN" w:bidi="ar-SA"/>
        </w:rPr>
        <w:t>1.投标人承诺实际履约的项目团队成员为投标文件中提供的拟安排人员，如因客观原因需调整人员，须具备与拟安排人员同等或以上资质，且征得采购人同意，否则视为主动放弃中标资格【</w:t>
      </w:r>
      <w:r>
        <w:rPr>
          <w:rFonts w:hint="eastAsia" w:ascii="宋体" w:hAnsi="宋体" w:eastAsia="宋体" w:cs="宋体"/>
          <w:b/>
          <w:bCs/>
          <w:color w:val="auto"/>
          <w:kern w:val="2"/>
          <w:sz w:val="21"/>
          <w:szCs w:val="21"/>
          <w:highlight w:val="none"/>
          <w:lang w:val="en-US" w:eastAsia="zh-CN" w:bidi="ar-SA"/>
        </w:rPr>
        <w:t>提供承诺函</w:t>
      </w:r>
      <w:r>
        <w:rPr>
          <w:rFonts w:hint="eastAsia" w:ascii="宋体" w:hAnsi="宋体" w:eastAsia="宋体" w:cs="宋体"/>
          <w:color w:val="auto"/>
          <w:kern w:val="2"/>
          <w:sz w:val="21"/>
          <w:szCs w:val="21"/>
          <w:highlight w:val="none"/>
          <w:lang w:val="en-US" w:eastAsia="zh-CN" w:bidi="ar-SA"/>
        </w:rPr>
        <w:t>】。</w:t>
      </w:r>
    </w:p>
    <w:p w14:paraId="43969391">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2.中标人在合同签订后7个日历日内需将人员和车辆的配备情况，提交给采购人备案，具体要求如下：</w:t>
      </w:r>
    </w:p>
    <w:p w14:paraId="0728EE3F">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（1）中标人须配备能同时解决不少于3个点位发生故障的专业技术人员和车辆，即</w:t>
      </w:r>
      <w:r>
        <w:rPr>
          <w:rFonts w:hint="eastAsia" w:ascii="宋体" w:hAnsi="宋体" w:eastAsia="宋体" w:cs="宋体"/>
          <w:color w:val="auto"/>
          <w:kern w:val="2"/>
          <w:sz w:val="21"/>
          <w:highlight w:val="none"/>
          <w:lang w:val="en-US" w:eastAsia="zh-CN" w:bidi="ar-SA"/>
        </w:rPr>
        <w:t>提供不少于3辆粤B牌车辆（5座或以上）用于日常巡检</w:t>
      </w:r>
      <w:r>
        <w:rPr>
          <w:rFonts w:hint="eastAsia" w:ascii="宋体" w:hAnsi="宋体" w:eastAsia="宋体" w:cs="宋体"/>
          <w:color w:val="auto"/>
          <w:kern w:val="2"/>
          <w:sz w:val="21"/>
          <w:szCs w:val="21"/>
          <w:highlight w:val="none"/>
          <w:lang w:val="en-US" w:eastAsia="zh-CN" w:bidi="ar-SA"/>
        </w:rPr>
        <w:t>，</w:t>
      </w:r>
      <w:r>
        <w:rPr>
          <w:rFonts w:hint="eastAsia" w:ascii="宋体" w:hAnsi="宋体" w:eastAsia="宋体" w:cs="宋体"/>
          <w:color w:val="auto"/>
          <w:kern w:val="2"/>
          <w:sz w:val="21"/>
          <w:highlight w:val="none"/>
          <w:lang w:val="en-US" w:eastAsia="zh-CN" w:bidi="ar-SA"/>
        </w:rPr>
        <w:t>且</w:t>
      </w:r>
      <w:r>
        <w:rPr>
          <w:rFonts w:hint="eastAsia" w:ascii="宋体" w:hAnsi="宋体" w:eastAsia="宋体" w:cs="宋体"/>
          <w:color w:val="auto"/>
          <w:kern w:val="2"/>
          <w:sz w:val="21"/>
          <w:szCs w:val="21"/>
          <w:highlight w:val="none"/>
          <w:lang w:val="en-US" w:eastAsia="zh-CN" w:bidi="ar-SA"/>
        </w:rPr>
        <w:t>配备</w:t>
      </w:r>
      <w:r>
        <w:rPr>
          <w:rFonts w:hint="eastAsia" w:ascii="宋体" w:hAnsi="宋体" w:eastAsia="宋体" w:cs="宋体"/>
          <w:color w:val="auto"/>
          <w:kern w:val="2"/>
          <w:sz w:val="21"/>
          <w:highlight w:val="none"/>
          <w:lang w:val="en-US" w:eastAsia="zh-CN" w:bidi="ar-SA"/>
        </w:rPr>
        <w:t>不少于</w:t>
      </w:r>
      <w:r>
        <w:rPr>
          <w:rFonts w:hint="eastAsia" w:ascii="宋体" w:hAnsi="宋体" w:eastAsia="宋体" w:cs="宋体"/>
          <w:color w:val="auto"/>
          <w:kern w:val="2"/>
          <w:sz w:val="21"/>
          <w:szCs w:val="21"/>
          <w:highlight w:val="none"/>
          <w:lang w:val="en-US" w:eastAsia="zh-CN" w:bidi="ar-SA"/>
        </w:rPr>
        <w:t>1辆粤B牌防撞车，以及必需的维修仪器、工具及通讯设备。</w:t>
      </w:r>
    </w:p>
    <w:p w14:paraId="35585A39">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Times New Roman" w:hAnsi="Times New Roman" w:eastAsia="宋体" w:cs="Times New Roman"/>
          <w:color w:val="auto"/>
          <w:kern w:val="2"/>
          <w:sz w:val="21"/>
          <w:highlight w:val="none"/>
          <w:lang w:val="en-US" w:eastAsia="zh-CN" w:bidi="ar-SA"/>
        </w:rPr>
        <w:t>★</w:t>
      </w:r>
      <w:r>
        <w:rPr>
          <w:rFonts w:hint="eastAsia" w:ascii="宋体" w:hAnsi="宋体" w:eastAsia="宋体" w:cs="宋体"/>
          <w:color w:val="auto"/>
          <w:kern w:val="2"/>
          <w:sz w:val="21"/>
          <w:szCs w:val="21"/>
          <w:highlight w:val="none"/>
          <w:lang w:val="en-US" w:eastAsia="zh-CN" w:bidi="ar-SA"/>
        </w:rPr>
        <w:t>（2）投标人承诺为本项目投入1名项目负责人以及10名项目团队成员，负责光缆资源的优化规划、故障跟踪、抢修及新增光资源录入等工作，并配备足够的日常维护辅助人员和专职安全员</w:t>
      </w:r>
      <w:r>
        <w:rPr>
          <w:rFonts w:hint="eastAsia" w:ascii="宋体" w:hAnsi="宋体" w:eastAsia="宋体" w:cs="宋体"/>
          <w:b/>
          <w:bCs/>
          <w:color w:val="auto"/>
          <w:kern w:val="2"/>
          <w:sz w:val="21"/>
          <w:szCs w:val="21"/>
          <w:highlight w:val="none"/>
          <w:lang w:val="en-US" w:eastAsia="zh-CN" w:bidi="ar-SA"/>
        </w:rPr>
        <w:t>【提供承诺函】</w:t>
      </w:r>
      <w:r>
        <w:rPr>
          <w:rFonts w:hint="eastAsia" w:ascii="宋体" w:hAnsi="宋体" w:eastAsia="宋体" w:cs="宋体"/>
          <w:color w:val="auto"/>
          <w:kern w:val="2"/>
          <w:sz w:val="21"/>
          <w:szCs w:val="21"/>
          <w:highlight w:val="none"/>
          <w:lang w:val="en-US" w:eastAsia="zh-CN" w:bidi="ar-SA"/>
        </w:rPr>
        <w:t>。</w:t>
      </w:r>
    </w:p>
    <w:p w14:paraId="63419CCE">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用于开展本项目工作的车辆须满足施工车辆外观标识（注：维护车辆在采购人指定位置安装LED显示屏，显示红色字体或黄色导向指示箭头，在高快速路上作业时需配备防撞车，维护车辆统一颜色、统一警示标识）。</w:t>
      </w:r>
    </w:p>
    <w:p w14:paraId="2CC6E89C">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（十）其他工作要求</w:t>
      </w:r>
    </w:p>
    <w:p w14:paraId="671A284D">
      <w:pPr>
        <w:keepNext w:val="0"/>
        <w:keepLines w:val="0"/>
        <w:pageBreakBefore w:val="0"/>
        <w:widowControl/>
        <w:kinsoku/>
        <w:wordWrap/>
        <w:overflowPunct/>
        <w:topLinePunct w:val="0"/>
        <w:autoSpaceDE/>
        <w:autoSpaceDN/>
        <w:bidi w:val="0"/>
        <w:adjustRightInd/>
        <w:snapToGrid/>
        <w:rPr>
          <w:rFonts w:hint="eastAsia" w:ascii="宋体" w:hAnsi="宋体" w:eastAsia="宋体" w:cs="宋体"/>
          <w:color w:val="auto"/>
          <w:sz w:val="21"/>
          <w:szCs w:val="21"/>
          <w:highlight w:val="none"/>
        </w:rPr>
      </w:pPr>
      <w:r>
        <w:rPr>
          <w:rFonts w:hint="eastAsia" w:ascii="宋体" w:hAnsi="宋体" w:eastAsia="宋体" w:cs="宋体"/>
          <w:color w:val="auto"/>
          <w:kern w:val="2"/>
          <w:sz w:val="21"/>
          <w:szCs w:val="21"/>
          <w:highlight w:val="none"/>
          <w:lang w:val="en-US" w:eastAsia="zh-CN" w:bidi="ar-SA"/>
        </w:rPr>
        <w:t>中标人须接受采购人安排的相关普查工作，不得因该项工作而影响日常维护任务。中标人须接受采购人安排的通信光缆的维护管理工作，并在采购人安排之日起纳入维护。通信光缆使用期限过长，老化破损严重，满足报废条件，中标人可以向采购人提出建议，在采购人未改造报废前，中标人负有维护维修责任。</w:t>
      </w:r>
    </w:p>
    <w:p w14:paraId="2893ECD9">
      <w:pPr>
        <w:keepNext w:val="0"/>
        <w:keepLines w:val="0"/>
        <w:pageBreakBefore w:val="0"/>
        <w:widowControl/>
        <w:kinsoku/>
        <w:wordWrap/>
        <w:overflowPunct/>
        <w:topLinePunct w:val="0"/>
        <w:autoSpaceDE/>
        <w:autoSpaceDN/>
        <w:bidi w:val="0"/>
        <w:adjustRightInd/>
        <w:snapToGrid/>
        <w:rPr>
          <w:rFonts w:hint="eastAsia" w:ascii="宋体" w:hAnsi="宋体" w:eastAsia="宋体" w:cs="宋体"/>
          <w:color w:val="auto"/>
          <w:sz w:val="21"/>
          <w:szCs w:val="21"/>
          <w:highlight w:val="none"/>
        </w:rPr>
      </w:pPr>
    </w:p>
    <w:p w14:paraId="0FB31DFD">
      <w:pPr>
        <w:rPr>
          <w:color w:val="auto"/>
          <w:highlight w:val="none"/>
        </w:rPr>
      </w:pPr>
    </w:p>
    <w:p w14:paraId="3A24DD87">
      <w:pPr>
        <w:pStyle w:val="3"/>
        <w:jc w:val="center"/>
        <w:rPr>
          <w:rFonts w:asciiTheme="minorEastAsia" w:hAnsiTheme="minorEastAsia" w:eastAsiaTheme="minorEastAsia"/>
          <w:color w:val="auto"/>
          <w:szCs w:val="21"/>
          <w:highlight w:val="none"/>
        </w:rPr>
      </w:pPr>
      <w:r>
        <w:rPr>
          <w:rFonts w:hint="eastAsia" w:asciiTheme="minorEastAsia" w:hAnsiTheme="minorEastAsia" w:eastAsiaTheme="minorEastAsia"/>
          <w:color w:val="auto"/>
          <w:szCs w:val="21"/>
          <w:highlight w:val="none"/>
        </w:rPr>
        <w:t>五</w:t>
      </w:r>
      <w:r>
        <w:rPr>
          <w:rFonts w:asciiTheme="minorEastAsia" w:hAnsiTheme="minorEastAsia" w:eastAsiaTheme="minorEastAsia"/>
          <w:color w:val="auto"/>
          <w:szCs w:val="21"/>
          <w:highlight w:val="none"/>
        </w:rPr>
        <w:t>、</w:t>
      </w:r>
      <w:r>
        <w:rPr>
          <w:rFonts w:hint="eastAsia" w:asciiTheme="minorEastAsia" w:hAnsiTheme="minorEastAsia" w:eastAsiaTheme="minorEastAsia"/>
          <w:color w:val="auto"/>
          <w:szCs w:val="21"/>
          <w:highlight w:val="none"/>
        </w:rPr>
        <w:t>项目商务要求</w:t>
      </w:r>
    </w:p>
    <w:p w14:paraId="647547AD">
      <w:pPr>
        <w:widowControl w:val="0"/>
        <w:spacing w:line="360" w:lineRule="auto"/>
        <w:ind w:firstLine="420" w:firstLineChars="200"/>
        <w:jc w:val="both"/>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一）服务期限：服务期限为一年。本项目为长期服务类项目，第一年为本次招标的中标服务期限，采购单位可根据项目需要和中标供应商的履约情况确定合同期限是否延长，最多续签两次，合同一年一签。本项目合同累计履行期限最长不超过三十六个月。若政府采购主管部门发现项目有异常情况，以主管部门意见为准。</w:t>
      </w:r>
    </w:p>
    <w:p w14:paraId="012D0F4A">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Times New Roman" w:hAnsi="Times New Roman" w:eastAsia="宋体" w:cs="Times New Roman"/>
          <w:color w:val="auto"/>
          <w:kern w:val="2"/>
          <w:sz w:val="21"/>
          <w:highlight w:val="none"/>
          <w:lang w:val="en-US" w:eastAsia="zh-CN" w:bidi="ar-SA"/>
        </w:rPr>
        <w:t>（二）服务期满后服务承诺：后续服务公司未到位前仍按原服务合同承诺提供服务，交接期间所产生的费用(含服务费)已包含在本合同的服务金额中。</w:t>
      </w:r>
    </w:p>
    <w:p w14:paraId="33234EC3">
      <w:pPr>
        <w:widowControl w:val="0"/>
        <w:spacing w:line="360" w:lineRule="auto"/>
        <w:ind w:firstLine="420" w:firstLineChars="200"/>
        <w:jc w:val="both"/>
        <w:rPr>
          <w:rFonts w:ascii="Times New Roman" w:hAnsi="Times New Roman" w:eastAsia="宋体" w:cs="Times New Roman"/>
          <w:color w:val="auto"/>
          <w:kern w:val="2"/>
          <w:sz w:val="21"/>
          <w:highlight w:val="none"/>
          <w:lang w:val="en-US" w:eastAsia="zh-CN" w:bidi="ar-SA"/>
        </w:rPr>
      </w:pPr>
      <w:r>
        <w:rPr>
          <w:rFonts w:hint="eastAsia" w:ascii="Times New Roman" w:hAnsi="Times New Roman" w:eastAsia="宋体" w:cs="Times New Roman"/>
          <w:color w:val="auto"/>
          <w:kern w:val="2"/>
          <w:sz w:val="21"/>
          <w:highlight w:val="none"/>
          <w:lang w:val="en-US" w:eastAsia="zh-CN" w:bidi="ar-SA"/>
        </w:rPr>
        <w:t>（三）项目服务内容</w:t>
      </w:r>
    </w:p>
    <w:tbl>
      <w:tblPr>
        <w:tblStyle w:val="17"/>
        <w:tblW w:w="4998" w:type="pct"/>
        <w:tblInd w:w="0" w:type="dxa"/>
        <w:tblLayout w:type="autofit"/>
        <w:tblCellMar>
          <w:top w:w="0" w:type="dxa"/>
          <w:left w:w="108" w:type="dxa"/>
          <w:bottom w:w="0" w:type="dxa"/>
          <w:right w:w="108" w:type="dxa"/>
        </w:tblCellMar>
      </w:tblPr>
      <w:tblGrid>
        <w:gridCol w:w="639"/>
        <w:gridCol w:w="4314"/>
        <w:gridCol w:w="3566"/>
      </w:tblGrid>
      <w:tr w14:paraId="36F6B2F6">
        <w:tblPrEx>
          <w:tblCellMar>
            <w:top w:w="0" w:type="dxa"/>
            <w:left w:w="108" w:type="dxa"/>
            <w:bottom w:w="0" w:type="dxa"/>
            <w:right w:w="108" w:type="dxa"/>
          </w:tblCellMar>
        </w:tblPrEx>
        <w:trPr>
          <w:trHeight w:val="492" w:hRule="atLeast"/>
        </w:trPr>
        <w:tc>
          <w:tcPr>
            <w:tcW w:w="375" w:type="pct"/>
            <w:tcBorders>
              <w:top w:val="single" w:color="000000" w:sz="4" w:space="0"/>
              <w:left w:val="single" w:color="000000" w:sz="4" w:space="0"/>
              <w:bottom w:val="single" w:color="000000" w:sz="4" w:space="0"/>
              <w:right w:val="single" w:color="000000" w:sz="4" w:space="0"/>
            </w:tcBorders>
            <w:noWrap w:val="0"/>
            <w:vAlign w:val="center"/>
          </w:tcPr>
          <w:p w14:paraId="36297FA0">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序号</w:t>
            </w:r>
          </w:p>
        </w:tc>
        <w:tc>
          <w:tcPr>
            <w:tcW w:w="2531" w:type="pct"/>
            <w:tcBorders>
              <w:top w:val="single" w:color="000000" w:sz="4" w:space="0"/>
              <w:left w:val="single" w:color="000000" w:sz="4" w:space="0"/>
              <w:bottom w:val="single" w:color="000000" w:sz="4" w:space="0"/>
              <w:right w:val="single" w:color="000000" w:sz="4" w:space="0"/>
            </w:tcBorders>
            <w:noWrap w:val="0"/>
            <w:vAlign w:val="center"/>
          </w:tcPr>
          <w:p w14:paraId="045003F7">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服务内容</w:t>
            </w:r>
          </w:p>
        </w:tc>
        <w:tc>
          <w:tcPr>
            <w:tcW w:w="2092" w:type="pct"/>
            <w:tcBorders>
              <w:top w:val="single" w:color="000000" w:sz="4" w:space="0"/>
              <w:left w:val="single" w:color="000000" w:sz="4" w:space="0"/>
              <w:bottom w:val="single" w:color="000000" w:sz="4" w:space="0"/>
              <w:right w:val="single" w:color="000000" w:sz="4" w:space="0"/>
            </w:tcBorders>
            <w:noWrap w:val="0"/>
            <w:vAlign w:val="center"/>
          </w:tcPr>
          <w:p w14:paraId="6C402D67">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预算金额（人民币元）</w:t>
            </w:r>
          </w:p>
        </w:tc>
      </w:tr>
      <w:tr w14:paraId="09BEE520">
        <w:tblPrEx>
          <w:tblCellMar>
            <w:top w:w="0" w:type="dxa"/>
            <w:left w:w="108" w:type="dxa"/>
            <w:bottom w:w="0" w:type="dxa"/>
            <w:right w:w="108" w:type="dxa"/>
          </w:tblCellMar>
        </w:tblPrEx>
        <w:trPr>
          <w:trHeight w:val="740" w:hRule="atLeast"/>
        </w:trPr>
        <w:tc>
          <w:tcPr>
            <w:tcW w:w="375" w:type="pct"/>
            <w:tcBorders>
              <w:top w:val="single" w:color="000000" w:sz="4" w:space="0"/>
              <w:left w:val="single" w:color="000000" w:sz="4" w:space="0"/>
              <w:bottom w:val="single" w:color="000000" w:sz="4" w:space="0"/>
              <w:right w:val="single" w:color="000000" w:sz="4" w:space="0"/>
            </w:tcBorders>
            <w:noWrap w:val="0"/>
            <w:vAlign w:val="center"/>
          </w:tcPr>
          <w:p w14:paraId="7D4CFEF7">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1</w:t>
            </w:r>
          </w:p>
        </w:tc>
        <w:tc>
          <w:tcPr>
            <w:tcW w:w="2531" w:type="pct"/>
            <w:tcBorders>
              <w:top w:val="single" w:color="000000" w:sz="4" w:space="0"/>
              <w:left w:val="single" w:color="000000" w:sz="4" w:space="0"/>
              <w:bottom w:val="single" w:color="000000" w:sz="4" w:space="0"/>
              <w:right w:val="single" w:color="000000" w:sz="4" w:space="0"/>
            </w:tcBorders>
            <w:noWrap w:val="0"/>
            <w:vAlign w:val="center"/>
          </w:tcPr>
          <w:p w14:paraId="15AA4823">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通信光缆日常维护</w:t>
            </w:r>
          </w:p>
        </w:tc>
        <w:tc>
          <w:tcPr>
            <w:tcW w:w="2092" w:type="pct"/>
            <w:tcBorders>
              <w:top w:val="single" w:color="000000" w:sz="4" w:space="0"/>
              <w:left w:val="single" w:color="000000" w:sz="4" w:space="0"/>
              <w:bottom w:val="single" w:color="000000" w:sz="4" w:space="0"/>
              <w:right w:val="single" w:color="000000" w:sz="4" w:space="0"/>
            </w:tcBorders>
            <w:noWrap w:val="0"/>
            <w:vAlign w:val="center"/>
          </w:tcPr>
          <w:p w14:paraId="62A96C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auto"/>
                <w:kern w:val="2"/>
                <w:sz w:val="22"/>
                <w:szCs w:val="22"/>
                <w:highlight w:val="none"/>
                <w:lang w:val="en-US" w:eastAsia="zh-CN" w:bidi="ar-SA"/>
              </w:rPr>
            </w:pPr>
            <w:r>
              <w:rPr>
                <w:rFonts w:hint="eastAsia" w:ascii="宋体" w:hAnsi="宋体" w:eastAsia="宋体" w:cs="宋体"/>
                <w:color w:val="auto"/>
                <w:kern w:val="0"/>
                <w:sz w:val="21"/>
                <w:szCs w:val="21"/>
                <w:highlight w:val="none"/>
                <w:lang w:val="en-US" w:eastAsia="zh-CN" w:bidi="ar-SA"/>
              </w:rPr>
              <w:t>2,338,483.40</w:t>
            </w:r>
          </w:p>
        </w:tc>
      </w:tr>
      <w:tr w14:paraId="71F0491D">
        <w:tblPrEx>
          <w:tblCellMar>
            <w:top w:w="0" w:type="dxa"/>
            <w:left w:w="108" w:type="dxa"/>
            <w:bottom w:w="0" w:type="dxa"/>
            <w:right w:w="108" w:type="dxa"/>
          </w:tblCellMar>
        </w:tblPrEx>
        <w:trPr>
          <w:trHeight w:val="740" w:hRule="atLeast"/>
        </w:trPr>
        <w:tc>
          <w:tcPr>
            <w:tcW w:w="375" w:type="pct"/>
            <w:tcBorders>
              <w:top w:val="single" w:color="000000" w:sz="4" w:space="0"/>
              <w:left w:val="single" w:color="000000" w:sz="4" w:space="0"/>
              <w:bottom w:val="single" w:color="000000" w:sz="4" w:space="0"/>
              <w:right w:val="single" w:color="000000" w:sz="4" w:space="0"/>
            </w:tcBorders>
            <w:noWrap w:val="0"/>
            <w:vAlign w:val="center"/>
          </w:tcPr>
          <w:p w14:paraId="55657A9E">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2</w:t>
            </w:r>
          </w:p>
        </w:tc>
        <w:tc>
          <w:tcPr>
            <w:tcW w:w="2531" w:type="pct"/>
            <w:tcBorders>
              <w:top w:val="single" w:color="000000" w:sz="4" w:space="0"/>
              <w:left w:val="single" w:color="000000" w:sz="4" w:space="0"/>
              <w:bottom w:val="single" w:color="000000" w:sz="4" w:space="0"/>
              <w:right w:val="single" w:color="000000" w:sz="4" w:space="0"/>
            </w:tcBorders>
            <w:noWrap w:val="0"/>
            <w:vAlign w:val="center"/>
          </w:tcPr>
          <w:p w14:paraId="4BAEDAAA">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通信光缆应急工程</w:t>
            </w:r>
          </w:p>
        </w:tc>
        <w:tc>
          <w:tcPr>
            <w:tcW w:w="2092" w:type="pct"/>
            <w:tcBorders>
              <w:top w:val="single" w:color="000000" w:sz="4" w:space="0"/>
              <w:left w:val="single" w:color="000000" w:sz="4" w:space="0"/>
              <w:bottom w:val="single" w:color="000000" w:sz="4" w:space="0"/>
              <w:right w:val="single" w:color="000000" w:sz="4" w:space="0"/>
            </w:tcBorders>
            <w:noWrap w:val="0"/>
            <w:vAlign w:val="center"/>
          </w:tcPr>
          <w:p w14:paraId="031F64DC">
            <w:pPr>
              <w:keepNext w:val="0"/>
              <w:keepLines w:val="0"/>
              <w:widowControl w:val="0"/>
              <w:suppressLineNumbers w:val="0"/>
              <w:spacing w:before="0" w:beforeAutospacing="0" w:after="0" w:afterAutospacing="0"/>
              <w:ind w:left="0" w:right="0"/>
              <w:jc w:val="center"/>
              <w:rPr>
                <w:rFonts w:hint="default" w:ascii="宋体" w:hAnsi="宋体" w:eastAsia="宋体" w:cs="宋体"/>
                <w:color w:val="auto"/>
                <w:kern w:val="2"/>
                <w:sz w:val="22"/>
                <w:szCs w:val="22"/>
                <w:highlight w:val="none"/>
                <w:lang w:val="en-US" w:eastAsia="zh-CN" w:bidi="ar-SA"/>
              </w:rPr>
            </w:pPr>
            <w:r>
              <w:rPr>
                <w:rFonts w:hint="eastAsia" w:ascii="宋体" w:hAnsi="宋体" w:eastAsia="宋体" w:cs="宋体"/>
                <w:color w:val="auto"/>
                <w:kern w:val="0"/>
                <w:sz w:val="21"/>
                <w:szCs w:val="21"/>
                <w:highlight w:val="none"/>
                <w:lang w:val="en-US" w:eastAsia="zh-CN" w:bidi="ar-SA"/>
              </w:rPr>
              <w:t>165,000.00</w:t>
            </w:r>
          </w:p>
        </w:tc>
      </w:tr>
      <w:tr w14:paraId="115E14CD">
        <w:tblPrEx>
          <w:tblCellMar>
            <w:top w:w="0" w:type="dxa"/>
            <w:left w:w="108" w:type="dxa"/>
            <w:bottom w:w="0" w:type="dxa"/>
            <w:right w:w="108" w:type="dxa"/>
          </w:tblCellMar>
        </w:tblPrEx>
        <w:trPr>
          <w:trHeight w:val="740" w:hRule="atLeast"/>
        </w:trPr>
        <w:tc>
          <w:tcPr>
            <w:tcW w:w="375" w:type="pct"/>
            <w:tcBorders>
              <w:top w:val="single" w:color="000000" w:sz="4" w:space="0"/>
              <w:left w:val="single" w:color="000000" w:sz="4" w:space="0"/>
              <w:bottom w:val="single" w:color="000000" w:sz="4" w:space="0"/>
              <w:right w:val="single" w:color="000000" w:sz="4" w:space="0"/>
            </w:tcBorders>
            <w:noWrap w:val="0"/>
            <w:vAlign w:val="center"/>
          </w:tcPr>
          <w:p w14:paraId="2D5FCD45">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3</w:t>
            </w:r>
          </w:p>
        </w:tc>
        <w:tc>
          <w:tcPr>
            <w:tcW w:w="2531" w:type="pct"/>
            <w:tcBorders>
              <w:top w:val="single" w:color="000000" w:sz="4" w:space="0"/>
              <w:left w:val="single" w:color="000000" w:sz="4" w:space="0"/>
              <w:bottom w:val="single" w:color="000000" w:sz="4" w:space="0"/>
              <w:right w:val="single" w:color="000000" w:sz="4" w:space="0"/>
            </w:tcBorders>
            <w:noWrap w:val="0"/>
            <w:vAlign w:val="center"/>
          </w:tcPr>
          <w:p w14:paraId="45AD7B04">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通信管道及光纤链路租赁分项（属于不可竞争费，支付范围包括但不限于合同期内）</w:t>
            </w:r>
          </w:p>
        </w:tc>
        <w:tc>
          <w:tcPr>
            <w:tcW w:w="2092" w:type="pct"/>
            <w:tcBorders>
              <w:top w:val="single" w:color="000000" w:sz="4" w:space="0"/>
              <w:left w:val="single" w:color="000000" w:sz="4" w:space="0"/>
              <w:bottom w:val="single" w:color="000000" w:sz="4" w:space="0"/>
              <w:right w:val="single" w:color="000000" w:sz="4" w:space="0"/>
            </w:tcBorders>
            <w:noWrap w:val="0"/>
            <w:vAlign w:val="center"/>
          </w:tcPr>
          <w:p w14:paraId="75AA03BD">
            <w:pPr>
              <w:keepNext w:val="0"/>
              <w:keepLines w:val="0"/>
              <w:widowControl w:val="0"/>
              <w:suppressLineNumbers w:val="0"/>
              <w:spacing w:before="0" w:beforeAutospacing="0" w:after="0" w:afterAutospacing="0"/>
              <w:ind w:left="0" w:right="0"/>
              <w:jc w:val="center"/>
              <w:rPr>
                <w:rFonts w:hint="default" w:ascii="宋体" w:hAnsi="宋体" w:eastAsia="宋体" w:cs="宋体"/>
                <w:color w:val="auto"/>
                <w:kern w:val="2"/>
                <w:sz w:val="22"/>
                <w:szCs w:val="22"/>
                <w:highlight w:val="none"/>
                <w:lang w:val="en-US" w:eastAsia="zh-CN" w:bidi="ar-SA"/>
              </w:rPr>
            </w:pPr>
            <w:r>
              <w:rPr>
                <w:rFonts w:hint="eastAsia" w:ascii="宋体" w:hAnsi="宋体" w:eastAsia="宋体" w:cs="宋体"/>
                <w:color w:val="auto"/>
                <w:kern w:val="0"/>
                <w:sz w:val="21"/>
                <w:szCs w:val="21"/>
                <w:highlight w:val="none"/>
                <w:lang w:val="en-US" w:eastAsia="zh-CN" w:bidi="ar-SA"/>
              </w:rPr>
              <w:t>9,026,250.00</w:t>
            </w:r>
          </w:p>
        </w:tc>
      </w:tr>
      <w:tr w14:paraId="49611E96">
        <w:tblPrEx>
          <w:tblCellMar>
            <w:top w:w="0" w:type="dxa"/>
            <w:left w:w="108" w:type="dxa"/>
            <w:bottom w:w="0" w:type="dxa"/>
            <w:right w:w="108" w:type="dxa"/>
          </w:tblCellMar>
        </w:tblPrEx>
        <w:trPr>
          <w:trHeight w:val="740" w:hRule="atLeast"/>
        </w:trPr>
        <w:tc>
          <w:tcPr>
            <w:tcW w:w="375" w:type="pct"/>
            <w:tcBorders>
              <w:top w:val="single" w:color="000000" w:sz="4" w:space="0"/>
              <w:left w:val="single" w:color="000000" w:sz="4" w:space="0"/>
              <w:bottom w:val="single" w:color="000000" w:sz="4" w:space="0"/>
              <w:right w:val="single" w:color="000000" w:sz="4" w:space="0"/>
            </w:tcBorders>
            <w:noWrap w:val="0"/>
            <w:vAlign w:val="center"/>
          </w:tcPr>
          <w:p w14:paraId="70A1EB31">
            <w:pPr>
              <w:keepNext w:val="0"/>
              <w:keepLines w:val="0"/>
              <w:widowControl w:val="0"/>
              <w:suppressLineNumbers w:val="0"/>
              <w:spacing w:before="0" w:beforeAutospacing="0" w:after="0" w:afterAutospacing="0"/>
              <w:ind w:left="0" w:right="0"/>
              <w:jc w:val="center"/>
              <w:rPr>
                <w:rFonts w:hint="default" w:ascii="宋体" w:hAnsi="宋体" w:eastAsia="宋体" w:cs="宋体"/>
                <w:color w:val="auto"/>
                <w:kern w:val="2"/>
                <w:sz w:val="21"/>
                <w:szCs w:val="21"/>
                <w:highlight w:val="none"/>
                <w:lang w:val="en-US" w:eastAsia="zh-CN" w:bidi="ar-SA"/>
              </w:rPr>
            </w:pPr>
          </w:p>
        </w:tc>
        <w:tc>
          <w:tcPr>
            <w:tcW w:w="2531" w:type="pct"/>
            <w:tcBorders>
              <w:top w:val="single" w:color="000000" w:sz="4" w:space="0"/>
              <w:left w:val="single" w:color="000000" w:sz="4" w:space="0"/>
              <w:bottom w:val="single" w:color="000000" w:sz="4" w:space="0"/>
              <w:right w:val="single" w:color="000000" w:sz="4" w:space="0"/>
            </w:tcBorders>
            <w:noWrap w:val="0"/>
            <w:vAlign w:val="center"/>
          </w:tcPr>
          <w:p w14:paraId="4CF26CBC">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合计</w:t>
            </w:r>
          </w:p>
        </w:tc>
        <w:tc>
          <w:tcPr>
            <w:tcW w:w="2092" w:type="pct"/>
            <w:tcBorders>
              <w:top w:val="single" w:color="000000" w:sz="4" w:space="0"/>
              <w:left w:val="single" w:color="000000" w:sz="4" w:space="0"/>
              <w:bottom w:val="single" w:color="000000" w:sz="4" w:space="0"/>
              <w:right w:val="single" w:color="000000" w:sz="4" w:space="0"/>
            </w:tcBorders>
            <w:noWrap w:val="0"/>
            <w:vAlign w:val="center"/>
          </w:tcPr>
          <w:p w14:paraId="2BFB58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0"/>
                <w:sz w:val="21"/>
                <w:szCs w:val="21"/>
                <w:highlight w:val="none"/>
                <w:lang w:val="en-US" w:eastAsia="zh-CN" w:bidi="ar-SA"/>
              </w:rPr>
              <w:t>11</w:t>
            </w:r>
            <w:r>
              <w:rPr>
                <w:rFonts w:hint="eastAsia" w:ascii="宋体" w:hAnsi="宋体" w:eastAsia="宋体" w:cs="宋体"/>
                <w:color w:val="auto"/>
                <w:kern w:val="0"/>
                <w:sz w:val="21"/>
                <w:szCs w:val="21"/>
                <w:highlight w:val="none"/>
                <w:lang w:val="en-US" w:eastAsia="zh-CN" w:bidi="ar-SA"/>
              </w:rPr>
              <w:t>,</w:t>
            </w:r>
            <w:r>
              <w:rPr>
                <w:rFonts w:hint="default" w:ascii="宋体" w:hAnsi="宋体" w:eastAsia="宋体" w:cs="宋体"/>
                <w:color w:val="auto"/>
                <w:kern w:val="0"/>
                <w:sz w:val="21"/>
                <w:szCs w:val="21"/>
                <w:highlight w:val="none"/>
                <w:lang w:val="en-US" w:eastAsia="zh-CN" w:bidi="ar-SA"/>
              </w:rPr>
              <w:t>529</w:t>
            </w:r>
            <w:r>
              <w:rPr>
                <w:rFonts w:hint="eastAsia" w:ascii="宋体" w:hAnsi="宋体" w:eastAsia="宋体" w:cs="宋体"/>
                <w:color w:val="auto"/>
                <w:kern w:val="0"/>
                <w:sz w:val="21"/>
                <w:szCs w:val="21"/>
                <w:highlight w:val="none"/>
                <w:lang w:val="en-US" w:eastAsia="zh-CN" w:bidi="ar-SA"/>
              </w:rPr>
              <w:t>,</w:t>
            </w:r>
            <w:r>
              <w:rPr>
                <w:rFonts w:hint="default" w:ascii="宋体" w:hAnsi="宋体" w:eastAsia="宋体" w:cs="宋体"/>
                <w:color w:val="auto"/>
                <w:kern w:val="0"/>
                <w:sz w:val="21"/>
                <w:szCs w:val="21"/>
                <w:highlight w:val="none"/>
                <w:lang w:val="en-US" w:eastAsia="zh-CN" w:bidi="ar-SA"/>
              </w:rPr>
              <w:t>733.4</w:t>
            </w:r>
            <w:r>
              <w:rPr>
                <w:rFonts w:hint="eastAsia" w:ascii="宋体" w:hAnsi="宋体" w:eastAsia="宋体" w:cs="宋体"/>
                <w:color w:val="auto"/>
                <w:kern w:val="0"/>
                <w:sz w:val="21"/>
                <w:szCs w:val="21"/>
                <w:highlight w:val="none"/>
                <w:lang w:val="en-US" w:eastAsia="zh-CN" w:bidi="ar-SA"/>
              </w:rPr>
              <w:t>0</w:t>
            </w:r>
          </w:p>
        </w:tc>
      </w:tr>
    </w:tbl>
    <w:p w14:paraId="0DB7BC44">
      <w:pPr>
        <w:widowControl w:val="0"/>
        <w:spacing w:line="360" w:lineRule="auto"/>
        <w:ind w:firstLine="420" w:firstLineChars="200"/>
        <w:jc w:val="both"/>
        <w:rPr>
          <w:rFonts w:ascii="Times New Roman" w:hAnsi="Times New Roman" w:eastAsia="宋体" w:cs="Times New Roman"/>
          <w:color w:val="auto"/>
          <w:kern w:val="2"/>
          <w:sz w:val="21"/>
          <w:highlight w:val="none"/>
          <w:lang w:val="en-US" w:eastAsia="zh-CN" w:bidi="ar-SA"/>
        </w:rPr>
      </w:pPr>
      <w:r>
        <w:rPr>
          <w:rFonts w:hint="eastAsia" w:ascii="Times New Roman" w:hAnsi="Times New Roman" w:eastAsia="宋体" w:cs="Times New Roman"/>
          <w:color w:val="auto"/>
          <w:kern w:val="2"/>
          <w:sz w:val="21"/>
          <w:highlight w:val="none"/>
          <w:lang w:val="en-US" w:eastAsia="zh-CN" w:bidi="ar-SA"/>
        </w:rPr>
        <w:t>以上任意一项服务内容的投标报价超过其预算金额或最高单价上限的，将导致投标无效。</w:t>
      </w:r>
    </w:p>
    <w:p w14:paraId="77246EFA">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（四）付款方式：</w:t>
      </w:r>
    </w:p>
    <w:p w14:paraId="6A46B16E">
      <w:pPr>
        <w:widowControl w:val="0"/>
        <w:spacing w:line="360" w:lineRule="auto"/>
        <w:ind w:firstLine="420" w:firstLineChars="200"/>
        <w:jc w:val="both"/>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付款原则:本项目支付上限为本项目预算金额（且不超出各子项报价上限），以实际工作量进行结算，具体根据市财政拨款情况分期付给（具体以市财政局相关规定和合同约定为准）。由于投标单位原因造成服务款不能支付，责任由投标单位承担。</w:t>
      </w:r>
    </w:p>
    <w:p w14:paraId="0E4C550A">
      <w:pPr>
        <w:widowControl w:val="0"/>
        <w:spacing w:line="360" w:lineRule="auto"/>
        <w:ind w:firstLine="420" w:firstLineChars="200"/>
        <w:jc w:val="both"/>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预付款的支付:签订合同后，采购人支付中标人310.1817万元(叁佰壹拾万壹千捌佰壹拾柒元整)，作为中标人提供服务的预付款。在本项目合同协议书签订生效且中标人提交履约保证金后，办理支付手续并提交给相关付款部门。中标人需按等比例支付相应链路、管道租赁费用。</w:t>
      </w:r>
    </w:p>
    <w:p w14:paraId="00711B87">
      <w:pPr>
        <w:widowControl w:val="0"/>
        <w:spacing w:line="360" w:lineRule="auto"/>
        <w:ind w:firstLine="420" w:firstLineChars="200"/>
        <w:jc w:val="both"/>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3.合同实施过程中，按实际完成的工作量及政府财政实际下达资金支付进度款，累计支付总额不超过合同支付上限的90%。中标人需按等比例支付相应链路、管道租赁费用。</w:t>
      </w:r>
    </w:p>
    <w:p w14:paraId="068C323A">
      <w:pPr>
        <w:widowControl w:val="0"/>
        <w:spacing w:line="360" w:lineRule="auto"/>
        <w:ind w:firstLine="420" w:firstLineChars="200"/>
        <w:jc w:val="both"/>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尾款结算在完成项目验收、履约担保有效期符合合同要求、固定资产录入有关工作后，结合实际工作量服务考核结果和违约扣款情况，出具最终竣工结算报告后，采购人向中标人一次性支付剩余款项。(具体以市财政局相关规定和合同约定为准)。履约有效期到期后，投标人向采购人提出解除履约担保手续，采购人应在接到中标人申请后七个工作日办理解除履约担保手续。</w:t>
      </w:r>
    </w:p>
    <w:p w14:paraId="221709B2">
      <w:pPr>
        <w:widowControl w:val="0"/>
        <w:spacing w:line="360" w:lineRule="auto"/>
        <w:ind w:firstLine="420" w:firstLineChars="200"/>
        <w:jc w:val="both"/>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5.如存在扣款的事项，采购人将在进度款或尾款中直接扣减。</w:t>
      </w:r>
    </w:p>
    <w:p w14:paraId="2CB40CD0">
      <w:pPr>
        <w:widowControl w:val="0"/>
        <w:spacing w:line="360" w:lineRule="auto"/>
        <w:ind w:firstLine="420" w:firstLineChars="200"/>
        <w:jc w:val="both"/>
        <w:rPr>
          <w:rFonts w:ascii="宋体" w:hAnsi="宋体" w:eastAsia="宋体" w:cs="宋体"/>
          <w:b/>
          <w:bCs/>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6.本项目结算总价不得超过合同总价。</w:t>
      </w:r>
    </w:p>
    <w:p w14:paraId="533EE530">
      <w:pPr>
        <w:widowControl w:val="0"/>
        <w:spacing w:line="360" w:lineRule="auto"/>
        <w:ind w:firstLine="420" w:firstLineChars="200"/>
        <w:jc w:val="both"/>
        <w:rPr>
          <w:rFonts w:ascii="宋体" w:hAnsi="宋体" w:eastAsia="宋体" w:cs="宋体"/>
          <w:b/>
          <w:bCs/>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7.履约评价金按履约评价考核结果在进度款或尾款中进行支付或核减。</w:t>
      </w:r>
    </w:p>
    <w:p w14:paraId="60591A77">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8.采购人可根据项目执行情况对维护经费、应急工程经费、履约考核评价经费在本项目合同内调整使用。</w:t>
      </w:r>
    </w:p>
    <w:p w14:paraId="406DAA0C">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9.履约评价金（指根据对供应商的考核结果进行支付或核减的费用）的支付，采购人对中标人考核分阶段进行评价，项目根据每月进行履约评价，每三个月进行考核，评分采用各月考核评价的平均分，根据实际情况在尾款支付时进行支付或核减。</w:t>
      </w:r>
    </w:p>
    <w:p w14:paraId="0938E2C9">
      <w:pPr>
        <w:widowControl w:val="0"/>
        <w:spacing w:line="360" w:lineRule="auto"/>
        <w:ind w:firstLine="420" w:firstLineChars="200"/>
        <w:jc w:val="both"/>
        <w:rPr>
          <w:rFonts w:hint="eastAsia"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履约评价金占合同比例按下表：</w:t>
      </w:r>
    </w:p>
    <w:p w14:paraId="4D9D981E">
      <w:pPr>
        <w:widowControl w:val="0"/>
        <w:spacing w:line="360" w:lineRule="auto"/>
        <w:ind w:firstLine="420" w:firstLineChars="200"/>
        <w:jc w:val="both"/>
        <w:rPr>
          <w:rFonts w:hint="eastAsia" w:ascii="宋体" w:hAnsi="宋体" w:eastAsia="宋体" w:cs="宋体"/>
          <w:b w:val="0"/>
          <w:bCs w:val="0"/>
          <w:color w:val="auto"/>
          <w:kern w:val="2"/>
          <w:sz w:val="21"/>
          <w:szCs w:val="21"/>
          <w:highlight w:val="none"/>
          <w:lang w:val="en-US" w:eastAsia="zh-CN" w:bidi="ar-SA"/>
        </w:rPr>
      </w:pPr>
    </w:p>
    <w:tbl>
      <w:tblPr>
        <w:tblStyle w:val="17"/>
        <w:tblW w:w="0" w:type="auto"/>
        <w:jc w:val="center"/>
        <w:tblLayout w:type="autofit"/>
        <w:tblCellMar>
          <w:top w:w="0" w:type="dxa"/>
          <w:left w:w="108" w:type="dxa"/>
          <w:bottom w:w="0" w:type="dxa"/>
          <w:right w:w="108" w:type="dxa"/>
        </w:tblCellMar>
      </w:tblPr>
      <w:tblGrid>
        <w:gridCol w:w="1374"/>
        <w:gridCol w:w="3014"/>
        <w:gridCol w:w="4134"/>
      </w:tblGrid>
      <w:tr w14:paraId="29F3C314">
        <w:tblPrEx>
          <w:tblCellMar>
            <w:top w:w="0" w:type="dxa"/>
            <w:left w:w="108" w:type="dxa"/>
            <w:bottom w:w="0" w:type="dxa"/>
            <w:right w:w="108" w:type="dxa"/>
          </w:tblCellMar>
        </w:tblPrEx>
        <w:trPr>
          <w:trHeight w:val="280" w:hRule="atLeast"/>
          <w:jc w:val="center"/>
        </w:trPr>
        <w:tc>
          <w:tcPr>
            <w:tcW w:w="1535" w:type="dxa"/>
            <w:tcBorders>
              <w:top w:val="single" w:color="auto" w:sz="4" w:space="0"/>
              <w:left w:val="single" w:color="auto" w:sz="4" w:space="0"/>
              <w:bottom w:val="single" w:color="auto" w:sz="4" w:space="0"/>
              <w:right w:val="single" w:color="auto" w:sz="4" w:space="0"/>
            </w:tcBorders>
            <w:noWrap/>
            <w:vAlign w:val="center"/>
          </w:tcPr>
          <w:p w14:paraId="6F219896">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序号</w:t>
            </w:r>
          </w:p>
        </w:tc>
        <w:tc>
          <w:tcPr>
            <w:tcW w:w="3402" w:type="dxa"/>
            <w:tcBorders>
              <w:top w:val="single" w:color="auto" w:sz="4" w:space="0"/>
              <w:left w:val="nil"/>
              <w:bottom w:val="single" w:color="auto" w:sz="4" w:space="0"/>
              <w:right w:val="single" w:color="auto" w:sz="4" w:space="0"/>
            </w:tcBorders>
            <w:noWrap/>
            <w:vAlign w:val="center"/>
          </w:tcPr>
          <w:p w14:paraId="2C58F2A9">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履约评价考核阶段</w:t>
            </w:r>
          </w:p>
        </w:tc>
        <w:tc>
          <w:tcPr>
            <w:tcW w:w="4678" w:type="dxa"/>
            <w:tcBorders>
              <w:top w:val="single" w:color="auto" w:sz="4" w:space="0"/>
              <w:left w:val="nil"/>
              <w:bottom w:val="single" w:color="auto" w:sz="4" w:space="0"/>
              <w:right w:val="single" w:color="auto" w:sz="4" w:space="0"/>
            </w:tcBorders>
            <w:noWrap/>
            <w:vAlign w:val="center"/>
          </w:tcPr>
          <w:p w14:paraId="4AE0601D">
            <w:pPr>
              <w:keepNext w:val="0"/>
              <w:keepLines w:val="0"/>
              <w:widowControl w:val="0"/>
              <w:suppressLineNumbers w:val="0"/>
              <w:spacing w:before="0" w:beforeAutospacing="0" w:after="0" w:afterAutospacing="0" w:line="360" w:lineRule="auto"/>
              <w:ind w:left="0" w:right="0"/>
              <w:jc w:val="center"/>
              <w:rPr>
                <w:rFonts w:hint="eastAsia"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履约评价金占合同的比例（以剔除管道租赁</w:t>
            </w:r>
          </w:p>
          <w:p w14:paraId="3D3F5A43">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和光缆链路租赁费用后的合同金额进行计算）</w:t>
            </w:r>
          </w:p>
        </w:tc>
      </w:tr>
      <w:tr w14:paraId="3CBA8581">
        <w:tblPrEx>
          <w:tblCellMar>
            <w:top w:w="0" w:type="dxa"/>
            <w:left w:w="108" w:type="dxa"/>
            <w:bottom w:w="0" w:type="dxa"/>
            <w:right w:w="108" w:type="dxa"/>
          </w:tblCellMar>
        </w:tblPrEx>
        <w:trPr>
          <w:trHeight w:val="280" w:hRule="atLeast"/>
          <w:jc w:val="center"/>
        </w:trPr>
        <w:tc>
          <w:tcPr>
            <w:tcW w:w="1535" w:type="dxa"/>
            <w:tcBorders>
              <w:top w:val="nil"/>
              <w:left w:val="single" w:color="auto" w:sz="4" w:space="0"/>
              <w:bottom w:val="single" w:color="auto" w:sz="4" w:space="0"/>
              <w:right w:val="single" w:color="auto" w:sz="4" w:space="0"/>
            </w:tcBorders>
            <w:noWrap/>
            <w:vAlign w:val="center"/>
          </w:tcPr>
          <w:p w14:paraId="0E41348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1</w:t>
            </w:r>
          </w:p>
        </w:tc>
        <w:tc>
          <w:tcPr>
            <w:tcW w:w="3402" w:type="dxa"/>
            <w:tcBorders>
              <w:top w:val="nil"/>
              <w:left w:val="nil"/>
              <w:bottom w:val="single" w:color="auto" w:sz="4" w:space="0"/>
              <w:right w:val="single" w:color="auto" w:sz="4" w:space="0"/>
            </w:tcBorders>
            <w:noWrap/>
            <w:vAlign w:val="center"/>
          </w:tcPr>
          <w:p w14:paraId="6DB2E506">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合同签订后1-3个月</w:t>
            </w:r>
          </w:p>
        </w:tc>
        <w:tc>
          <w:tcPr>
            <w:tcW w:w="4678" w:type="dxa"/>
            <w:tcBorders>
              <w:top w:val="nil"/>
              <w:left w:val="nil"/>
              <w:bottom w:val="single" w:color="auto" w:sz="4" w:space="0"/>
              <w:right w:val="single" w:color="auto" w:sz="4" w:space="0"/>
            </w:tcBorders>
            <w:noWrap/>
            <w:vAlign w:val="center"/>
          </w:tcPr>
          <w:p w14:paraId="231ABE7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2.50%</w:t>
            </w:r>
          </w:p>
        </w:tc>
      </w:tr>
      <w:tr w14:paraId="62BEE02B">
        <w:tblPrEx>
          <w:tblCellMar>
            <w:top w:w="0" w:type="dxa"/>
            <w:left w:w="108" w:type="dxa"/>
            <w:bottom w:w="0" w:type="dxa"/>
            <w:right w:w="108" w:type="dxa"/>
          </w:tblCellMar>
        </w:tblPrEx>
        <w:trPr>
          <w:trHeight w:val="280" w:hRule="atLeast"/>
          <w:jc w:val="center"/>
        </w:trPr>
        <w:tc>
          <w:tcPr>
            <w:tcW w:w="1535" w:type="dxa"/>
            <w:tcBorders>
              <w:top w:val="nil"/>
              <w:left w:val="single" w:color="auto" w:sz="4" w:space="0"/>
              <w:bottom w:val="single" w:color="auto" w:sz="4" w:space="0"/>
              <w:right w:val="single" w:color="auto" w:sz="4" w:space="0"/>
            </w:tcBorders>
            <w:noWrap/>
            <w:vAlign w:val="center"/>
          </w:tcPr>
          <w:p w14:paraId="7FAC0EDE">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2</w:t>
            </w:r>
          </w:p>
        </w:tc>
        <w:tc>
          <w:tcPr>
            <w:tcW w:w="3402" w:type="dxa"/>
            <w:tcBorders>
              <w:top w:val="nil"/>
              <w:left w:val="nil"/>
              <w:bottom w:val="single" w:color="auto" w:sz="4" w:space="0"/>
              <w:right w:val="single" w:color="auto" w:sz="4" w:space="0"/>
            </w:tcBorders>
            <w:noWrap/>
            <w:vAlign w:val="center"/>
          </w:tcPr>
          <w:p w14:paraId="45F92D73">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合同签订后4-6个月</w:t>
            </w:r>
          </w:p>
        </w:tc>
        <w:tc>
          <w:tcPr>
            <w:tcW w:w="4678" w:type="dxa"/>
            <w:tcBorders>
              <w:top w:val="nil"/>
              <w:left w:val="nil"/>
              <w:bottom w:val="single" w:color="auto" w:sz="4" w:space="0"/>
              <w:right w:val="single" w:color="auto" w:sz="4" w:space="0"/>
            </w:tcBorders>
            <w:noWrap/>
            <w:vAlign w:val="center"/>
          </w:tcPr>
          <w:p w14:paraId="097AF59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2.50%</w:t>
            </w:r>
          </w:p>
        </w:tc>
      </w:tr>
      <w:tr w14:paraId="02BCDB10">
        <w:tblPrEx>
          <w:tblCellMar>
            <w:top w:w="0" w:type="dxa"/>
            <w:left w:w="108" w:type="dxa"/>
            <w:bottom w:w="0" w:type="dxa"/>
            <w:right w:w="108" w:type="dxa"/>
          </w:tblCellMar>
        </w:tblPrEx>
        <w:trPr>
          <w:trHeight w:val="280" w:hRule="atLeast"/>
          <w:jc w:val="center"/>
        </w:trPr>
        <w:tc>
          <w:tcPr>
            <w:tcW w:w="1535" w:type="dxa"/>
            <w:tcBorders>
              <w:top w:val="nil"/>
              <w:left w:val="single" w:color="auto" w:sz="4" w:space="0"/>
              <w:bottom w:val="single" w:color="auto" w:sz="4" w:space="0"/>
              <w:right w:val="single" w:color="auto" w:sz="4" w:space="0"/>
            </w:tcBorders>
            <w:noWrap/>
            <w:vAlign w:val="center"/>
          </w:tcPr>
          <w:p w14:paraId="745B83FE">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3</w:t>
            </w:r>
          </w:p>
        </w:tc>
        <w:tc>
          <w:tcPr>
            <w:tcW w:w="3402" w:type="dxa"/>
            <w:tcBorders>
              <w:top w:val="nil"/>
              <w:left w:val="nil"/>
              <w:bottom w:val="single" w:color="auto" w:sz="4" w:space="0"/>
              <w:right w:val="single" w:color="auto" w:sz="4" w:space="0"/>
            </w:tcBorders>
            <w:noWrap/>
            <w:vAlign w:val="center"/>
          </w:tcPr>
          <w:p w14:paraId="1E0DB34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合同签订后7-9个月</w:t>
            </w:r>
          </w:p>
        </w:tc>
        <w:tc>
          <w:tcPr>
            <w:tcW w:w="4678" w:type="dxa"/>
            <w:tcBorders>
              <w:top w:val="nil"/>
              <w:left w:val="nil"/>
              <w:bottom w:val="single" w:color="auto" w:sz="4" w:space="0"/>
              <w:right w:val="single" w:color="auto" w:sz="4" w:space="0"/>
            </w:tcBorders>
            <w:noWrap/>
            <w:vAlign w:val="center"/>
          </w:tcPr>
          <w:p w14:paraId="1C4CBC9B">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2.50%</w:t>
            </w:r>
          </w:p>
        </w:tc>
      </w:tr>
      <w:tr w14:paraId="59A36F19">
        <w:tblPrEx>
          <w:tblCellMar>
            <w:top w:w="0" w:type="dxa"/>
            <w:left w:w="108" w:type="dxa"/>
            <w:bottom w:w="0" w:type="dxa"/>
            <w:right w:w="108" w:type="dxa"/>
          </w:tblCellMar>
        </w:tblPrEx>
        <w:trPr>
          <w:trHeight w:val="280" w:hRule="atLeast"/>
          <w:jc w:val="center"/>
        </w:trPr>
        <w:tc>
          <w:tcPr>
            <w:tcW w:w="1535" w:type="dxa"/>
            <w:tcBorders>
              <w:top w:val="nil"/>
              <w:left w:val="single" w:color="auto" w:sz="4" w:space="0"/>
              <w:bottom w:val="single" w:color="auto" w:sz="4" w:space="0"/>
              <w:right w:val="single" w:color="auto" w:sz="4" w:space="0"/>
            </w:tcBorders>
            <w:noWrap/>
            <w:vAlign w:val="center"/>
          </w:tcPr>
          <w:p w14:paraId="69D7996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4</w:t>
            </w:r>
          </w:p>
        </w:tc>
        <w:tc>
          <w:tcPr>
            <w:tcW w:w="3402" w:type="dxa"/>
            <w:tcBorders>
              <w:top w:val="nil"/>
              <w:left w:val="nil"/>
              <w:bottom w:val="single" w:color="auto" w:sz="4" w:space="0"/>
              <w:right w:val="single" w:color="auto" w:sz="4" w:space="0"/>
            </w:tcBorders>
            <w:noWrap/>
            <w:vAlign w:val="center"/>
          </w:tcPr>
          <w:p w14:paraId="37D2B6CD">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合同签订后10-12个月</w:t>
            </w:r>
          </w:p>
        </w:tc>
        <w:tc>
          <w:tcPr>
            <w:tcW w:w="4678" w:type="dxa"/>
            <w:tcBorders>
              <w:top w:val="nil"/>
              <w:left w:val="nil"/>
              <w:bottom w:val="single" w:color="auto" w:sz="4" w:space="0"/>
              <w:right w:val="single" w:color="auto" w:sz="4" w:space="0"/>
            </w:tcBorders>
            <w:noWrap/>
            <w:vAlign w:val="center"/>
          </w:tcPr>
          <w:p w14:paraId="19485AA2">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2.50%</w:t>
            </w:r>
          </w:p>
        </w:tc>
      </w:tr>
      <w:tr w14:paraId="2FA440BC">
        <w:tblPrEx>
          <w:tblCellMar>
            <w:top w:w="0" w:type="dxa"/>
            <w:left w:w="108" w:type="dxa"/>
            <w:bottom w:w="0" w:type="dxa"/>
            <w:right w:w="108" w:type="dxa"/>
          </w:tblCellMar>
        </w:tblPrEx>
        <w:trPr>
          <w:trHeight w:val="280" w:hRule="atLeast"/>
          <w:jc w:val="center"/>
        </w:trPr>
        <w:tc>
          <w:tcPr>
            <w:tcW w:w="1535" w:type="dxa"/>
            <w:tcBorders>
              <w:top w:val="nil"/>
              <w:left w:val="single" w:color="auto" w:sz="4" w:space="0"/>
              <w:bottom w:val="single" w:color="auto" w:sz="4" w:space="0"/>
              <w:right w:val="single" w:color="auto" w:sz="4" w:space="0"/>
            </w:tcBorders>
            <w:noWrap/>
            <w:vAlign w:val="center"/>
          </w:tcPr>
          <w:p w14:paraId="57572A98">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5</w:t>
            </w:r>
          </w:p>
        </w:tc>
        <w:tc>
          <w:tcPr>
            <w:tcW w:w="3402" w:type="dxa"/>
            <w:tcBorders>
              <w:top w:val="nil"/>
              <w:left w:val="nil"/>
              <w:bottom w:val="single" w:color="auto" w:sz="4" w:space="0"/>
              <w:right w:val="single" w:color="auto" w:sz="4" w:space="0"/>
            </w:tcBorders>
            <w:noWrap/>
            <w:vAlign w:val="center"/>
          </w:tcPr>
          <w:p w14:paraId="5FB91951">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总计</w:t>
            </w:r>
          </w:p>
        </w:tc>
        <w:tc>
          <w:tcPr>
            <w:tcW w:w="4678" w:type="dxa"/>
            <w:tcBorders>
              <w:top w:val="nil"/>
              <w:left w:val="nil"/>
              <w:bottom w:val="single" w:color="auto" w:sz="4" w:space="0"/>
              <w:right w:val="single" w:color="auto" w:sz="4" w:space="0"/>
            </w:tcBorders>
            <w:noWrap/>
            <w:vAlign w:val="center"/>
          </w:tcPr>
          <w:p w14:paraId="500510C6">
            <w:pPr>
              <w:keepNext w:val="0"/>
              <w:keepLines w:val="0"/>
              <w:widowControl w:val="0"/>
              <w:suppressLineNumbers w:val="0"/>
              <w:spacing w:before="0" w:beforeAutospacing="0" w:after="0" w:afterAutospacing="0" w:line="360" w:lineRule="auto"/>
              <w:ind w:left="0" w:right="0"/>
              <w:jc w:val="center"/>
              <w:rPr>
                <w:rFonts w:hint="default"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10%</w:t>
            </w:r>
          </w:p>
        </w:tc>
      </w:tr>
    </w:tbl>
    <w:p w14:paraId="3AB3BA3B">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（5）履约评价考核分四级：优、良、中、差。</w:t>
      </w:r>
    </w:p>
    <w:p w14:paraId="396AFAEE">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考核评分≥90分，评价等级为“优”；</w:t>
      </w:r>
    </w:p>
    <w:p w14:paraId="0E58AE01">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90分＞考核评分≥80分，评价等级为“良”；</w:t>
      </w:r>
    </w:p>
    <w:p w14:paraId="4BDE655C">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80分＞考核评分≥70分，评价等级为“中”；</w:t>
      </w:r>
    </w:p>
    <w:p w14:paraId="089691DA">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考核评分＜70分，评价等级为“差”；</w:t>
      </w:r>
    </w:p>
    <w:p w14:paraId="715C9C77">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履约评价考核结果与评价费用支付比例关联，具体如下：</w:t>
      </w:r>
    </w:p>
    <w:p w14:paraId="07174921">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优：支付比例=当季履约评价金*1.0*考核分数百分比；</w:t>
      </w:r>
    </w:p>
    <w:p w14:paraId="64663727">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良：支付比例=当季履约评价金*0.9*考核分数百分比；</w:t>
      </w:r>
    </w:p>
    <w:p w14:paraId="4E0C42EA">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中：支付比例=当季履约评价金*0.7*考核分数百分比；</w:t>
      </w:r>
    </w:p>
    <w:p w14:paraId="42EB9183">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差：支付比例=0。</w:t>
      </w:r>
    </w:p>
    <w:p w14:paraId="22CB7645">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（五）质量考核验收标准</w:t>
      </w:r>
    </w:p>
    <w:p w14:paraId="014C1A65">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根据采购人制定的</w:t>
      </w:r>
      <w:r>
        <w:rPr>
          <w:rFonts w:hint="eastAsia" w:ascii="宋体" w:hAnsi="宋体" w:eastAsia="宋体" w:cs="宋体"/>
          <w:b/>
          <w:bCs/>
          <w:color w:val="auto"/>
          <w:kern w:val="2"/>
          <w:sz w:val="21"/>
          <w:szCs w:val="21"/>
          <w:highlight w:val="none"/>
          <w:lang w:val="en-US" w:eastAsia="zh-CN" w:bidi="ar-SA"/>
        </w:rPr>
        <w:t>附件2《深圳交警设施运维考核办法》</w:t>
      </w:r>
      <w:r>
        <w:rPr>
          <w:rFonts w:hint="eastAsia" w:ascii="宋体" w:hAnsi="宋体" w:eastAsia="宋体" w:cs="宋体"/>
          <w:b w:val="0"/>
          <w:bCs w:val="0"/>
          <w:color w:val="auto"/>
          <w:kern w:val="2"/>
          <w:sz w:val="21"/>
          <w:szCs w:val="21"/>
          <w:highlight w:val="none"/>
          <w:lang w:val="en-US" w:eastAsia="zh-CN" w:bidi="ar-SA"/>
        </w:rPr>
        <w:t>进行处罚及考核。</w:t>
      </w:r>
    </w:p>
    <w:p w14:paraId="1AEB2E2E">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为持续提升信息化运维服务质量，保障业务应用系统安全稳定运行，规范信息化运维服务质量评价管理工作参照《深圳市公安局信息化运维服务质量评价管理办法》进行运维服务质量评价，要求中标人配合落实好相关工作。</w:t>
      </w:r>
    </w:p>
    <w:p w14:paraId="73716BD8">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2、鉴于本项目涉及采购人内部涉密数据，双方须在签订合同时一并签订保密协议。</w:t>
      </w:r>
    </w:p>
    <w:p w14:paraId="2531F027">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3、配合完成信息化合作企业及人员安全审查。</w:t>
      </w:r>
    </w:p>
    <w:p w14:paraId="3F17BD42">
      <w:pPr>
        <w:widowControl w:val="0"/>
        <w:spacing w:line="360" w:lineRule="auto"/>
        <w:ind w:firstLine="420" w:firstLineChars="200"/>
        <w:jc w:val="both"/>
        <w:rPr>
          <w:rFonts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（六）履约担保</w:t>
      </w:r>
    </w:p>
    <w:p w14:paraId="3F3373E0">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ascii="宋体" w:hAnsi="宋体" w:eastAsia="宋体" w:cs="宋体"/>
          <w:b w:val="0"/>
          <w:bCs w:val="0"/>
          <w:color w:val="auto"/>
          <w:kern w:val="2"/>
          <w:sz w:val="21"/>
          <w:szCs w:val="21"/>
          <w:highlight w:val="none"/>
          <w:lang w:val="en-US" w:eastAsia="zh-CN" w:bidi="ar-SA"/>
        </w:rPr>
        <w:t>本项目签订合同的</w:t>
      </w:r>
      <w:r>
        <w:rPr>
          <w:rFonts w:hint="eastAsia" w:ascii="宋体" w:hAnsi="宋体" w:eastAsia="宋体" w:cs="宋体"/>
          <w:b w:val="0"/>
          <w:bCs w:val="0"/>
          <w:color w:val="auto"/>
          <w:kern w:val="2"/>
          <w:sz w:val="21"/>
          <w:szCs w:val="21"/>
          <w:highlight w:val="none"/>
          <w:lang w:val="en-US" w:eastAsia="zh-CN" w:bidi="ar-SA"/>
        </w:rPr>
        <w:t>30</w:t>
      </w:r>
      <w:r>
        <w:rPr>
          <w:rFonts w:ascii="宋体" w:hAnsi="宋体" w:eastAsia="宋体" w:cs="宋体"/>
          <w:b w:val="0"/>
          <w:bCs w:val="0"/>
          <w:color w:val="auto"/>
          <w:kern w:val="2"/>
          <w:sz w:val="21"/>
          <w:szCs w:val="21"/>
          <w:highlight w:val="none"/>
          <w:lang w:val="en-US" w:eastAsia="zh-CN" w:bidi="ar-SA"/>
        </w:rPr>
        <w:t>个工作日内，中标人应向采购人提交履约担保</w:t>
      </w:r>
      <w:r>
        <w:rPr>
          <w:rFonts w:hint="eastAsia" w:ascii="宋体" w:hAnsi="宋体" w:eastAsia="宋体" w:cs="宋体"/>
          <w:b w:val="0"/>
          <w:bCs w:val="0"/>
          <w:color w:val="auto"/>
          <w:kern w:val="2"/>
          <w:sz w:val="21"/>
          <w:szCs w:val="21"/>
          <w:highlight w:val="none"/>
          <w:lang w:val="en-US" w:eastAsia="zh-CN" w:bidi="ar-SA"/>
        </w:rPr>
        <w:t>，</w:t>
      </w:r>
      <w:r>
        <w:rPr>
          <w:rFonts w:ascii="宋体" w:hAnsi="宋体" w:eastAsia="宋体" w:cs="宋体"/>
          <w:b w:val="0"/>
          <w:bCs w:val="0"/>
          <w:color w:val="auto"/>
          <w:kern w:val="2"/>
          <w:sz w:val="21"/>
          <w:szCs w:val="21"/>
          <w:highlight w:val="none"/>
          <w:lang w:val="en-US" w:eastAsia="zh-CN" w:bidi="ar-SA"/>
        </w:rPr>
        <w:t>履约</w:t>
      </w:r>
      <w:r>
        <w:rPr>
          <w:rFonts w:hint="eastAsia" w:ascii="宋体" w:hAnsi="宋体" w:eastAsia="宋体" w:cs="宋体"/>
          <w:b w:val="0"/>
          <w:bCs w:val="0"/>
          <w:color w:val="auto"/>
          <w:kern w:val="2"/>
          <w:sz w:val="21"/>
          <w:szCs w:val="21"/>
          <w:highlight w:val="none"/>
          <w:lang w:val="en-US" w:eastAsia="zh-CN" w:bidi="ar-SA"/>
        </w:rPr>
        <w:t>保证金为合同金额的5%</w:t>
      </w:r>
      <w:r>
        <w:rPr>
          <w:rStyle w:val="22"/>
          <w:rFonts w:hint="eastAsia" w:ascii="宋体" w:hAnsi="宋体" w:eastAsia="宋体" w:cs="宋体"/>
          <w:b w:val="0"/>
          <w:bCs w:val="0"/>
          <w:color w:val="auto"/>
          <w:kern w:val="2"/>
          <w:highlight w:val="none"/>
          <w:lang w:val="en-US" w:eastAsia="zh-CN" w:bidi="ar-SA"/>
        </w:rPr>
        <w:t>，以</w:t>
      </w:r>
      <w:r>
        <w:rPr>
          <w:rFonts w:hint="eastAsia" w:ascii="宋体" w:hAnsi="宋体" w:eastAsia="宋体" w:cs="宋体"/>
          <w:b w:val="0"/>
          <w:bCs w:val="0"/>
          <w:color w:val="auto"/>
          <w:kern w:val="2"/>
          <w:sz w:val="21"/>
          <w:szCs w:val="21"/>
          <w:highlight w:val="none"/>
          <w:lang w:val="en-US" w:eastAsia="zh-CN" w:bidi="ar-SA"/>
        </w:rPr>
        <w:t>银行保函的形式。待项目尾款完成支付后 60 个工作日内退还</w:t>
      </w:r>
      <w:r>
        <w:rPr>
          <w:rFonts w:hint="eastAsia" w:ascii="Times New Roman" w:hAnsi="Times New Roman" w:eastAsia="宋体" w:cs="Times New Roman"/>
          <w:b/>
          <w:bCs/>
          <w:color w:val="auto"/>
          <w:kern w:val="2"/>
          <w:sz w:val="24"/>
          <w:szCs w:val="24"/>
          <w:highlight w:val="none"/>
          <w:lang w:val="en-US" w:eastAsia="zh-CN" w:bidi="ar-SA"/>
        </w:rPr>
        <w:t>。</w:t>
      </w:r>
    </w:p>
    <w:p w14:paraId="248CD7B0">
      <w:pPr>
        <w:widowControl w:val="0"/>
        <w:spacing w:line="360" w:lineRule="auto"/>
        <w:ind w:firstLine="420" w:firstLineChars="200"/>
        <w:jc w:val="both"/>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color w:val="auto"/>
          <w:kern w:val="2"/>
          <w:sz w:val="21"/>
          <w:szCs w:val="21"/>
          <w:highlight w:val="none"/>
          <w:lang w:val="en-US" w:eastAsia="zh-CN" w:bidi="ar-SA"/>
        </w:rPr>
        <w:t>（七）违约责任</w:t>
      </w:r>
    </w:p>
    <w:p w14:paraId="507BC3CB">
      <w:pPr>
        <w:widowControl w:val="0"/>
        <w:spacing w:line="360" w:lineRule="auto"/>
        <w:ind w:firstLine="420" w:firstLineChars="200"/>
        <w:jc w:val="left"/>
        <w:rPr>
          <w:rFonts w:ascii="宋体" w:hAnsi="宋体" w:eastAsia="宋体" w:cs="宋体"/>
          <w:b w:val="0"/>
          <w:bCs w:val="0"/>
          <w:snapToGrid w:val="0"/>
          <w:color w:val="auto"/>
          <w:kern w:val="2"/>
          <w:sz w:val="21"/>
          <w:szCs w:val="21"/>
          <w:highlight w:val="none"/>
          <w:lang w:val="en-US" w:eastAsia="zh-CN" w:bidi="ar-SA"/>
        </w:rPr>
      </w:pPr>
      <w:r>
        <w:rPr>
          <w:rFonts w:hint="eastAsia" w:ascii="宋体" w:hAnsi="宋体" w:eastAsia="宋体" w:cs="宋体"/>
          <w:b w:val="0"/>
          <w:bCs w:val="0"/>
          <w:snapToGrid w:val="0"/>
          <w:color w:val="auto"/>
          <w:kern w:val="2"/>
          <w:sz w:val="21"/>
          <w:szCs w:val="21"/>
          <w:highlight w:val="none"/>
          <w:lang w:val="en-US" w:eastAsia="zh-CN" w:bidi="ar-SA"/>
        </w:rPr>
        <w:t>采购人的责任</w:t>
      </w:r>
    </w:p>
    <w:p w14:paraId="0E4DF1AF">
      <w:pPr>
        <w:widowControl w:val="0"/>
        <w:spacing w:line="360" w:lineRule="auto"/>
        <w:ind w:firstLine="420" w:firstLineChars="200"/>
        <w:jc w:val="left"/>
        <w:rPr>
          <w:rFonts w:ascii="宋体" w:hAnsi="宋体" w:eastAsia="宋体" w:cs="宋体"/>
          <w:b w:val="0"/>
          <w:bCs w:val="0"/>
          <w:color w:val="auto"/>
          <w:kern w:val="2"/>
          <w:sz w:val="21"/>
          <w:szCs w:val="21"/>
          <w:highlight w:val="none"/>
          <w:lang w:val="en-US" w:eastAsia="zh-CN" w:bidi="ar-SA"/>
        </w:rPr>
      </w:pPr>
      <w:r>
        <w:rPr>
          <w:rFonts w:hint="eastAsia" w:ascii="宋体" w:hAnsi="宋体" w:eastAsia="宋体" w:cs="宋体"/>
          <w:b w:val="0"/>
          <w:bCs w:val="0"/>
          <w:snapToGrid w:val="0"/>
          <w:color w:val="auto"/>
          <w:kern w:val="2"/>
          <w:sz w:val="21"/>
          <w:szCs w:val="21"/>
          <w:highlight w:val="none"/>
          <w:lang w:val="en-US" w:eastAsia="zh-CN" w:bidi="ar-SA"/>
        </w:rPr>
        <w:t>1、应当履行本合同约定的义务，如有违反则应当承担违约责任，赔偿给中标人造成的损失。</w:t>
      </w:r>
    </w:p>
    <w:p w14:paraId="4BB69DB9">
      <w:pPr>
        <w:widowControl w:val="0"/>
        <w:adjustRightInd w:val="0"/>
        <w:snapToGrid w:val="0"/>
        <w:spacing w:line="360" w:lineRule="auto"/>
        <w:ind w:firstLine="420" w:firstLineChars="200"/>
        <w:jc w:val="left"/>
        <w:rPr>
          <w:rFonts w:ascii="宋体" w:hAnsi="宋体" w:eastAsia="宋体" w:cs="宋体"/>
          <w:snapToGrid w:val="0"/>
          <w:color w:val="auto"/>
          <w:kern w:val="2"/>
          <w:sz w:val="21"/>
          <w:szCs w:val="21"/>
          <w:highlight w:val="none"/>
          <w:lang w:val="en-US" w:eastAsia="zh-CN" w:bidi="ar-SA"/>
        </w:rPr>
      </w:pPr>
      <w:r>
        <w:rPr>
          <w:rFonts w:hint="eastAsia" w:ascii="宋体" w:hAnsi="宋体" w:eastAsia="宋体" w:cs="宋体"/>
          <w:snapToGrid w:val="0"/>
          <w:color w:val="auto"/>
          <w:kern w:val="2"/>
          <w:sz w:val="21"/>
          <w:szCs w:val="21"/>
          <w:highlight w:val="none"/>
          <w:lang w:val="en-US" w:eastAsia="zh-CN" w:bidi="ar-SA"/>
        </w:rPr>
        <w:t>2、采购人向中标人提出赔偿要求不能成立时，则应补偿由于该赔偿或其他要求所导致中标人的各种费用的支出。</w:t>
      </w:r>
    </w:p>
    <w:p w14:paraId="4D828886">
      <w:pPr>
        <w:widowControl w:val="0"/>
        <w:adjustRightInd w:val="0"/>
        <w:snapToGrid w:val="0"/>
        <w:spacing w:line="360" w:lineRule="auto"/>
        <w:ind w:firstLine="420" w:firstLineChars="200"/>
        <w:jc w:val="left"/>
        <w:rPr>
          <w:rFonts w:ascii="宋体" w:hAnsi="宋体" w:eastAsia="宋体" w:cs="宋体"/>
          <w:snapToGrid w:val="0"/>
          <w:color w:val="auto"/>
          <w:kern w:val="2"/>
          <w:sz w:val="21"/>
          <w:szCs w:val="21"/>
          <w:highlight w:val="none"/>
          <w:lang w:val="en-US" w:eastAsia="zh-CN" w:bidi="ar-SA"/>
        </w:rPr>
      </w:pPr>
      <w:r>
        <w:rPr>
          <w:rFonts w:hint="eastAsia" w:ascii="宋体" w:hAnsi="宋体" w:eastAsia="宋体" w:cs="宋体"/>
          <w:snapToGrid w:val="0"/>
          <w:color w:val="auto"/>
          <w:kern w:val="2"/>
          <w:sz w:val="21"/>
          <w:szCs w:val="21"/>
          <w:highlight w:val="none"/>
          <w:lang w:val="en-US" w:eastAsia="zh-CN" w:bidi="ar-SA"/>
        </w:rPr>
        <w:t>中标人的责任</w:t>
      </w:r>
    </w:p>
    <w:p w14:paraId="3B160B25">
      <w:pPr>
        <w:widowControl w:val="0"/>
        <w:adjustRightInd w:val="0"/>
        <w:snapToGrid w:val="0"/>
        <w:spacing w:line="360" w:lineRule="auto"/>
        <w:ind w:firstLine="420" w:firstLineChars="200"/>
        <w:jc w:val="left"/>
        <w:rPr>
          <w:rFonts w:ascii="宋体" w:hAnsi="宋体" w:eastAsia="宋体" w:cs="宋体"/>
          <w:snapToGrid w:val="0"/>
          <w:color w:val="auto"/>
          <w:kern w:val="2"/>
          <w:sz w:val="21"/>
          <w:szCs w:val="21"/>
          <w:highlight w:val="none"/>
          <w:lang w:val="en-US" w:eastAsia="zh-CN" w:bidi="ar-SA"/>
        </w:rPr>
      </w:pPr>
      <w:r>
        <w:rPr>
          <w:rFonts w:hint="eastAsia" w:ascii="宋体" w:hAnsi="宋体" w:eastAsia="宋体" w:cs="宋体"/>
          <w:snapToGrid w:val="0"/>
          <w:color w:val="auto"/>
          <w:kern w:val="2"/>
          <w:sz w:val="21"/>
          <w:szCs w:val="21"/>
          <w:highlight w:val="none"/>
          <w:lang w:val="en-US" w:eastAsia="zh-CN" w:bidi="ar-SA"/>
        </w:rPr>
        <w:t>1、中标人的责任期即本合同有效期。如因非中标人的责任造成进度的推迟或延误而超过约定的日期，双方应进一步约定相应延长合同有效期。</w:t>
      </w:r>
    </w:p>
    <w:p w14:paraId="36B24032">
      <w:pPr>
        <w:widowControl w:val="0"/>
        <w:adjustRightInd w:val="0"/>
        <w:snapToGrid w:val="0"/>
        <w:spacing w:line="360" w:lineRule="auto"/>
        <w:ind w:firstLine="420" w:firstLineChars="200"/>
        <w:jc w:val="left"/>
        <w:rPr>
          <w:rFonts w:ascii="宋体" w:hAnsi="宋体" w:eastAsia="宋体" w:cs="宋体"/>
          <w:snapToGrid w:val="0"/>
          <w:color w:val="auto"/>
          <w:kern w:val="2"/>
          <w:sz w:val="21"/>
          <w:szCs w:val="21"/>
          <w:highlight w:val="none"/>
          <w:lang w:val="en-US" w:eastAsia="zh-CN" w:bidi="ar-SA"/>
        </w:rPr>
      </w:pPr>
      <w:r>
        <w:rPr>
          <w:rFonts w:hint="eastAsia" w:ascii="宋体" w:hAnsi="宋体" w:eastAsia="宋体" w:cs="宋体"/>
          <w:snapToGrid w:val="0"/>
          <w:color w:val="auto"/>
          <w:kern w:val="2"/>
          <w:sz w:val="21"/>
          <w:szCs w:val="21"/>
          <w:highlight w:val="none"/>
          <w:lang w:val="en-US" w:eastAsia="zh-CN" w:bidi="ar-SA"/>
        </w:rPr>
        <w:t>2、中标人的责任期内，应当履行本合同中约定的义务，因中标人的单方过失造成的经济损失，应当向采购人进行赔偿。</w:t>
      </w:r>
    </w:p>
    <w:p w14:paraId="360C446D">
      <w:pPr>
        <w:widowControl w:val="0"/>
        <w:adjustRightInd w:val="0"/>
        <w:snapToGrid w:val="0"/>
        <w:spacing w:line="360" w:lineRule="auto"/>
        <w:ind w:firstLine="420" w:firstLineChars="200"/>
        <w:jc w:val="left"/>
        <w:rPr>
          <w:rFonts w:ascii="宋体" w:hAnsi="宋体" w:eastAsia="宋体" w:cs="宋体"/>
          <w:snapToGrid w:val="0"/>
          <w:color w:val="auto"/>
          <w:kern w:val="2"/>
          <w:sz w:val="21"/>
          <w:szCs w:val="21"/>
          <w:highlight w:val="none"/>
          <w:lang w:val="en-US" w:eastAsia="zh-CN" w:bidi="ar-SA"/>
        </w:rPr>
      </w:pPr>
      <w:r>
        <w:rPr>
          <w:rFonts w:hint="eastAsia" w:ascii="宋体" w:hAnsi="宋体" w:eastAsia="宋体" w:cs="宋体"/>
          <w:snapToGrid w:val="0"/>
          <w:color w:val="auto"/>
          <w:kern w:val="2"/>
          <w:sz w:val="21"/>
          <w:szCs w:val="21"/>
          <w:highlight w:val="none"/>
          <w:lang w:val="en-US" w:eastAsia="zh-CN" w:bidi="ar-SA"/>
        </w:rPr>
        <w:t>3、中标人对采购人或第三方所提出的问题不能及时核对或答复，导致合同不能全部或部分履行，中标人应承担责任。</w:t>
      </w:r>
    </w:p>
    <w:p w14:paraId="4CA7E76F">
      <w:pPr>
        <w:keepNext/>
        <w:keepLines/>
        <w:widowControl w:val="0"/>
        <w:adjustRightInd w:val="0"/>
        <w:spacing w:line="360" w:lineRule="auto"/>
        <w:ind w:firstLine="420" w:firstLineChars="200"/>
        <w:jc w:val="left"/>
        <w:textAlignment w:val="baseline"/>
        <w:outlineLvl w:val="9"/>
        <w:rPr>
          <w:rFonts w:hint="eastAsia" w:ascii="宋体" w:hAnsi="宋体" w:eastAsia="宋体" w:cs="宋体"/>
          <w:snapToGrid w:val="0"/>
          <w:color w:val="auto"/>
          <w:kern w:val="2"/>
          <w:sz w:val="21"/>
          <w:szCs w:val="21"/>
          <w:highlight w:val="none"/>
          <w:lang w:val="en-US" w:eastAsia="zh-CN" w:bidi="ar-SA"/>
        </w:rPr>
      </w:pPr>
      <w:r>
        <w:rPr>
          <w:rFonts w:hint="eastAsia" w:ascii="宋体" w:hAnsi="宋体" w:eastAsia="宋体" w:cs="宋体"/>
          <w:snapToGrid w:val="0"/>
          <w:color w:val="auto"/>
          <w:kern w:val="2"/>
          <w:sz w:val="21"/>
          <w:szCs w:val="21"/>
          <w:highlight w:val="none"/>
          <w:lang w:val="en-US" w:eastAsia="zh-CN" w:bidi="ar-SA"/>
        </w:rPr>
        <w:t>4、中标人向采购人提出赔偿要求不能成立时，则应补偿由于该赔偿或其他要求所导致采购人的各种费用的支出。</w:t>
      </w:r>
    </w:p>
    <w:p w14:paraId="48024446">
      <w:pPr>
        <w:keepNext/>
        <w:keepLines/>
        <w:widowControl w:val="0"/>
        <w:adjustRightInd w:val="0"/>
        <w:spacing w:line="360" w:lineRule="auto"/>
        <w:ind w:firstLine="422" w:firstLineChars="200"/>
        <w:jc w:val="left"/>
        <w:textAlignment w:val="baseline"/>
        <w:outlineLvl w:val="9"/>
        <w:rPr>
          <w:rFonts w:hint="eastAsia" w:ascii="宋体" w:hAnsi="宋体" w:eastAsia="宋体" w:cs="宋体"/>
          <w:b/>
          <w:bCs/>
          <w:snapToGrid w:val="0"/>
          <w:color w:val="auto"/>
          <w:kern w:val="2"/>
          <w:sz w:val="21"/>
          <w:szCs w:val="21"/>
          <w:highlight w:val="none"/>
          <w:lang w:val="en-US" w:eastAsia="zh-CN" w:bidi="ar-SA"/>
        </w:rPr>
      </w:pPr>
      <w:r>
        <w:rPr>
          <w:rFonts w:hint="eastAsia" w:ascii="宋体" w:hAnsi="宋体" w:eastAsia="宋体" w:cs="宋体"/>
          <w:b/>
          <w:bCs/>
          <w:snapToGrid w:val="0"/>
          <w:color w:val="auto"/>
          <w:kern w:val="2"/>
          <w:sz w:val="21"/>
          <w:szCs w:val="21"/>
          <w:highlight w:val="none"/>
          <w:lang w:val="en-US" w:eastAsia="zh-CN" w:bidi="ar-SA"/>
        </w:rPr>
        <w:t>★（八）其他要求</w:t>
      </w:r>
    </w:p>
    <w:p w14:paraId="2AEF71F6">
      <w:pPr>
        <w:keepNext/>
        <w:keepLines/>
        <w:widowControl w:val="0"/>
        <w:adjustRightInd w:val="0"/>
        <w:spacing w:line="360" w:lineRule="auto"/>
        <w:ind w:firstLine="422" w:firstLineChars="200"/>
        <w:jc w:val="left"/>
        <w:textAlignment w:val="baseline"/>
        <w:outlineLvl w:val="9"/>
        <w:rPr>
          <w:rFonts w:hint="default" w:ascii="宋体" w:hAnsi="宋体" w:eastAsia="宋体" w:cs="宋体"/>
          <w:b/>
          <w:bCs/>
          <w:snapToGrid w:val="0"/>
          <w:color w:val="auto"/>
          <w:kern w:val="2"/>
          <w:sz w:val="21"/>
          <w:szCs w:val="21"/>
          <w:highlight w:val="none"/>
          <w:lang w:val="en-US" w:eastAsia="zh-CN" w:bidi="ar-SA"/>
        </w:rPr>
      </w:pPr>
      <w:r>
        <w:rPr>
          <w:rFonts w:hint="eastAsia" w:ascii="宋体" w:hAnsi="宋体" w:eastAsia="宋体" w:cs="宋体"/>
          <w:b/>
          <w:bCs/>
          <w:snapToGrid w:val="0"/>
          <w:color w:val="auto"/>
          <w:kern w:val="2"/>
          <w:sz w:val="21"/>
          <w:szCs w:val="21"/>
          <w:highlight w:val="none"/>
          <w:lang w:val="en-US" w:eastAsia="zh-CN" w:bidi="ar-SA"/>
        </w:rPr>
        <w:t>投标人</w:t>
      </w:r>
      <w:r>
        <w:rPr>
          <w:rFonts w:hint="default" w:ascii="宋体" w:hAnsi="宋体" w:eastAsia="宋体" w:cs="宋体"/>
          <w:b/>
          <w:bCs/>
          <w:snapToGrid w:val="0"/>
          <w:color w:val="auto"/>
          <w:kern w:val="2"/>
          <w:sz w:val="21"/>
          <w:szCs w:val="21"/>
          <w:highlight w:val="none"/>
          <w:lang w:val="en-US" w:eastAsia="zh-CN" w:bidi="ar-SA"/>
        </w:rPr>
        <w:t>公司经营状况良好，自2024年1月1日至今未出现因拖欠员工工资而造成社会不良影响的情形。【提供承诺函】</w:t>
      </w:r>
    </w:p>
    <w:p w14:paraId="16A52C50">
      <w:pPr>
        <w:rPr>
          <w:rFonts w:hint="eastAsia" w:ascii="宋体" w:hAnsi="宋体" w:eastAsia="宋体" w:cs="宋体"/>
          <w:color w:val="auto"/>
          <w:sz w:val="21"/>
          <w:szCs w:val="21"/>
          <w:highlight w:val="none"/>
        </w:rPr>
      </w:pPr>
    </w:p>
    <w:p w14:paraId="5BA891D8">
      <w:pPr>
        <w:ind w:firstLine="480" w:firstLineChars="200"/>
        <w:rPr>
          <w:rFonts w:ascii="宋体" w:hAnsi="宋体"/>
          <w:b/>
          <w:bCs/>
          <w:color w:val="auto"/>
          <w:highlight w:val="none"/>
        </w:rPr>
      </w:pPr>
    </w:p>
    <w:p w14:paraId="2E10AD84">
      <w:pPr>
        <w:rPr>
          <w:color w:val="auto"/>
          <w:highlight w:val="none"/>
        </w:rPr>
      </w:pPr>
    </w:p>
    <w:p w14:paraId="660140EB">
      <w:pPr>
        <w:pStyle w:val="3"/>
        <w:jc w:val="center"/>
        <w:rPr>
          <w:rFonts w:asciiTheme="minorEastAsia" w:hAnsiTheme="minorEastAsia" w:eastAsiaTheme="minorEastAsia"/>
          <w:color w:val="auto"/>
          <w:szCs w:val="21"/>
          <w:highlight w:val="none"/>
        </w:rPr>
      </w:pPr>
      <w:r>
        <w:rPr>
          <w:rFonts w:hint="eastAsia" w:asciiTheme="minorEastAsia" w:hAnsiTheme="minorEastAsia" w:eastAsiaTheme="minorEastAsia"/>
          <w:color w:val="auto"/>
          <w:szCs w:val="21"/>
          <w:highlight w:val="none"/>
        </w:rPr>
        <w:t>六、其他重要条款</w:t>
      </w:r>
    </w:p>
    <w:p w14:paraId="1C37D435">
      <w:pPr>
        <w:ind w:firstLine="420" w:firstLineChars="200"/>
        <w:rPr>
          <w:rFonts w:asciiTheme="minorEastAsia" w:hAnsiTheme="minorEastAsia"/>
          <w:bCs/>
          <w:color w:val="auto"/>
          <w:sz w:val="21"/>
          <w:szCs w:val="21"/>
          <w:highlight w:val="none"/>
        </w:rPr>
      </w:pPr>
      <w:bookmarkStart w:id="35" w:name="_Hlk72257111"/>
      <w:r>
        <w:rPr>
          <w:rFonts w:hint="eastAsia" w:asciiTheme="minorEastAsia" w:hAnsiTheme="minorEastAsia"/>
          <w:bCs/>
          <w:color w:val="auto"/>
          <w:sz w:val="21"/>
          <w:szCs w:val="21"/>
          <w:highlight w:val="none"/>
        </w:rPr>
        <w:t>1、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14:paraId="37E80559">
      <w:pPr>
        <w:pStyle w:val="6"/>
        <w:spacing w:before="60" w:beforeLines="25" w:after="60" w:afterLines="25"/>
        <w:ind w:firstLine="392" w:firstLineChars="187"/>
        <w:rPr>
          <w:rFonts w:asciiTheme="minorEastAsia" w:hAnsiTheme="minorEastAsia"/>
          <w:color w:val="auto"/>
          <w:sz w:val="21"/>
          <w:szCs w:val="21"/>
          <w:highlight w:val="none"/>
        </w:rPr>
      </w:pPr>
      <w:r>
        <w:rPr>
          <w:rFonts w:asciiTheme="minorEastAsia" w:hAnsiTheme="minorEastAsia"/>
          <w:bCs/>
          <w:color w:val="auto"/>
          <w:sz w:val="21"/>
          <w:szCs w:val="21"/>
          <w:highlight w:val="none"/>
        </w:rPr>
        <w:t>2</w:t>
      </w:r>
      <w:r>
        <w:rPr>
          <w:rFonts w:hint="eastAsia" w:asciiTheme="minorEastAsia" w:hAnsiTheme="minorEastAsia"/>
          <w:bCs/>
          <w:color w:val="auto"/>
          <w:sz w:val="21"/>
          <w:szCs w:val="21"/>
          <w:highlight w:val="none"/>
        </w:rPr>
        <w:t>、投标人应充分了解项目的位置、情况、道路及任何其它足以影响投标报价的情况，任何因忽视或误解项目情况而导致的索赔或服务期限延长申请将不获批准。</w:t>
      </w:r>
    </w:p>
    <w:p w14:paraId="2855A7C1">
      <w:pPr>
        <w:ind w:firstLine="420" w:firstLineChars="200"/>
        <w:rPr>
          <w:rFonts w:asciiTheme="minorEastAsia" w:hAnsiTheme="minorEastAsia"/>
          <w:bCs/>
          <w:color w:val="auto"/>
          <w:sz w:val="21"/>
          <w:szCs w:val="21"/>
          <w:highlight w:val="none"/>
        </w:rPr>
      </w:pPr>
      <w:r>
        <w:rPr>
          <w:rFonts w:asciiTheme="minorEastAsia" w:hAnsiTheme="minorEastAsia"/>
          <w:bCs/>
          <w:color w:val="auto"/>
          <w:sz w:val="21"/>
          <w:szCs w:val="21"/>
          <w:highlight w:val="none"/>
        </w:rPr>
        <w:t>3</w:t>
      </w:r>
      <w:r>
        <w:rPr>
          <w:rFonts w:hint="eastAsia" w:asciiTheme="minorEastAsia" w:hAnsiTheme="minorEastAsia"/>
          <w:bCs/>
          <w:color w:val="auto"/>
          <w:sz w:val="21"/>
          <w:szCs w:val="21"/>
          <w:highlight w:val="none"/>
        </w:rPr>
        <w:t>、投标人不得期望通过索赔等方式获取补偿，否则，除可能遭到拒绝外，还可能将被作为不良行为记录在案，并可能影响其以后参加政府采购的项目投标。各投标人在投标报价时，应充分考虑投标报价的风险。</w:t>
      </w:r>
    </w:p>
    <w:p w14:paraId="07E02F71">
      <w:pPr>
        <w:ind w:firstLine="420" w:firstLineChars="200"/>
        <w:rPr>
          <w:rFonts w:asciiTheme="minorEastAsia" w:hAnsiTheme="minorEastAsia"/>
          <w:bCs/>
          <w:color w:val="auto"/>
          <w:sz w:val="21"/>
          <w:szCs w:val="21"/>
          <w:highlight w:val="none"/>
        </w:rPr>
      </w:pPr>
      <w:r>
        <w:rPr>
          <w:rFonts w:asciiTheme="minorEastAsia" w:hAnsiTheme="minorEastAsia"/>
          <w:bCs/>
          <w:color w:val="auto"/>
          <w:sz w:val="21"/>
          <w:szCs w:val="21"/>
          <w:highlight w:val="none"/>
        </w:rPr>
        <w:t>4</w:t>
      </w:r>
      <w:r>
        <w:rPr>
          <w:rFonts w:hint="eastAsia" w:asciiTheme="minorEastAsia" w:hAnsiTheme="minorEastAsia"/>
          <w:bCs/>
          <w:color w:val="auto"/>
          <w:sz w:val="21"/>
          <w:szCs w:val="21"/>
          <w:highlight w:val="none"/>
        </w:rPr>
        <w:t>、鼓励采购人积极运用公共信用信息，明确对信用记录良好的供应商（特别是中小微企业）免收履约保证金，确需收取履约保证金的，列明通过保函等非现金方式收取。在采购合同中明确对上述企业加大首付款或预付款比例，具体由采购人根据项目实际情况确定。</w:t>
      </w:r>
    </w:p>
    <w:p w14:paraId="27EDE3B4">
      <w:pPr>
        <w:ind w:firstLine="420" w:firstLineChars="200"/>
        <w:rPr>
          <w:rFonts w:asciiTheme="minorEastAsia" w:hAnsiTheme="minorEastAsia"/>
          <w:bCs/>
          <w:color w:val="auto"/>
          <w:sz w:val="21"/>
          <w:szCs w:val="21"/>
          <w:highlight w:val="none"/>
        </w:rPr>
      </w:pPr>
      <w:r>
        <w:rPr>
          <w:rFonts w:asciiTheme="minorEastAsia" w:hAnsiTheme="minorEastAsia"/>
          <w:bCs/>
          <w:color w:val="auto"/>
          <w:sz w:val="21"/>
          <w:szCs w:val="21"/>
          <w:highlight w:val="none"/>
        </w:rPr>
        <w:t>5</w:t>
      </w:r>
      <w:r>
        <w:rPr>
          <w:rFonts w:hint="eastAsia" w:asciiTheme="minorEastAsia" w:hAnsiTheme="minorEastAsia"/>
          <w:bCs/>
          <w:color w:val="auto"/>
          <w:sz w:val="21"/>
          <w:szCs w:val="21"/>
          <w:highlight w:val="none"/>
        </w:rPr>
        <w:t>、除政府采购合同继续履行将损害国家利益和社会公共利益外，双方当事人不得擅自变更、中止或者终止合同。</w:t>
      </w:r>
    </w:p>
    <w:p w14:paraId="064E1695">
      <w:pPr>
        <w:ind w:firstLine="420" w:firstLineChars="200"/>
        <w:rPr>
          <w:rFonts w:asciiTheme="minorEastAsia" w:hAnsiTheme="minorEastAsia"/>
          <w:bCs/>
          <w:color w:val="auto"/>
          <w:sz w:val="18"/>
          <w:szCs w:val="21"/>
          <w:highlight w:val="none"/>
        </w:rPr>
      </w:pPr>
      <w:r>
        <w:rPr>
          <w:rFonts w:asciiTheme="minorEastAsia" w:hAnsiTheme="minorEastAsia"/>
          <w:bCs/>
          <w:color w:val="auto"/>
          <w:sz w:val="21"/>
          <w:szCs w:val="21"/>
          <w:highlight w:val="none"/>
        </w:rPr>
        <w:t>6</w:t>
      </w:r>
      <w:r>
        <w:rPr>
          <w:rFonts w:hint="eastAsia" w:asciiTheme="minorEastAsia" w:hAnsiTheme="minorEastAsia"/>
          <w:bCs/>
          <w:color w:val="auto"/>
          <w:sz w:val="21"/>
          <w:szCs w:val="21"/>
          <w:highlight w:val="none"/>
        </w:rPr>
        <w:t>、“信用中国”、“中国政府采购网”、“深圳信用网”以及“深圳市政府采购监管网”为供应商信用信息的查询渠道，相关信息以开标当日的查询结果为准。</w:t>
      </w:r>
      <w:bookmarkEnd w:id="35"/>
    </w:p>
    <w:bookmarkEnd w:id="34"/>
    <w:p w14:paraId="291D5AAB">
      <w:pPr>
        <w:pStyle w:val="6"/>
        <w:spacing w:before="60" w:beforeLines="25" w:after="60" w:afterLines="25"/>
        <w:ind w:firstLine="0"/>
        <w:rPr>
          <w:rFonts w:asciiTheme="minorEastAsia" w:hAnsiTheme="minorEastAsia"/>
          <w:color w:val="auto"/>
          <w:sz w:val="21"/>
          <w:szCs w:val="21"/>
          <w:highlight w:val="none"/>
        </w:rPr>
      </w:pPr>
      <w:r>
        <w:rPr>
          <w:rFonts w:asciiTheme="minorEastAsia" w:hAnsiTheme="minorEastAsia"/>
          <w:color w:val="auto"/>
          <w:sz w:val="21"/>
          <w:szCs w:val="21"/>
          <w:highlight w:val="none"/>
        </w:rPr>
        <w:br w:type="page"/>
      </w:r>
    </w:p>
    <w:p w14:paraId="76A43BA8">
      <w:pPr>
        <w:pStyle w:val="5"/>
        <w:rPr>
          <w:color w:val="auto"/>
          <w:kern w:val="2"/>
          <w:highlight w:val="none"/>
        </w:rPr>
      </w:pPr>
      <w:r>
        <w:rPr>
          <w:rFonts w:hint="eastAsia"/>
          <w:color w:val="auto"/>
          <w:kern w:val="2"/>
          <w:highlight w:val="none"/>
        </w:rPr>
        <w:t>第四章 投标文件组成要求及格式</w:t>
      </w:r>
    </w:p>
    <w:p w14:paraId="05EDAC89">
      <w:pPr>
        <w:spacing w:line="360" w:lineRule="auto"/>
        <w:rPr>
          <w:rStyle w:val="33"/>
          <w:rFonts w:ascii="宋体" w:hAnsi="宋体" w:eastAsia="宋体" w:cs="宋体"/>
          <w:b/>
          <w:bCs w:val="0"/>
          <w:color w:val="auto"/>
          <w:sz w:val="24"/>
          <w:highlight w:val="none"/>
        </w:rPr>
      </w:pPr>
      <w:r>
        <w:rPr>
          <w:rStyle w:val="33"/>
          <w:rFonts w:hint="eastAsia" w:ascii="宋体" w:hAnsi="宋体" w:eastAsia="宋体" w:cs="宋体"/>
          <w:b/>
          <w:bCs w:val="0"/>
          <w:color w:val="auto"/>
          <w:sz w:val="24"/>
          <w:highlight w:val="none"/>
        </w:rPr>
        <w:t>特别提醒：</w:t>
      </w:r>
    </w:p>
    <w:p w14:paraId="47483691">
      <w:pPr>
        <w:spacing w:line="360" w:lineRule="auto"/>
        <w:ind w:firstLine="480" w:firstLineChars="200"/>
        <w:rPr>
          <w:rFonts w:ascii="宋体" w:hAnsi="宋体" w:cs="宋体"/>
          <w:color w:val="auto"/>
          <w:szCs w:val="21"/>
          <w:highlight w:val="none"/>
        </w:rPr>
      </w:pPr>
      <w:r>
        <w:rPr>
          <w:rFonts w:hint="eastAsia" w:ascii="宋体" w:hAnsi="宋体" w:cs="宋体"/>
          <w:color w:val="auto"/>
          <w:szCs w:val="21"/>
          <w:highlight w:val="none"/>
        </w:rPr>
        <w:t>投标文件正文将对外公开，投标文件附件不公开。投标人在编辑投标文件时，在投标文件目录中属于本节点内容的必须在本节点中填写，填写到其他节点或附件的将可能导致投标无效，一切后果由供应商自行承担。</w:t>
      </w:r>
    </w:p>
    <w:p w14:paraId="02302CC0">
      <w:pPr>
        <w:spacing w:line="360" w:lineRule="auto"/>
        <w:ind w:firstLine="480" w:firstLineChars="200"/>
        <w:rPr>
          <w:rFonts w:ascii="宋体" w:hAnsi="宋体" w:cs="宋体"/>
          <w:color w:val="auto"/>
          <w:szCs w:val="21"/>
          <w:highlight w:val="none"/>
        </w:rPr>
      </w:pPr>
      <w:r>
        <w:rPr>
          <w:rFonts w:hint="eastAsia" w:ascii="宋体" w:hAnsi="宋体" w:cs="宋体"/>
          <w:color w:val="auto"/>
          <w:szCs w:val="21"/>
          <w:highlight w:val="none"/>
        </w:rPr>
        <w:t>投标文件正文（信息公开部分）必须编制于“投标书目录”部分，投标文件附件（非信息公开部分）必须编制于“投标书附件”部分，如下图所示。</w:t>
      </w:r>
    </w:p>
    <w:p w14:paraId="4E52830B">
      <w:pPr>
        <w:rPr>
          <w:rFonts w:ascii="宋体" w:hAnsi="宋体" w:cs="宋体"/>
          <w:color w:val="auto"/>
          <w:highlight w:val="none"/>
        </w:rPr>
      </w:pPr>
      <w:r>
        <w:rPr>
          <w:rFonts w:ascii="仿宋_GB2312" w:eastAsia="仿宋_GB2312"/>
          <w:color w:val="auto"/>
          <w:highlight w:val="none"/>
        </w:rPr>
        <w:drawing>
          <wp:inline distT="0" distB="0" distL="0" distR="0">
            <wp:extent cx="5278755" cy="4126230"/>
            <wp:effectExtent l="0" t="0" r="0" b="0"/>
            <wp:docPr id="6"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形用户界面, 应用程序&#10;&#10;描述已自动生成"/>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8755" cy="4126230"/>
                    </a:xfrm>
                    <a:prstGeom prst="rect">
                      <a:avLst/>
                    </a:prstGeom>
                    <a:noFill/>
                    <a:ln>
                      <a:noFill/>
                    </a:ln>
                  </pic:spPr>
                </pic:pic>
              </a:graphicData>
            </a:graphic>
          </wp:inline>
        </w:drawing>
      </w:r>
    </w:p>
    <w:p w14:paraId="55BF9EB8">
      <w:pPr>
        <w:rPr>
          <w:rFonts w:ascii="仿宋_GB2312" w:eastAsia="仿宋_GB2312"/>
          <w:color w:val="auto"/>
          <w:highlight w:val="none"/>
        </w:rPr>
      </w:pPr>
    </w:p>
    <w:p w14:paraId="20BBC8E2">
      <w:pPr>
        <w:pStyle w:val="6"/>
        <w:rPr>
          <w:rFonts w:eastAsia="仿宋_GB2312"/>
          <w:color w:val="auto"/>
          <w:highlight w:val="none"/>
        </w:rPr>
      </w:pPr>
    </w:p>
    <w:p w14:paraId="0A3DECFF">
      <w:pPr>
        <w:rPr>
          <w:rFonts w:eastAsia="仿宋_GB2312"/>
          <w:color w:val="auto"/>
          <w:highlight w:val="none"/>
        </w:rPr>
      </w:pPr>
    </w:p>
    <w:p w14:paraId="3ACE001A">
      <w:pPr>
        <w:pStyle w:val="6"/>
        <w:rPr>
          <w:rFonts w:eastAsia="仿宋_GB2312"/>
          <w:color w:val="auto"/>
          <w:highlight w:val="none"/>
        </w:rPr>
      </w:pPr>
    </w:p>
    <w:p w14:paraId="3A34E37D">
      <w:pPr>
        <w:rPr>
          <w:rFonts w:eastAsia="仿宋_GB2312"/>
          <w:color w:val="auto"/>
          <w:highlight w:val="none"/>
        </w:rPr>
      </w:pPr>
    </w:p>
    <w:p w14:paraId="4AB49C0D">
      <w:pPr>
        <w:pStyle w:val="6"/>
        <w:rPr>
          <w:rFonts w:eastAsia="仿宋_GB2312"/>
          <w:color w:val="auto"/>
          <w:highlight w:val="none"/>
        </w:rPr>
      </w:pPr>
    </w:p>
    <w:p w14:paraId="49B23F3D">
      <w:pPr>
        <w:rPr>
          <w:rFonts w:eastAsia="仿宋_GB2312"/>
          <w:color w:val="auto"/>
          <w:highlight w:val="none"/>
        </w:rPr>
      </w:pPr>
    </w:p>
    <w:p w14:paraId="3D98305F">
      <w:pPr>
        <w:pStyle w:val="6"/>
        <w:rPr>
          <w:rFonts w:eastAsia="仿宋_GB2312"/>
          <w:color w:val="auto"/>
          <w:highlight w:val="none"/>
        </w:rPr>
      </w:pPr>
    </w:p>
    <w:p w14:paraId="10BB79FC">
      <w:pPr>
        <w:rPr>
          <w:rFonts w:eastAsia="仿宋_GB2312"/>
          <w:color w:val="auto"/>
          <w:highlight w:val="none"/>
        </w:rPr>
      </w:pPr>
    </w:p>
    <w:p w14:paraId="61482D67">
      <w:pPr>
        <w:pStyle w:val="6"/>
        <w:rPr>
          <w:rFonts w:eastAsia="仿宋_GB2312"/>
          <w:color w:val="auto"/>
          <w:highlight w:val="none"/>
        </w:rPr>
      </w:pPr>
    </w:p>
    <w:p w14:paraId="3F2871F6">
      <w:pPr>
        <w:rPr>
          <w:rFonts w:eastAsia="仿宋_GB2312"/>
          <w:color w:val="auto"/>
          <w:highlight w:val="none"/>
        </w:rPr>
      </w:pPr>
    </w:p>
    <w:p w14:paraId="03A9EF4B">
      <w:pPr>
        <w:pStyle w:val="6"/>
        <w:rPr>
          <w:rFonts w:eastAsia="仿宋_GB2312"/>
          <w:color w:val="auto"/>
          <w:highlight w:val="none"/>
        </w:rPr>
      </w:pPr>
    </w:p>
    <w:p w14:paraId="403EEC1C">
      <w:pPr>
        <w:rPr>
          <w:rFonts w:eastAsia="仿宋_GB2312"/>
          <w:color w:val="auto"/>
          <w:highlight w:val="none"/>
        </w:rPr>
      </w:pPr>
    </w:p>
    <w:p w14:paraId="445BD8A8">
      <w:pPr>
        <w:pStyle w:val="6"/>
        <w:ind w:firstLine="0"/>
        <w:rPr>
          <w:rFonts w:eastAsia="仿宋_GB2312"/>
          <w:color w:val="auto"/>
          <w:highlight w:val="none"/>
        </w:rPr>
      </w:pPr>
    </w:p>
    <w:p w14:paraId="16092FFB">
      <w:pPr>
        <w:keepNext w:val="0"/>
        <w:keepLines w:val="0"/>
        <w:pageBreakBefore w:val="0"/>
        <w:widowControl/>
        <w:kinsoku/>
        <w:wordWrap/>
        <w:overflowPunct/>
        <w:topLinePunct w:val="0"/>
        <w:autoSpaceDE/>
        <w:autoSpaceDN/>
        <w:bidi w:val="0"/>
        <w:adjustRightInd/>
        <w:snapToGrid/>
        <w:spacing w:line="400" w:lineRule="exact"/>
        <w:ind w:firstLine="480" w:firstLineChars="200"/>
        <w:jc w:val="both"/>
        <w:textAlignment w:val="auto"/>
        <w:rPr>
          <w:rFonts w:ascii="仿宋_GB2312" w:eastAsia="仿宋_GB2312"/>
          <w:color w:val="auto"/>
          <w:highlight w:val="none"/>
        </w:rPr>
      </w:pPr>
      <w:bookmarkStart w:id="36" w:name="_Hlk72257167"/>
      <w:r>
        <w:rPr>
          <w:rFonts w:hint="eastAsia" w:ascii="宋体" w:hAnsi="宋体" w:cs="宋体"/>
          <w:color w:val="auto"/>
          <w:highlight w:val="none"/>
        </w:rPr>
        <w:t>招标机构公布投标文件正文（信息公开部分）时为计算机截取信息自动公布，</w:t>
      </w:r>
      <w:r>
        <w:rPr>
          <w:rFonts w:hint="eastAsia" w:ascii="宋体" w:hAnsi="宋体" w:cs="宋体"/>
          <w:b/>
          <w:bCs/>
          <w:color w:val="auto"/>
          <w:highlight w:val="none"/>
        </w:rPr>
        <w:t>如投标人误将涉及个人隐私的信息放入投标文件正文，相关后果由投标人自负；</w:t>
      </w:r>
      <w:r>
        <w:rPr>
          <w:rFonts w:hint="eastAsia" w:ascii="宋体" w:hAnsi="宋体" w:cs="宋体"/>
          <w:color w:val="auto"/>
          <w:highlight w:val="none"/>
        </w:rPr>
        <w:t>如投标人将必须放于投标文件正文（信息公开部分）的内容放入投标文件附件（非信息公开部分），将作投标无效处理。</w:t>
      </w:r>
      <w:bookmarkEnd w:id="36"/>
    </w:p>
    <w:p w14:paraId="51904620">
      <w:pPr>
        <w:ind w:firstLine="480" w:firstLineChars="200"/>
        <w:rPr>
          <w:rFonts w:ascii="宋体" w:hAnsi="宋体"/>
          <w:color w:val="auto"/>
          <w:highlight w:val="none"/>
        </w:rPr>
      </w:pPr>
      <w:r>
        <w:rPr>
          <w:rFonts w:hint="eastAsia" w:ascii="宋体" w:hAnsi="宋体"/>
          <w:color w:val="auto"/>
          <w:highlight w:val="none"/>
        </w:rPr>
        <w:t>投标文件组成：</w:t>
      </w:r>
    </w:p>
    <w:p w14:paraId="23E4E90D">
      <w:pPr>
        <w:ind w:firstLine="480" w:firstLineChars="200"/>
        <w:rPr>
          <w:rFonts w:ascii="宋体" w:hAnsi="宋体" w:cs="宋体"/>
          <w:b/>
          <w:bCs/>
          <w:color w:val="auto"/>
          <w:highlight w:val="none"/>
        </w:rPr>
      </w:pPr>
      <w:r>
        <w:rPr>
          <w:rFonts w:hint="eastAsia" w:ascii="宋体" w:hAnsi="宋体" w:cs="宋体"/>
          <w:b/>
          <w:bCs/>
          <w:color w:val="auto"/>
          <w:highlight w:val="none"/>
        </w:rPr>
        <w:t>1.投标文件正文（信息公开部分），主要包括以下内容：</w:t>
      </w:r>
    </w:p>
    <w:p w14:paraId="4023D7FE">
      <w:pPr>
        <w:ind w:firstLine="480" w:firstLineChars="200"/>
        <w:rPr>
          <w:rFonts w:ascii="宋体" w:hAnsi="宋体" w:cs="宋体"/>
          <w:color w:val="auto"/>
          <w:highlight w:val="none"/>
        </w:rPr>
      </w:pPr>
      <w:r>
        <w:rPr>
          <w:rFonts w:hint="eastAsia" w:ascii="宋体" w:hAnsi="宋体" w:cs="宋体"/>
          <w:color w:val="auto"/>
          <w:highlight w:val="none"/>
        </w:rPr>
        <w:t>（1）投标函</w:t>
      </w:r>
    </w:p>
    <w:p w14:paraId="69EE112F">
      <w:pPr>
        <w:ind w:firstLine="480" w:firstLineChars="200"/>
        <w:rPr>
          <w:rFonts w:ascii="宋体" w:hAnsi="宋体" w:cs="宋体"/>
          <w:color w:val="auto"/>
          <w:highlight w:val="none"/>
        </w:rPr>
      </w:pPr>
      <w:r>
        <w:rPr>
          <w:rFonts w:hint="eastAsia" w:ascii="宋体" w:hAnsi="宋体" w:cs="宋体"/>
          <w:color w:val="auto"/>
          <w:highlight w:val="none"/>
        </w:rPr>
        <w:t>（2）政府采购投标及履约承诺函</w:t>
      </w:r>
    </w:p>
    <w:p w14:paraId="3FAC6581">
      <w:pPr>
        <w:ind w:firstLine="480" w:firstLineChars="200"/>
        <w:rPr>
          <w:rFonts w:ascii="宋体" w:hAnsi="宋体" w:cs="宋体"/>
          <w:color w:val="auto"/>
          <w:highlight w:val="none"/>
        </w:rPr>
      </w:pPr>
      <w:r>
        <w:rPr>
          <w:rFonts w:hint="eastAsia" w:ascii="宋体" w:hAnsi="宋体" w:cs="宋体"/>
          <w:color w:val="auto"/>
          <w:highlight w:val="none"/>
        </w:rPr>
        <w:t>（3）投标人情况及资格证明文件</w:t>
      </w:r>
    </w:p>
    <w:p w14:paraId="1E0ACA08">
      <w:pPr>
        <w:ind w:firstLine="480" w:firstLineChars="200"/>
        <w:rPr>
          <w:rFonts w:hint="eastAsia" w:ascii="宋体" w:hAnsi="宋体" w:cs="宋体"/>
          <w:color w:val="auto"/>
          <w:highlight w:val="none"/>
        </w:rPr>
      </w:pPr>
      <w:r>
        <w:rPr>
          <w:rFonts w:hint="eastAsia" w:ascii="宋体" w:hAnsi="宋体" w:cs="宋体"/>
          <w:color w:val="auto"/>
          <w:highlight w:val="none"/>
        </w:rPr>
        <w:t>（4）项目详细报价</w:t>
      </w:r>
    </w:p>
    <w:p w14:paraId="5AFC4E94">
      <w:pPr>
        <w:ind w:firstLine="480" w:firstLineChars="200"/>
        <w:rPr>
          <w:rFonts w:hint="eastAsia" w:ascii="宋体" w:hAnsi="宋体" w:cs="宋体"/>
          <w:color w:val="auto"/>
          <w:highlight w:val="none"/>
        </w:rPr>
      </w:pPr>
      <w:r>
        <w:rPr>
          <w:rFonts w:hint="eastAsia" w:ascii="宋体" w:hAnsi="宋体" w:cs="宋体"/>
          <w:color w:val="auto"/>
          <w:highlight w:val="none"/>
        </w:rPr>
        <w:t>（5）投标人通过相关认证情况</w:t>
      </w:r>
    </w:p>
    <w:p w14:paraId="6AC3E1D9">
      <w:pPr>
        <w:ind w:firstLine="480" w:firstLineChars="200"/>
        <w:rPr>
          <w:rFonts w:hint="eastAsia" w:ascii="宋体" w:hAnsi="宋体" w:cs="宋体"/>
          <w:color w:val="auto"/>
          <w:highlight w:val="none"/>
        </w:rPr>
      </w:pPr>
      <w:r>
        <w:rPr>
          <w:rFonts w:hint="eastAsia" w:ascii="宋体" w:hAnsi="宋体" w:cs="宋体"/>
          <w:color w:val="auto"/>
          <w:highlight w:val="none"/>
        </w:rPr>
        <w:t>（6）投标人同类项目业绩情况</w:t>
      </w:r>
    </w:p>
    <w:p w14:paraId="49C45D2A">
      <w:pPr>
        <w:ind w:firstLine="480" w:firstLineChars="200"/>
        <w:rPr>
          <w:rFonts w:hint="eastAsia" w:ascii="宋体" w:hAnsi="宋体" w:cs="宋体"/>
          <w:color w:val="auto"/>
          <w:highlight w:val="none"/>
        </w:rPr>
      </w:pPr>
      <w:r>
        <w:rPr>
          <w:rFonts w:hint="eastAsia" w:ascii="宋体" w:hAnsi="宋体" w:cs="宋体"/>
          <w:color w:val="auto"/>
          <w:highlight w:val="none"/>
        </w:rPr>
        <w:t>（7）投标人自主知识产权产品（创新、设计）情况</w:t>
      </w:r>
    </w:p>
    <w:p w14:paraId="3CDBB1C1">
      <w:pPr>
        <w:ind w:firstLine="480" w:firstLineChars="200"/>
        <w:rPr>
          <w:rFonts w:ascii="宋体" w:hAnsi="宋体" w:cs="宋体"/>
          <w:color w:val="auto"/>
          <w:highlight w:val="none"/>
        </w:rPr>
      </w:pPr>
      <w:r>
        <w:rPr>
          <w:rFonts w:hint="eastAsia" w:ascii="宋体" w:hAnsi="宋体" w:cs="宋体"/>
          <w:color w:val="auto"/>
          <w:highlight w:val="none"/>
        </w:rPr>
        <w:t>（8）投标人认为需要加以说明的其他</w:t>
      </w:r>
      <w:r>
        <w:rPr>
          <w:rFonts w:hint="eastAsia" w:ascii="宋体" w:hAnsi="宋体" w:eastAsia="宋体" w:cs="宋体"/>
          <w:color w:val="auto"/>
          <w:highlight w:val="none"/>
          <w:lang w:val="en-US" w:eastAsia="zh-CN"/>
        </w:rPr>
        <w:t>公开</w:t>
      </w:r>
      <w:r>
        <w:rPr>
          <w:rFonts w:hint="eastAsia" w:ascii="宋体" w:hAnsi="宋体" w:cs="宋体"/>
          <w:color w:val="auto"/>
          <w:highlight w:val="none"/>
        </w:rPr>
        <w:t>内容（格式自定）</w:t>
      </w:r>
    </w:p>
    <w:p w14:paraId="3FEF9573">
      <w:pPr>
        <w:ind w:firstLine="480" w:firstLineChars="200"/>
        <w:rPr>
          <w:rFonts w:ascii="宋体" w:hAnsi="宋体" w:cs="宋体"/>
          <w:b/>
          <w:bCs/>
          <w:color w:val="auto"/>
          <w:highlight w:val="none"/>
        </w:rPr>
      </w:pPr>
      <w:r>
        <w:rPr>
          <w:rFonts w:hint="eastAsia" w:ascii="宋体" w:hAnsi="宋体" w:cs="宋体"/>
          <w:b/>
          <w:bCs/>
          <w:color w:val="auto"/>
          <w:highlight w:val="none"/>
        </w:rPr>
        <w:t>2.投标文件附件（信息不公开部分）：主要包括以下内容：</w:t>
      </w:r>
    </w:p>
    <w:p w14:paraId="2472E51D">
      <w:pPr>
        <w:ind w:firstLine="484" w:firstLineChars="202"/>
        <w:rPr>
          <w:rFonts w:hint="eastAsia" w:ascii="宋体" w:hAnsi="宋体" w:eastAsia="宋体" w:cs="宋体"/>
          <w:color w:val="auto"/>
          <w:highlight w:val="none"/>
          <w:lang w:eastAsia="zh-CN"/>
        </w:rPr>
      </w:pPr>
      <w:r>
        <w:rPr>
          <w:rFonts w:hint="eastAsia" w:ascii="宋体" w:hAnsi="宋体" w:cs="宋体"/>
          <w:color w:val="auto"/>
          <w:highlight w:val="none"/>
        </w:rPr>
        <w:t>（1）</w:t>
      </w:r>
      <w:r>
        <w:rPr>
          <w:rFonts w:hint="eastAsia" w:ascii="宋体" w:hAnsi="宋体" w:eastAsia="宋体" w:cs="宋体"/>
          <w:color w:val="auto"/>
          <w:highlight w:val="none"/>
          <w:lang w:eastAsia="zh-CN"/>
        </w:rPr>
        <w:t>法定代表人（负责人或执行事务合伙人）资格证明书</w:t>
      </w:r>
    </w:p>
    <w:p w14:paraId="6770B3F6">
      <w:pPr>
        <w:ind w:firstLine="484" w:firstLineChars="202"/>
        <w:rPr>
          <w:rFonts w:hint="eastAsia" w:ascii="宋体" w:hAnsi="宋体" w:cs="宋体"/>
          <w:color w:val="auto"/>
          <w:highlight w:val="none"/>
        </w:rPr>
      </w:pPr>
      <w:r>
        <w:rPr>
          <w:rFonts w:hint="eastAsia" w:ascii="宋体" w:hAnsi="宋体" w:cs="宋体"/>
          <w:color w:val="auto"/>
          <w:highlight w:val="none"/>
        </w:rPr>
        <w:t>（2）投标文件签署授权委托书</w:t>
      </w:r>
    </w:p>
    <w:p w14:paraId="2EF08FE7">
      <w:pPr>
        <w:ind w:firstLine="484" w:firstLineChars="202"/>
        <w:rPr>
          <w:rFonts w:hint="default" w:ascii="宋体" w:hAnsi="宋体" w:cs="宋体"/>
          <w:color w:val="auto"/>
          <w:highlight w:val="none"/>
          <w:lang w:val="en-US" w:eastAsia="zh-CN"/>
        </w:rPr>
      </w:pPr>
      <w:r>
        <w:rPr>
          <w:rFonts w:hint="eastAsia" w:ascii="宋体" w:hAnsi="宋体" w:cs="宋体"/>
          <w:color w:val="auto"/>
          <w:highlight w:val="none"/>
          <w:lang w:val="en-US" w:eastAsia="zh-CN"/>
        </w:rPr>
        <w:t>（3）供应商基本情况表</w:t>
      </w:r>
    </w:p>
    <w:p w14:paraId="62AAE3DB">
      <w:pPr>
        <w:ind w:firstLine="484" w:firstLineChars="202"/>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4</w:t>
      </w:r>
      <w:r>
        <w:rPr>
          <w:rFonts w:hint="eastAsia" w:ascii="宋体" w:hAnsi="宋体" w:cs="宋体"/>
          <w:color w:val="auto"/>
          <w:highlight w:val="none"/>
        </w:rPr>
        <w:t>）实质性条款响应情况表</w:t>
      </w:r>
    </w:p>
    <w:p w14:paraId="5B9AD0E9">
      <w:pPr>
        <w:ind w:firstLine="484" w:firstLineChars="202"/>
        <w:rPr>
          <w:rFonts w:hint="default" w:ascii="宋体" w:hAnsi="宋体" w:eastAsia="宋体" w:cs="宋体"/>
          <w:color w:val="auto"/>
          <w:highlight w:val="none"/>
          <w:lang w:val="en-US"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5</w:t>
      </w: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承诺函</w:t>
      </w:r>
    </w:p>
    <w:p w14:paraId="59AF4F02">
      <w:pPr>
        <w:ind w:firstLine="484" w:firstLineChars="202"/>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6</w:t>
      </w:r>
      <w:r>
        <w:rPr>
          <w:rFonts w:hint="eastAsia" w:ascii="宋体" w:hAnsi="宋体" w:cs="宋体"/>
          <w:color w:val="auto"/>
          <w:highlight w:val="none"/>
        </w:rPr>
        <w:t>）商务、</w:t>
      </w:r>
      <w:r>
        <w:rPr>
          <w:rFonts w:hint="eastAsia" w:ascii="宋体" w:hAnsi="宋体" w:cs="宋体"/>
          <w:color w:val="auto"/>
          <w:highlight w:val="none"/>
          <w:lang w:eastAsia="zh-CN"/>
        </w:rPr>
        <w:t>服务</w:t>
      </w:r>
      <w:r>
        <w:rPr>
          <w:rFonts w:hint="eastAsia" w:ascii="宋体" w:hAnsi="宋体" w:cs="宋体"/>
          <w:color w:val="auto"/>
          <w:highlight w:val="none"/>
        </w:rPr>
        <w:t>条款偏离表</w:t>
      </w:r>
    </w:p>
    <w:p w14:paraId="171F5EDC">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7</w:t>
      </w:r>
      <w:r>
        <w:rPr>
          <w:rFonts w:hint="eastAsia" w:ascii="宋体" w:hAnsi="宋体" w:cs="宋体"/>
          <w:color w:val="auto"/>
          <w:highlight w:val="none"/>
        </w:rPr>
        <w:t>）拟安排的项目负责人情况（仅限一人）</w:t>
      </w:r>
    </w:p>
    <w:p w14:paraId="482B042C">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8</w:t>
      </w:r>
      <w:r>
        <w:rPr>
          <w:rFonts w:hint="eastAsia" w:ascii="宋体" w:hAnsi="宋体" w:cs="宋体"/>
          <w:color w:val="auto"/>
          <w:highlight w:val="none"/>
        </w:rPr>
        <w:t>）拟安排的项目主要团队成员（主要技术人员）情况（项目负责人除外）</w:t>
      </w:r>
    </w:p>
    <w:p w14:paraId="3E1B5528">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9</w:t>
      </w:r>
      <w:r>
        <w:rPr>
          <w:rFonts w:hint="eastAsia" w:ascii="宋体" w:hAnsi="宋体" w:cs="宋体"/>
          <w:color w:val="auto"/>
          <w:highlight w:val="none"/>
        </w:rPr>
        <w:t>）实施方案（格式自定）</w:t>
      </w:r>
    </w:p>
    <w:p w14:paraId="158BBE68">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10</w:t>
      </w:r>
      <w:r>
        <w:rPr>
          <w:rFonts w:hint="eastAsia" w:ascii="宋体" w:hAnsi="宋体" w:cs="宋体"/>
          <w:color w:val="auto"/>
          <w:highlight w:val="none"/>
        </w:rPr>
        <w:t>）项目重点难点分析、应对措施及相关的合理化建议（格式自定）</w:t>
      </w:r>
    </w:p>
    <w:p w14:paraId="0D0005D9">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11</w:t>
      </w:r>
      <w:r>
        <w:rPr>
          <w:rFonts w:hint="eastAsia" w:ascii="宋体" w:hAnsi="宋体" w:cs="宋体"/>
          <w:color w:val="auto"/>
          <w:highlight w:val="none"/>
        </w:rPr>
        <w:t>）质量（完成时间、安全、环保）保障措施及方案（格式自定）</w:t>
      </w:r>
    </w:p>
    <w:p w14:paraId="2260C351">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w:t>
      </w:r>
      <w:r>
        <w:rPr>
          <w:rFonts w:hint="eastAsia" w:ascii="宋体" w:hAnsi="宋体" w:eastAsia="宋体" w:cs="宋体"/>
          <w:color w:val="auto"/>
          <w:highlight w:val="none"/>
          <w:lang w:val="en-US" w:eastAsia="zh-CN"/>
        </w:rPr>
        <w:t>12</w:t>
      </w:r>
      <w:r>
        <w:rPr>
          <w:rFonts w:hint="eastAsia" w:ascii="宋体" w:hAnsi="宋体" w:cs="宋体"/>
          <w:color w:val="auto"/>
          <w:highlight w:val="none"/>
        </w:rPr>
        <w:t>）项目完成（服务期满）后的服务承诺（格式自定）</w:t>
      </w:r>
    </w:p>
    <w:p w14:paraId="160AE942">
      <w:pPr>
        <w:ind w:left="480" w:leftChars="200" w:firstLine="0" w:firstLineChars="0"/>
        <w:rPr>
          <w:rFonts w:hint="eastAsia" w:ascii="宋体" w:hAnsi="宋体" w:cs="宋体"/>
          <w:color w:val="auto"/>
          <w:highlight w:val="none"/>
        </w:rPr>
      </w:pPr>
      <w:r>
        <w:rPr>
          <w:rFonts w:hint="eastAsia" w:ascii="宋体" w:hAnsi="宋体" w:cs="宋体"/>
          <w:color w:val="auto"/>
          <w:highlight w:val="none"/>
        </w:rPr>
        <w:t>（1</w:t>
      </w:r>
      <w:r>
        <w:rPr>
          <w:rFonts w:hint="eastAsia" w:ascii="宋体" w:hAnsi="宋体" w:eastAsia="宋体" w:cs="宋体"/>
          <w:color w:val="auto"/>
          <w:highlight w:val="none"/>
          <w:lang w:val="en-US" w:eastAsia="zh-CN"/>
        </w:rPr>
        <w:t>3</w:t>
      </w:r>
      <w:r>
        <w:rPr>
          <w:rFonts w:hint="eastAsia" w:ascii="宋体" w:hAnsi="宋体" w:cs="宋体"/>
          <w:color w:val="auto"/>
          <w:highlight w:val="none"/>
        </w:rPr>
        <w:t>）违约承诺（格式自定）</w:t>
      </w:r>
    </w:p>
    <w:p w14:paraId="28B0FE0D">
      <w:pPr>
        <w:ind w:left="480" w:leftChars="200" w:firstLine="0" w:firstLineChars="0"/>
        <w:rPr>
          <w:rFonts w:ascii="宋体" w:hAnsi="宋体" w:cs="宋体"/>
          <w:color w:val="auto"/>
          <w:highlight w:val="none"/>
        </w:rPr>
      </w:pPr>
      <w:r>
        <w:rPr>
          <w:rFonts w:hint="eastAsia" w:ascii="宋体" w:hAnsi="宋体" w:cs="宋体"/>
          <w:color w:val="auto"/>
          <w:highlight w:val="none"/>
        </w:rPr>
        <w:t>（1</w:t>
      </w:r>
      <w:r>
        <w:rPr>
          <w:rFonts w:hint="eastAsia" w:ascii="宋体" w:hAnsi="宋体" w:eastAsia="宋体" w:cs="宋体"/>
          <w:color w:val="auto"/>
          <w:highlight w:val="none"/>
          <w:lang w:val="en-US" w:eastAsia="zh-CN"/>
        </w:rPr>
        <w:t>4</w:t>
      </w:r>
      <w:r>
        <w:rPr>
          <w:rFonts w:hint="eastAsia" w:ascii="宋体" w:hAnsi="宋体" w:cs="宋体"/>
          <w:color w:val="auto"/>
          <w:highlight w:val="none"/>
        </w:rPr>
        <w:t>）投标人认为需要加以说明的其他</w:t>
      </w:r>
      <w:r>
        <w:rPr>
          <w:rFonts w:hint="eastAsia" w:ascii="宋体" w:hAnsi="宋体" w:eastAsia="宋体" w:cs="宋体"/>
          <w:color w:val="auto"/>
          <w:highlight w:val="none"/>
          <w:lang w:val="en-US" w:eastAsia="zh-CN"/>
        </w:rPr>
        <w:t>不公开</w:t>
      </w:r>
      <w:r>
        <w:rPr>
          <w:rFonts w:hint="eastAsia" w:ascii="宋体" w:hAnsi="宋体" w:cs="宋体"/>
          <w:color w:val="auto"/>
          <w:highlight w:val="none"/>
        </w:rPr>
        <w:t>内容（格式自定）</w:t>
      </w:r>
    </w:p>
    <w:p w14:paraId="25319F0F">
      <w:pPr>
        <w:ind w:firstLine="485" w:firstLineChars="202"/>
        <w:rPr>
          <w:rFonts w:ascii="宋体" w:hAnsi="宋体"/>
          <w:b/>
          <w:color w:val="auto"/>
          <w:szCs w:val="21"/>
          <w:highlight w:val="none"/>
        </w:rPr>
      </w:pPr>
      <w:r>
        <w:rPr>
          <w:rFonts w:hint="eastAsia" w:ascii="宋体" w:hAnsi="宋体"/>
          <w:b/>
          <w:color w:val="auto"/>
          <w:szCs w:val="21"/>
          <w:highlight w:val="none"/>
        </w:rPr>
        <w:t>备注：</w:t>
      </w:r>
    </w:p>
    <w:p w14:paraId="7738C714">
      <w:pPr>
        <w:ind w:firstLine="485" w:firstLineChars="202"/>
        <w:rPr>
          <w:rFonts w:ascii="宋体" w:hAnsi="宋体"/>
          <w:b/>
          <w:color w:val="auto"/>
          <w:szCs w:val="21"/>
          <w:highlight w:val="none"/>
        </w:rPr>
      </w:pPr>
      <w:r>
        <w:rPr>
          <w:rFonts w:hint="eastAsia" w:ascii="宋体" w:hAnsi="宋体"/>
          <w:b/>
          <w:color w:val="auto"/>
          <w:szCs w:val="21"/>
          <w:highlight w:val="none"/>
        </w:rPr>
        <w:t>1.本项目为网上电子投标项目，投标文件不需法人或授权委托人另行签字，无需加盖单位公章，招标文件专用条款另有规定的除外。</w:t>
      </w:r>
    </w:p>
    <w:p w14:paraId="3E26699C">
      <w:pPr>
        <w:ind w:firstLine="485" w:firstLineChars="202"/>
        <w:rPr>
          <w:rFonts w:ascii="宋体" w:hAnsi="宋体"/>
          <w:b/>
          <w:color w:val="auto"/>
          <w:szCs w:val="21"/>
          <w:highlight w:val="none"/>
        </w:rPr>
      </w:pPr>
      <w:r>
        <w:rPr>
          <w:rFonts w:hint="eastAsia" w:ascii="宋体" w:hAnsi="宋体"/>
          <w:b/>
          <w:color w:val="auto"/>
          <w:szCs w:val="21"/>
          <w:highlight w:val="none"/>
        </w:rPr>
        <w:t>2.关于填写“开标一览表”的说明：“开标一览表”中除“投标报价”外，其他信息不作评审依据。</w:t>
      </w:r>
    </w:p>
    <w:p w14:paraId="42946A04">
      <w:pPr>
        <w:rPr>
          <w:color w:val="auto"/>
          <w:highlight w:val="none"/>
        </w:rPr>
      </w:pPr>
    </w:p>
    <w:p w14:paraId="3A66018B">
      <w:pPr>
        <w:pStyle w:val="6"/>
        <w:rPr>
          <w:color w:val="auto"/>
          <w:highlight w:val="none"/>
        </w:rPr>
      </w:pPr>
    </w:p>
    <w:p w14:paraId="55BD53EE">
      <w:pPr>
        <w:rPr>
          <w:color w:val="auto"/>
          <w:highlight w:val="none"/>
        </w:rPr>
      </w:pPr>
    </w:p>
    <w:p w14:paraId="21AADE3B">
      <w:pPr>
        <w:pStyle w:val="6"/>
        <w:rPr>
          <w:color w:val="auto"/>
          <w:highlight w:val="none"/>
        </w:rPr>
      </w:pPr>
    </w:p>
    <w:p w14:paraId="6DAFF441">
      <w:pPr>
        <w:rPr>
          <w:color w:val="auto"/>
          <w:highlight w:val="none"/>
        </w:rPr>
      </w:pPr>
    </w:p>
    <w:p w14:paraId="051CFD7B">
      <w:pPr>
        <w:pStyle w:val="6"/>
        <w:rPr>
          <w:color w:val="auto"/>
          <w:highlight w:val="none"/>
        </w:rPr>
      </w:pPr>
      <w:r>
        <w:rPr>
          <w:color w:val="auto"/>
          <w:highlight w:val="none"/>
        </w:rPr>
        <w:br w:type="page"/>
      </w:r>
    </w:p>
    <w:p w14:paraId="5D8B6CF7">
      <w:pPr>
        <w:outlineLvl w:val="1"/>
        <w:rPr>
          <w:rFonts w:ascii="宋体" w:hAnsi="宋体"/>
          <w:b/>
          <w:color w:val="auto"/>
          <w:sz w:val="28"/>
          <w:szCs w:val="28"/>
          <w:highlight w:val="none"/>
        </w:rPr>
      </w:pPr>
      <w:r>
        <w:rPr>
          <w:rFonts w:hint="eastAsia" w:ascii="宋体" w:hAnsi="宋体"/>
          <w:b/>
          <w:color w:val="auto"/>
          <w:sz w:val="28"/>
          <w:szCs w:val="28"/>
          <w:highlight w:val="none"/>
        </w:rPr>
        <w:t>投标文件正文（信息公开部分）</w:t>
      </w:r>
    </w:p>
    <w:p w14:paraId="10926A55">
      <w:pPr>
        <w:pStyle w:val="3"/>
        <w:jc w:val="center"/>
        <w:rPr>
          <w:rFonts w:ascii="黑体" w:eastAsia="黑体"/>
          <w:b w:val="0"/>
          <w:color w:val="auto"/>
          <w:sz w:val="24"/>
          <w:highlight w:val="none"/>
        </w:rPr>
      </w:pPr>
      <w:r>
        <w:rPr>
          <w:rFonts w:hint="eastAsia" w:ascii="黑体" w:eastAsia="黑体"/>
          <w:b w:val="0"/>
          <w:color w:val="auto"/>
          <w:sz w:val="24"/>
          <w:highlight w:val="none"/>
        </w:rPr>
        <w:t>一、投标函</w:t>
      </w:r>
    </w:p>
    <w:p w14:paraId="469E9BA4">
      <w:pPr>
        <w:spacing w:line="360" w:lineRule="auto"/>
        <w:rPr>
          <w:rFonts w:ascii="宋体" w:hAnsi="宋体" w:eastAsia="宋体"/>
          <w:color w:val="auto"/>
          <w:highlight w:val="none"/>
        </w:rPr>
      </w:pPr>
      <w:r>
        <w:rPr>
          <w:rFonts w:hint="eastAsia" w:ascii="宋体" w:hAnsi="宋体" w:eastAsia="宋体"/>
          <w:color w:val="auto"/>
          <w:highlight w:val="none"/>
        </w:rPr>
        <w:t>致：</w:t>
      </w:r>
      <w:r>
        <w:rPr>
          <w:rFonts w:hint="eastAsia" w:ascii="宋体" w:hAnsi="宋体" w:eastAsia="宋体"/>
          <w:color w:val="auto"/>
          <w:highlight w:val="none"/>
          <w:u w:val="single"/>
        </w:rPr>
        <w:t xml:space="preserve">友和保险经纪有限公司 </w:t>
      </w:r>
    </w:p>
    <w:p w14:paraId="46C35E92">
      <w:pPr>
        <w:ind w:firstLine="480" w:firstLineChars="200"/>
        <w:rPr>
          <w:rFonts w:ascii="宋体" w:hAnsi="宋体" w:eastAsia="宋体"/>
          <w:color w:val="auto"/>
          <w:highlight w:val="none"/>
        </w:rPr>
      </w:pPr>
      <w:bookmarkStart w:id="37" w:name="_Hlk73818812"/>
      <w:r>
        <w:rPr>
          <w:rFonts w:hint="eastAsia" w:ascii="宋体" w:hAnsi="宋体" w:eastAsia="宋体"/>
          <w:color w:val="auto"/>
          <w:highlight w:val="none"/>
        </w:rPr>
        <w:t>1、根据已收到贵单位的项目编号为</w:t>
      </w:r>
      <w:r>
        <w:rPr>
          <w:rFonts w:hint="eastAsia" w:ascii="宋体" w:hAnsi="宋体" w:eastAsia="宋体"/>
          <w:color w:val="auto"/>
          <w:highlight w:val="none"/>
          <w:u w:val="single"/>
          <w:lang w:eastAsia="zh-CN"/>
        </w:rPr>
        <w:t>SZDL2025000623</w:t>
      </w:r>
      <w:r>
        <w:rPr>
          <w:rFonts w:hint="eastAsia" w:ascii="宋体" w:hAnsi="宋体" w:eastAsia="宋体"/>
          <w:color w:val="auto"/>
          <w:highlight w:val="none"/>
        </w:rPr>
        <w:t>的</w:t>
      </w:r>
      <w:r>
        <w:rPr>
          <w:rFonts w:hint="eastAsia" w:ascii="宋体" w:hAnsi="宋体" w:eastAsia="宋体"/>
          <w:color w:val="auto"/>
          <w:highlight w:val="none"/>
          <w:u w:val="single"/>
        </w:rPr>
        <w:t xml:space="preserve">2025年通信线缆维护 </w:t>
      </w:r>
      <w:r>
        <w:rPr>
          <w:rFonts w:hint="eastAsia" w:ascii="宋体" w:hAnsi="宋体" w:eastAsia="宋体"/>
          <w:color w:val="auto"/>
          <w:highlight w:val="none"/>
        </w:rPr>
        <w:t>项目的招标文件，遵照《深圳经济特区政府采购条例》和《深圳网上政府采购管理暂行办法》等有关规定，我单位经研究上述招标文件的专用条款及通用条款后，</w:t>
      </w:r>
      <w:bookmarkStart w:id="38" w:name="_Hlk72263588"/>
      <w:r>
        <w:rPr>
          <w:rFonts w:hint="eastAsia" w:ascii="宋体" w:hAnsi="宋体" w:eastAsia="宋体"/>
          <w:color w:val="auto"/>
          <w:highlight w:val="none"/>
        </w:rPr>
        <w:t>愿意按照招标文件要求承包上述项目并修补其任何缺陷。</w:t>
      </w:r>
      <w:bookmarkEnd w:id="38"/>
    </w:p>
    <w:p w14:paraId="10B7DA3E">
      <w:pPr>
        <w:ind w:firstLine="480" w:firstLineChars="200"/>
        <w:rPr>
          <w:rFonts w:ascii="宋体" w:hAnsi="宋体" w:eastAsia="宋体"/>
          <w:color w:val="auto"/>
          <w:highlight w:val="none"/>
        </w:rPr>
      </w:pPr>
      <w:r>
        <w:rPr>
          <w:rFonts w:ascii="宋体" w:hAnsi="宋体" w:eastAsia="宋体"/>
          <w:color w:val="auto"/>
          <w:highlight w:val="none"/>
        </w:rPr>
        <w:t>2</w:t>
      </w:r>
      <w:r>
        <w:rPr>
          <w:rFonts w:hint="eastAsia" w:ascii="宋体" w:hAnsi="宋体" w:eastAsia="宋体"/>
          <w:color w:val="auto"/>
          <w:highlight w:val="none"/>
        </w:rPr>
        <w:t>、投标价格见投标书编制软件中《开标一览表》中填写的投标总价。</w:t>
      </w:r>
    </w:p>
    <w:p w14:paraId="626B1068">
      <w:pPr>
        <w:ind w:firstLine="480" w:firstLineChars="200"/>
        <w:rPr>
          <w:rFonts w:ascii="宋体" w:hAnsi="宋体" w:eastAsia="宋体"/>
          <w:color w:val="auto"/>
          <w:highlight w:val="none"/>
        </w:rPr>
      </w:pPr>
      <w:r>
        <w:rPr>
          <w:rFonts w:hint="eastAsia" w:ascii="宋体" w:hAnsi="宋体" w:eastAsia="宋体"/>
          <w:color w:val="auto"/>
          <w:highlight w:val="none"/>
        </w:rPr>
        <w:t>3、如果我单位中标，我单位将按照招标文件的要求足额提交履约担保。</w:t>
      </w:r>
    </w:p>
    <w:p w14:paraId="663514C7">
      <w:pPr>
        <w:ind w:firstLine="480" w:firstLineChars="200"/>
        <w:rPr>
          <w:rFonts w:ascii="宋体" w:hAnsi="宋体" w:eastAsia="宋体"/>
          <w:color w:val="auto"/>
          <w:highlight w:val="none"/>
        </w:rPr>
      </w:pPr>
      <w:r>
        <w:rPr>
          <w:rFonts w:hint="eastAsia" w:ascii="宋体" w:hAnsi="宋体" w:eastAsia="宋体"/>
          <w:color w:val="auto"/>
          <w:highlight w:val="none"/>
        </w:rPr>
        <w:t>4、我单位同意所递交的投标文件在“对通用条款的补充内容”中明确的投标有效期内有效，在此期间内我单位的投标有可能中标，我方将受此约束。</w:t>
      </w:r>
    </w:p>
    <w:p w14:paraId="510E9C03">
      <w:pPr>
        <w:ind w:firstLine="480" w:firstLineChars="200"/>
        <w:rPr>
          <w:rFonts w:ascii="宋体" w:hAnsi="宋体" w:eastAsia="宋体"/>
          <w:color w:val="auto"/>
          <w:highlight w:val="none"/>
        </w:rPr>
      </w:pPr>
      <w:r>
        <w:rPr>
          <w:rFonts w:hint="eastAsia" w:ascii="宋体" w:hAnsi="宋体" w:eastAsia="宋体"/>
          <w:color w:val="auto"/>
          <w:highlight w:val="none"/>
        </w:rPr>
        <w:t>5、除非另外达成协议并生效，贵单位的中标通知书和本投标文件将构成合同的重要内容。</w:t>
      </w:r>
    </w:p>
    <w:p w14:paraId="3BEB458F">
      <w:pPr>
        <w:ind w:left="600" w:leftChars="200" w:hanging="120" w:hangingChars="50"/>
        <w:rPr>
          <w:rFonts w:hint="eastAsia" w:ascii="宋体" w:hAnsi="宋体" w:eastAsia="宋体"/>
          <w:color w:val="auto"/>
          <w:highlight w:val="none"/>
        </w:rPr>
      </w:pPr>
      <w:r>
        <w:rPr>
          <w:rFonts w:hint="eastAsia" w:ascii="宋体" w:hAnsi="宋体" w:eastAsia="宋体"/>
          <w:color w:val="auto"/>
          <w:highlight w:val="none"/>
        </w:rPr>
        <w:t>6、我单位理解贵单位将不受必须接受所收到的最低报价或其它任何投标文件的约束。</w:t>
      </w:r>
      <w:bookmarkEnd w:id="37"/>
    </w:p>
    <w:p w14:paraId="1FE0A5B8">
      <w:pPr>
        <w:ind w:left="600" w:leftChars="200" w:hanging="120" w:hangingChars="50"/>
        <w:rPr>
          <w:rFonts w:hint="eastAsia" w:ascii="宋体" w:hAnsi="宋体" w:eastAsia="宋体"/>
          <w:color w:val="auto"/>
          <w:highlight w:val="none"/>
        </w:rPr>
      </w:pPr>
    </w:p>
    <w:p w14:paraId="3A5EF36D">
      <w:pPr>
        <w:ind w:left="600" w:leftChars="200" w:hanging="120" w:hangingChars="50"/>
        <w:rPr>
          <w:rFonts w:ascii="宋体" w:hAnsi="宋体" w:eastAsia="宋体"/>
          <w:color w:val="auto"/>
          <w:highlight w:val="none"/>
          <w:u w:val="single"/>
        </w:rPr>
      </w:pPr>
      <w:r>
        <w:rPr>
          <w:rFonts w:hint="eastAsia" w:ascii="宋体" w:hAnsi="宋体" w:eastAsia="宋体"/>
          <w:color w:val="auto"/>
          <w:highlight w:val="none"/>
        </w:rPr>
        <w:t>投标人：</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单位地址：</w:t>
      </w:r>
      <w:r>
        <w:rPr>
          <w:rFonts w:hint="eastAsia" w:ascii="宋体" w:hAnsi="宋体" w:eastAsia="宋体"/>
          <w:color w:val="auto"/>
          <w:highlight w:val="none"/>
          <w:u w:val="single"/>
        </w:rPr>
        <w:t xml:space="preserve">               </w:t>
      </w:r>
    </w:p>
    <w:p w14:paraId="7D76555B">
      <w:pPr>
        <w:ind w:firstLine="480" w:firstLineChars="200"/>
        <w:rPr>
          <w:rFonts w:ascii="宋体" w:hAnsi="宋体" w:eastAsia="宋体"/>
          <w:color w:val="auto"/>
          <w:highlight w:val="none"/>
          <w:u w:val="single"/>
        </w:rPr>
      </w:pPr>
      <w:r>
        <w:rPr>
          <w:rFonts w:hint="eastAsia" w:ascii="宋体" w:hAnsi="宋体" w:eastAsia="宋体"/>
          <w:color w:val="auto"/>
          <w:highlight w:val="none"/>
        </w:rPr>
        <w:t>法定代表人（负责人）或其委托代理人：</w:t>
      </w:r>
      <w:r>
        <w:rPr>
          <w:rFonts w:hint="eastAsia" w:ascii="宋体" w:hAnsi="宋体" w:eastAsia="宋体"/>
          <w:color w:val="auto"/>
          <w:highlight w:val="none"/>
          <w:u w:val="single"/>
        </w:rPr>
        <w:t xml:space="preserve">                   </w:t>
      </w:r>
    </w:p>
    <w:p w14:paraId="2F5E1E87">
      <w:pPr>
        <w:ind w:firstLine="480" w:firstLineChars="200"/>
        <w:rPr>
          <w:rFonts w:hint="eastAsia" w:ascii="宋体" w:hAnsi="宋体" w:eastAsia="宋体"/>
          <w:color w:val="auto"/>
          <w:highlight w:val="none"/>
          <w:u w:val="single"/>
        </w:rPr>
      </w:pPr>
      <w:r>
        <w:rPr>
          <w:rFonts w:hint="eastAsia" w:ascii="宋体" w:hAnsi="宋体" w:eastAsia="宋体"/>
          <w:color w:val="auto"/>
          <w:highlight w:val="none"/>
        </w:rPr>
        <w:t>邮政编码：</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电话：</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传真：</w:t>
      </w:r>
      <w:r>
        <w:rPr>
          <w:rFonts w:hint="eastAsia" w:ascii="宋体" w:hAnsi="宋体" w:eastAsia="宋体"/>
          <w:color w:val="auto"/>
          <w:highlight w:val="none"/>
          <w:u w:val="single"/>
        </w:rPr>
        <w:t xml:space="preserve">            </w:t>
      </w:r>
    </w:p>
    <w:p w14:paraId="4AABF145">
      <w:pPr>
        <w:pStyle w:val="6"/>
        <w:ind w:left="0" w:leftChars="0" w:firstLine="480" w:firstLineChars="200"/>
        <w:rPr>
          <w:rFonts w:hint="eastAsia"/>
          <w:color w:val="auto"/>
          <w:highlight w:val="none"/>
          <w:lang w:val="en-US" w:eastAsia="zh-CN"/>
        </w:rPr>
      </w:pPr>
      <w:r>
        <w:rPr>
          <w:rFonts w:hint="eastAsia" w:ascii="宋体" w:hAnsi="宋体" w:eastAsia="宋体"/>
          <w:color w:val="auto"/>
          <w:highlight w:val="none"/>
          <w:lang w:val="en-US" w:eastAsia="zh-CN"/>
        </w:rPr>
        <w:t>邮箱</w:t>
      </w:r>
      <w:r>
        <w:rPr>
          <w:rFonts w:hint="eastAsia" w:ascii="宋体" w:hAnsi="宋体" w:eastAsia="宋体"/>
          <w:color w:val="auto"/>
          <w:highlight w:val="none"/>
        </w:rPr>
        <w:t>：</w:t>
      </w:r>
      <w:r>
        <w:rPr>
          <w:rFonts w:hint="eastAsia" w:ascii="宋体" w:hAnsi="宋体" w:eastAsia="宋体"/>
          <w:color w:val="auto"/>
          <w:highlight w:val="none"/>
          <w:u w:val="single"/>
        </w:rPr>
        <w:t xml:space="preserve"> </w:t>
      </w:r>
      <w:r>
        <w:rPr>
          <w:rFonts w:hint="eastAsia" w:ascii="宋体" w:hAnsi="宋体" w:eastAsia="宋体"/>
          <w:color w:val="auto"/>
          <w:highlight w:val="none"/>
          <w:u w:val="single"/>
          <w:lang w:val="en-US" w:eastAsia="zh-CN"/>
        </w:rPr>
        <w:t xml:space="preserve">                      </w:t>
      </w:r>
      <w:r>
        <w:rPr>
          <w:rFonts w:hint="eastAsia" w:ascii="宋体" w:hAnsi="宋体" w:eastAsia="宋体"/>
          <w:color w:val="auto"/>
          <w:highlight w:val="none"/>
          <w:u w:val="single"/>
        </w:rPr>
        <w:t xml:space="preserve">     </w:t>
      </w:r>
    </w:p>
    <w:p w14:paraId="3C2B7D06">
      <w:pPr>
        <w:ind w:firstLine="480" w:firstLineChars="200"/>
        <w:rPr>
          <w:rFonts w:hint="eastAsia" w:ascii="宋体" w:hAnsi="宋体" w:eastAsia="宋体"/>
          <w:color w:val="auto"/>
          <w:highlight w:val="none"/>
        </w:rPr>
      </w:pPr>
      <w:r>
        <w:rPr>
          <w:rFonts w:hint="eastAsia" w:ascii="宋体" w:hAnsi="宋体" w:eastAsia="宋体"/>
          <w:color w:val="auto"/>
          <w:highlight w:val="none"/>
        </w:rPr>
        <w:t>开户银行名称：</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rPr>
        <w:tab/>
      </w:r>
    </w:p>
    <w:p w14:paraId="1E2BBC46">
      <w:pPr>
        <w:ind w:firstLine="480" w:firstLineChars="200"/>
        <w:rPr>
          <w:rFonts w:ascii="宋体" w:hAnsi="宋体" w:eastAsia="宋体"/>
          <w:color w:val="auto"/>
          <w:highlight w:val="none"/>
        </w:rPr>
      </w:pPr>
      <w:r>
        <w:rPr>
          <w:rFonts w:hint="eastAsia" w:ascii="宋体" w:hAnsi="宋体" w:eastAsia="宋体"/>
          <w:color w:val="auto"/>
          <w:highlight w:val="none"/>
        </w:rPr>
        <w:t>开户银行账号：</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p>
    <w:p w14:paraId="74108CF7">
      <w:pPr>
        <w:ind w:firstLine="480" w:firstLineChars="200"/>
        <w:rPr>
          <w:rFonts w:hint="eastAsia" w:ascii="宋体" w:hAnsi="宋体" w:eastAsia="宋体"/>
          <w:color w:val="auto"/>
          <w:highlight w:val="none"/>
        </w:rPr>
      </w:pPr>
      <w:r>
        <w:rPr>
          <w:rFonts w:hint="eastAsia" w:ascii="宋体" w:hAnsi="宋体" w:eastAsia="宋体"/>
          <w:color w:val="auto"/>
          <w:highlight w:val="none"/>
        </w:rPr>
        <w:t>开户银行地址：</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rPr>
        <w:tab/>
      </w:r>
    </w:p>
    <w:p w14:paraId="15083F0C">
      <w:pPr>
        <w:ind w:firstLine="480" w:firstLineChars="200"/>
        <w:rPr>
          <w:rFonts w:ascii="宋体" w:hAnsi="宋体" w:eastAsia="宋体"/>
          <w:color w:val="auto"/>
          <w:highlight w:val="none"/>
        </w:rPr>
      </w:pPr>
      <w:r>
        <w:rPr>
          <w:rFonts w:hint="eastAsia" w:ascii="宋体" w:hAnsi="宋体" w:eastAsia="宋体"/>
          <w:color w:val="auto"/>
          <w:highlight w:val="none"/>
        </w:rPr>
        <w:t>开户银行电话：</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ab/>
      </w:r>
    </w:p>
    <w:p w14:paraId="47EEB08A">
      <w:pPr>
        <w:ind w:firstLine="480" w:firstLineChars="200"/>
        <w:rPr>
          <w:color w:val="auto"/>
          <w:highlight w:val="none"/>
        </w:rPr>
      </w:pPr>
      <w:r>
        <w:rPr>
          <w:rFonts w:hint="eastAsia" w:ascii="宋体" w:hAnsi="宋体" w:eastAsia="宋体"/>
          <w:color w:val="auto"/>
          <w:highlight w:val="none"/>
        </w:rPr>
        <w:t>日期：</w:t>
      </w:r>
      <w:r>
        <w:rPr>
          <w:rFonts w:hint="eastAsia" w:ascii="宋体" w:hAnsi="宋体" w:eastAsia="宋体"/>
          <w:color w:val="auto"/>
          <w:highlight w:val="none"/>
          <w:u w:val="single"/>
        </w:rPr>
        <w:t xml:space="preserve">       </w:t>
      </w:r>
      <w:r>
        <w:rPr>
          <w:rFonts w:hint="eastAsia" w:ascii="宋体" w:hAnsi="宋体" w:eastAsia="宋体"/>
          <w:color w:val="auto"/>
          <w:highlight w:val="none"/>
        </w:rPr>
        <w:t>年</w:t>
      </w:r>
      <w:r>
        <w:rPr>
          <w:rFonts w:hint="eastAsia" w:ascii="宋体" w:hAnsi="宋体" w:eastAsia="宋体"/>
          <w:color w:val="auto"/>
          <w:highlight w:val="none"/>
          <w:u w:val="single"/>
        </w:rPr>
        <w:t xml:space="preserve">     </w:t>
      </w:r>
      <w:r>
        <w:rPr>
          <w:rFonts w:hint="eastAsia" w:ascii="宋体" w:hAnsi="宋体" w:eastAsia="宋体"/>
          <w:color w:val="auto"/>
          <w:highlight w:val="none"/>
        </w:rPr>
        <w:t>月</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日    </w:t>
      </w:r>
      <w:r>
        <w:rPr>
          <w:rFonts w:hint="eastAsia"/>
          <w:color w:val="auto"/>
          <w:highlight w:val="none"/>
        </w:rPr>
        <w:t xml:space="preserve">                            </w:t>
      </w:r>
    </w:p>
    <w:p w14:paraId="27969046">
      <w:pPr>
        <w:rPr>
          <w:rFonts w:ascii="黑体" w:hAnsi="宋体" w:eastAsia="黑体"/>
          <w:color w:val="auto"/>
          <w:highlight w:val="none"/>
        </w:rPr>
      </w:pPr>
    </w:p>
    <w:p w14:paraId="2D54017D">
      <w:pPr>
        <w:rPr>
          <w:rFonts w:ascii="宋体" w:hAnsi="宋体"/>
          <w:color w:val="auto"/>
          <w:szCs w:val="21"/>
          <w:highlight w:val="none"/>
        </w:rPr>
      </w:pPr>
    </w:p>
    <w:p w14:paraId="5D37A88F">
      <w:pPr>
        <w:rPr>
          <w:rFonts w:ascii="黑体" w:hAnsi="宋体" w:eastAsia="黑体"/>
          <w:color w:val="auto"/>
          <w:highlight w:val="none"/>
        </w:rPr>
      </w:pPr>
    </w:p>
    <w:p w14:paraId="099BE9FA">
      <w:pPr>
        <w:rPr>
          <w:rFonts w:ascii="黑体" w:hAnsi="宋体" w:eastAsia="黑体"/>
          <w:color w:val="auto"/>
          <w:highlight w:val="none"/>
        </w:rPr>
      </w:pPr>
    </w:p>
    <w:p w14:paraId="6FCB77F0">
      <w:pPr>
        <w:rPr>
          <w:rFonts w:ascii="黑体" w:hAnsi="宋体" w:eastAsia="黑体"/>
          <w:color w:val="auto"/>
          <w:highlight w:val="none"/>
        </w:rPr>
      </w:pPr>
    </w:p>
    <w:p w14:paraId="473193C8">
      <w:pPr>
        <w:pStyle w:val="3"/>
        <w:jc w:val="center"/>
        <w:rPr>
          <w:rFonts w:ascii="黑体" w:eastAsia="黑体"/>
          <w:b w:val="0"/>
          <w:color w:val="auto"/>
          <w:sz w:val="24"/>
          <w:highlight w:val="none"/>
        </w:rPr>
      </w:pPr>
      <w:r>
        <w:rPr>
          <w:rFonts w:hint="eastAsia" w:ascii="黑体" w:eastAsia="黑体"/>
          <w:b w:val="0"/>
          <w:color w:val="auto"/>
          <w:sz w:val="24"/>
          <w:highlight w:val="none"/>
        </w:rPr>
        <w:br w:type="page"/>
      </w:r>
      <w:r>
        <w:rPr>
          <w:rFonts w:hint="eastAsia" w:ascii="黑体" w:eastAsia="黑体"/>
          <w:b w:val="0"/>
          <w:color w:val="auto"/>
          <w:sz w:val="24"/>
          <w:highlight w:val="none"/>
        </w:rPr>
        <w:t>二、政府采购投标及履约承诺函</w:t>
      </w:r>
    </w:p>
    <w:p w14:paraId="5B8850A1">
      <w:pPr>
        <w:rPr>
          <w:rFonts w:ascii="宋体" w:hAnsi="宋体" w:eastAsia="宋体"/>
          <w:color w:val="auto"/>
          <w:highlight w:val="none"/>
        </w:rPr>
      </w:pPr>
      <w:r>
        <w:rPr>
          <w:rFonts w:hint="eastAsia" w:ascii="宋体" w:hAnsi="宋体" w:eastAsia="宋体"/>
          <w:color w:val="auto"/>
          <w:highlight w:val="none"/>
        </w:rPr>
        <w:t>致：</w:t>
      </w:r>
      <w:r>
        <w:rPr>
          <w:rFonts w:hint="eastAsia" w:ascii="宋体" w:hAnsi="宋体" w:eastAsia="宋体"/>
          <w:color w:val="auto"/>
          <w:highlight w:val="none"/>
          <w:u w:val="single"/>
        </w:rPr>
        <w:t>友和保险经纪有限公司</w:t>
      </w:r>
    </w:p>
    <w:p w14:paraId="128A5E46">
      <w:pPr>
        <w:ind w:right="-815" w:firstLine="480" w:firstLineChars="200"/>
        <w:rPr>
          <w:rFonts w:ascii="宋体" w:hAnsi="宋体" w:eastAsia="宋体"/>
          <w:color w:val="auto"/>
          <w:highlight w:val="none"/>
        </w:rPr>
      </w:pPr>
      <w:r>
        <w:rPr>
          <w:rFonts w:hint="eastAsia" w:ascii="宋体" w:hAnsi="宋体" w:eastAsia="宋体"/>
          <w:color w:val="auto"/>
          <w:highlight w:val="none"/>
        </w:rPr>
        <w:t>我单位承诺：</w:t>
      </w:r>
    </w:p>
    <w:p w14:paraId="311918CA">
      <w:pPr>
        <w:ind w:firstLine="480" w:firstLineChars="200"/>
        <w:rPr>
          <w:rFonts w:ascii="宋体" w:hAnsi="宋体" w:eastAsia="宋体"/>
          <w:color w:val="auto"/>
          <w:highlight w:val="none"/>
        </w:rPr>
      </w:pPr>
      <w:r>
        <w:rPr>
          <w:rFonts w:hint="eastAsia" w:ascii="宋体" w:hAnsi="宋体" w:eastAsia="宋体"/>
          <w:color w:val="auto"/>
          <w:highlight w:val="none"/>
        </w:rPr>
        <w:t>1.</w:t>
      </w:r>
      <w:r>
        <w:rPr>
          <w:rFonts w:hint="eastAsia" w:ascii="宋体" w:hAnsi="宋体"/>
          <w:color w:val="auto"/>
          <w:szCs w:val="21"/>
          <w:highlight w:val="none"/>
        </w:rPr>
        <w:t>我单位参与本项目所投标（响应）的货物、工程或服务，不存在侵犯知识产权的情况；已知悉并同意中标（成交）结果信息公示（公开）的内容。</w:t>
      </w:r>
    </w:p>
    <w:p w14:paraId="6CD28754">
      <w:pPr>
        <w:keepNext w:val="0"/>
        <w:keepLines w:val="0"/>
        <w:pageBreakBefore w:val="0"/>
        <w:widowControl/>
        <w:kinsoku/>
        <w:wordWrap/>
        <w:overflowPunct/>
        <w:topLinePunct w:val="0"/>
        <w:autoSpaceDE/>
        <w:autoSpaceDN/>
        <w:bidi w:val="0"/>
        <w:adjustRightInd/>
        <w:snapToGrid/>
        <w:ind w:firstLine="480" w:firstLineChars="200"/>
        <w:textAlignment w:val="auto"/>
        <w:rPr>
          <w:rFonts w:hint="eastAsia" w:ascii="宋体" w:hAnsi="宋体" w:eastAsia="宋体"/>
          <w:color w:val="auto"/>
          <w:highlight w:val="none"/>
          <w:lang w:eastAsia="zh-CN"/>
        </w:rPr>
      </w:pPr>
      <w:r>
        <w:rPr>
          <w:rFonts w:hint="eastAsia" w:ascii="宋体" w:hAnsi="宋体" w:eastAsia="宋体"/>
          <w:color w:val="auto"/>
          <w:highlight w:val="none"/>
        </w:rPr>
        <w:t>2.</w:t>
      </w:r>
      <w:r>
        <w:rPr>
          <w:rFonts w:hint="eastAsia" w:ascii="宋体" w:hAnsi="宋体"/>
          <w:color w:val="auto"/>
          <w:szCs w:val="21"/>
          <w:highlight w:val="none"/>
        </w:rPr>
        <w:t>我单位参与该项目投标，</w:t>
      </w:r>
      <w:r>
        <w:rPr>
          <w:rFonts w:hint="eastAsia" w:ascii="宋体" w:hAnsi="宋体" w:eastAsia="宋体"/>
          <w:color w:val="auto"/>
          <w:highlight w:val="none"/>
        </w:rPr>
        <w:t>不</w:t>
      </w:r>
      <w:r>
        <w:rPr>
          <w:rFonts w:hint="eastAsia" w:ascii="宋体" w:hAnsi="宋体" w:eastAsia="宋体"/>
          <w:color w:val="auto"/>
          <w:highlight w:val="none"/>
          <w:lang w:eastAsia="zh-CN"/>
        </w:rPr>
        <w:t>采用</w:t>
      </w:r>
      <w:r>
        <w:rPr>
          <w:rFonts w:hint="eastAsia" w:ascii="宋体" w:hAnsi="宋体" w:eastAsia="宋体"/>
          <w:color w:val="auto"/>
          <w:highlight w:val="none"/>
        </w:rPr>
        <w:t>联合体投标</w:t>
      </w:r>
      <w:r>
        <w:rPr>
          <w:rFonts w:hint="eastAsia" w:ascii="宋体" w:hAnsi="宋体" w:eastAsia="宋体"/>
          <w:color w:val="auto"/>
          <w:highlight w:val="none"/>
          <w:lang w:eastAsia="zh-CN"/>
        </w:rPr>
        <w:t>，</w:t>
      </w:r>
      <w:r>
        <w:rPr>
          <w:rFonts w:hint="eastAsia" w:ascii="宋体" w:hAnsi="宋体" w:eastAsia="宋体"/>
          <w:color w:val="auto"/>
          <w:highlight w:val="none"/>
        </w:rPr>
        <w:t>不</w:t>
      </w:r>
      <w:r>
        <w:rPr>
          <w:rFonts w:hint="eastAsia" w:ascii="宋体" w:hAnsi="宋体" w:eastAsia="宋体"/>
          <w:color w:val="auto"/>
          <w:highlight w:val="none"/>
          <w:lang w:eastAsia="zh-CN"/>
        </w:rPr>
        <w:t>使用</w:t>
      </w:r>
      <w:r>
        <w:rPr>
          <w:rFonts w:hint="eastAsia" w:ascii="宋体" w:hAnsi="宋体" w:eastAsia="宋体"/>
          <w:color w:val="auto"/>
          <w:highlight w:val="none"/>
        </w:rPr>
        <w:t>进口产品参与投标</w:t>
      </w:r>
      <w:r>
        <w:rPr>
          <w:rFonts w:hint="eastAsia" w:ascii="宋体" w:hAnsi="宋体" w:eastAsia="宋体"/>
          <w:color w:val="auto"/>
          <w:highlight w:val="none"/>
          <w:lang w:eastAsia="zh-CN"/>
        </w:rPr>
        <w:t>。</w:t>
      </w:r>
    </w:p>
    <w:p w14:paraId="7EEBA300">
      <w:pPr>
        <w:keepNext w:val="0"/>
        <w:keepLines w:val="0"/>
        <w:pageBreakBefore w:val="0"/>
        <w:widowControl/>
        <w:kinsoku/>
        <w:wordWrap/>
        <w:overflowPunct/>
        <w:topLinePunct w:val="0"/>
        <w:autoSpaceDE/>
        <w:autoSpaceDN/>
        <w:bidi w:val="0"/>
        <w:adjustRightInd/>
        <w:snapToGrid/>
        <w:ind w:firstLine="480" w:firstLineChars="200"/>
        <w:textAlignment w:val="auto"/>
        <w:rPr>
          <w:rFonts w:hint="eastAsia" w:ascii="宋体" w:hAnsi="宋体"/>
          <w:color w:val="auto"/>
          <w:szCs w:val="21"/>
          <w:highlight w:val="none"/>
        </w:rPr>
      </w:pPr>
      <w:r>
        <w:rPr>
          <w:rFonts w:hint="eastAsia" w:ascii="宋体" w:hAnsi="宋体"/>
          <w:color w:val="auto"/>
          <w:szCs w:val="21"/>
          <w:highlight w:val="none"/>
        </w:rPr>
        <w:t>3.我单位参与本项目政府采购活动时不存在被有关部门禁止参与政府采购活动且在有效期内的情况。</w:t>
      </w:r>
    </w:p>
    <w:p w14:paraId="51BDF4A2">
      <w:pPr>
        <w:keepNext w:val="0"/>
        <w:keepLines w:val="0"/>
        <w:pageBreakBefore w:val="0"/>
        <w:widowControl/>
        <w:kinsoku/>
        <w:wordWrap/>
        <w:overflowPunct/>
        <w:topLinePunct w:val="0"/>
        <w:autoSpaceDE/>
        <w:autoSpaceDN/>
        <w:bidi w:val="0"/>
        <w:adjustRightInd/>
        <w:snapToGrid/>
        <w:ind w:firstLine="480" w:firstLineChars="200"/>
        <w:textAlignment w:val="auto"/>
        <w:rPr>
          <w:rFonts w:hint="eastAsia" w:ascii="宋体" w:hAnsi="宋体"/>
          <w:color w:val="auto"/>
          <w:szCs w:val="21"/>
          <w:highlight w:val="none"/>
        </w:rPr>
      </w:pPr>
      <w:r>
        <w:rPr>
          <w:rFonts w:hint="eastAsia" w:ascii="宋体" w:hAnsi="宋体"/>
          <w:color w:val="auto"/>
          <w:szCs w:val="21"/>
          <w:highlight w:val="none"/>
        </w:rPr>
        <w:t>4.我单位具备《中华人民共和国政府采购法》第二十二条第一款规定的六项条件。</w:t>
      </w:r>
    </w:p>
    <w:p w14:paraId="66246042">
      <w:pPr>
        <w:ind w:firstLine="480" w:firstLineChars="200"/>
        <w:rPr>
          <w:rFonts w:ascii="宋体" w:hAnsi="宋体" w:eastAsia="宋体"/>
          <w:color w:val="auto"/>
          <w:highlight w:val="none"/>
        </w:rPr>
      </w:pPr>
      <w:r>
        <w:rPr>
          <w:rFonts w:hint="eastAsia" w:ascii="宋体" w:hAnsi="宋体" w:eastAsia="宋体"/>
          <w:color w:val="auto"/>
          <w:highlight w:val="none"/>
        </w:rPr>
        <w:t>5.我单位未被列入失信被执行人、</w:t>
      </w:r>
      <w:r>
        <w:rPr>
          <w:rFonts w:hint="eastAsia" w:ascii="宋体" w:hAnsi="宋体" w:eastAsia="宋体"/>
          <w:color w:val="auto"/>
          <w:highlight w:val="none"/>
          <w:lang w:eastAsia="zh-CN"/>
        </w:rPr>
        <w:t>重大税收违法失信主体</w:t>
      </w:r>
      <w:r>
        <w:rPr>
          <w:rFonts w:hint="eastAsia" w:ascii="宋体" w:hAnsi="宋体" w:eastAsia="宋体"/>
          <w:color w:val="auto"/>
          <w:highlight w:val="none"/>
        </w:rPr>
        <w:t>、政府采购严重违法失信行为记录名单</w:t>
      </w:r>
      <w:r>
        <w:rPr>
          <w:rFonts w:hint="eastAsia" w:ascii="宋体" w:hAnsi="宋体" w:eastAsia="宋体"/>
          <w:color w:val="auto"/>
          <w:highlight w:val="none"/>
          <w:lang w:eastAsia="zh-CN"/>
        </w:rPr>
        <w:t>；不存在《深圳市财政局政府采购供应商信用信息管理办法》（深财规〔2023〕3号）列明的严重违法失信行为。</w:t>
      </w:r>
    </w:p>
    <w:p w14:paraId="1F8E10F3">
      <w:pPr>
        <w:ind w:firstLine="480" w:firstLineChars="200"/>
        <w:rPr>
          <w:rFonts w:ascii="宋体" w:hAnsi="宋体" w:eastAsia="宋体"/>
          <w:color w:val="auto"/>
          <w:highlight w:val="none"/>
        </w:rPr>
      </w:pPr>
      <w:r>
        <w:rPr>
          <w:rFonts w:hint="eastAsia" w:ascii="宋体" w:hAnsi="宋体" w:eastAsia="宋体"/>
          <w:color w:val="auto"/>
          <w:highlight w:val="none"/>
        </w:rPr>
        <w:t>6.我单位参与该项目投标，严格遵守政府采购相关法律，不造假，不围标、串标、陪标。我单位已清楚，如违反上述要求，投标将作无效处理，被列入不良记录名单并在网上曝光，同时将被提请政府采购主管部门给予一定年限</w:t>
      </w:r>
      <w:r>
        <w:rPr>
          <w:rFonts w:ascii="宋体" w:hAnsi="宋体" w:eastAsia="宋体"/>
          <w:color w:val="auto"/>
          <w:highlight w:val="none"/>
        </w:rPr>
        <w:t>内禁止参与政府采购活动或其他处罚。</w:t>
      </w:r>
    </w:p>
    <w:p w14:paraId="789AC09C">
      <w:pPr>
        <w:ind w:firstLine="480" w:firstLineChars="200"/>
        <w:rPr>
          <w:rFonts w:ascii="宋体" w:hAnsi="宋体" w:eastAsia="宋体"/>
          <w:color w:val="auto"/>
          <w:highlight w:val="none"/>
        </w:rPr>
      </w:pPr>
      <w:r>
        <w:rPr>
          <w:rFonts w:ascii="宋体" w:hAnsi="宋体" w:eastAsia="宋体"/>
          <w:color w:val="auto"/>
          <w:highlight w:val="none"/>
        </w:rPr>
        <w:t>7.</w:t>
      </w:r>
      <w:r>
        <w:rPr>
          <w:rFonts w:hint="eastAsia" w:ascii="宋体" w:hAnsi="宋体" w:eastAsia="宋体"/>
          <w:color w:val="auto"/>
          <w:highlight w:val="none"/>
        </w:rPr>
        <w:t>我单位不存在“单位负责人为同一人或者存在直接控股、管理关系的不同供应商，参加同一合同项下的政府采购活动”的情形；不存在不同投标供应商法定代表人、主要经营负责人、投标授权代表人、项目负责人、主要技术人员、投标文件编制人员为同一人、属同一单位或者在同一单位缴纳社会保险的情形。</w:t>
      </w:r>
    </w:p>
    <w:p w14:paraId="20A6AC78">
      <w:pPr>
        <w:ind w:firstLine="480" w:firstLineChars="200"/>
        <w:rPr>
          <w:rFonts w:ascii="宋体" w:hAnsi="宋体" w:eastAsia="宋体"/>
          <w:color w:val="auto"/>
          <w:highlight w:val="none"/>
        </w:rPr>
      </w:pPr>
      <w:r>
        <w:rPr>
          <w:rFonts w:hint="eastAsia" w:ascii="宋体" w:hAnsi="宋体" w:eastAsia="宋体"/>
          <w:color w:val="auto"/>
          <w:highlight w:val="none"/>
        </w:rPr>
        <w:t>8</w:t>
      </w:r>
      <w:r>
        <w:rPr>
          <w:rFonts w:ascii="宋体" w:hAnsi="宋体" w:eastAsia="宋体"/>
          <w:color w:val="auto"/>
          <w:highlight w:val="none"/>
        </w:rPr>
        <w:t>.我单位如果中标，做到守信，不偷工减料，依</w:t>
      </w:r>
      <w:r>
        <w:rPr>
          <w:rFonts w:hint="eastAsia" w:ascii="宋体" w:hAnsi="宋体" w:eastAsia="宋体"/>
          <w:color w:val="auto"/>
          <w:highlight w:val="none"/>
        </w:rPr>
        <w:t>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14:paraId="5C8C45C7">
      <w:pPr>
        <w:ind w:firstLine="480" w:firstLineChars="200"/>
        <w:rPr>
          <w:rFonts w:ascii="宋体" w:hAnsi="宋体" w:eastAsia="宋体"/>
          <w:color w:val="auto"/>
          <w:highlight w:val="none"/>
        </w:rPr>
      </w:pPr>
      <w:r>
        <w:rPr>
          <w:rFonts w:hint="eastAsia" w:ascii="宋体" w:hAnsi="宋体" w:eastAsia="宋体"/>
          <w:color w:val="auto"/>
          <w:highlight w:val="none"/>
        </w:rPr>
        <w:t>9</w:t>
      </w:r>
      <w:r>
        <w:rPr>
          <w:rFonts w:ascii="宋体" w:hAnsi="宋体" w:eastAsia="宋体"/>
          <w:color w:val="auto"/>
          <w:highlight w:val="none"/>
        </w:rPr>
        <w:t>.</w:t>
      </w:r>
      <w:r>
        <w:rPr>
          <w:rFonts w:hint="eastAsia" w:ascii="宋体" w:hAnsi="宋体" w:eastAsia="宋体" w:cs="宋体"/>
          <w:color w:val="auto"/>
          <w:highlight w:val="none"/>
        </w:rPr>
        <w:t>我单位清楚，若以</w:t>
      </w:r>
      <w:r>
        <w:rPr>
          <w:rFonts w:ascii="宋体" w:hAnsi="宋体" w:eastAsia="宋体"/>
          <w:color w:val="auto"/>
          <w:highlight w:val="none"/>
        </w:rPr>
        <w:t>“</w:t>
      </w:r>
      <w:r>
        <w:rPr>
          <w:rFonts w:hint="eastAsia" w:ascii="宋体" w:hAnsi="宋体" w:eastAsia="宋体" w:cs="宋体"/>
          <w:color w:val="auto"/>
          <w:highlight w:val="none"/>
        </w:rPr>
        <w:t>报价太低而无法履约</w:t>
      </w:r>
      <w:r>
        <w:rPr>
          <w:rFonts w:ascii="宋体" w:hAnsi="宋体" w:eastAsia="宋体"/>
          <w:color w:val="auto"/>
          <w:highlight w:val="none"/>
        </w:rPr>
        <w:t>”</w:t>
      </w:r>
      <w:r>
        <w:rPr>
          <w:rFonts w:hint="eastAsia" w:ascii="宋体" w:hAnsi="宋体" w:eastAsia="宋体" w:cs="宋体"/>
          <w:color w:val="auto"/>
          <w:highlight w:val="none"/>
        </w:rPr>
        <w:t>为理由放弃本项目中标资格时，愿意接受主管部门的处理处罚。若我单位中标本项目，我单位的报价明显低于其他通过符合性审查投标人的报价时，我单位清楚，本项目将成为重点监管、重点验收项目，我单位将按时保质保量完成，并全力配合有关监管、验收工作；若我单位未按上述要求履约，我单位愿意接受主管部门的处理处罚。</w:t>
      </w:r>
    </w:p>
    <w:p w14:paraId="7BEB9B9B">
      <w:pPr>
        <w:ind w:firstLine="480" w:firstLineChars="200"/>
        <w:rPr>
          <w:rFonts w:ascii="宋体" w:hAnsi="宋体" w:eastAsia="宋体"/>
          <w:color w:val="auto"/>
          <w:highlight w:val="none"/>
        </w:rPr>
      </w:pPr>
      <w:r>
        <w:rPr>
          <w:rFonts w:ascii="宋体" w:hAnsi="宋体" w:eastAsia="宋体"/>
          <w:color w:val="auto"/>
          <w:highlight w:val="none"/>
        </w:rPr>
        <w:t>10.</w:t>
      </w:r>
      <w:r>
        <w:rPr>
          <w:rFonts w:hint="eastAsia" w:ascii="宋体" w:hAnsi="宋体" w:eastAsia="宋体"/>
          <w:color w:val="auto"/>
          <w:highlight w:val="none"/>
        </w:rPr>
        <w:t>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14:paraId="5839A6AF">
      <w:pPr>
        <w:ind w:firstLine="480" w:firstLineChars="200"/>
        <w:rPr>
          <w:rFonts w:ascii="宋体" w:hAnsi="宋体" w:eastAsia="宋体"/>
          <w:color w:val="auto"/>
          <w:highlight w:val="none"/>
        </w:rPr>
      </w:pPr>
      <w:r>
        <w:rPr>
          <w:rFonts w:hint="eastAsia" w:ascii="宋体" w:hAnsi="宋体" w:eastAsia="宋体"/>
          <w:color w:val="auto"/>
          <w:highlight w:val="none"/>
        </w:rPr>
        <w:t>1</w:t>
      </w:r>
      <w:r>
        <w:rPr>
          <w:rFonts w:ascii="宋体" w:hAnsi="宋体" w:eastAsia="宋体"/>
          <w:color w:val="auto"/>
          <w:highlight w:val="none"/>
        </w:rPr>
        <w:t>1</w:t>
      </w:r>
      <w:r>
        <w:rPr>
          <w:rFonts w:hint="eastAsia" w:ascii="宋体" w:hAnsi="宋体" w:eastAsia="宋体"/>
          <w:color w:val="auto"/>
          <w:highlight w:val="none"/>
        </w:rPr>
        <w:t>.我</w:t>
      </w:r>
      <w:r>
        <w:rPr>
          <w:rFonts w:hint="eastAsia" w:ascii="宋体" w:hAnsi="宋体" w:eastAsia="宋体"/>
          <w:color w:val="auto"/>
          <w:highlight w:val="none"/>
          <w:lang w:val="en-US" w:eastAsia="zh-CN"/>
        </w:rPr>
        <w:t>单位</w:t>
      </w:r>
      <w:r>
        <w:rPr>
          <w:rFonts w:hint="eastAsia" w:ascii="宋体" w:hAnsi="宋体" w:eastAsia="宋体"/>
          <w:color w:val="auto"/>
          <w:highlight w:val="none"/>
        </w:rPr>
        <w:t>承诺中标后项目不转包，未经采购人同意不进行分包。</w:t>
      </w:r>
    </w:p>
    <w:p w14:paraId="045052A5">
      <w:pPr>
        <w:ind w:firstLine="480" w:firstLineChars="200"/>
        <w:rPr>
          <w:rFonts w:ascii="宋体" w:hAnsi="宋体" w:eastAsia="宋体"/>
          <w:color w:val="auto"/>
          <w:highlight w:val="none"/>
        </w:rPr>
      </w:pPr>
      <w:r>
        <w:rPr>
          <w:rFonts w:hint="eastAsia" w:ascii="宋体" w:hAnsi="宋体" w:eastAsia="宋体"/>
          <w:color w:val="auto"/>
          <w:highlight w:val="none"/>
        </w:rPr>
        <w:t>1</w:t>
      </w:r>
      <w:r>
        <w:rPr>
          <w:rFonts w:ascii="宋体" w:hAnsi="宋体" w:eastAsia="宋体"/>
          <w:color w:val="auto"/>
          <w:highlight w:val="none"/>
        </w:rPr>
        <w:t>2.</w:t>
      </w:r>
      <w:r>
        <w:rPr>
          <w:rFonts w:hint="eastAsia" w:ascii="宋体" w:hAnsi="宋体" w:eastAsia="宋体"/>
          <w:color w:val="auto"/>
          <w:highlight w:val="none"/>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14:paraId="5F18FB11">
      <w:pPr>
        <w:ind w:firstLine="480" w:firstLineChars="200"/>
        <w:rPr>
          <w:rFonts w:ascii="宋体" w:hAnsi="宋体" w:eastAsia="宋体"/>
          <w:color w:val="auto"/>
          <w:highlight w:val="none"/>
        </w:rPr>
      </w:pPr>
      <w:r>
        <w:rPr>
          <w:rFonts w:ascii="宋体" w:hAnsi="宋体" w:eastAsia="宋体"/>
          <w:color w:val="auto"/>
          <w:highlight w:val="none"/>
        </w:rPr>
        <w:t>13.</w:t>
      </w:r>
      <w:r>
        <w:rPr>
          <w:rFonts w:hint="eastAsia" w:ascii="宋体" w:hAnsi="宋体" w:eastAsia="宋体"/>
          <w:color w:val="auto"/>
          <w:highlight w:val="none"/>
        </w:rPr>
        <w:t>我单位保证，若所投货物涉及</w:t>
      </w:r>
      <w:r>
        <w:rPr>
          <w:rFonts w:ascii="宋体" w:hAnsi="宋体" w:eastAsia="宋体"/>
          <w:color w:val="auto"/>
          <w:highlight w:val="none"/>
        </w:rPr>
        <w:t>《</w:t>
      </w:r>
      <w:r>
        <w:rPr>
          <w:rFonts w:hint="eastAsia" w:ascii="宋体" w:hAnsi="宋体" w:eastAsia="宋体"/>
          <w:color w:val="auto"/>
          <w:highlight w:val="none"/>
        </w:rPr>
        <w:t>财政部生态环境部关于印发节能产品政府采购品目清单的通知》（财库〔20</w:t>
      </w:r>
      <w:r>
        <w:rPr>
          <w:rFonts w:ascii="宋体" w:hAnsi="宋体" w:eastAsia="宋体"/>
          <w:color w:val="auto"/>
          <w:highlight w:val="none"/>
        </w:rPr>
        <w:t>19</w:t>
      </w:r>
      <w:r>
        <w:rPr>
          <w:rFonts w:hint="eastAsia" w:ascii="宋体" w:hAnsi="宋体" w:eastAsia="宋体"/>
          <w:color w:val="auto"/>
          <w:highlight w:val="none"/>
        </w:rPr>
        <w:t>〕</w:t>
      </w:r>
      <w:r>
        <w:rPr>
          <w:rFonts w:ascii="宋体" w:hAnsi="宋体" w:eastAsia="宋体"/>
          <w:color w:val="auto"/>
          <w:highlight w:val="none"/>
        </w:rPr>
        <w:t>19</w:t>
      </w:r>
      <w:r>
        <w:rPr>
          <w:rFonts w:hint="eastAsia" w:ascii="宋体" w:hAnsi="宋体" w:eastAsia="宋体"/>
          <w:color w:val="auto"/>
          <w:highlight w:val="none"/>
        </w:rPr>
        <w:t>号）列明的政府采购强制产品，则所投该产品符合节能产品的认证要求。</w:t>
      </w:r>
    </w:p>
    <w:p w14:paraId="345CC076">
      <w:pPr>
        <w:pStyle w:val="6"/>
        <w:rPr>
          <w:rFonts w:ascii="宋体" w:hAnsi="宋体" w:eastAsia="宋体" w:cs="宋体"/>
          <w:color w:val="auto"/>
          <w:szCs w:val="24"/>
          <w:highlight w:val="none"/>
        </w:rPr>
      </w:pPr>
      <w:r>
        <w:rPr>
          <w:rFonts w:hint="eastAsia" w:ascii="宋体" w:hAnsi="宋体" w:eastAsia="宋体"/>
          <w:color w:val="auto"/>
          <w:szCs w:val="24"/>
          <w:highlight w:val="none"/>
        </w:rPr>
        <w:t>1</w:t>
      </w:r>
      <w:r>
        <w:rPr>
          <w:rFonts w:ascii="宋体" w:hAnsi="宋体" w:eastAsia="宋体"/>
          <w:color w:val="auto"/>
          <w:szCs w:val="24"/>
          <w:highlight w:val="none"/>
        </w:rPr>
        <w:t>4.</w:t>
      </w:r>
      <w:r>
        <w:rPr>
          <w:rFonts w:hint="eastAsia" w:ascii="宋体" w:hAnsi="宋体" w:eastAsia="宋体" w:cs="宋体"/>
          <w:color w:val="auto"/>
          <w:szCs w:val="24"/>
          <w:highlight w:val="none"/>
        </w:rPr>
        <w:t xml:space="preserve"> 我单位承诺未为本项目提供整体设计、规范编制或者管理、监理、检测等服务。</w:t>
      </w:r>
    </w:p>
    <w:p w14:paraId="70170689">
      <w:pPr>
        <w:pStyle w:val="6"/>
        <w:rPr>
          <w:rFonts w:ascii="宋体" w:hAnsi="宋体" w:eastAsia="宋体" w:cs="宋体"/>
          <w:color w:val="auto"/>
          <w:szCs w:val="24"/>
          <w:highlight w:val="none"/>
        </w:rPr>
      </w:pPr>
      <w:r>
        <w:rPr>
          <w:rFonts w:hint="eastAsia" w:ascii="宋体" w:hAnsi="宋体" w:eastAsia="宋体" w:cs="宋体"/>
          <w:color w:val="auto"/>
          <w:szCs w:val="24"/>
          <w:highlight w:val="none"/>
        </w:rPr>
        <w:t>1</w:t>
      </w:r>
      <w:r>
        <w:rPr>
          <w:rFonts w:ascii="宋体" w:hAnsi="宋体" w:eastAsia="宋体" w:cs="宋体"/>
          <w:color w:val="auto"/>
          <w:szCs w:val="24"/>
          <w:highlight w:val="none"/>
        </w:rPr>
        <w:t>5.</w:t>
      </w:r>
      <w:r>
        <w:rPr>
          <w:rFonts w:hint="eastAsia" w:ascii="宋体" w:hAnsi="宋体" w:eastAsia="宋体" w:cs="宋体"/>
          <w:color w:val="auto"/>
          <w:szCs w:val="24"/>
          <w:highlight w:val="none"/>
        </w:rPr>
        <w:t>我单位承诺，参与本项目投标前三年内，未受过环境监测行政主管部门行政处罚或未有被政府相关部门（如质检部门等）、媒体通报弄虚作假等情形。</w:t>
      </w:r>
      <w:r>
        <w:rPr>
          <w:rFonts w:ascii="宋体" w:hAnsi="宋体" w:eastAsia="宋体" w:cs="宋体"/>
          <w:color w:val="auto"/>
          <w:szCs w:val="24"/>
          <w:highlight w:val="none"/>
        </w:rPr>
        <w:t xml:space="preserve"> </w:t>
      </w:r>
    </w:p>
    <w:p w14:paraId="58B9F411">
      <w:pPr>
        <w:pStyle w:val="6"/>
        <w:rPr>
          <w:rFonts w:ascii="宋体" w:hAnsi="宋体" w:eastAsia="宋体" w:cs="宋体"/>
          <w:color w:val="auto"/>
          <w:szCs w:val="24"/>
          <w:highlight w:val="none"/>
        </w:rPr>
      </w:pPr>
      <w:r>
        <w:rPr>
          <w:rFonts w:hint="eastAsia" w:ascii="宋体" w:hAnsi="宋体" w:eastAsia="宋体" w:cs="宋体"/>
          <w:color w:val="auto"/>
          <w:szCs w:val="24"/>
          <w:highlight w:val="none"/>
          <w:lang w:val="en-US" w:eastAsia="zh-CN"/>
        </w:rPr>
        <w:t>16.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r>
        <w:rPr>
          <w:rFonts w:ascii="宋体" w:hAnsi="宋体" w:eastAsia="宋体" w:cs="宋体"/>
          <w:color w:val="auto"/>
          <w:szCs w:val="24"/>
          <w:highlight w:val="none"/>
        </w:rPr>
        <w:t xml:space="preserve"> </w:t>
      </w:r>
    </w:p>
    <w:p w14:paraId="1C48F1DE">
      <w:pPr>
        <w:ind w:firstLine="480" w:firstLineChars="200"/>
        <w:rPr>
          <w:rFonts w:hint="eastAsia" w:ascii="宋体" w:hAnsi="宋体" w:eastAsia="宋体"/>
          <w:color w:val="auto"/>
          <w:highlight w:val="none"/>
        </w:rPr>
      </w:pPr>
      <w:r>
        <w:rPr>
          <w:rFonts w:hint="eastAsia" w:ascii="宋体" w:hAnsi="宋体" w:eastAsia="宋体"/>
          <w:color w:val="auto"/>
          <w:highlight w:val="none"/>
        </w:rPr>
        <w:t>17.我单位承诺，不同投标供应商不存在直接控股、管理关系的情形。</w:t>
      </w:r>
    </w:p>
    <w:p w14:paraId="21859EF0">
      <w:pPr>
        <w:ind w:firstLine="480" w:firstLineChars="200"/>
        <w:rPr>
          <w:rFonts w:ascii="宋体" w:hAnsi="宋体" w:eastAsia="宋体"/>
          <w:color w:val="auto"/>
          <w:highlight w:val="none"/>
        </w:rPr>
      </w:pPr>
      <w:r>
        <w:rPr>
          <w:rFonts w:hint="eastAsia" w:ascii="宋体" w:hAnsi="宋体" w:eastAsia="宋体"/>
          <w:color w:val="auto"/>
          <w:highlight w:val="none"/>
        </w:rPr>
        <w:t>以上承诺，如有违反，愿依照国家相关法律法规处理，并承担由此给采购人带来的损失。</w:t>
      </w:r>
    </w:p>
    <w:p w14:paraId="2941BA0A">
      <w:pPr>
        <w:spacing w:before="60" w:beforeLines="25" w:after="60" w:afterLines="25"/>
        <w:ind w:firstLine="6240" w:firstLineChars="2600"/>
        <w:rPr>
          <w:rFonts w:ascii="宋体" w:hAnsi="宋体" w:eastAsia="宋体"/>
          <w:color w:val="auto"/>
          <w:highlight w:val="none"/>
        </w:rPr>
      </w:pPr>
      <w:r>
        <w:rPr>
          <w:rFonts w:hint="eastAsia" w:ascii="宋体" w:hAnsi="宋体" w:eastAsia="宋体"/>
          <w:color w:val="auto"/>
          <w:highlight w:val="none"/>
        </w:rPr>
        <w:t xml:space="preserve">                                    </w:t>
      </w:r>
    </w:p>
    <w:p w14:paraId="4497EB8D">
      <w:pPr>
        <w:spacing w:before="60" w:beforeLines="25" w:after="60" w:afterLines="25"/>
        <w:ind w:firstLine="6240" w:firstLineChars="2600"/>
        <w:rPr>
          <w:rFonts w:ascii="宋体" w:hAnsi="宋体" w:eastAsia="宋体"/>
          <w:color w:val="auto"/>
          <w:highlight w:val="none"/>
        </w:rPr>
      </w:pPr>
      <w:r>
        <w:rPr>
          <w:rFonts w:hint="eastAsia" w:ascii="宋体" w:hAnsi="宋体" w:eastAsia="宋体"/>
          <w:color w:val="auto"/>
          <w:highlight w:val="none"/>
        </w:rPr>
        <w:t>投标人：</w:t>
      </w:r>
      <w:r>
        <w:rPr>
          <w:rFonts w:hint="eastAsia" w:ascii="宋体" w:hAnsi="宋体" w:eastAsia="宋体"/>
          <w:color w:val="auto"/>
          <w:highlight w:val="none"/>
          <w:u w:val="single"/>
        </w:rPr>
        <w:t xml:space="preserve">              </w:t>
      </w:r>
    </w:p>
    <w:p w14:paraId="5E0CCF82">
      <w:pPr>
        <w:ind w:firstLine="645"/>
        <w:rPr>
          <w:rFonts w:ascii="宋体" w:hAnsi="宋体" w:eastAsia="宋体"/>
          <w:color w:val="auto"/>
          <w:highlight w:val="none"/>
        </w:rPr>
      </w:pPr>
      <w:r>
        <w:rPr>
          <w:rFonts w:hint="eastAsia" w:ascii="宋体" w:hAnsi="宋体" w:eastAsia="宋体"/>
          <w:color w:val="auto"/>
          <w:highlight w:val="none"/>
        </w:rPr>
        <w:t xml:space="preserve">                                        日期：</w:t>
      </w:r>
      <w:r>
        <w:rPr>
          <w:rFonts w:hint="eastAsia" w:ascii="宋体" w:hAnsi="宋体" w:eastAsia="宋体"/>
          <w:color w:val="auto"/>
          <w:highlight w:val="none"/>
          <w:u w:val="single"/>
        </w:rPr>
        <w:t xml:space="preserve">    </w:t>
      </w:r>
      <w:r>
        <w:rPr>
          <w:rFonts w:hint="eastAsia" w:ascii="宋体" w:hAnsi="宋体" w:eastAsia="宋体"/>
          <w:color w:val="auto"/>
          <w:highlight w:val="none"/>
        </w:rPr>
        <w:t>年</w:t>
      </w:r>
      <w:r>
        <w:rPr>
          <w:rFonts w:hint="eastAsia" w:ascii="宋体" w:hAnsi="宋体" w:eastAsia="宋体"/>
          <w:color w:val="auto"/>
          <w:highlight w:val="none"/>
          <w:u w:val="single"/>
        </w:rPr>
        <w:t xml:space="preserve">   </w:t>
      </w:r>
      <w:r>
        <w:rPr>
          <w:rFonts w:hint="eastAsia" w:ascii="宋体" w:hAnsi="宋体" w:eastAsia="宋体"/>
          <w:color w:val="auto"/>
          <w:highlight w:val="none"/>
        </w:rPr>
        <w:t>月</w:t>
      </w:r>
      <w:r>
        <w:rPr>
          <w:rFonts w:hint="eastAsia" w:ascii="宋体" w:hAnsi="宋体" w:eastAsia="宋体"/>
          <w:color w:val="auto"/>
          <w:highlight w:val="none"/>
          <w:u w:val="single"/>
        </w:rPr>
        <w:t xml:space="preserve">   </w:t>
      </w:r>
      <w:r>
        <w:rPr>
          <w:rFonts w:hint="eastAsia" w:ascii="宋体" w:hAnsi="宋体" w:eastAsia="宋体"/>
          <w:color w:val="auto"/>
          <w:highlight w:val="none"/>
        </w:rPr>
        <w:t>日</w:t>
      </w:r>
    </w:p>
    <w:p w14:paraId="0B63E173">
      <w:pPr>
        <w:rPr>
          <w:rFonts w:ascii="宋体" w:hAnsi="宋体" w:eastAsia="宋体"/>
          <w:color w:val="auto"/>
          <w:highlight w:val="none"/>
        </w:rPr>
      </w:pPr>
    </w:p>
    <w:p w14:paraId="18A24D2B">
      <w:pPr>
        <w:rPr>
          <w:rFonts w:ascii="宋体" w:hAnsi="宋体" w:eastAsia="宋体" w:cs="宋体"/>
          <w:color w:val="auto"/>
          <w:szCs w:val="21"/>
          <w:highlight w:val="none"/>
        </w:rPr>
      </w:pPr>
    </w:p>
    <w:p w14:paraId="5B1C2996">
      <w:pPr>
        <w:pStyle w:val="6"/>
        <w:rPr>
          <w:color w:val="auto"/>
          <w:highlight w:val="none"/>
        </w:rPr>
      </w:pPr>
    </w:p>
    <w:p w14:paraId="5DD562F9">
      <w:pPr>
        <w:rPr>
          <w:color w:val="auto"/>
          <w:highlight w:val="none"/>
        </w:rPr>
      </w:pPr>
    </w:p>
    <w:p w14:paraId="43D2D716">
      <w:pPr>
        <w:rPr>
          <w:color w:val="auto"/>
          <w:highlight w:val="none"/>
        </w:rPr>
      </w:pPr>
      <w:r>
        <w:rPr>
          <w:color w:val="auto"/>
          <w:highlight w:val="none"/>
        </w:rPr>
        <w:br w:type="page"/>
      </w:r>
    </w:p>
    <w:p w14:paraId="0700AD2B">
      <w:pPr>
        <w:pStyle w:val="3"/>
        <w:jc w:val="center"/>
        <w:rPr>
          <w:color w:val="auto"/>
          <w:highlight w:val="none"/>
        </w:rPr>
      </w:pPr>
      <w:r>
        <w:rPr>
          <w:rFonts w:hint="eastAsia" w:ascii="黑体" w:eastAsia="黑体"/>
          <w:b w:val="0"/>
          <w:color w:val="auto"/>
          <w:sz w:val="24"/>
          <w:highlight w:val="none"/>
        </w:rPr>
        <w:t>三、投标人情况及资格证明文件</w:t>
      </w:r>
    </w:p>
    <w:p w14:paraId="17DE9C41">
      <w:pPr>
        <w:ind w:firstLine="480" w:firstLineChars="200"/>
        <w:outlineLvl w:val="3"/>
        <w:rPr>
          <w:rFonts w:hint="eastAsia" w:ascii="宋体" w:hAnsi="宋体" w:eastAsia="宋体"/>
          <w:bCs/>
          <w:color w:val="auto"/>
          <w:szCs w:val="32"/>
          <w:highlight w:val="none"/>
          <w:lang w:val="en-US" w:eastAsia="zh-CN" w:bidi="ar-SA"/>
        </w:rPr>
      </w:pPr>
      <w:r>
        <w:rPr>
          <w:rFonts w:hint="eastAsia" w:ascii="宋体" w:hAnsi="宋体" w:eastAsia="宋体"/>
          <w:bCs/>
          <w:color w:val="auto"/>
          <w:szCs w:val="32"/>
          <w:highlight w:val="none"/>
          <w:lang w:val="en-US" w:eastAsia="zh-CN" w:bidi="ar-SA"/>
        </w:rPr>
        <w:t>（一）投标人资格证明文件</w:t>
      </w:r>
    </w:p>
    <w:p w14:paraId="7C49E515">
      <w:pPr>
        <w:spacing w:before="120" w:beforeLines="50"/>
        <w:ind w:firstLine="480" w:firstLineChars="200"/>
        <w:rPr>
          <w:b/>
          <w:bCs/>
          <w:color w:val="auto"/>
          <w:highlight w:val="none"/>
        </w:rPr>
      </w:pPr>
      <w:r>
        <w:rPr>
          <w:rFonts w:hint="eastAsia"/>
          <w:b/>
          <w:bCs/>
          <w:color w:val="auto"/>
          <w:highlight w:val="none"/>
        </w:rPr>
        <w:t>（特别提示：投标人须按本招标文件第一册第一章招标公告 “申请人的资格要求”（即投标人资格要求）提供相关的资格证明资料，未提供或提供不完整、不符合要求的，将作投标无效处理。）</w:t>
      </w:r>
    </w:p>
    <w:p w14:paraId="4011CDC9">
      <w:pPr>
        <w:spacing w:line="360" w:lineRule="auto"/>
        <w:ind w:firstLine="480" w:firstLineChars="200"/>
        <w:rPr>
          <w:b/>
          <w:color w:val="auto"/>
          <w:highlight w:val="none"/>
        </w:rPr>
      </w:pPr>
    </w:p>
    <w:p w14:paraId="006B2091">
      <w:pPr>
        <w:spacing w:line="360" w:lineRule="auto"/>
        <w:rPr>
          <w:rFonts w:eastAsia="黑体"/>
          <w:color w:val="auto"/>
          <w:highlight w:val="none"/>
        </w:rPr>
      </w:pPr>
    </w:p>
    <w:p w14:paraId="4E71E59E">
      <w:pPr>
        <w:ind w:firstLine="480" w:firstLineChars="200"/>
        <w:outlineLvl w:val="3"/>
        <w:rPr>
          <w:rFonts w:hint="eastAsia" w:ascii="宋体" w:hAnsi="宋体" w:eastAsia="宋体"/>
          <w:bCs/>
          <w:color w:val="auto"/>
          <w:szCs w:val="32"/>
          <w:highlight w:val="none"/>
          <w:lang w:val="en-US" w:eastAsia="zh-CN" w:bidi="ar-SA"/>
        </w:rPr>
      </w:pPr>
      <w:r>
        <w:rPr>
          <w:rFonts w:hint="eastAsia" w:ascii="宋体" w:hAnsi="宋体" w:eastAsia="宋体"/>
          <w:bCs/>
          <w:color w:val="auto"/>
          <w:szCs w:val="32"/>
          <w:highlight w:val="none"/>
          <w:lang w:val="en-US" w:eastAsia="zh-CN" w:bidi="ar-SA"/>
        </w:rPr>
        <w:t>（二）中小企业声明函、残疾人福利性单位声明函及监狱企业声明函</w:t>
      </w:r>
    </w:p>
    <w:p w14:paraId="51DBC415">
      <w:pPr>
        <w:spacing w:before="120" w:beforeLines="50"/>
        <w:ind w:firstLine="482" w:firstLineChars="200"/>
        <w:rPr>
          <w:rFonts w:hint="eastAsia" w:ascii="宋体" w:hAnsi="宋体" w:eastAsia="宋体"/>
          <w:b/>
          <w:bCs/>
          <w:color w:val="auto"/>
          <w:highlight w:val="none"/>
          <w:lang w:val="en-US" w:eastAsia="zh-CN"/>
        </w:rPr>
      </w:pPr>
      <w:r>
        <w:rPr>
          <w:rFonts w:hint="eastAsia" w:ascii="宋体" w:hAnsi="宋体" w:eastAsia="宋体"/>
          <w:b/>
          <w:bCs/>
          <w:color w:val="auto"/>
          <w:highlight w:val="none"/>
          <w:lang w:val="en-US" w:eastAsia="zh-CN"/>
        </w:rPr>
        <w:t>注：采购人、采购代理机构、评标委员会（评审小组）在依法进行资格审查、评审过程中，发现《中小企业声明函》存在明显笔误或者含义不明确的，按照政府采购相关规定要求供应商进行澄清、说明或补正。澄清、说明或补正后符合中小企业条件的供应商，可以享受中小企业扶持政策。（参照《广东省政府采购促进中小企业发展实施细则》第十八条精神）</w:t>
      </w:r>
    </w:p>
    <w:p w14:paraId="534BF4D5">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b/>
          <w:color w:val="auto"/>
          <w:highlight w:val="none"/>
        </w:rPr>
      </w:pPr>
    </w:p>
    <w:p w14:paraId="0922F2F0">
      <w:pPr>
        <w:jc w:val="center"/>
        <w:outlineLvl w:val="3"/>
        <w:rPr>
          <w:b/>
          <w:color w:val="auto"/>
          <w:highlight w:val="none"/>
        </w:rPr>
      </w:pPr>
      <w:r>
        <w:rPr>
          <w:rFonts w:hint="eastAsia"/>
          <w:b/>
          <w:color w:val="auto"/>
          <w:highlight w:val="none"/>
        </w:rPr>
        <w:t>1、</w:t>
      </w:r>
      <w:r>
        <w:rPr>
          <w:b/>
          <w:color w:val="auto"/>
          <w:highlight w:val="none"/>
        </w:rPr>
        <w:t>中小企业声明函（</w:t>
      </w:r>
      <w:r>
        <w:rPr>
          <w:rFonts w:hint="eastAsia"/>
          <w:b/>
          <w:color w:val="auto"/>
          <w:highlight w:val="none"/>
        </w:rPr>
        <w:t>服务</w:t>
      </w:r>
      <w:r>
        <w:rPr>
          <w:b/>
          <w:color w:val="auto"/>
          <w:highlight w:val="none"/>
        </w:rPr>
        <w:t xml:space="preserve">） </w:t>
      </w:r>
    </w:p>
    <w:p w14:paraId="06DD8436">
      <w:pPr>
        <w:spacing w:after="60" w:afterLines="25" w:line="300" w:lineRule="auto"/>
        <w:ind w:firstLine="480" w:firstLineChars="200"/>
        <w:rPr>
          <w:rFonts w:ascii="宋体" w:hAnsi="宋体" w:eastAsia="宋体"/>
          <w:color w:val="auto"/>
          <w:szCs w:val="21"/>
          <w:highlight w:val="none"/>
        </w:rPr>
      </w:pPr>
      <w:r>
        <w:rPr>
          <w:rFonts w:hint="eastAsia" w:ascii="宋体" w:hAnsi="宋体" w:eastAsia="宋体"/>
          <w:color w:val="auto"/>
          <w:szCs w:val="21"/>
          <w:highlight w:val="none"/>
        </w:rPr>
        <w:t>本投标人郑重声明，根据《政府采购促进中小企业发展管理办法》（财库﹝2020﹞46 号）的规定，本投标人参加</w:t>
      </w:r>
      <w:r>
        <w:rPr>
          <w:rFonts w:hint="eastAsia" w:ascii="宋体" w:hAnsi="宋体" w:eastAsia="宋体"/>
          <w:b/>
          <w:bCs/>
          <w:color w:val="auto"/>
          <w:szCs w:val="21"/>
          <w:highlight w:val="none"/>
          <w:u w:val="single"/>
        </w:rPr>
        <w:t>深圳市公安局交通警察局</w:t>
      </w:r>
      <w:r>
        <w:rPr>
          <w:rFonts w:hint="eastAsia" w:ascii="宋体" w:hAnsi="宋体" w:eastAsia="宋体"/>
          <w:color w:val="auto"/>
          <w:szCs w:val="21"/>
          <w:highlight w:val="none"/>
        </w:rPr>
        <w:t>的</w:t>
      </w:r>
      <w:r>
        <w:rPr>
          <w:rFonts w:hint="eastAsia" w:ascii="宋体" w:hAnsi="宋体" w:eastAsia="宋体"/>
          <w:b/>
          <w:bCs/>
          <w:color w:val="auto"/>
          <w:szCs w:val="21"/>
          <w:highlight w:val="none"/>
          <w:u w:val="single"/>
        </w:rPr>
        <w:t>2025年通信线缆维护</w:t>
      </w:r>
      <w:r>
        <w:rPr>
          <w:rFonts w:hint="eastAsia" w:ascii="宋体" w:hAnsi="宋体" w:eastAsia="宋体"/>
          <w:color w:val="auto"/>
          <w:szCs w:val="21"/>
          <w:highlight w:val="none"/>
        </w:rPr>
        <w:t>采购活动，服务全部由符合政策要求的中小企业承接。相关企业的具体情况如下：</w:t>
      </w:r>
    </w:p>
    <w:p w14:paraId="6D3D2B67">
      <w:pPr>
        <w:spacing w:after="60" w:afterLines="25" w:line="300" w:lineRule="auto"/>
        <w:ind w:firstLine="480" w:firstLineChars="200"/>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b/>
          <w:bCs/>
          <w:color w:val="auto"/>
          <w:szCs w:val="21"/>
          <w:highlight w:val="none"/>
          <w:u w:val="single"/>
        </w:rPr>
        <w:t>2025年通信线缆维护</w:t>
      </w:r>
      <w:r>
        <w:rPr>
          <w:rFonts w:hint="eastAsia" w:ascii="宋体" w:hAnsi="宋体" w:eastAsia="宋体"/>
          <w:color w:val="auto"/>
          <w:szCs w:val="21"/>
          <w:highlight w:val="none"/>
        </w:rPr>
        <w:t xml:space="preserve"> ，属于</w:t>
      </w:r>
      <w:r>
        <w:rPr>
          <w:rFonts w:hint="eastAsia" w:ascii="宋体" w:hAnsi="宋体" w:eastAsia="宋体"/>
          <w:b/>
          <w:bCs/>
          <w:color w:val="auto"/>
          <w:szCs w:val="21"/>
          <w:highlight w:val="none"/>
          <w:u w:val="single"/>
        </w:rPr>
        <w:t>信息传输业</w:t>
      </w:r>
      <w:r>
        <w:rPr>
          <w:rFonts w:hint="eastAsia" w:ascii="宋体" w:hAnsi="宋体" w:eastAsia="宋体"/>
          <w:color w:val="auto"/>
          <w:szCs w:val="21"/>
          <w:highlight w:val="none"/>
        </w:rPr>
        <w:t>行业；承接企业为</w:t>
      </w:r>
      <w:r>
        <w:rPr>
          <w:rFonts w:hint="eastAsia" w:ascii="宋体" w:hAnsi="宋体" w:eastAsia="宋体"/>
          <w:b/>
          <w:bCs/>
          <w:color w:val="auto"/>
          <w:szCs w:val="21"/>
          <w:highlight w:val="none"/>
          <w:u w:val="single"/>
        </w:rPr>
        <w:t>（企业名称）</w:t>
      </w:r>
      <w:r>
        <w:rPr>
          <w:rFonts w:hint="eastAsia" w:ascii="宋体" w:hAnsi="宋体" w:eastAsia="宋体"/>
          <w:color w:val="auto"/>
          <w:szCs w:val="21"/>
          <w:highlight w:val="none"/>
        </w:rPr>
        <w:t>，从业人员</w:t>
      </w:r>
      <w:r>
        <w:rPr>
          <w:rFonts w:hint="eastAsia" w:ascii="宋体" w:hAnsi="宋体" w:eastAsia="宋体"/>
          <w:color w:val="auto"/>
          <w:szCs w:val="21"/>
          <w:highlight w:val="none"/>
          <w:u w:val="single"/>
          <w:lang w:val="en-US" w:eastAsia="zh-CN"/>
        </w:rPr>
        <w:t xml:space="preserve">   </w:t>
      </w:r>
      <w:r>
        <w:rPr>
          <w:rFonts w:hint="eastAsia" w:ascii="宋体" w:hAnsi="宋体" w:eastAsia="宋体"/>
          <w:color w:val="auto"/>
          <w:szCs w:val="21"/>
          <w:highlight w:val="none"/>
        </w:rPr>
        <w:t>人，营业收入为</w:t>
      </w:r>
      <w:r>
        <w:rPr>
          <w:rFonts w:hint="eastAsia" w:ascii="宋体" w:hAnsi="宋体" w:eastAsia="宋体"/>
          <w:color w:val="auto"/>
          <w:szCs w:val="21"/>
          <w:highlight w:val="none"/>
          <w:u w:val="single"/>
          <w:lang w:val="en-US" w:eastAsia="zh-CN"/>
        </w:rPr>
        <w:t xml:space="preserve">   </w:t>
      </w:r>
      <w:r>
        <w:rPr>
          <w:rFonts w:hint="eastAsia" w:ascii="宋体" w:hAnsi="宋体" w:eastAsia="宋体"/>
          <w:color w:val="auto"/>
          <w:szCs w:val="21"/>
          <w:highlight w:val="none"/>
        </w:rPr>
        <w:t>万元，资产总额为</w:t>
      </w:r>
      <w:r>
        <w:rPr>
          <w:rFonts w:hint="eastAsia" w:ascii="宋体" w:hAnsi="宋体" w:eastAsia="宋体"/>
          <w:color w:val="auto"/>
          <w:szCs w:val="21"/>
          <w:highlight w:val="none"/>
          <w:u w:val="single"/>
          <w:lang w:val="en-US" w:eastAsia="zh-CN"/>
        </w:rPr>
        <w:t xml:space="preserve">   </w:t>
      </w:r>
      <w:r>
        <w:rPr>
          <w:rFonts w:hint="eastAsia" w:ascii="宋体" w:hAnsi="宋体" w:eastAsia="宋体"/>
          <w:color w:val="auto"/>
          <w:szCs w:val="21"/>
          <w:highlight w:val="none"/>
        </w:rPr>
        <w:t>万元 ，属于</w:t>
      </w:r>
      <w:r>
        <w:rPr>
          <w:rFonts w:hint="eastAsia" w:ascii="宋体" w:hAnsi="宋体" w:eastAsia="宋体"/>
          <w:b/>
          <w:bCs/>
          <w:color w:val="auto"/>
          <w:szCs w:val="21"/>
          <w:highlight w:val="none"/>
          <w:u w:val="single"/>
        </w:rPr>
        <w:t>（中型企业、小型企业、微型企业）</w:t>
      </w:r>
      <w:r>
        <w:rPr>
          <w:rFonts w:hint="eastAsia" w:ascii="宋体" w:hAnsi="宋体" w:eastAsia="宋体"/>
          <w:color w:val="auto"/>
          <w:szCs w:val="21"/>
          <w:highlight w:val="none"/>
        </w:rPr>
        <w:t xml:space="preserve">； </w:t>
      </w:r>
    </w:p>
    <w:p w14:paraId="6DF4A855">
      <w:pPr>
        <w:spacing w:after="60" w:afterLines="25" w:line="300" w:lineRule="auto"/>
        <w:ind w:firstLine="480" w:firstLineChars="200"/>
        <w:rPr>
          <w:rFonts w:ascii="宋体" w:hAnsi="宋体" w:eastAsia="宋体"/>
          <w:color w:val="auto"/>
          <w:szCs w:val="21"/>
          <w:highlight w:val="none"/>
        </w:rPr>
      </w:pPr>
      <w:r>
        <w:rPr>
          <w:rFonts w:hint="eastAsia" w:ascii="宋体" w:hAnsi="宋体" w:eastAsia="宋体"/>
          <w:color w:val="auto"/>
          <w:szCs w:val="21"/>
          <w:highlight w:val="none"/>
        </w:rPr>
        <w:t>以上企业，不属于大企业的分支机构，不存在控股股东为大企业的情形，也不存在与大企业的负责人为同一人的情形。</w:t>
      </w:r>
    </w:p>
    <w:p w14:paraId="33987F88">
      <w:pPr>
        <w:spacing w:after="60" w:afterLines="25" w:line="300" w:lineRule="auto"/>
        <w:ind w:firstLine="480" w:firstLineChars="200"/>
        <w:rPr>
          <w:rFonts w:ascii="宋体" w:hAnsi="宋体" w:eastAsia="宋体"/>
          <w:color w:val="auto"/>
          <w:szCs w:val="21"/>
          <w:highlight w:val="none"/>
        </w:rPr>
      </w:pPr>
      <w:bookmarkStart w:id="39" w:name="_Hlk73562275"/>
      <w:r>
        <w:rPr>
          <w:rFonts w:hint="eastAsia" w:ascii="宋体" w:hAnsi="宋体" w:eastAsia="宋体"/>
          <w:color w:val="auto"/>
          <w:szCs w:val="21"/>
          <w:highlight w:val="none"/>
        </w:rPr>
        <w:t>本投标人已知悉《政府采购促进中小企业发展管理办法》（财库〔2020〕46 号）、《中小企业划型标准规定》（工信部联企〔2011〕 300 号）、《统计上大中小微型企业划分办法（2017）》等规定，承诺提供的声明函内容是真实的，并知悉根据《政府采购促进中小企业发展管理办法》（财库〔2020〕46 号）第二十条规定，投标人按照本办法规定提供声明函内容不实的，属于提供虚假材料谋取中标，依照《政府采购法》等政府采购有关法律法规规定追究相应责任。</w:t>
      </w:r>
      <w:bookmarkEnd w:id="39"/>
    </w:p>
    <w:p w14:paraId="12E07E5E">
      <w:pPr>
        <w:wordWrap w:val="0"/>
        <w:spacing w:after="60" w:afterLines="25" w:line="300" w:lineRule="auto"/>
        <w:ind w:firstLine="480" w:firstLineChars="200"/>
        <w:jc w:val="right"/>
        <w:rPr>
          <w:rFonts w:ascii="宋体" w:hAnsi="宋体" w:eastAsia="宋体"/>
          <w:color w:val="auto"/>
          <w:szCs w:val="21"/>
          <w:highlight w:val="none"/>
        </w:rPr>
      </w:pPr>
      <w:r>
        <w:rPr>
          <w:rFonts w:hint="eastAsia" w:ascii="宋体" w:hAnsi="宋体" w:eastAsia="宋体"/>
          <w:color w:val="auto"/>
          <w:szCs w:val="21"/>
          <w:highlight w:val="none"/>
        </w:rPr>
        <w:t xml:space="preserve">     投标人（投标单位）：       </w:t>
      </w:r>
    </w:p>
    <w:p w14:paraId="1B55106B">
      <w:pPr>
        <w:ind w:firstLine="6720" w:firstLineChars="2800"/>
        <w:rPr>
          <w:rFonts w:ascii="宋体" w:hAnsi="宋体"/>
          <w:color w:val="auto"/>
          <w:szCs w:val="21"/>
          <w:highlight w:val="none"/>
        </w:rPr>
      </w:pPr>
      <w:r>
        <w:rPr>
          <w:rFonts w:hint="eastAsia" w:ascii="宋体" w:hAnsi="宋体" w:eastAsia="宋体"/>
          <w:color w:val="auto"/>
          <w:szCs w:val="21"/>
          <w:highlight w:val="none"/>
        </w:rPr>
        <w:t>日期：</w:t>
      </w:r>
    </w:p>
    <w:p w14:paraId="3E9722FF">
      <w:pPr>
        <w:spacing w:after="60" w:afterLines="25" w:line="300" w:lineRule="auto"/>
        <w:ind w:firstLine="482" w:firstLineChars="200"/>
        <w:rPr>
          <w:rFonts w:ascii="Arial" w:hAnsi="Arial" w:eastAsia="宋体"/>
          <w:b/>
          <w:color w:val="auto"/>
          <w:highlight w:val="none"/>
        </w:rPr>
      </w:pPr>
    </w:p>
    <w:p w14:paraId="77A6258B">
      <w:pPr>
        <w:pStyle w:val="6"/>
        <w:rPr>
          <w:color w:val="auto"/>
          <w:highlight w:val="none"/>
        </w:rPr>
      </w:pPr>
    </w:p>
    <w:p w14:paraId="65B10E77">
      <w:pPr>
        <w:rPr>
          <w:color w:val="auto"/>
          <w:highlight w:val="none"/>
        </w:rPr>
      </w:pPr>
    </w:p>
    <w:p w14:paraId="5FFF7317">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b/>
          <w:color w:val="auto"/>
          <w:highlight w:val="none"/>
        </w:rPr>
      </w:pPr>
    </w:p>
    <w:p w14:paraId="3A9F9D8C">
      <w:pPr>
        <w:jc w:val="center"/>
        <w:outlineLvl w:val="3"/>
        <w:rPr>
          <w:b/>
          <w:color w:val="auto"/>
          <w:highlight w:val="none"/>
        </w:rPr>
      </w:pPr>
      <w:r>
        <w:rPr>
          <w:rFonts w:hint="eastAsia"/>
          <w:b/>
          <w:color w:val="auto"/>
          <w:highlight w:val="none"/>
        </w:rPr>
        <w:t>2、残疾人福利性单位声明函（服务类）</w:t>
      </w:r>
    </w:p>
    <w:p w14:paraId="7121206F">
      <w:pPr>
        <w:rPr>
          <w:b/>
          <w:bCs/>
          <w:color w:val="auto"/>
          <w:highlight w:val="none"/>
        </w:rPr>
      </w:pPr>
    </w:p>
    <w:p w14:paraId="7A073389">
      <w:pPr>
        <w:spacing w:after="60" w:afterLines="25" w:line="300" w:lineRule="auto"/>
        <w:ind w:firstLine="480" w:firstLineChars="200"/>
        <w:rPr>
          <w:rFonts w:asciiTheme="minorEastAsia" w:hAnsiTheme="minorEastAsia"/>
          <w:color w:val="auto"/>
          <w:szCs w:val="21"/>
          <w:highlight w:val="none"/>
        </w:rPr>
      </w:pPr>
      <w:r>
        <w:rPr>
          <w:rFonts w:hint="eastAsia" w:asciiTheme="minorEastAsia" w:hAnsiTheme="minorEastAsia"/>
          <w:color w:val="auto"/>
          <w:szCs w:val="21"/>
          <w:highlight w:val="none"/>
        </w:rPr>
        <w:t>本投标人郑重声明，根据《财政部民政部中国残疾人联合会关于促进残疾人就业政府采购政策的通知》（财库〔2017〕141 号）的规定，本投标人参加</w:t>
      </w:r>
      <w:r>
        <w:rPr>
          <w:rFonts w:hint="eastAsia" w:asciiTheme="minorEastAsia" w:hAnsiTheme="minorEastAsia"/>
          <w:b/>
          <w:bCs/>
          <w:color w:val="auto"/>
          <w:szCs w:val="21"/>
          <w:highlight w:val="none"/>
          <w:u w:val="single"/>
        </w:rPr>
        <w:t>深圳市公安局交通警察局</w:t>
      </w:r>
      <w:r>
        <w:rPr>
          <w:rFonts w:hint="eastAsia" w:asciiTheme="minorEastAsia" w:hAnsiTheme="minorEastAsia"/>
          <w:color w:val="auto"/>
          <w:szCs w:val="21"/>
          <w:highlight w:val="none"/>
        </w:rPr>
        <w:t>的</w:t>
      </w:r>
      <w:r>
        <w:rPr>
          <w:rFonts w:hint="eastAsia" w:asciiTheme="minorEastAsia" w:hAnsiTheme="minorEastAsia"/>
          <w:b/>
          <w:bCs/>
          <w:color w:val="auto"/>
          <w:szCs w:val="21"/>
          <w:highlight w:val="none"/>
          <w:u w:val="single"/>
        </w:rPr>
        <w:t>2025年通信线缆维护</w:t>
      </w:r>
      <w:r>
        <w:rPr>
          <w:rFonts w:hint="eastAsia" w:asciiTheme="minorEastAsia" w:hAnsiTheme="minorEastAsia"/>
          <w:color w:val="auto"/>
          <w:szCs w:val="21"/>
          <w:highlight w:val="none"/>
        </w:rPr>
        <w:t>采购活动，服务全部由符合政策要求的残疾人福利性单位承接。相关残疾人福利性单位的具体情况如下：</w:t>
      </w:r>
    </w:p>
    <w:p w14:paraId="32C15679">
      <w:pPr>
        <w:spacing w:after="60" w:afterLines="25" w:line="300" w:lineRule="auto"/>
        <w:ind w:firstLine="480" w:firstLineChars="200"/>
        <w:rPr>
          <w:rFonts w:asciiTheme="minorEastAsia" w:hAnsiTheme="minorEastAsia"/>
          <w:color w:val="auto"/>
          <w:szCs w:val="21"/>
          <w:highlight w:val="none"/>
        </w:rPr>
      </w:pPr>
      <w:r>
        <w:rPr>
          <w:rFonts w:hint="eastAsia" w:asciiTheme="minorEastAsia" w:hAnsiTheme="minorEastAsia"/>
          <w:color w:val="auto"/>
          <w:szCs w:val="21"/>
          <w:highlight w:val="none"/>
        </w:rPr>
        <w:t>1.</w:t>
      </w:r>
      <w:r>
        <w:rPr>
          <w:rFonts w:hint="eastAsia" w:asciiTheme="minorEastAsia" w:hAnsiTheme="minorEastAsia"/>
          <w:b/>
          <w:bCs/>
          <w:color w:val="auto"/>
          <w:szCs w:val="21"/>
          <w:highlight w:val="none"/>
          <w:u w:val="single"/>
        </w:rPr>
        <w:t xml:space="preserve"> 2025年通信线缆维护</w:t>
      </w:r>
      <w:r>
        <w:rPr>
          <w:rFonts w:hint="eastAsia" w:asciiTheme="minorEastAsia" w:hAnsiTheme="minorEastAsia"/>
          <w:color w:val="auto"/>
          <w:szCs w:val="21"/>
          <w:highlight w:val="none"/>
        </w:rPr>
        <w:t>，承接企业为</w:t>
      </w:r>
      <w:r>
        <w:rPr>
          <w:rFonts w:hint="eastAsia" w:asciiTheme="minorEastAsia" w:hAnsiTheme="minorEastAsia"/>
          <w:b/>
          <w:bCs/>
          <w:color w:val="auto"/>
          <w:szCs w:val="21"/>
          <w:highlight w:val="none"/>
          <w:u w:val="single"/>
        </w:rPr>
        <w:t>（单位名称）</w:t>
      </w:r>
      <w:r>
        <w:rPr>
          <w:rFonts w:hint="eastAsia" w:asciiTheme="minorEastAsia" w:hAnsiTheme="minorEastAsia"/>
          <w:color w:val="auto"/>
          <w:szCs w:val="21"/>
          <w:highlight w:val="none"/>
        </w:rPr>
        <w:t>，属于</w:t>
      </w:r>
      <w:r>
        <w:rPr>
          <w:rFonts w:hint="eastAsia" w:asciiTheme="minorEastAsia" w:hAnsiTheme="minorEastAsia"/>
          <w:b/>
          <w:bCs/>
          <w:color w:val="auto"/>
          <w:szCs w:val="21"/>
          <w:highlight w:val="none"/>
          <w:u w:val="single"/>
        </w:rPr>
        <w:t>残疾人福利性单位</w:t>
      </w:r>
      <w:r>
        <w:rPr>
          <w:rFonts w:hint="eastAsia" w:asciiTheme="minorEastAsia" w:hAnsiTheme="minorEastAsia"/>
          <w:color w:val="auto"/>
          <w:szCs w:val="21"/>
          <w:highlight w:val="none"/>
        </w:rPr>
        <w:t xml:space="preserve">； </w:t>
      </w:r>
    </w:p>
    <w:p w14:paraId="5F4C70A9">
      <w:pPr>
        <w:spacing w:after="60" w:afterLines="25" w:line="300" w:lineRule="auto"/>
        <w:ind w:firstLine="480" w:firstLineChars="200"/>
        <w:rPr>
          <w:rFonts w:asciiTheme="minorEastAsia" w:hAnsiTheme="minorEastAsia"/>
          <w:color w:val="auto"/>
          <w:szCs w:val="21"/>
          <w:highlight w:val="none"/>
        </w:rPr>
      </w:pPr>
      <w:r>
        <w:rPr>
          <w:rFonts w:hint="eastAsia" w:asciiTheme="minorEastAsia" w:hAnsiTheme="minorEastAsia"/>
          <w:color w:val="auto"/>
          <w:szCs w:val="21"/>
          <w:highlight w:val="none"/>
        </w:rPr>
        <w:t>本投标人已知悉《财政部民政部中国残疾人联合会关于促进残疾人就业政府采购政策的通知》（财库〔2017〕141 号）的规定，承诺提供的声明函内容是真实的，如提供声明函内容不实，则依法追究相关法律责任。</w:t>
      </w:r>
    </w:p>
    <w:p w14:paraId="62B7EBAA">
      <w:pPr>
        <w:spacing w:after="60" w:afterLines="25" w:line="560" w:lineRule="exact"/>
        <w:ind w:firstLine="480" w:firstLineChars="200"/>
        <w:jc w:val="center"/>
        <w:rPr>
          <w:rFonts w:asciiTheme="minorEastAsia" w:hAnsiTheme="minorEastAsia"/>
          <w:color w:val="auto"/>
          <w:highlight w:val="none"/>
        </w:rPr>
      </w:pPr>
    </w:p>
    <w:p w14:paraId="263094EB">
      <w:pPr>
        <w:wordWrap w:val="0"/>
        <w:spacing w:after="60" w:afterLines="25" w:line="300" w:lineRule="auto"/>
        <w:ind w:firstLine="480" w:firstLineChars="200"/>
        <w:jc w:val="right"/>
        <w:rPr>
          <w:rFonts w:asciiTheme="minorEastAsia" w:hAnsiTheme="minorEastAsia"/>
          <w:color w:val="auto"/>
          <w:szCs w:val="21"/>
          <w:highlight w:val="none"/>
        </w:rPr>
      </w:pPr>
      <w:r>
        <w:rPr>
          <w:rFonts w:hint="eastAsia" w:asciiTheme="minorEastAsia" w:hAnsiTheme="minorEastAsia"/>
          <w:color w:val="auto"/>
          <w:szCs w:val="21"/>
          <w:highlight w:val="none"/>
        </w:rPr>
        <w:t xml:space="preserve">投标人（投标单位）：       </w:t>
      </w:r>
    </w:p>
    <w:p w14:paraId="4575C6B5">
      <w:pPr>
        <w:ind w:firstLine="6720" w:firstLineChars="2800"/>
        <w:rPr>
          <w:rFonts w:ascii="宋体" w:hAnsi="宋体"/>
          <w:color w:val="auto"/>
          <w:szCs w:val="21"/>
          <w:highlight w:val="none"/>
        </w:rPr>
      </w:pPr>
      <w:r>
        <w:rPr>
          <w:rFonts w:hint="eastAsia" w:asciiTheme="minorEastAsia" w:hAnsiTheme="minorEastAsia"/>
          <w:color w:val="auto"/>
          <w:szCs w:val="21"/>
          <w:highlight w:val="none"/>
        </w:rPr>
        <w:t>日期：</w:t>
      </w:r>
    </w:p>
    <w:p w14:paraId="09DB2833">
      <w:pPr>
        <w:ind w:firstLine="480" w:firstLineChars="200"/>
        <w:rPr>
          <w:rFonts w:ascii="宋体" w:hAnsi="宋体"/>
          <w:color w:val="auto"/>
          <w:szCs w:val="21"/>
          <w:highlight w:val="none"/>
        </w:rPr>
      </w:pPr>
    </w:p>
    <w:p w14:paraId="503E238B">
      <w:pPr>
        <w:ind w:firstLine="480" w:firstLineChars="200"/>
        <w:rPr>
          <w:rFonts w:ascii="宋体" w:hAnsi="宋体"/>
          <w:color w:val="auto"/>
          <w:szCs w:val="21"/>
          <w:highlight w:val="none"/>
        </w:rPr>
      </w:pPr>
    </w:p>
    <w:p w14:paraId="093EA4B4">
      <w:pPr>
        <w:jc w:val="center"/>
        <w:outlineLvl w:val="3"/>
        <w:rPr>
          <w:b/>
          <w:color w:val="auto"/>
          <w:highlight w:val="none"/>
        </w:rPr>
      </w:pPr>
      <w:r>
        <w:rPr>
          <w:rFonts w:hint="eastAsia"/>
          <w:b/>
          <w:color w:val="auto"/>
          <w:highlight w:val="none"/>
        </w:rPr>
        <w:t>3、监狱企业声明函【服务类，监狱企业如需享受优惠政策，还须另行提供省级以上监狱管理局、戒毒管理局（含新疆生产建设兵团）出具的监狱企业证明文件】</w:t>
      </w:r>
    </w:p>
    <w:p w14:paraId="4D692630">
      <w:pPr>
        <w:ind w:firstLine="480" w:firstLineChars="200"/>
        <w:rPr>
          <w:rFonts w:ascii="宋体" w:hAnsi="宋体"/>
          <w:color w:val="auto"/>
          <w:szCs w:val="21"/>
          <w:highlight w:val="none"/>
        </w:rPr>
      </w:pPr>
      <w:r>
        <w:rPr>
          <w:rFonts w:hint="eastAsia" w:ascii="宋体" w:hAnsi="宋体"/>
          <w:color w:val="auto"/>
          <w:szCs w:val="21"/>
          <w:highlight w:val="none"/>
        </w:rPr>
        <w:t>本投标人郑重声明，根据《财政部司法部关于政府采购支持监狱企业发展有关问题的通知》（财库〔</w:t>
      </w:r>
      <w:r>
        <w:rPr>
          <w:rFonts w:ascii="宋体" w:hAnsi="宋体"/>
          <w:color w:val="auto"/>
          <w:szCs w:val="21"/>
          <w:highlight w:val="none"/>
        </w:rPr>
        <w:t>2014</w:t>
      </w:r>
      <w:r>
        <w:rPr>
          <w:rFonts w:hint="eastAsia" w:ascii="宋体" w:hAnsi="宋体"/>
          <w:color w:val="auto"/>
          <w:szCs w:val="21"/>
          <w:highlight w:val="none"/>
        </w:rPr>
        <w:t>〕</w:t>
      </w:r>
      <w:r>
        <w:rPr>
          <w:rFonts w:ascii="宋体" w:hAnsi="宋体"/>
          <w:color w:val="auto"/>
          <w:szCs w:val="21"/>
          <w:highlight w:val="none"/>
        </w:rPr>
        <w:t>68</w:t>
      </w:r>
      <w:r>
        <w:rPr>
          <w:rFonts w:hint="eastAsia" w:ascii="宋体" w:hAnsi="宋体"/>
          <w:color w:val="auto"/>
          <w:szCs w:val="21"/>
          <w:highlight w:val="none"/>
        </w:rPr>
        <w:t>号）的规定，本投标人</w:t>
      </w:r>
      <w:r>
        <w:rPr>
          <w:rFonts w:ascii="宋体" w:hAnsi="宋体" w:cstheme="minorBidi"/>
          <w:color w:val="auto"/>
          <w:szCs w:val="21"/>
          <w:highlight w:val="none"/>
        </w:rPr>
        <w:t>参加</w:t>
      </w:r>
      <w:r>
        <w:rPr>
          <w:rFonts w:hint="eastAsia" w:ascii="宋体" w:hAnsi="宋体"/>
          <w:b/>
          <w:bCs/>
          <w:color w:val="auto"/>
          <w:szCs w:val="21"/>
          <w:highlight w:val="none"/>
          <w:u w:val="single"/>
        </w:rPr>
        <w:t>深圳市公安局交通警察局</w:t>
      </w:r>
      <w:r>
        <w:rPr>
          <w:rFonts w:ascii="宋体" w:hAnsi="宋体"/>
          <w:color w:val="auto"/>
          <w:szCs w:val="21"/>
          <w:highlight w:val="none"/>
        </w:rPr>
        <w:t>的</w:t>
      </w:r>
      <w:r>
        <w:rPr>
          <w:rFonts w:hint="eastAsia" w:ascii="宋体" w:hAnsi="宋体"/>
          <w:b/>
          <w:bCs/>
          <w:color w:val="auto"/>
          <w:szCs w:val="21"/>
          <w:highlight w:val="none"/>
          <w:u w:val="single"/>
        </w:rPr>
        <w:t>2025年通信线缆维护</w:t>
      </w:r>
      <w:r>
        <w:rPr>
          <w:rFonts w:ascii="宋体" w:hAnsi="宋体"/>
          <w:color w:val="auto"/>
          <w:szCs w:val="21"/>
          <w:highlight w:val="none"/>
        </w:rPr>
        <w:t>采购活动，</w:t>
      </w:r>
      <w:r>
        <w:rPr>
          <w:rFonts w:hint="eastAsia" w:ascii="宋体" w:hAnsi="宋体"/>
          <w:color w:val="auto"/>
          <w:szCs w:val="21"/>
          <w:highlight w:val="none"/>
        </w:rPr>
        <w:t>服务</w:t>
      </w:r>
      <w:r>
        <w:rPr>
          <w:rFonts w:ascii="宋体" w:hAnsi="宋体"/>
          <w:color w:val="auto"/>
          <w:szCs w:val="21"/>
          <w:highlight w:val="none"/>
        </w:rPr>
        <w:t>全部由符合政策要求的</w:t>
      </w:r>
      <w:r>
        <w:rPr>
          <w:rFonts w:hint="eastAsia" w:ascii="宋体" w:hAnsi="宋体"/>
          <w:color w:val="auto"/>
          <w:szCs w:val="21"/>
          <w:highlight w:val="none"/>
        </w:rPr>
        <w:t>监狱企业承接</w:t>
      </w:r>
      <w:r>
        <w:rPr>
          <w:rFonts w:ascii="宋体" w:hAnsi="宋体"/>
          <w:color w:val="auto"/>
          <w:szCs w:val="21"/>
          <w:highlight w:val="none"/>
        </w:rPr>
        <w:t>。相关</w:t>
      </w:r>
      <w:r>
        <w:rPr>
          <w:rFonts w:hint="eastAsia" w:ascii="宋体" w:hAnsi="宋体"/>
          <w:color w:val="auto"/>
          <w:szCs w:val="21"/>
          <w:highlight w:val="none"/>
        </w:rPr>
        <w:t>监狱企业</w:t>
      </w:r>
      <w:r>
        <w:rPr>
          <w:rFonts w:ascii="宋体" w:hAnsi="宋体"/>
          <w:color w:val="auto"/>
          <w:szCs w:val="21"/>
          <w:highlight w:val="none"/>
        </w:rPr>
        <w:t>的具体情况如下：</w:t>
      </w:r>
    </w:p>
    <w:p w14:paraId="7505A448">
      <w:pPr>
        <w:ind w:firstLine="480" w:firstLineChars="200"/>
        <w:rPr>
          <w:rFonts w:ascii="宋体" w:hAnsi="宋体"/>
          <w:color w:val="auto"/>
          <w:szCs w:val="21"/>
          <w:highlight w:val="none"/>
        </w:rPr>
      </w:pPr>
      <w:r>
        <w:rPr>
          <w:rFonts w:ascii="宋体" w:hAnsi="宋体"/>
          <w:color w:val="auto"/>
          <w:szCs w:val="21"/>
          <w:highlight w:val="none"/>
        </w:rPr>
        <w:t>1.</w:t>
      </w:r>
      <w:r>
        <w:rPr>
          <w:rFonts w:ascii="宋体" w:hAnsi="宋体"/>
          <w:b/>
          <w:bCs/>
          <w:color w:val="auto"/>
          <w:szCs w:val="21"/>
          <w:highlight w:val="none"/>
          <w:u w:val="single"/>
        </w:rPr>
        <w:t xml:space="preserve"> </w:t>
      </w:r>
      <w:r>
        <w:rPr>
          <w:rFonts w:hint="eastAsia" w:ascii="宋体" w:hAnsi="宋体"/>
          <w:b/>
          <w:bCs/>
          <w:color w:val="auto"/>
          <w:szCs w:val="21"/>
          <w:highlight w:val="none"/>
          <w:u w:val="single"/>
        </w:rPr>
        <w:t>2025年通信线缆维护</w:t>
      </w:r>
      <w:r>
        <w:rPr>
          <w:rFonts w:ascii="宋体" w:hAnsi="宋体"/>
          <w:color w:val="auto"/>
          <w:szCs w:val="21"/>
          <w:highlight w:val="none"/>
        </w:rPr>
        <w:t xml:space="preserve"> </w:t>
      </w:r>
      <w:r>
        <w:rPr>
          <w:rFonts w:hint="eastAsia" w:ascii="宋体" w:hAnsi="宋体"/>
          <w:color w:val="auto"/>
          <w:szCs w:val="21"/>
          <w:highlight w:val="none"/>
        </w:rPr>
        <w:t>，承接单位</w:t>
      </w:r>
      <w:r>
        <w:rPr>
          <w:rFonts w:ascii="宋体" w:hAnsi="宋体"/>
          <w:color w:val="auto"/>
          <w:szCs w:val="21"/>
          <w:highlight w:val="none"/>
        </w:rPr>
        <w:t>为</w:t>
      </w:r>
      <w:r>
        <w:rPr>
          <w:rFonts w:ascii="宋体" w:hAnsi="宋体"/>
          <w:b/>
          <w:bCs/>
          <w:color w:val="auto"/>
          <w:szCs w:val="21"/>
          <w:highlight w:val="none"/>
          <w:u w:val="single"/>
        </w:rPr>
        <w:t>（</w:t>
      </w:r>
      <w:r>
        <w:rPr>
          <w:rFonts w:hint="eastAsia" w:ascii="宋体" w:hAnsi="宋体"/>
          <w:b/>
          <w:bCs/>
          <w:color w:val="auto"/>
          <w:szCs w:val="21"/>
          <w:highlight w:val="none"/>
          <w:u w:val="single"/>
        </w:rPr>
        <w:t>企业</w:t>
      </w:r>
      <w:r>
        <w:rPr>
          <w:rFonts w:ascii="宋体" w:hAnsi="宋体"/>
          <w:b/>
          <w:bCs/>
          <w:color w:val="auto"/>
          <w:szCs w:val="21"/>
          <w:highlight w:val="none"/>
          <w:u w:val="single"/>
        </w:rPr>
        <w:t>名称）</w:t>
      </w:r>
      <w:r>
        <w:rPr>
          <w:rFonts w:ascii="宋体" w:hAnsi="宋体"/>
          <w:color w:val="auto"/>
          <w:szCs w:val="21"/>
          <w:highlight w:val="none"/>
        </w:rPr>
        <w:t>，属于</w:t>
      </w:r>
      <w:r>
        <w:rPr>
          <w:rFonts w:hint="eastAsia" w:ascii="宋体" w:hAnsi="宋体"/>
          <w:b/>
          <w:bCs/>
          <w:color w:val="auto"/>
          <w:szCs w:val="21"/>
          <w:highlight w:val="none"/>
          <w:u w:val="single"/>
        </w:rPr>
        <w:t>监狱企业</w:t>
      </w:r>
      <w:r>
        <w:rPr>
          <w:rFonts w:ascii="宋体" w:hAnsi="宋体"/>
          <w:color w:val="auto"/>
          <w:szCs w:val="21"/>
          <w:highlight w:val="none"/>
        </w:rPr>
        <w:t>；</w:t>
      </w:r>
    </w:p>
    <w:p w14:paraId="3141796C">
      <w:pPr>
        <w:ind w:firstLine="480" w:firstLineChars="200"/>
        <w:rPr>
          <w:rFonts w:ascii="宋体" w:hAnsi="宋体"/>
          <w:color w:val="auto"/>
          <w:szCs w:val="21"/>
          <w:highlight w:val="none"/>
        </w:rPr>
      </w:pPr>
      <w:r>
        <w:rPr>
          <w:rFonts w:ascii="宋体" w:hAnsi="宋体" w:cstheme="minorBidi"/>
          <w:color w:val="auto"/>
          <w:szCs w:val="21"/>
          <w:highlight w:val="none"/>
        </w:rPr>
        <w:t>本</w:t>
      </w:r>
      <w:r>
        <w:rPr>
          <w:rFonts w:hint="eastAsia" w:ascii="宋体" w:hAnsi="宋体" w:cstheme="minorBidi"/>
          <w:color w:val="auto"/>
          <w:szCs w:val="21"/>
          <w:highlight w:val="none"/>
        </w:rPr>
        <w:t>投标人</w:t>
      </w:r>
      <w:r>
        <w:rPr>
          <w:rFonts w:ascii="宋体" w:hAnsi="宋体"/>
          <w:color w:val="auto"/>
          <w:szCs w:val="21"/>
          <w:highlight w:val="none"/>
        </w:rPr>
        <w:t>对上述声明内容的真实性负责。如有虚假，将依法承担相应责任。</w:t>
      </w:r>
    </w:p>
    <w:p w14:paraId="35CE359B">
      <w:pPr>
        <w:ind w:firstLine="480" w:firstLineChars="200"/>
        <w:rPr>
          <w:rFonts w:ascii="宋体" w:hAnsi="宋体"/>
          <w:color w:val="auto"/>
          <w:szCs w:val="21"/>
          <w:highlight w:val="none"/>
        </w:rPr>
      </w:pPr>
      <w:r>
        <w:rPr>
          <w:rFonts w:hint="eastAsia" w:ascii="宋体" w:hAnsi="宋体"/>
          <w:color w:val="auto"/>
          <w:szCs w:val="21"/>
          <w:highlight w:val="none"/>
        </w:rPr>
        <w:t>附：省级以上监狱管理局、戒毒管理局（含新疆生产建设兵团）出具的监狱企业证明文件。</w:t>
      </w:r>
    </w:p>
    <w:p w14:paraId="4DAA3C3F">
      <w:pPr>
        <w:ind w:left="723" w:hanging="720" w:hangingChars="300"/>
        <w:rPr>
          <w:b/>
          <w:color w:val="auto"/>
          <w:highlight w:val="none"/>
        </w:rPr>
      </w:pPr>
    </w:p>
    <w:p w14:paraId="024EE966">
      <w:pPr>
        <w:wordWrap w:val="0"/>
        <w:spacing w:after="60" w:afterLines="25" w:line="300" w:lineRule="auto"/>
        <w:ind w:firstLine="480" w:firstLineChars="200"/>
        <w:jc w:val="right"/>
        <w:rPr>
          <w:rFonts w:asciiTheme="minorEastAsia" w:hAnsiTheme="minorEastAsia"/>
          <w:color w:val="auto"/>
          <w:szCs w:val="21"/>
          <w:highlight w:val="none"/>
        </w:rPr>
      </w:pPr>
      <w:r>
        <w:rPr>
          <w:rFonts w:hint="eastAsia" w:asciiTheme="minorEastAsia" w:hAnsiTheme="minorEastAsia"/>
          <w:color w:val="auto"/>
          <w:szCs w:val="21"/>
          <w:highlight w:val="none"/>
        </w:rPr>
        <w:t xml:space="preserve">投标人（投标单位）：       </w:t>
      </w:r>
    </w:p>
    <w:p w14:paraId="0D0D891A">
      <w:pPr>
        <w:ind w:firstLine="6720" w:firstLineChars="2800"/>
        <w:rPr>
          <w:rFonts w:ascii="宋体" w:hAnsi="宋体"/>
          <w:color w:val="auto"/>
          <w:szCs w:val="21"/>
          <w:highlight w:val="none"/>
        </w:rPr>
      </w:pPr>
      <w:r>
        <w:rPr>
          <w:rFonts w:hint="eastAsia" w:asciiTheme="minorEastAsia" w:hAnsiTheme="minorEastAsia"/>
          <w:color w:val="auto"/>
          <w:szCs w:val="21"/>
          <w:highlight w:val="none"/>
        </w:rPr>
        <w:t>日期：</w:t>
      </w:r>
    </w:p>
    <w:p w14:paraId="598DBDE1">
      <w:pPr>
        <w:ind w:left="723" w:hanging="720" w:hangingChars="300"/>
        <w:rPr>
          <w:b/>
          <w:color w:val="auto"/>
          <w:highlight w:val="none"/>
        </w:rPr>
      </w:pPr>
    </w:p>
    <w:p w14:paraId="01469E41">
      <w:pPr>
        <w:rPr>
          <w:rFonts w:eastAsia="黑体"/>
          <w:color w:val="auto"/>
          <w:highlight w:val="none"/>
        </w:rPr>
      </w:pPr>
    </w:p>
    <w:p w14:paraId="7541D9FD">
      <w:pPr>
        <w:rPr>
          <w:rFonts w:hint="eastAsia" w:ascii="黑体" w:eastAsia="黑体"/>
          <w:b w:val="0"/>
          <w:color w:val="auto"/>
          <w:sz w:val="24"/>
          <w:szCs w:val="24"/>
          <w:highlight w:val="none"/>
        </w:rPr>
      </w:pPr>
      <w:r>
        <w:rPr>
          <w:rFonts w:hint="eastAsia" w:ascii="黑体" w:eastAsia="黑体"/>
          <w:b w:val="0"/>
          <w:color w:val="auto"/>
          <w:sz w:val="24"/>
          <w:szCs w:val="24"/>
          <w:highlight w:val="none"/>
        </w:rPr>
        <w:br w:type="page"/>
      </w:r>
    </w:p>
    <w:p w14:paraId="4C55FD37">
      <w:pPr>
        <w:pStyle w:val="3"/>
        <w:jc w:val="center"/>
        <w:rPr>
          <w:rFonts w:ascii="黑体" w:eastAsia="黑体"/>
          <w:b w:val="0"/>
          <w:color w:val="auto"/>
          <w:sz w:val="24"/>
          <w:szCs w:val="24"/>
          <w:highlight w:val="none"/>
        </w:rPr>
      </w:pPr>
      <w:r>
        <w:rPr>
          <w:rFonts w:hint="eastAsia" w:ascii="黑体" w:eastAsia="黑体"/>
          <w:b w:val="0"/>
          <w:color w:val="auto"/>
          <w:sz w:val="24"/>
          <w:szCs w:val="24"/>
          <w:highlight w:val="none"/>
        </w:rPr>
        <w:t>四、项目详细报价</w:t>
      </w:r>
    </w:p>
    <w:p w14:paraId="16E9A6DA">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项目名称： 2025年通信线缆维护</w:t>
      </w:r>
    </w:p>
    <w:p w14:paraId="410E0590">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项目编号：</w:t>
      </w:r>
      <w:r>
        <w:rPr>
          <w:rFonts w:hint="eastAsia" w:ascii="宋体" w:hAnsi="宋体" w:eastAsia="宋体" w:cs="宋体"/>
          <w:color w:val="auto"/>
          <w:sz w:val="21"/>
          <w:szCs w:val="21"/>
          <w:highlight w:val="none"/>
          <w:lang w:val="en-US" w:eastAsia="zh-CN"/>
        </w:rPr>
        <w:t xml:space="preserve"> SZDL2025000623</w:t>
      </w:r>
    </w:p>
    <w:tbl>
      <w:tblPr>
        <w:tblStyle w:val="17"/>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79"/>
        <w:gridCol w:w="1879"/>
        <w:gridCol w:w="3795"/>
        <w:gridCol w:w="1066"/>
      </w:tblGrid>
      <w:tr w14:paraId="4B631F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5" w:hRule="atLeast"/>
        </w:trPr>
        <w:tc>
          <w:tcPr>
            <w:tcW w:w="10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CE25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项目名称</w:t>
            </w:r>
          </w:p>
        </w:tc>
        <w:tc>
          <w:tcPr>
            <w:tcW w:w="11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42F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项目预算金额</w:t>
            </w:r>
          </w:p>
        </w:tc>
        <w:tc>
          <w:tcPr>
            <w:tcW w:w="22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45C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投标报价总价</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714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备注</w:t>
            </w:r>
          </w:p>
        </w:tc>
      </w:tr>
      <w:tr w14:paraId="10DBDF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2" w:hRule="atLeast"/>
        </w:trPr>
        <w:tc>
          <w:tcPr>
            <w:tcW w:w="10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2EEA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sz w:val="22"/>
                <w:szCs w:val="22"/>
                <w:u w:val="none"/>
              </w:rPr>
              <w:t>2025年通信线缆维护</w:t>
            </w:r>
          </w:p>
        </w:tc>
        <w:tc>
          <w:tcPr>
            <w:tcW w:w="11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EC1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sz w:val="22"/>
                <w:szCs w:val="22"/>
                <w:u w:val="none"/>
              </w:rPr>
              <w:t>11,529,733.40</w:t>
            </w:r>
          </w:p>
        </w:tc>
        <w:tc>
          <w:tcPr>
            <w:tcW w:w="22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0680E">
            <w:pPr>
              <w:keepNext w:val="0"/>
              <w:keepLines w:val="0"/>
              <w:widowControl/>
              <w:suppressLineNumbers w:val="0"/>
              <w:spacing w:before="0" w:beforeAutospacing="0" w:after="0" w:afterAutospacing="0"/>
              <w:ind w:left="0" w:right="0"/>
              <w:jc w:val="both"/>
              <w:textAlignment w:val="center"/>
              <w:rPr>
                <w:rFonts w:hint="default"/>
                <w:color w:val="auto"/>
                <w:lang w:val="en-US" w:eastAsia="zh-CN"/>
              </w:rPr>
            </w:pPr>
            <w:r>
              <w:rPr>
                <w:rFonts w:hint="eastAsia" w:eastAsia="Times New Roman"/>
                <w:color w:val="auto"/>
                <w:lang w:eastAsia="zh-CN"/>
              </w:rPr>
              <w:t>大写：人民币</w:t>
            </w:r>
            <w:r>
              <w:rPr>
                <w:rFonts w:hint="eastAsia" w:ascii="Times New Roman" w:eastAsia="Times New Roman"/>
                <w:color w:val="auto"/>
                <w:u w:val="single"/>
                <w:lang w:val="en-US" w:eastAsia="zh-CN"/>
              </w:rPr>
              <w:t xml:space="preserve">         </w:t>
            </w:r>
            <w:r>
              <w:rPr>
                <w:rFonts w:hint="eastAsia" w:ascii="Times New Roman" w:eastAsia="Times New Roman"/>
                <w:color w:val="auto"/>
                <w:lang w:val="en-US" w:eastAsia="zh-CN"/>
              </w:rPr>
              <w:t>元整</w:t>
            </w:r>
          </w:p>
          <w:p w14:paraId="10E191A6">
            <w:pPr>
              <w:pStyle w:val="7"/>
              <w:keepNext w:val="0"/>
              <w:keepLines w:val="0"/>
              <w:widowControl/>
              <w:suppressLineNumbers w:val="0"/>
              <w:spacing w:before="0" w:beforeAutospacing="0" w:after="0" w:afterAutospacing="0"/>
              <w:ind w:left="0" w:right="0"/>
              <w:jc w:val="both"/>
              <w:rPr>
                <w:rFonts w:hint="default"/>
                <w:color w:val="auto"/>
                <w:lang w:val="en-US" w:eastAsia="zh-CN"/>
              </w:rPr>
            </w:pPr>
            <w:r>
              <w:rPr>
                <w:rFonts w:hint="eastAsia" w:ascii="宋体" w:hAnsi="宋体" w:eastAsia="宋体" w:cs="宋体"/>
                <w:b w:val="0"/>
                <w:bCs w:val="0"/>
                <w:i w:val="0"/>
                <w:iCs w:val="0"/>
                <w:color w:val="auto"/>
                <w:sz w:val="22"/>
                <w:szCs w:val="22"/>
                <w:u w:val="none"/>
                <w:lang w:eastAsia="zh-CN"/>
              </w:rPr>
              <w:t>小写：￥</w:t>
            </w:r>
            <w:r>
              <w:rPr>
                <w:rFonts w:hint="eastAsia" w:ascii="宋体" w:hAnsi="宋体" w:eastAsia="宋体" w:cs="宋体"/>
                <w:b w:val="0"/>
                <w:bCs w:val="0"/>
                <w:i w:val="0"/>
                <w:iCs w:val="0"/>
                <w:color w:val="auto"/>
                <w:sz w:val="22"/>
                <w:szCs w:val="22"/>
                <w:u w:val="single"/>
                <w:lang w:val="en-US" w:eastAsia="zh-CN"/>
              </w:rPr>
              <w:t xml:space="preserve">                 </w:t>
            </w:r>
            <w:r>
              <w:rPr>
                <w:rFonts w:hint="eastAsia" w:ascii="宋体" w:hAnsi="宋体" w:eastAsia="宋体" w:cs="宋体"/>
                <w:b w:val="0"/>
                <w:bCs w:val="0"/>
                <w:i w:val="0"/>
                <w:iCs w:val="0"/>
                <w:color w:val="auto"/>
                <w:sz w:val="22"/>
                <w:szCs w:val="22"/>
                <w:u w:val="none"/>
                <w:lang w:val="en-US" w:eastAsia="zh-CN"/>
              </w:rPr>
              <w:t>元</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F326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2"/>
                <w:szCs w:val="22"/>
                <w:u w:val="none"/>
              </w:rPr>
            </w:pPr>
          </w:p>
        </w:tc>
      </w:tr>
    </w:tbl>
    <w:p w14:paraId="7611E55C">
      <w:pPr>
        <w:pStyle w:val="7"/>
        <w:jc w:val="center"/>
        <w:rPr>
          <w:rFonts w:hint="eastAsia" w:eastAsia="宋体"/>
          <w:color w:val="auto"/>
          <w:lang w:eastAsia="zh-CN"/>
        </w:rPr>
      </w:pPr>
      <w:r>
        <w:rPr>
          <w:rFonts w:hint="eastAsia" w:eastAsia="宋体"/>
          <w:color w:val="auto"/>
          <w:lang w:eastAsia="zh-CN"/>
        </w:rPr>
        <w:t>注：投标总价=通信光缆日常维护报价+通信光缆应急工程报价</w:t>
      </w:r>
      <w:r>
        <w:rPr>
          <w:rFonts w:hint="eastAsia" w:eastAsia="宋体"/>
          <w:color w:val="auto"/>
          <w:lang w:val="en-US" w:eastAsia="zh-CN"/>
        </w:rPr>
        <w:t>+通信管道及光纤链路租赁分项报价</w:t>
      </w:r>
      <w:r>
        <w:rPr>
          <w:rFonts w:hint="eastAsia" w:eastAsia="宋体"/>
          <w:color w:val="auto"/>
          <w:lang w:eastAsia="zh-CN"/>
        </w:rPr>
        <w:t>（精确到小数点后两位）</w:t>
      </w:r>
    </w:p>
    <w:p w14:paraId="1265852D">
      <w:pPr>
        <w:pStyle w:val="7"/>
        <w:jc w:val="both"/>
        <w:rPr>
          <w:rFonts w:hint="default" w:eastAsia="宋体"/>
          <w:color w:val="auto"/>
          <w:lang w:val="en-US" w:eastAsia="zh-CN"/>
        </w:rPr>
      </w:pPr>
      <w:r>
        <w:rPr>
          <w:rFonts w:hint="eastAsia" w:eastAsia="宋体"/>
          <w:color w:val="auto"/>
          <w:lang w:val="en-US" w:eastAsia="zh-CN"/>
        </w:rPr>
        <w:t>表一：项目分项报价表</w:t>
      </w:r>
    </w:p>
    <w:p w14:paraId="0B5C33BE">
      <w:pPr>
        <w:pStyle w:val="7"/>
        <w:jc w:val="center"/>
        <w:rPr>
          <w:rFonts w:hint="eastAsia" w:eastAsia="宋体"/>
          <w:color w:val="auto"/>
          <w:lang w:eastAsia="zh-CN"/>
        </w:rPr>
      </w:pPr>
      <w:r>
        <w:rPr>
          <w:rFonts w:hint="eastAsia" w:eastAsia="宋体"/>
          <w:color w:val="auto"/>
          <w:lang w:eastAsia="zh-CN"/>
        </w:rPr>
        <w:t>项目分项报价</w:t>
      </w:r>
    </w:p>
    <w:tbl>
      <w:tblPr>
        <w:tblStyle w:val="17"/>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052"/>
        <w:gridCol w:w="2106"/>
        <w:gridCol w:w="2631"/>
        <w:gridCol w:w="1730"/>
      </w:tblGrid>
      <w:tr w14:paraId="4250B5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20" w:hRule="atLeast"/>
        </w:trPr>
        <w:tc>
          <w:tcPr>
            <w:tcW w:w="1204" w:type="pct"/>
            <w:tcBorders>
              <w:top w:val="single" w:color="auto" w:sz="4" w:space="0"/>
              <w:left w:val="single" w:color="auto" w:sz="4" w:space="0"/>
              <w:bottom w:val="single" w:color="auto" w:sz="4" w:space="0"/>
              <w:right w:val="single" w:color="auto" w:sz="4" w:space="0"/>
            </w:tcBorders>
            <w:shd w:val="clear" w:color="auto" w:fill="auto"/>
            <w:vAlign w:val="center"/>
          </w:tcPr>
          <w:p w14:paraId="4A622D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sz w:val="22"/>
                <w:szCs w:val="22"/>
                <w:u w:val="none"/>
                <w:lang w:val="en-US" w:eastAsia="zh-CN"/>
              </w:rPr>
              <w:t>服务内容</w:t>
            </w:r>
          </w:p>
        </w:tc>
        <w:tc>
          <w:tcPr>
            <w:tcW w:w="1235" w:type="pct"/>
            <w:tcBorders>
              <w:top w:val="single" w:color="auto" w:sz="4" w:space="0"/>
              <w:left w:val="single" w:color="auto" w:sz="4" w:space="0"/>
              <w:bottom w:val="single" w:color="auto" w:sz="4" w:space="0"/>
              <w:right w:val="single" w:color="auto" w:sz="4" w:space="0"/>
            </w:tcBorders>
            <w:shd w:val="clear" w:color="auto" w:fill="auto"/>
            <w:vAlign w:val="center"/>
          </w:tcPr>
          <w:p w14:paraId="1FC201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服务内容</w:t>
            </w:r>
          </w:p>
          <w:p w14:paraId="67FA22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预算金额</w:t>
            </w:r>
          </w:p>
          <w:p w14:paraId="3131DF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（元）</w:t>
            </w:r>
          </w:p>
        </w:tc>
        <w:tc>
          <w:tcPr>
            <w:tcW w:w="1544" w:type="pct"/>
            <w:tcBorders>
              <w:top w:val="single" w:color="auto" w:sz="4" w:space="0"/>
              <w:left w:val="single" w:color="auto" w:sz="4" w:space="0"/>
              <w:bottom w:val="single" w:color="auto" w:sz="4" w:space="0"/>
              <w:right w:val="single" w:color="auto" w:sz="4" w:space="0"/>
            </w:tcBorders>
            <w:shd w:val="clear" w:color="auto" w:fill="auto"/>
            <w:vAlign w:val="center"/>
          </w:tcPr>
          <w:p w14:paraId="66ABD7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sz w:val="22"/>
                <w:szCs w:val="22"/>
                <w:u w:val="none"/>
              </w:rPr>
              <w:t>报价金额</w:t>
            </w:r>
          </w:p>
        </w:tc>
        <w:tc>
          <w:tcPr>
            <w:tcW w:w="1015" w:type="pct"/>
            <w:tcBorders>
              <w:top w:val="single" w:color="000000" w:sz="4" w:space="0"/>
              <w:left w:val="single" w:color="auto" w:sz="4" w:space="0"/>
              <w:bottom w:val="single" w:color="000000" w:sz="4" w:space="0"/>
              <w:right w:val="single" w:color="000000" w:sz="4" w:space="0"/>
            </w:tcBorders>
            <w:shd w:val="clear" w:color="auto" w:fill="auto"/>
            <w:vAlign w:val="center"/>
          </w:tcPr>
          <w:p w14:paraId="0B062C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备注</w:t>
            </w:r>
          </w:p>
        </w:tc>
      </w:tr>
      <w:tr w14:paraId="02B12A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2" w:hRule="atLeast"/>
        </w:trPr>
        <w:tc>
          <w:tcPr>
            <w:tcW w:w="1204" w:type="pct"/>
            <w:tcBorders>
              <w:top w:val="single" w:color="auto" w:sz="4" w:space="0"/>
              <w:left w:val="single" w:color="auto" w:sz="4" w:space="0"/>
              <w:bottom w:val="single" w:color="auto" w:sz="4" w:space="0"/>
              <w:right w:val="single" w:color="auto" w:sz="4" w:space="0"/>
            </w:tcBorders>
            <w:shd w:val="clear" w:color="auto" w:fill="auto"/>
            <w:vAlign w:val="center"/>
          </w:tcPr>
          <w:p w14:paraId="213200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sz w:val="22"/>
                <w:szCs w:val="22"/>
                <w:u w:val="none"/>
              </w:rPr>
              <w:t>通信光缆日常维护</w:t>
            </w:r>
          </w:p>
        </w:tc>
        <w:tc>
          <w:tcPr>
            <w:tcW w:w="1235" w:type="pct"/>
            <w:tcBorders>
              <w:top w:val="single" w:color="auto" w:sz="4" w:space="0"/>
              <w:left w:val="single" w:color="auto" w:sz="4" w:space="0"/>
              <w:bottom w:val="single" w:color="auto" w:sz="4" w:space="0"/>
              <w:right w:val="single" w:color="auto" w:sz="4" w:space="0"/>
            </w:tcBorders>
            <w:shd w:val="clear" w:color="auto" w:fill="auto"/>
            <w:vAlign w:val="center"/>
          </w:tcPr>
          <w:p w14:paraId="4D608A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lang w:val="en-US" w:eastAsia="zh-CN"/>
              </w:rPr>
            </w:pPr>
            <w:r>
              <w:rPr>
                <w:rFonts w:hint="eastAsia" w:ascii="宋体" w:hAnsi="宋体" w:eastAsia="宋体" w:cs="宋体"/>
                <w:b/>
                <w:bCs/>
                <w:i w:val="0"/>
                <w:iCs w:val="0"/>
                <w:color w:val="auto"/>
                <w:sz w:val="22"/>
                <w:szCs w:val="22"/>
                <w:u w:val="none"/>
              </w:rPr>
              <w:t>2</w:t>
            </w:r>
            <w:r>
              <w:rPr>
                <w:rFonts w:hint="eastAsia" w:ascii="宋体" w:hAnsi="宋体" w:eastAsia="宋体" w:cs="宋体"/>
                <w:b/>
                <w:bCs/>
                <w:i w:val="0"/>
                <w:iCs w:val="0"/>
                <w:color w:val="auto"/>
                <w:sz w:val="22"/>
                <w:szCs w:val="22"/>
                <w:u w:val="none"/>
                <w:lang w:val="en-US" w:eastAsia="zh-CN"/>
              </w:rPr>
              <w:t>,</w:t>
            </w:r>
            <w:r>
              <w:rPr>
                <w:rFonts w:hint="eastAsia" w:ascii="宋体" w:hAnsi="宋体" w:eastAsia="宋体" w:cs="宋体"/>
                <w:b/>
                <w:bCs/>
                <w:i w:val="0"/>
                <w:iCs w:val="0"/>
                <w:color w:val="auto"/>
                <w:sz w:val="22"/>
                <w:szCs w:val="22"/>
                <w:u w:val="none"/>
              </w:rPr>
              <w:t>338</w:t>
            </w:r>
            <w:r>
              <w:rPr>
                <w:rFonts w:hint="eastAsia" w:ascii="宋体" w:hAnsi="宋体" w:eastAsia="宋体" w:cs="宋体"/>
                <w:b/>
                <w:bCs/>
                <w:i w:val="0"/>
                <w:iCs w:val="0"/>
                <w:color w:val="auto"/>
                <w:sz w:val="22"/>
                <w:szCs w:val="22"/>
                <w:u w:val="none"/>
                <w:lang w:val="en-US" w:eastAsia="zh-CN"/>
              </w:rPr>
              <w:t>,</w:t>
            </w:r>
            <w:r>
              <w:rPr>
                <w:rFonts w:hint="eastAsia" w:ascii="宋体" w:hAnsi="宋体" w:eastAsia="宋体" w:cs="宋体"/>
                <w:b/>
                <w:bCs/>
                <w:i w:val="0"/>
                <w:iCs w:val="0"/>
                <w:color w:val="auto"/>
                <w:sz w:val="22"/>
                <w:szCs w:val="22"/>
                <w:u w:val="none"/>
              </w:rPr>
              <w:t>483.4</w:t>
            </w:r>
            <w:r>
              <w:rPr>
                <w:rFonts w:hint="eastAsia" w:ascii="宋体" w:hAnsi="宋体" w:eastAsia="宋体" w:cs="宋体"/>
                <w:b/>
                <w:bCs/>
                <w:i w:val="0"/>
                <w:iCs w:val="0"/>
                <w:color w:val="auto"/>
                <w:sz w:val="22"/>
                <w:szCs w:val="22"/>
                <w:u w:val="none"/>
                <w:lang w:val="en-US" w:eastAsia="zh-CN"/>
              </w:rPr>
              <w:t>0</w:t>
            </w:r>
          </w:p>
        </w:tc>
        <w:tc>
          <w:tcPr>
            <w:tcW w:w="1544" w:type="pct"/>
            <w:tcBorders>
              <w:top w:val="single" w:color="auto" w:sz="4" w:space="0"/>
              <w:left w:val="single" w:color="auto" w:sz="4" w:space="0"/>
              <w:bottom w:val="single" w:color="auto" w:sz="4" w:space="0"/>
              <w:right w:val="single" w:color="auto" w:sz="4" w:space="0"/>
            </w:tcBorders>
            <w:shd w:val="clear" w:color="auto" w:fill="auto"/>
            <w:vAlign w:val="center"/>
          </w:tcPr>
          <w:p w14:paraId="1464BD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p>
        </w:tc>
        <w:tc>
          <w:tcPr>
            <w:tcW w:w="1015" w:type="pct"/>
            <w:tcBorders>
              <w:top w:val="single" w:color="000000" w:sz="4" w:space="0"/>
              <w:left w:val="single" w:color="auto" w:sz="4" w:space="0"/>
              <w:bottom w:val="single" w:color="000000" w:sz="4" w:space="0"/>
              <w:right w:val="single" w:color="000000" w:sz="4" w:space="0"/>
            </w:tcBorders>
            <w:shd w:val="clear" w:color="auto" w:fill="auto"/>
            <w:vAlign w:val="center"/>
          </w:tcPr>
          <w:p w14:paraId="69DBBA1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2"/>
                <w:szCs w:val="22"/>
                <w:u w:val="none"/>
              </w:rPr>
            </w:pPr>
          </w:p>
        </w:tc>
      </w:tr>
      <w:tr w14:paraId="014573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2" w:hRule="atLeast"/>
        </w:trPr>
        <w:tc>
          <w:tcPr>
            <w:tcW w:w="1204" w:type="pct"/>
            <w:tcBorders>
              <w:top w:val="single" w:color="auto" w:sz="4" w:space="0"/>
              <w:left w:val="single" w:color="auto" w:sz="4" w:space="0"/>
              <w:bottom w:val="single" w:color="auto" w:sz="4" w:space="0"/>
              <w:right w:val="single" w:color="auto" w:sz="4" w:space="0"/>
            </w:tcBorders>
            <w:shd w:val="clear" w:color="auto" w:fill="auto"/>
            <w:vAlign w:val="center"/>
          </w:tcPr>
          <w:p w14:paraId="4F944F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sz w:val="22"/>
                <w:szCs w:val="22"/>
                <w:u w:val="none"/>
              </w:rPr>
              <w:t>通信光缆应急工程</w:t>
            </w:r>
          </w:p>
        </w:tc>
        <w:tc>
          <w:tcPr>
            <w:tcW w:w="1235" w:type="pct"/>
            <w:tcBorders>
              <w:top w:val="single" w:color="auto" w:sz="4" w:space="0"/>
              <w:left w:val="single" w:color="auto" w:sz="4" w:space="0"/>
              <w:bottom w:val="single" w:color="auto" w:sz="4" w:space="0"/>
              <w:right w:val="single" w:color="auto" w:sz="4" w:space="0"/>
            </w:tcBorders>
            <w:shd w:val="clear" w:color="auto" w:fill="auto"/>
            <w:vAlign w:val="center"/>
          </w:tcPr>
          <w:p w14:paraId="41FF4112">
            <w:pPr>
              <w:keepNext w:val="0"/>
              <w:keepLines w:val="0"/>
              <w:widowControl/>
              <w:suppressLineNumbers w:val="0"/>
              <w:spacing w:before="0" w:beforeAutospacing="0" w:after="0" w:afterAutospacing="0"/>
              <w:ind w:left="0" w:right="0"/>
              <w:jc w:val="center"/>
              <w:rPr>
                <w:rFonts w:hint="default" w:ascii="宋体" w:hAnsi="宋体" w:eastAsia="宋体" w:cs="宋体"/>
                <w:b/>
                <w:bCs/>
                <w:i w:val="0"/>
                <w:iCs w:val="0"/>
                <w:color w:val="auto"/>
                <w:sz w:val="22"/>
                <w:szCs w:val="22"/>
                <w:u w:val="none"/>
                <w:lang w:val="en-US" w:eastAsia="zh-CN"/>
              </w:rPr>
            </w:pPr>
            <w:r>
              <w:rPr>
                <w:rFonts w:hint="eastAsia" w:ascii="宋体" w:hAnsi="宋体" w:eastAsia="宋体" w:cs="宋体"/>
                <w:b/>
                <w:bCs/>
                <w:i w:val="0"/>
                <w:iCs w:val="0"/>
                <w:color w:val="auto"/>
                <w:sz w:val="22"/>
                <w:szCs w:val="22"/>
                <w:u w:val="none"/>
              </w:rPr>
              <w:t>165</w:t>
            </w:r>
            <w:r>
              <w:rPr>
                <w:rFonts w:hint="eastAsia" w:ascii="宋体" w:hAnsi="宋体" w:eastAsia="宋体" w:cs="宋体"/>
                <w:b/>
                <w:bCs/>
                <w:i w:val="0"/>
                <w:iCs w:val="0"/>
                <w:color w:val="auto"/>
                <w:sz w:val="22"/>
                <w:szCs w:val="22"/>
                <w:u w:val="none"/>
                <w:lang w:val="en-US" w:eastAsia="zh-CN"/>
              </w:rPr>
              <w:t>,</w:t>
            </w:r>
            <w:r>
              <w:rPr>
                <w:rFonts w:hint="eastAsia" w:ascii="宋体" w:hAnsi="宋体" w:eastAsia="宋体" w:cs="宋体"/>
                <w:b/>
                <w:bCs/>
                <w:i w:val="0"/>
                <w:iCs w:val="0"/>
                <w:color w:val="auto"/>
                <w:sz w:val="22"/>
                <w:szCs w:val="22"/>
                <w:u w:val="none"/>
              </w:rPr>
              <w:t>000</w:t>
            </w:r>
            <w:r>
              <w:rPr>
                <w:rFonts w:hint="eastAsia" w:ascii="宋体" w:hAnsi="宋体" w:eastAsia="宋体" w:cs="宋体"/>
                <w:b/>
                <w:bCs/>
                <w:i w:val="0"/>
                <w:iCs w:val="0"/>
                <w:color w:val="auto"/>
                <w:sz w:val="22"/>
                <w:szCs w:val="22"/>
                <w:u w:val="none"/>
                <w:lang w:val="en-US" w:eastAsia="zh-CN"/>
              </w:rPr>
              <w:t>.00</w:t>
            </w:r>
          </w:p>
        </w:tc>
        <w:tc>
          <w:tcPr>
            <w:tcW w:w="1544" w:type="pct"/>
            <w:tcBorders>
              <w:top w:val="single" w:color="auto" w:sz="4" w:space="0"/>
              <w:left w:val="single" w:color="auto" w:sz="4" w:space="0"/>
              <w:bottom w:val="single" w:color="auto" w:sz="4" w:space="0"/>
              <w:right w:val="single" w:color="auto" w:sz="4" w:space="0"/>
            </w:tcBorders>
            <w:shd w:val="clear" w:color="auto" w:fill="auto"/>
            <w:vAlign w:val="center"/>
          </w:tcPr>
          <w:p w14:paraId="455E91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p>
        </w:tc>
        <w:tc>
          <w:tcPr>
            <w:tcW w:w="1015" w:type="pct"/>
            <w:tcBorders>
              <w:top w:val="single" w:color="000000" w:sz="4" w:space="0"/>
              <w:left w:val="single" w:color="auto" w:sz="4" w:space="0"/>
              <w:bottom w:val="single" w:color="000000" w:sz="4" w:space="0"/>
              <w:right w:val="single" w:color="000000" w:sz="4" w:space="0"/>
            </w:tcBorders>
            <w:shd w:val="clear" w:color="auto" w:fill="auto"/>
            <w:vAlign w:val="center"/>
          </w:tcPr>
          <w:p w14:paraId="5BC3495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2"/>
                <w:szCs w:val="22"/>
                <w:u w:val="none"/>
              </w:rPr>
            </w:pPr>
          </w:p>
        </w:tc>
      </w:tr>
      <w:tr w14:paraId="76F8B8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40" w:hRule="atLeast"/>
        </w:trPr>
        <w:tc>
          <w:tcPr>
            <w:tcW w:w="1204" w:type="pct"/>
            <w:tcBorders>
              <w:top w:val="single" w:color="auto" w:sz="4" w:space="0"/>
              <w:left w:val="single" w:color="auto" w:sz="4" w:space="0"/>
              <w:bottom w:val="single" w:color="auto" w:sz="4" w:space="0"/>
              <w:right w:val="single" w:color="auto" w:sz="4" w:space="0"/>
            </w:tcBorders>
            <w:shd w:val="clear" w:color="auto" w:fill="auto"/>
            <w:vAlign w:val="center"/>
          </w:tcPr>
          <w:p w14:paraId="6F856F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sz w:val="22"/>
                <w:szCs w:val="22"/>
                <w:u w:val="none"/>
              </w:rPr>
              <w:t>通信管道及光纤链路租赁分项</w:t>
            </w:r>
          </w:p>
        </w:tc>
        <w:tc>
          <w:tcPr>
            <w:tcW w:w="1235" w:type="pct"/>
            <w:tcBorders>
              <w:top w:val="single" w:color="auto" w:sz="4" w:space="0"/>
              <w:left w:val="single" w:color="auto" w:sz="4" w:space="0"/>
              <w:bottom w:val="single" w:color="auto" w:sz="4" w:space="0"/>
              <w:right w:val="single" w:color="auto" w:sz="4" w:space="0"/>
            </w:tcBorders>
            <w:shd w:val="clear" w:color="auto" w:fill="auto"/>
            <w:vAlign w:val="center"/>
          </w:tcPr>
          <w:p w14:paraId="38EE2463">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bCs/>
                <w:i w:val="0"/>
                <w:iCs w:val="0"/>
                <w:color w:val="auto"/>
                <w:sz w:val="22"/>
                <w:szCs w:val="22"/>
                <w:u w:val="none"/>
                <w:lang w:val="en-US" w:eastAsia="zh-CN"/>
              </w:rPr>
            </w:pPr>
            <w:r>
              <w:rPr>
                <w:rFonts w:hint="eastAsia" w:ascii="宋体" w:hAnsi="宋体" w:eastAsia="宋体" w:cs="宋体"/>
                <w:b/>
                <w:bCs/>
                <w:i w:val="0"/>
                <w:iCs w:val="0"/>
                <w:color w:val="auto"/>
                <w:sz w:val="22"/>
                <w:szCs w:val="22"/>
                <w:u w:val="none"/>
              </w:rPr>
              <w:t>9</w:t>
            </w:r>
            <w:r>
              <w:rPr>
                <w:rFonts w:hint="eastAsia" w:ascii="宋体" w:hAnsi="宋体" w:eastAsia="宋体" w:cs="宋体"/>
                <w:b/>
                <w:bCs/>
                <w:i w:val="0"/>
                <w:iCs w:val="0"/>
                <w:color w:val="auto"/>
                <w:sz w:val="22"/>
                <w:szCs w:val="22"/>
                <w:u w:val="none"/>
                <w:lang w:val="en-US" w:eastAsia="zh-CN"/>
              </w:rPr>
              <w:t>,</w:t>
            </w:r>
            <w:r>
              <w:rPr>
                <w:rFonts w:hint="eastAsia" w:ascii="宋体" w:hAnsi="宋体" w:eastAsia="宋体" w:cs="宋体"/>
                <w:b/>
                <w:bCs/>
                <w:i w:val="0"/>
                <w:iCs w:val="0"/>
                <w:color w:val="auto"/>
                <w:sz w:val="22"/>
                <w:szCs w:val="22"/>
                <w:u w:val="none"/>
              </w:rPr>
              <w:t>026</w:t>
            </w:r>
            <w:r>
              <w:rPr>
                <w:rFonts w:hint="eastAsia" w:ascii="宋体" w:hAnsi="宋体" w:eastAsia="宋体" w:cs="宋体"/>
                <w:b/>
                <w:bCs/>
                <w:i w:val="0"/>
                <w:iCs w:val="0"/>
                <w:color w:val="auto"/>
                <w:sz w:val="22"/>
                <w:szCs w:val="22"/>
                <w:u w:val="none"/>
                <w:lang w:val="en-US" w:eastAsia="zh-CN"/>
              </w:rPr>
              <w:t>,</w:t>
            </w:r>
            <w:r>
              <w:rPr>
                <w:rFonts w:hint="eastAsia" w:ascii="宋体" w:hAnsi="宋体" w:eastAsia="宋体" w:cs="宋体"/>
                <w:b/>
                <w:bCs/>
                <w:i w:val="0"/>
                <w:iCs w:val="0"/>
                <w:color w:val="auto"/>
                <w:sz w:val="22"/>
                <w:szCs w:val="22"/>
                <w:u w:val="none"/>
              </w:rPr>
              <w:t>250</w:t>
            </w:r>
            <w:r>
              <w:rPr>
                <w:rFonts w:hint="eastAsia" w:ascii="宋体" w:hAnsi="宋体" w:eastAsia="宋体" w:cs="宋体"/>
                <w:b/>
                <w:bCs/>
                <w:i w:val="0"/>
                <w:iCs w:val="0"/>
                <w:color w:val="auto"/>
                <w:sz w:val="22"/>
                <w:szCs w:val="22"/>
                <w:u w:val="none"/>
                <w:lang w:val="en-US" w:eastAsia="zh-CN"/>
              </w:rPr>
              <w:t>.00</w:t>
            </w:r>
          </w:p>
        </w:tc>
        <w:tc>
          <w:tcPr>
            <w:tcW w:w="1544" w:type="pct"/>
            <w:tcBorders>
              <w:top w:val="single" w:color="auto" w:sz="4" w:space="0"/>
              <w:left w:val="single" w:color="auto" w:sz="4" w:space="0"/>
              <w:bottom w:val="single" w:color="auto" w:sz="4" w:space="0"/>
              <w:right w:val="single" w:color="auto" w:sz="4" w:space="0"/>
            </w:tcBorders>
            <w:shd w:val="clear" w:color="auto" w:fill="auto"/>
            <w:vAlign w:val="center"/>
          </w:tcPr>
          <w:p w14:paraId="48CD3E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2"/>
                <w:szCs w:val="22"/>
                <w:u w:val="none"/>
              </w:rPr>
            </w:pPr>
          </w:p>
        </w:tc>
        <w:tc>
          <w:tcPr>
            <w:tcW w:w="1015" w:type="pct"/>
            <w:tcBorders>
              <w:top w:val="single" w:color="000000" w:sz="4" w:space="0"/>
              <w:left w:val="single" w:color="auto" w:sz="4" w:space="0"/>
              <w:bottom w:val="single" w:color="000000" w:sz="4" w:space="0"/>
              <w:right w:val="single" w:color="000000" w:sz="4" w:space="0"/>
            </w:tcBorders>
            <w:shd w:val="clear" w:color="auto" w:fill="auto"/>
            <w:vAlign w:val="center"/>
          </w:tcPr>
          <w:p w14:paraId="257CD0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2"/>
                <w:szCs w:val="22"/>
                <w:u w:val="none"/>
              </w:rPr>
            </w:pPr>
          </w:p>
        </w:tc>
      </w:tr>
      <w:tr w14:paraId="0C62C3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2" w:hRule="atLeast"/>
        </w:trPr>
        <w:tc>
          <w:tcPr>
            <w:tcW w:w="2440"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15BD8E49">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投标合计</w:t>
            </w:r>
          </w:p>
        </w:tc>
        <w:tc>
          <w:tcPr>
            <w:tcW w:w="2559" w:type="pct"/>
            <w:gridSpan w:val="2"/>
            <w:tcBorders>
              <w:top w:val="single" w:color="auto" w:sz="4" w:space="0"/>
              <w:left w:val="single" w:color="auto" w:sz="4" w:space="0"/>
              <w:bottom w:val="single" w:color="auto" w:sz="4" w:space="0"/>
              <w:right w:val="single" w:color="000000" w:sz="4" w:space="0"/>
            </w:tcBorders>
            <w:shd w:val="clear" w:color="auto" w:fill="auto"/>
            <w:vAlign w:val="center"/>
          </w:tcPr>
          <w:p w14:paraId="15771A2F">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auto"/>
                <w:kern w:val="0"/>
                <w:sz w:val="22"/>
                <w:szCs w:val="22"/>
                <w:u w:val="none"/>
                <w:lang w:val="en-US" w:eastAsia="zh-CN" w:bidi="ar"/>
              </w:rPr>
            </w:pPr>
          </w:p>
        </w:tc>
      </w:tr>
    </w:tbl>
    <w:p w14:paraId="78407B31">
      <w:pPr>
        <w:pStyle w:val="7"/>
        <w:jc w:val="both"/>
        <w:rPr>
          <w:rFonts w:hint="eastAsia"/>
          <w:bCs w:val="0"/>
          <w:color w:val="auto"/>
          <w:sz w:val="24"/>
          <w:szCs w:val="24"/>
        </w:rPr>
      </w:pPr>
      <w:r>
        <w:rPr>
          <w:rFonts w:hint="eastAsia"/>
          <w:bCs w:val="0"/>
          <w:color w:val="auto"/>
          <w:sz w:val="24"/>
          <w:szCs w:val="24"/>
        </w:rPr>
        <w:br w:type="page"/>
      </w:r>
      <w:r>
        <w:rPr>
          <w:rFonts w:hint="eastAsia" w:eastAsia="宋体"/>
          <w:color w:val="auto"/>
          <w:lang w:val="en-US" w:eastAsia="zh-CN"/>
        </w:rPr>
        <w:t>表二：通信光缆日常维护投标报价表</w:t>
      </w:r>
    </w:p>
    <w:tbl>
      <w:tblPr>
        <w:tblStyle w:val="17"/>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35"/>
        <w:gridCol w:w="2194"/>
        <w:gridCol w:w="1096"/>
        <w:gridCol w:w="1101"/>
        <w:gridCol w:w="874"/>
        <w:gridCol w:w="975"/>
        <w:gridCol w:w="1047"/>
      </w:tblGrid>
      <w:tr w14:paraId="04796B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0" w:hRule="atLeast"/>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84A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32"/>
                <w:szCs w:val="32"/>
                <w:u w:val="none"/>
              </w:rPr>
            </w:pPr>
            <w:r>
              <w:rPr>
                <w:rFonts w:hint="eastAsia" w:ascii="宋体" w:hAnsi="宋体" w:eastAsia="宋体" w:cs="宋体"/>
                <w:b/>
                <w:bCs/>
                <w:i w:val="0"/>
                <w:iCs w:val="0"/>
                <w:color w:val="auto"/>
                <w:kern w:val="0"/>
                <w:sz w:val="32"/>
                <w:szCs w:val="32"/>
                <w:u w:val="none"/>
                <w:lang w:val="en-US" w:eastAsia="zh-CN" w:bidi="ar"/>
              </w:rPr>
              <w:t>通信光缆日常维护投标报价表</w:t>
            </w:r>
          </w:p>
        </w:tc>
      </w:tr>
      <w:tr w14:paraId="5D2207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0" w:hRule="atLeast"/>
        </w:trPr>
        <w:tc>
          <w:tcPr>
            <w:tcW w:w="72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BF54B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项目名称</w:t>
            </w:r>
          </w:p>
        </w:tc>
        <w:tc>
          <w:tcPr>
            <w:tcW w:w="2576"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6C96D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月维护费单价（人民币元/公里/月）</w:t>
            </w:r>
          </w:p>
        </w:tc>
        <w:tc>
          <w:tcPr>
            <w:tcW w:w="5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BB6D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数量</w:t>
            </w:r>
          </w:p>
        </w:tc>
        <w:tc>
          <w:tcPr>
            <w:tcW w:w="57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8847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维护时间（月）</w:t>
            </w:r>
          </w:p>
        </w:tc>
        <w:tc>
          <w:tcPr>
            <w:tcW w:w="6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9A7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小计</w:t>
            </w:r>
          </w:p>
        </w:tc>
      </w:tr>
      <w:tr w14:paraId="115C11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72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53357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128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08B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基本维护、检修</w:t>
            </w:r>
          </w:p>
        </w:tc>
        <w:tc>
          <w:tcPr>
            <w:tcW w:w="6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328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资料统计、更新</w:t>
            </w:r>
          </w:p>
        </w:tc>
        <w:tc>
          <w:tcPr>
            <w:tcW w:w="6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321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小计</w:t>
            </w:r>
          </w:p>
        </w:tc>
        <w:tc>
          <w:tcPr>
            <w:tcW w:w="5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14C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(公里)</w:t>
            </w:r>
          </w:p>
        </w:tc>
        <w:tc>
          <w:tcPr>
            <w:tcW w:w="57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1809E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7CB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（人民币元）</w:t>
            </w:r>
          </w:p>
        </w:tc>
      </w:tr>
      <w:tr w14:paraId="4ECF6C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5" w:hRule="atLeast"/>
        </w:trPr>
        <w:tc>
          <w:tcPr>
            <w:tcW w:w="72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B048A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光缆日常维护</w:t>
            </w:r>
          </w:p>
        </w:tc>
        <w:tc>
          <w:tcPr>
            <w:tcW w:w="128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0361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7856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6DB5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5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240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7900</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46D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12个月</w:t>
            </w:r>
          </w:p>
        </w:tc>
        <w:tc>
          <w:tcPr>
            <w:tcW w:w="6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39F6E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r>
      <w:tr w14:paraId="35A9E7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00" w:hRule="atLeast"/>
        </w:trPr>
        <w:tc>
          <w:tcPr>
            <w:tcW w:w="72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95AF3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3661"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706F67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合计（人民币元）</w:t>
            </w:r>
          </w:p>
        </w:tc>
        <w:tc>
          <w:tcPr>
            <w:tcW w:w="6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58642">
            <w:pPr>
              <w:keepNext w:val="0"/>
              <w:keepLines w:val="0"/>
              <w:widowControl/>
              <w:suppressLineNumbers w:val="0"/>
              <w:spacing w:before="0" w:beforeAutospacing="0" w:after="0" w:afterAutospacing="0"/>
              <w:ind w:left="0" w:right="0"/>
              <w:jc w:val="left"/>
              <w:rPr>
                <w:rFonts w:hint="eastAsia" w:ascii="宋体" w:hAnsi="宋体" w:eastAsia="宋体" w:cs="宋体"/>
                <w:i w:val="0"/>
                <w:iCs w:val="0"/>
                <w:color w:val="auto"/>
                <w:sz w:val="24"/>
                <w:szCs w:val="24"/>
                <w:u w:val="none"/>
              </w:rPr>
            </w:pPr>
          </w:p>
        </w:tc>
      </w:tr>
      <w:tr w14:paraId="31464D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5" w:hRule="atLeast"/>
        </w:trPr>
        <w:tc>
          <w:tcPr>
            <w:tcW w:w="5000" w:type="pct"/>
            <w:gridSpan w:val="7"/>
            <w:tcBorders>
              <w:top w:val="nil"/>
              <w:left w:val="nil"/>
              <w:bottom w:val="nil"/>
              <w:right w:val="nil"/>
            </w:tcBorders>
            <w:shd w:val="clear" w:color="auto" w:fill="auto"/>
            <w:noWrap/>
            <w:vAlign w:val="center"/>
          </w:tcPr>
          <w:p w14:paraId="28ABD02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注：月维护费单价＝基本维护、检修费用+资料统计、更新费用</w:t>
            </w:r>
          </w:p>
        </w:tc>
      </w:tr>
    </w:tbl>
    <w:p w14:paraId="16265DC1">
      <w:pP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br w:type="page"/>
      </w:r>
      <w:r>
        <w:rPr>
          <w:rFonts w:hint="eastAsia" w:eastAsia="宋体"/>
          <w:b/>
          <w:bCs/>
          <w:color w:val="auto"/>
          <w:lang w:val="en-US" w:eastAsia="zh-CN"/>
        </w:rPr>
        <w:t>表三：通信光缆应急工程投标报价表</w:t>
      </w:r>
    </w:p>
    <w:p w14:paraId="4A523801">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宋体" w:hAnsi="宋体" w:eastAsia="宋体" w:cs="宋体"/>
          <w:color w:val="auto"/>
          <w:sz w:val="21"/>
          <w:szCs w:val="21"/>
          <w:highlight w:val="none"/>
          <w:lang w:val="en-US" w:eastAsia="zh-CN"/>
        </w:rPr>
      </w:pPr>
    </w:p>
    <w:tbl>
      <w:tblPr>
        <w:tblStyle w:val="17"/>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18"/>
        <w:gridCol w:w="1954"/>
        <w:gridCol w:w="595"/>
        <w:gridCol w:w="656"/>
        <w:gridCol w:w="498"/>
        <w:gridCol w:w="500"/>
        <w:gridCol w:w="913"/>
        <w:gridCol w:w="675"/>
        <w:gridCol w:w="2113"/>
      </w:tblGrid>
      <w:tr w14:paraId="5A61D9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9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013E9F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32"/>
                <w:szCs w:val="32"/>
                <w:u w:val="none"/>
              </w:rPr>
            </w:pPr>
            <w:r>
              <w:rPr>
                <w:rFonts w:hint="eastAsia" w:ascii="宋体" w:hAnsi="宋体" w:eastAsia="宋体" w:cs="宋体"/>
                <w:b/>
                <w:bCs/>
                <w:i w:val="0"/>
                <w:iCs w:val="0"/>
                <w:color w:val="auto"/>
                <w:kern w:val="0"/>
                <w:sz w:val="32"/>
                <w:szCs w:val="32"/>
                <w:u w:val="none"/>
                <w:lang w:val="en-US" w:eastAsia="zh-CN" w:bidi="ar"/>
              </w:rPr>
              <w:t>通信光缆应急工程投标报价表</w:t>
            </w:r>
          </w:p>
        </w:tc>
      </w:tr>
      <w:tr w14:paraId="1A7182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A2D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序号</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165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项 目 名 称</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2AB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计量单位</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FC6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工程量</w:t>
            </w:r>
          </w:p>
        </w:tc>
        <w:tc>
          <w:tcPr>
            <w:tcW w:w="65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E3CC2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品牌</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AEA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金额(人民币元)</w:t>
            </w: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AF6C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FF5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备  注</w:t>
            </w:r>
          </w:p>
        </w:tc>
      </w:tr>
      <w:tr w14:paraId="4650FC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5EB0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E8472E">
            <w:pPr>
              <w:keepNext w:val="0"/>
              <w:keepLines w:val="0"/>
              <w:widowControl/>
              <w:suppressLineNumbers w:val="0"/>
              <w:spacing w:before="0" w:beforeAutospacing="0" w:after="0" w:afterAutospacing="0"/>
              <w:ind w:left="0" w:right="0"/>
              <w:jc w:val="left"/>
              <w:rPr>
                <w:rFonts w:hint="eastAsia" w:ascii="宋体" w:hAnsi="宋体" w:eastAsia="宋体" w:cs="宋体"/>
                <w:i w:val="0"/>
                <w:iCs w:val="0"/>
                <w:color w:val="auto"/>
                <w:sz w:val="20"/>
                <w:szCs w:val="20"/>
                <w:u w:val="none"/>
              </w:rPr>
            </w:pP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4DB7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3824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4170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50E4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CBD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综合单价</w:t>
            </w: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EC7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合价</w:t>
            </w: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26A0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06B30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45AA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820" w:type="pct"/>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25B37B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一、综合单价部分</w:t>
            </w:r>
          </w:p>
        </w:tc>
      </w:tr>
      <w:tr w14:paraId="1EE505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CAF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EE24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施工测量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A43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6CA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CF54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4C49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7CE8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BA97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1D5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单价不得超过“光缆敷设及测试(12芯及其以下)（不含主材）”的10%</w:t>
            </w:r>
          </w:p>
        </w:tc>
      </w:tr>
      <w:tr w14:paraId="0D485C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D60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6B3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子管敷设 φ30(含主材)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073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130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0FA6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704D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24E7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863A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CA50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A7CF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D84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8A94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镀锌钢管敷设 DN50  δ=3.5mm(含主材)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B148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8A2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0997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5A8F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C304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D2323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C57F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8523F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D07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FC04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镀锌钢管敷设 DN50(不含主材)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203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86C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AC3C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436B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0AFE2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8536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47AA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34946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321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70B7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镀锌钢管敷设 DN25 δ=3.25mm(含主材)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BF83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80B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D39B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298D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CEB5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B633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C7AF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E847A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BFB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3F93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镀锌钢管敷设 DN25(不含主材)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ABF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D3C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0AB5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FAC1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E84F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912A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D64EF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97498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135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2F3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PE管明敷 φ20*1.6(含主材)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C6F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B2F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E501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DB1B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9E3D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47B1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F787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83719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3F81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CC63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PE管明敷 φ25*1.8(含主材)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BF5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6B5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44C9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8DC2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8955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6577D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5AAA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A1174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5D0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950A8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PE管埋地敷设 φ25*1.8(含主材)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237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B81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27DD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EA57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3695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55F5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080F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7B3D1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32B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0BB9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PVC管明敷 φ20*1.6(含主材)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452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D3EF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A17F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A158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B6B5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24D5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5F79E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5CB22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50E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9D30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PVC管明敷 φ25*1.8(含主材)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212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6E9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879A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A3C73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BBF3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C877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0B4D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1D41E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171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F82B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PE管拆除 φ25及其以下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B27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AD2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6C3A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1AE4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246C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35425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9040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EA6E6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57E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45CB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光缆拆除(192芯及其以下)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747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BEB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58F2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9CF0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9054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C1D3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33C7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2904D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BB7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05BC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光缆敷设及测试(12芯及其以下)（不含主材）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C1C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C70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8A46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CD4F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AEDB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588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3848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4D151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6A6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6981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光缆敷设及测试(12芯以上48芯以下含48芯)（不含主材）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4CB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16C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46D76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10B0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A77A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8E32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21FDC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4F94A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0B8F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38CA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光缆敷设及测试(48芯以上96芯以下含96芯)（不含主材）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FB8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97E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62B8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82E2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90CB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CCC08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C6C1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DB116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800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B3C9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光缆敷设及测试(96芯以上)（不含主材）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2EF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9D4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D2D6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8B48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B1B91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C7C9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EADA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CC80D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03E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4BE9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楼内光缆敷设</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D611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68C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5CAF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8F2F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2857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2AB11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C80E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BB419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0B6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54A9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2芯及以下光纤接续</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3A4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CAB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41D8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A39B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C09D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71B7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D0BE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A857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D10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586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2芯以上12芯以下（含12芯）光缆接续</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BBF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32C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F3BF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8F69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3871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D3F8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FB246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20BAF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CE1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B448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12芯以上36芯以下（含36芯）光缆接续</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F30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3E5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C82C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4BEF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F1AD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8921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6BE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B04DB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3C5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E5E0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36芯以上48芯以下（含48芯）光缆接续</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920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B2B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1C917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279E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1FCB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E8B30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9AF4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B2BE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9751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6B92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72芯以上96芯以下（含96芯）光缆接续</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D18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E544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3FB1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17A4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E86A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042A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1DD1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CA072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FD6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8394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96芯以上光缆接续</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39E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105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AF31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FBB9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85C7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5AA9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8380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9F4CE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EFB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F66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光纤成端头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1B1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CA44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3633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710B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A4C8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B594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65B6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A57B7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C3C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C15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拆除混凝土类路面  无筋  (实际厚度: 25cm)</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517C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DE8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FCB6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5972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771C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E0B1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F794E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F4E73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17E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5538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拆除混凝土类路面  有筋 (实际厚度: 25cm)</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11C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7CC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1DBA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936ED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D422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671C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A32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23C84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444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85CE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拆除道路基层(实际厚度(cm): 20)</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1FF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E8D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CADC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427B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AA89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FAA5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33D2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8466A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6A8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0D36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水泥混凝土路面铺筑养生(实际厚度(cm): 25)</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437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72E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54EF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ED92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4002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17B3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14E9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4F54F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A9B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E398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水泥混凝土路面垫层(实际厚度(cm): 20)</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019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B2B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3388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74B0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981EB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F241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4CA9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D914D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20AF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FDE81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余方弃置</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277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立方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35C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1785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62B6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EC54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EE42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1E6F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48B2E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232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25D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拆除人行道板</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234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067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F9C8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125F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F7B85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53F4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D393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5BA98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EEBA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3DE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拆除人行道基层(实际厚度(cm): 20)</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E78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E627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110B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A50A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B970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F967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00F4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39728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8B7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E980D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人行道块料铺设（含垫层(实际厚度(cm): 20)）(道板未损坏)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A0AC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71D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3524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322D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556B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7B5B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7B07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8583D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5CE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026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人行道块料铺设（含垫层(实际厚度(cm): 20)）(道板损坏)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36B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0E1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9F3E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72E2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501E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7CC6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7E27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58387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543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0090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大理石人行道块料铺设（含垫层(实际厚度: 20cm)）(道板损坏)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C71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E14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8A15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717E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87D7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1608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F85E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FE44F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BA5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4D33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破恢复草皮</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59E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平方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5FE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234D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8C8D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E558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9036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5315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EE51D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02C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97A1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破恢复绿篱</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94F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D86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D222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35B6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05DC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457B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D046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AB293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807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F4F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挖沟槽土方</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244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立方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770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6DFE8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F4095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AC2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E6C1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ECBC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3D7FB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876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5442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填方</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6F8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立方</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CED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6FBB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787C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1E24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71EA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1B0C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B6125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E23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104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 xml:space="preserve">终端盒至设备尾纤制作与连接、测试(不含主材) </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0F9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F85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CCD6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675A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9838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6692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FB63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5B43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DF3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CD58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 xml:space="preserve">光纤配线架至设备尾纤制作与连接、测试(不含主材) </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9FFE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F5F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AB1C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8FDD9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F8D4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CDF3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AFD4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D5CCB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4B2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EAB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 xml:space="preserve">光纤配线架架内跳线布放制作与连接、测试(不含主材) </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03ED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7CF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B101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3235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FB61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46AF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2230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E4D7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5F4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BB68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光缆终端盒安装(不含主材)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E8A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579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6C52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8FF6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A367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069A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0B30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C20A1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6E1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8CAE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光缆接头盒安装(不含主材)</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513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733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30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19D4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F9948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16F8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1929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C58F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5F7F4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AE1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B9E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接线沙井400*400（防盗）</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D31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座</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573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75CF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B51C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8F8C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8F2EC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0BC1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380FF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29D2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1298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防盗沙井改造  400*400</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376A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座</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FFB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5F7D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5F58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B4A7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7275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4D50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4DE8B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79D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774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接线沙井400*400制作安装</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752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座</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133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BF85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F44D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5D78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9E41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D774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3B9FF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23B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A844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接线沙井400×400填沙砼包封</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11B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座</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2A9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5E696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91EAD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5054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9CEB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F00B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5EF84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3AA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5784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接线沙井400×400清淤清扫</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789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套</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58A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732A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9974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D0E4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1C62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6E42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F5E83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0A7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D56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光缆链路全程测试</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92C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链路</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2C4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2000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443E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B8DB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E8F0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9164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1325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ECD99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BB3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5DC5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光缆中继段测试（12芯及以下）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CB4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段</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E9C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BD78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D61C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D2E2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D9CF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B15E4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17AA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E12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97B82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光缆中继段测试(12芯以上48芯以下)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75B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段</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E6A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52EE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0915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656E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EA6D6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A6C0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BC792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5D4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17A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光缆中继段测试(48芯以上96芯以下)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697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段</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AFB1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8272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2574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6BFD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3654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E17E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D0878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60D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5683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光缆中继段测试(96芯以上)</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415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段</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F05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D3F5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A5BB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F50B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111A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4BA4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88D85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73E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1DAB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进局光（电）缆防水封堵(含材料)</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699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处</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6E0E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9794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7ACD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C250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9333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E263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2CB5F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859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7942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光（电）缆上线洞楼层间防火封堵(不含材料)</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CF3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处</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A0C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CAD1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1FF3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0AEA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C7093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6CC31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AE9B8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59B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5F41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光缆线路跟踪排查</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751A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公里</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CB1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93E1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37B6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7E8B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7C79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947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包括施工图纸绘制，单价不得超过“光缆敷设及测试(12芯及其以下)（不含主材）”的10%</w:t>
            </w:r>
          </w:p>
        </w:tc>
      </w:tr>
      <w:tr w14:paraId="7461F3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DA695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D26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合计1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77DDC">
            <w:pPr>
              <w:keepNext w:val="0"/>
              <w:keepLines w:val="0"/>
              <w:widowControl/>
              <w:suppressLineNumbers w:val="0"/>
              <w:spacing w:before="0" w:beforeAutospacing="0" w:after="0" w:afterAutospacing="0"/>
              <w:ind w:left="0" w:right="0"/>
              <w:jc w:val="center"/>
              <w:rPr>
                <w:rFonts w:hint="eastAsia" w:ascii="宋体" w:hAnsi="宋体" w:eastAsia="宋体" w:cs="宋体"/>
                <w:b/>
                <w:bCs/>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DFE3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9565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5545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4898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0A2A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73CF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6A323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4E1E39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二、设备材料价部分</w:t>
            </w:r>
          </w:p>
        </w:tc>
      </w:tr>
      <w:tr w14:paraId="48EF20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115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C3B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GYTA53-2B1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8D1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017E5">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8D29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FB3F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4B02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FCD44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95BF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41939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754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0CD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GYTA53-4B1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181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9245B">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AA72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7834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021B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D16D9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C5DB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251CC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B40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59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B620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GYTA53-12B1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296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BCA30">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222E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234A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084C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D44D4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5F95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69F43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72F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6C9A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GYTA53-24B1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AD9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30551">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7E6F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1DD4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C5635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B7EB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9451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717ED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694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ED1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GYTA53-48B1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67D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F6CA8">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3B8F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A710F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629D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6D68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6F7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E8E77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FC6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97A1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GYTA53-96B1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B2C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CAB7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FE44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04A0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FF7A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CC1F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6522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073988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584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AF1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GYTA53-144B1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DECB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709C4">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CAA6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6B00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223E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ED2D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992D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74BC8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F34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5DC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铠装光缆  GYTA53-288B1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4B9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米</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0CF1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8C7F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0037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CBC3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3D9C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EEDD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DCAF8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5B6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804A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ONU(千兆）</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FA6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4DB6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0E07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83AD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EEDD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7852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5B18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C4179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3FD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DAF7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8芯 (挂墙式)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789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0384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CBE21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3EA9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4DD2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2EC8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D3DF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EE345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616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B9F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12芯(挂墙式)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AF46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74C353">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6E1A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2D1E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8135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1B27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3DEF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5970E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9BF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F59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24芯(挂墙式)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93D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63798">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3</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13D3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23A3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0D20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39BCD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300F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73B98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7A1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69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326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48芯(挂墙式)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39F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0BD5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2212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30A3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87C5A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5B5E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DE29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4BAAE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BA7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B968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12芯(机柜式)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F95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3E64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8CD7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BF57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478E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0E76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31C0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77766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8D1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DCABF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24芯(机柜式)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C87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01D3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06C6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3C59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12FE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406A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AE2A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8CB3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013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B5EA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48芯(机柜式)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E40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2A5475">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26D6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7E3CC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6F50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7778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AA54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BA2DB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04B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FAA7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光缆终端盒  72芯(机柜式)</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CAE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FC3E9">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960E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5A75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013B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03C7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DADD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C2768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62E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BC4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 12芯</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4CC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CFE92">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3E90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B24F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8219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4ED5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7606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06C23C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727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F440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 24芯</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A7B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F5BC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9D9AC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57D5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0348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AB42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462E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FE2F6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132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4716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 48芯</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5C5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485A4">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3</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15BF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BD61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AD55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8070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65C8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DBB24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78C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6D6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 96芯</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107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056F2">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2</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9DF2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D428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3B1A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A305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E020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047494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C59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10606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 144芯</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910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F01B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C1D3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43DF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90E9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E25E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6E8D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B8B21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03D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79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BA3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光缆接头盒 288芯</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5BE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D54382">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811B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AAC2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119D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3D07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6463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4AB39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DD7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D38B6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光交箱（576芯，电信级）（含设备、固定桩、人工）</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4CD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A6AB9">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6164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7A16C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06F2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FBD4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DAAC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4FD46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12E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D17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防火泥</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2A55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公斤</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B4DD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5C77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4CB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2A48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3C62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7B88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4DF5E7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EE7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9CED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沙井（含挖土方、砌砖、井盖等）80*60</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BFF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E2296">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B06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65A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49D5A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984E2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CBC8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BE1A1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8C3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80A0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光跳纤FC-FC/3米单头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F08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B0F72">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0C64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9E8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46E5D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D70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2A5D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50856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4AD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4B41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光跳纤FC-FC/3米双头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606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D746A">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549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27A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4AF7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A6A4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B087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0EB90C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EBB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4BF40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光跳纤FC-FC/5米单头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BE9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C758D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99D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AEC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CE9B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C15A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7AF3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3B82A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EDB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C03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光跳纤FC-FC/5米双头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BCA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2A0D4">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E3D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FB0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4E41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7A20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6B4C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D2B29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2F8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3661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光跳纤FC-FC/10米单头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7DD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B1A5F">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3F9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B8B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37342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86A4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A6A3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B847C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A45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C83A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光跳纤FC-FC/10米双头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C42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E0C24">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E7A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0DB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AF6A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9BD99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E523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42781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33F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9B3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光跳纤FC-FC/20米单头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D66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C2818">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4D5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777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F2CD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ACB8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E9AF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A52BD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76C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BA90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光跳纤FC-FC/20米双头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DC0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BB3A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E48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283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56715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9853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0759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A8E5B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F17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9DF4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光跳纤FC-LC/3米单头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B171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04C0F">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C94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2F22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59E9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2382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6E1B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04C70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10C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B9A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光跳纤FC-LC/3米双头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A6B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85D2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6D6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686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E7E9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C090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CC48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830A8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94C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8080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光跳纤FC-LC/5米单头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179A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D70D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C679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8BD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571F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9968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3F65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3FA56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836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B1FB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光跳纤FC-LC/5米双头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300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7934A">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170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D3A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9156B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3E7A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A26F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76EEA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389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556B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光跳纤FC-LC/10米单头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E041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4A43C">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5C0F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796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ACA8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72EE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5186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036FE7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538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D0AF2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光跳纤FC-LC/10米双头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1E3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CF313">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FB8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FDA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4743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738B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AEBF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07C13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DC7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054A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光跳纤FC-LC/20米单头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436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D7213">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D46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C82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35FD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09C9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CA32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05E40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B28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ABFF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光跳纤FC-LC/20米双头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582F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1924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4DC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C5E6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A3CB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FE06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93DD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73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912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99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0ADC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光跳纤FC-SC/3米单头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00B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5FEE4">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768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335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9AE12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4EB9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01A1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59D4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CD22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216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光跳纤FC-SC/3米双头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9F7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258E2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12C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EBB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43DD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FEE0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988F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3612F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2E8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DBCE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光跳纤FC-SC/5米单头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0C1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28208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7BD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64D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5EED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4D202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46A4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EE7B2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9D5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3563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光跳纤FC-SC/5米双头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DBF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7BB4A5">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B68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BA5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1E2B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115F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711D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26905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965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73EF8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光跳纤FC-SC/10米单头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7CB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C1A7C">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26E7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176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9CE81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5503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A1B3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70122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031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C93B4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光跳纤FC-SC/10米双头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10A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EEA0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C3B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FDC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3248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B7F4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483E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9E1C1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C88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AA1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光跳纤FC-SC/20米单头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D37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5960C">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C3D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2DB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4C9F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ECB9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ABD50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CE39F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39C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106</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249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光跳纤FC-SC/20米双头</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CD9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条</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618E9">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020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058C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1D7B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CD50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2B12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FEE62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BB4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107</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FB9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光缆标志牌(40*80mm)塑料</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B78F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76F8AB">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200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BC2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9A26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129FA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5037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D13A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766344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2E5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108</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FD6B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光缆标志牌(40*80mm)不锈钢</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9B8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493F4">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7E2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BB9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F1A1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8648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BBF3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5AA02C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B29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109</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8B0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光纤适配器</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954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78DD3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16F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031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FDB3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4418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37ED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E56FC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351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110</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355A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光纤接续热缩套管</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C9B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90145">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1000</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9A5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C2E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19776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5DB7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E67A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2B8629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A3E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111</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BDEB2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ODF配线架</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7BD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25D5E">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DCCD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9F7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F413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3B67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2A23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775A0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197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112</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78F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ODF配线箱（72口）</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E962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个</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8B801">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EA6F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E58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9AD8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4FFF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FFB8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8F7F7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406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113</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19E6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1路视频反向数据光端机BT-6200T/R-1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154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对</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14C3F">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452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C1E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8E4F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BB67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1448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AA7E2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E17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114</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9889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4路视频光端机VS4100T/R-1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6E61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对</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FC40D">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6DE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AD9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24F0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DA303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A685D">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CB69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158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115</w:t>
            </w: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90C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8路视频光端机VS8300T/R-1</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587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对</w:t>
            </w: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DB7F7">
            <w:pPr>
              <w:keepNext w:val="0"/>
              <w:keepLines w:val="0"/>
              <w:widowControl/>
              <w:suppressLineNumbers w:val="0"/>
              <w:spacing w:before="0" w:beforeAutospacing="0" w:after="0" w:afterAutospacing="0"/>
              <w:ind w:left="0" w:right="0"/>
              <w:jc w:val="righ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87B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2C0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w:t>
            </w: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C178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33F6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D3BF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14B49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EA28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10B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合计2</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8FFF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4284E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45D2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110A7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5947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03CB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7B02C4">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60B4E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6561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18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56E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合计1+2</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3623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EBF58">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8D15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16E35">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6089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322F3">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DF77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r>
      <w:tr w14:paraId="3D344B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6027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注：</w:t>
            </w:r>
          </w:p>
        </w:tc>
        <w:tc>
          <w:tcPr>
            <w:tcW w:w="1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78228">
            <w:pPr>
              <w:keepNext w:val="0"/>
              <w:keepLines w:val="0"/>
              <w:widowControl/>
              <w:suppressLineNumbers w:val="0"/>
              <w:spacing w:before="0" w:beforeAutospacing="0" w:after="0" w:afterAutospacing="0"/>
              <w:ind w:left="0" w:right="0"/>
              <w:jc w:val="left"/>
              <w:rPr>
                <w:rFonts w:hint="eastAsia" w:ascii="宋体" w:hAnsi="宋体" w:eastAsia="宋体" w:cs="宋体"/>
                <w:i w:val="0"/>
                <w:iCs w:val="0"/>
                <w:color w:val="auto"/>
                <w:sz w:val="20"/>
                <w:szCs w:val="20"/>
                <w:u w:val="none"/>
              </w:rPr>
            </w:pPr>
          </w:p>
        </w:tc>
        <w:tc>
          <w:tcPr>
            <w:tcW w:w="3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426F3E">
            <w:pPr>
              <w:keepNext w:val="0"/>
              <w:keepLines w:val="0"/>
              <w:widowControl/>
              <w:suppressLineNumbers w:val="0"/>
              <w:spacing w:before="0" w:beforeAutospacing="0" w:after="0" w:afterAutospacing="0"/>
              <w:ind w:left="0" w:right="0"/>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E502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79C890">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3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6BE4E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0"/>
                <w:szCs w:val="20"/>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1384E">
            <w:pPr>
              <w:keepNext w:val="0"/>
              <w:keepLines w:val="0"/>
              <w:widowControl/>
              <w:suppressLineNumbers w:val="0"/>
              <w:spacing w:before="0" w:beforeAutospacing="0" w:after="0" w:afterAutospacing="0"/>
              <w:ind w:left="0" w:right="0"/>
              <w:rPr>
                <w:rFonts w:hint="eastAsia" w:ascii="宋体" w:hAnsi="宋体" w:eastAsia="宋体" w:cs="宋体"/>
                <w:i w:val="0"/>
                <w:iCs w:val="0"/>
                <w:color w:val="auto"/>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D3B4B">
            <w:pPr>
              <w:keepNext w:val="0"/>
              <w:keepLines w:val="0"/>
              <w:widowControl/>
              <w:suppressLineNumbers w:val="0"/>
              <w:spacing w:before="0" w:beforeAutospacing="0" w:after="0" w:afterAutospacing="0"/>
              <w:ind w:left="0" w:right="0"/>
              <w:rPr>
                <w:rFonts w:hint="eastAsia" w:ascii="宋体" w:hAnsi="宋体" w:eastAsia="宋体" w:cs="宋体"/>
                <w:i w:val="0"/>
                <w:iCs w:val="0"/>
                <w:color w:val="auto"/>
                <w:sz w:val="20"/>
                <w:szCs w:val="20"/>
                <w:u w:val="none"/>
              </w:rPr>
            </w:pPr>
          </w:p>
        </w:tc>
        <w:tc>
          <w:tcPr>
            <w:tcW w:w="12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84CCA4">
            <w:pPr>
              <w:keepNext w:val="0"/>
              <w:keepLines w:val="0"/>
              <w:widowControl/>
              <w:suppressLineNumbers w:val="0"/>
              <w:spacing w:before="0" w:beforeAutospacing="0" w:after="0" w:afterAutospacing="0"/>
              <w:ind w:left="0" w:right="0"/>
              <w:rPr>
                <w:rFonts w:hint="eastAsia" w:ascii="宋体" w:hAnsi="宋体" w:eastAsia="宋体" w:cs="宋体"/>
                <w:i w:val="0"/>
                <w:iCs w:val="0"/>
                <w:color w:val="auto"/>
                <w:sz w:val="20"/>
                <w:szCs w:val="20"/>
                <w:u w:val="none"/>
              </w:rPr>
            </w:pPr>
          </w:p>
        </w:tc>
      </w:tr>
      <w:tr w14:paraId="19A5B6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35398E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1）投标报价应不高于深圳建设工程价格信息中的价格，应不低于企业成本价；实施时若相关价格高于当期信息价，采购方有权将相关价格调整为按深圳建设工程价格信息中的价格执行。若本项目中涉及的应急工程内容中若在本投标报价中未能表示，以相关项目结算规定为准。</w:t>
            </w:r>
          </w:p>
        </w:tc>
      </w:tr>
      <w:tr w14:paraId="7899A0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2119A4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（2）以上综合单价报价必须包含基本直接费、措施费、管理费、规费及税金等，工程费用按实际发生的工程量及综合单价进行结算。</w:t>
            </w:r>
          </w:p>
        </w:tc>
      </w:tr>
      <w:tr w14:paraId="5A54F1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4472B5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（3）以上工程量清单中，数量1为虚拟数量，非实际数量。</w:t>
            </w:r>
          </w:p>
        </w:tc>
      </w:tr>
      <w:tr w14:paraId="4D861F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7547B3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（4）应急工程量表仅供报价参考，最终以实际发生工程量为准</w:t>
            </w:r>
          </w:p>
        </w:tc>
      </w:tr>
      <w:tr w14:paraId="74541C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5" w:hRule="atLeast"/>
        </w:trPr>
        <w:tc>
          <w:tcPr>
            <w:tcW w:w="5000" w:type="pct"/>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04C5A88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（5）投标方须对应急工程所需主材料提供不少于两个主流品牌</w:t>
            </w:r>
          </w:p>
        </w:tc>
      </w:tr>
    </w:tbl>
    <w:p w14:paraId="51F2F29B">
      <w:pPr>
        <w:rPr>
          <w:rFonts w:hint="eastAsia" w:eastAsia="宋体"/>
          <w:color w:val="auto"/>
          <w:lang w:val="en-US" w:eastAsia="zh-CN"/>
        </w:rPr>
      </w:pPr>
      <w:r>
        <w:rPr>
          <w:rFonts w:hint="eastAsia" w:eastAsia="宋体"/>
          <w:color w:val="auto"/>
          <w:lang w:val="en-US" w:eastAsia="zh-CN"/>
        </w:rPr>
        <w:br w:type="page"/>
      </w:r>
    </w:p>
    <w:p w14:paraId="0556F43B">
      <w:pPr>
        <w:pStyle w:val="7"/>
        <w:jc w:val="both"/>
        <w:rPr>
          <w:rFonts w:hint="default" w:eastAsia="宋体"/>
          <w:color w:val="auto"/>
          <w:lang w:val="en-US" w:eastAsia="zh-CN"/>
        </w:rPr>
      </w:pPr>
      <w:r>
        <w:rPr>
          <w:rFonts w:hint="eastAsia" w:eastAsia="宋体"/>
          <w:color w:val="auto"/>
          <w:lang w:val="en-US" w:eastAsia="zh-CN"/>
        </w:rPr>
        <w:t>表四：通信管道及光纤链路租赁分项报价表</w:t>
      </w:r>
    </w:p>
    <w:tbl>
      <w:tblPr>
        <w:tblStyle w:val="17"/>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656"/>
        <w:gridCol w:w="1416"/>
        <w:gridCol w:w="1236"/>
        <w:gridCol w:w="1064"/>
        <w:gridCol w:w="1064"/>
        <w:gridCol w:w="2086"/>
      </w:tblGrid>
      <w:tr w14:paraId="3EBD4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8" w:hRule="atLeast"/>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179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32"/>
                <w:szCs w:val="32"/>
                <w:u w:val="none"/>
              </w:rPr>
            </w:pPr>
            <w:r>
              <w:rPr>
                <w:rFonts w:hint="eastAsia" w:ascii="宋体" w:hAnsi="宋体" w:eastAsia="宋体" w:cs="宋体"/>
                <w:b/>
                <w:bCs/>
                <w:i w:val="0"/>
                <w:iCs w:val="0"/>
                <w:color w:val="auto"/>
                <w:kern w:val="0"/>
                <w:sz w:val="32"/>
                <w:szCs w:val="32"/>
                <w:u w:val="none"/>
                <w:lang w:val="en-US" w:eastAsia="zh-CN" w:bidi="ar"/>
              </w:rPr>
              <w:t>通信管道及光纤链路租赁分项报价表</w:t>
            </w:r>
          </w:p>
        </w:tc>
      </w:tr>
      <w:tr w14:paraId="40918D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9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057A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项目名称</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BF00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规格</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68C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数量</w:t>
            </w:r>
          </w:p>
        </w:tc>
        <w:tc>
          <w:tcPr>
            <w:tcW w:w="6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924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综合单价</w:t>
            </w:r>
            <w:r>
              <w:rPr>
                <w:rFonts w:hint="eastAsia" w:ascii="宋体" w:hAnsi="宋体" w:eastAsia="宋体" w:cs="宋体"/>
                <w:b/>
                <w:bCs/>
                <w:i w:val="0"/>
                <w:iCs w:val="0"/>
                <w:color w:val="auto"/>
                <w:kern w:val="0"/>
                <w:sz w:val="24"/>
                <w:szCs w:val="24"/>
                <w:u w:val="none"/>
                <w:lang w:val="en-US" w:eastAsia="zh-CN" w:bidi="ar"/>
              </w:rPr>
              <w:br w:type="textWrapping"/>
            </w:r>
            <w:r>
              <w:rPr>
                <w:rFonts w:hint="eastAsia" w:ascii="宋体" w:hAnsi="宋体" w:eastAsia="宋体" w:cs="宋体"/>
                <w:b/>
                <w:bCs/>
                <w:i w:val="0"/>
                <w:iCs w:val="0"/>
                <w:color w:val="auto"/>
                <w:kern w:val="0"/>
                <w:sz w:val="24"/>
                <w:szCs w:val="24"/>
                <w:u w:val="none"/>
                <w:lang w:val="en-US" w:eastAsia="zh-CN" w:bidi="ar"/>
              </w:rPr>
              <w:t>（人民币元）</w:t>
            </w:r>
          </w:p>
        </w:tc>
        <w:tc>
          <w:tcPr>
            <w:tcW w:w="6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117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小计</w:t>
            </w:r>
            <w:r>
              <w:rPr>
                <w:rFonts w:hint="eastAsia" w:ascii="宋体" w:hAnsi="宋体" w:eastAsia="宋体" w:cs="宋体"/>
                <w:b/>
                <w:bCs/>
                <w:i w:val="0"/>
                <w:iCs w:val="0"/>
                <w:color w:val="auto"/>
                <w:kern w:val="0"/>
                <w:sz w:val="24"/>
                <w:szCs w:val="24"/>
                <w:u w:val="none"/>
                <w:lang w:val="en-US" w:eastAsia="zh-CN" w:bidi="ar"/>
              </w:rPr>
              <w:br w:type="textWrapping"/>
            </w:r>
            <w:r>
              <w:rPr>
                <w:rFonts w:hint="eastAsia" w:ascii="宋体" w:hAnsi="宋体" w:eastAsia="宋体" w:cs="宋体"/>
                <w:b/>
                <w:bCs/>
                <w:i w:val="0"/>
                <w:iCs w:val="0"/>
                <w:color w:val="auto"/>
                <w:kern w:val="0"/>
                <w:sz w:val="24"/>
                <w:szCs w:val="24"/>
                <w:u w:val="none"/>
                <w:lang w:val="en-US" w:eastAsia="zh-CN" w:bidi="ar"/>
              </w:rPr>
              <w:t>（人民币元）</w:t>
            </w:r>
          </w:p>
        </w:tc>
        <w:tc>
          <w:tcPr>
            <w:tcW w:w="12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A067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备注</w:t>
            </w:r>
          </w:p>
        </w:tc>
      </w:tr>
      <w:tr w14:paraId="5B9E4C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909"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034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新增管道租赁</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6A4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子孔</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5E3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50公里</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CA1F92">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6B76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1275" w:type="pct"/>
            <w:tcBorders>
              <w:top w:val="nil"/>
              <w:left w:val="single" w:color="000000" w:sz="4" w:space="0"/>
              <w:bottom w:val="nil"/>
              <w:right w:val="single" w:color="000000" w:sz="4" w:space="0"/>
            </w:tcBorders>
            <w:shd w:val="clear" w:color="auto" w:fill="auto"/>
            <w:vAlign w:val="center"/>
          </w:tcPr>
          <w:p w14:paraId="2D696C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按照物价局以及相关税率定价知一次性管道接入费。</w:t>
            </w:r>
          </w:p>
        </w:tc>
      </w:tr>
      <w:tr w14:paraId="6B9589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45" w:hRule="atLeast"/>
        </w:trPr>
        <w:tc>
          <w:tcPr>
            <w:tcW w:w="90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15AE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39A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子孔</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008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50公里</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EFFAFB">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39A7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1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5D1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租用价格需符合广东省物价局相关文件及深圳市公安交警局与各管道产权单位的协议价格规定</w:t>
            </w:r>
          </w:p>
        </w:tc>
      </w:tr>
      <w:tr w14:paraId="5CF57A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35" w:hRule="atLeast"/>
        </w:trPr>
        <w:tc>
          <w:tcPr>
            <w:tcW w:w="9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4EC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管道续租</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14C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子孔</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17D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2110公里</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31E4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65BBC">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1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DC5A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租用价格需符合广东省物价局相关文件及深圳市公安交警局与各管道产权单位的协议价格规定</w:t>
            </w:r>
          </w:p>
        </w:tc>
      </w:tr>
      <w:tr w14:paraId="5037A7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0" w:hRule="atLeast"/>
        </w:trPr>
        <w:tc>
          <w:tcPr>
            <w:tcW w:w="9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2B6D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光缆租赁</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0CFE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条（链路）</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5A0D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170条</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223DF">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366311">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1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BF9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包括电信光缆、天威光纤租赁</w:t>
            </w:r>
          </w:p>
        </w:tc>
      </w:tr>
      <w:tr w14:paraId="6AA6CD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366"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6FD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color w:val="auto"/>
                <w:kern w:val="0"/>
                <w:sz w:val="24"/>
                <w:szCs w:val="24"/>
                <w:u w:val="none"/>
                <w:lang w:val="en-US" w:eastAsia="zh-CN" w:bidi="ar"/>
              </w:rPr>
              <w:t>合计</w:t>
            </w: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0DA3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6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368FA">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c>
          <w:tcPr>
            <w:tcW w:w="12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BBB79">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olor w:val="auto"/>
                <w:sz w:val="24"/>
                <w:szCs w:val="24"/>
                <w:u w:val="none"/>
              </w:rPr>
            </w:pPr>
          </w:p>
        </w:tc>
      </w:tr>
      <w:tr w14:paraId="55C4C9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44B8DF5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sz w:val="24"/>
                <w:szCs w:val="24"/>
                <w:u w:val="none"/>
              </w:rPr>
            </w:pPr>
            <w:r>
              <w:rPr>
                <w:rFonts w:hint="eastAsia" w:ascii="宋体" w:hAnsi="宋体" w:eastAsia="宋体" w:cs="宋体"/>
                <w:i w:val="0"/>
                <w:iCs w:val="0"/>
                <w:color w:val="auto"/>
                <w:kern w:val="0"/>
                <w:sz w:val="24"/>
                <w:szCs w:val="24"/>
                <w:u w:val="none"/>
                <w:lang w:val="en-US" w:eastAsia="zh-CN" w:bidi="ar"/>
              </w:rPr>
              <w:t>注：综合单价=市场指导价+税费管理费</w:t>
            </w:r>
          </w:p>
        </w:tc>
      </w:tr>
    </w:tbl>
    <w:p w14:paraId="116C6799">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宋体" w:hAnsi="宋体" w:eastAsia="宋体" w:cs="宋体"/>
          <w:color w:val="auto"/>
          <w:sz w:val="21"/>
          <w:szCs w:val="21"/>
          <w:highlight w:val="none"/>
          <w:lang w:val="en-US" w:eastAsia="zh-CN"/>
        </w:rPr>
      </w:pPr>
    </w:p>
    <w:p w14:paraId="0BE2F627">
      <w:pPr>
        <w:rPr>
          <w:rFonts w:hint="eastAsia"/>
          <w:bCs w:val="0"/>
          <w:color w:val="auto"/>
          <w:sz w:val="24"/>
          <w:szCs w:val="24"/>
          <w:highlight w:val="none"/>
        </w:rPr>
      </w:pPr>
      <w:r>
        <w:rPr>
          <w:rFonts w:hint="eastAsia"/>
          <w:bCs w:val="0"/>
          <w:color w:val="auto"/>
          <w:sz w:val="24"/>
          <w:szCs w:val="24"/>
          <w:highlight w:val="none"/>
        </w:rPr>
        <w:br w:type="page"/>
      </w:r>
    </w:p>
    <w:p w14:paraId="3FF50CD4">
      <w:pPr>
        <w:pStyle w:val="3"/>
        <w:jc w:val="center"/>
        <w:rPr>
          <w:bCs w:val="0"/>
          <w:color w:val="auto"/>
          <w:sz w:val="24"/>
          <w:szCs w:val="24"/>
          <w:highlight w:val="none"/>
        </w:rPr>
      </w:pPr>
      <w:r>
        <w:rPr>
          <w:rFonts w:hint="eastAsia"/>
          <w:bCs w:val="0"/>
          <w:color w:val="auto"/>
          <w:sz w:val="24"/>
          <w:szCs w:val="24"/>
          <w:highlight w:val="none"/>
        </w:rPr>
        <w:t>五、投标人通过相关认证情况</w:t>
      </w:r>
    </w:p>
    <w:p w14:paraId="74A8165A">
      <w:pPr>
        <w:pStyle w:val="3"/>
        <w:jc w:val="center"/>
        <w:rPr>
          <w:bCs w:val="0"/>
          <w:color w:val="auto"/>
          <w:sz w:val="24"/>
          <w:szCs w:val="24"/>
          <w:highlight w:val="none"/>
        </w:rPr>
      </w:pPr>
      <w:r>
        <w:rPr>
          <w:rFonts w:hint="eastAsia"/>
          <w:bCs w:val="0"/>
          <w:color w:val="auto"/>
          <w:sz w:val="24"/>
          <w:szCs w:val="24"/>
          <w:highlight w:val="none"/>
        </w:rPr>
        <w:t>六、投标人同类项目业绩情况</w:t>
      </w:r>
    </w:p>
    <w:p w14:paraId="167E9610">
      <w:pPr>
        <w:pStyle w:val="3"/>
        <w:jc w:val="center"/>
        <w:rPr>
          <w:rFonts w:hint="eastAsia"/>
          <w:bCs w:val="0"/>
          <w:color w:val="auto"/>
          <w:sz w:val="24"/>
          <w:szCs w:val="24"/>
          <w:highlight w:val="none"/>
        </w:rPr>
      </w:pPr>
      <w:r>
        <w:rPr>
          <w:rFonts w:hint="eastAsia"/>
          <w:bCs w:val="0"/>
          <w:color w:val="auto"/>
          <w:sz w:val="24"/>
          <w:szCs w:val="24"/>
          <w:highlight w:val="none"/>
          <w:lang w:val="en-US" w:eastAsia="zh-CN"/>
        </w:rPr>
        <w:t>七、投标人自主知识产权产品（创新、设计）情况</w:t>
      </w:r>
    </w:p>
    <w:p w14:paraId="14A70B2B">
      <w:pPr>
        <w:pStyle w:val="3"/>
        <w:jc w:val="center"/>
        <w:rPr>
          <w:bCs w:val="0"/>
          <w:color w:val="auto"/>
          <w:sz w:val="24"/>
          <w:szCs w:val="24"/>
          <w:highlight w:val="none"/>
        </w:rPr>
      </w:pPr>
      <w:r>
        <w:rPr>
          <w:rFonts w:hint="eastAsia"/>
          <w:bCs w:val="0"/>
          <w:color w:val="auto"/>
          <w:sz w:val="24"/>
          <w:szCs w:val="24"/>
          <w:highlight w:val="none"/>
        </w:rPr>
        <w:t>投标人认为需要加以说明的其他</w:t>
      </w:r>
      <w:r>
        <w:rPr>
          <w:rFonts w:hint="eastAsia"/>
          <w:bCs w:val="0"/>
          <w:color w:val="auto"/>
          <w:sz w:val="24"/>
          <w:szCs w:val="24"/>
          <w:highlight w:val="none"/>
          <w:lang w:val="en-US" w:eastAsia="zh-CN"/>
        </w:rPr>
        <w:t>公开</w:t>
      </w:r>
      <w:r>
        <w:rPr>
          <w:rFonts w:hint="eastAsia"/>
          <w:bCs w:val="0"/>
          <w:color w:val="auto"/>
          <w:sz w:val="24"/>
          <w:szCs w:val="24"/>
          <w:highlight w:val="none"/>
        </w:rPr>
        <w:t>内容（格式自定）</w:t>
      </w:r>
    </w:p>
    <w:p w14:paraId="42A1D24A">
      <w:pPr>
        <w:rPr>
          <w:rFonts w:eastAsia="黑体"/>
          <w:bCs/>
          <w:color w:val="auto"/>
          <w:highlight w:val="none"/>
        </w:rPr>
      </w:pPr>
    </w:p>
    <w:p w14:paraId="3A918AD7">
      <w:pPr>
        <w:rPr>
          <w:color w:val="auto"/>
          <w:highlight w:val="none"/>
        </w:rPr>
      </w:pPr>
    </w:p>
    <w:p w14:paraId="22B1B989">
      <w:pPr>
        <w:rPr>
          <w:color w:val="auto"/>
          <w:highlight w:val="none"/>
        </w:rPr>
      </w:pPr>
    </w:p>
    <w:p w14:paraId="0D211DF9">
      <w:pPr>
        <w:ind w:firstLine="1441" w:firstLineChars="600"/>
        <w:rPr>
          <w:b/>
          <w:color w:val="auto"/>
          <w:highlight w:val="none"/>
        </w:rPr>
      </w:pPr>
      <w:r>
        <w:rPr>
          <w:rFonts w:hint="eastAsia"/>
          <w:b/>
          <w:color w:val="auto"/>
          <w:highlight w:val="none"/>
        </w:rPr>
        <w:t>（信息公开部分的内容到此为止！以下为信息不公开部分。）</w:t>
      </w:r>
    </w:p>
    <w:p w14:paraId="3B07ABED">
      <w:pPr>
        <w:ind w:firstLine="1441" w:firstLineChars="600"/>
        <w:rPr>
          <w:b/>
          <w:color w:val="auto"/>
          <w:highlight w:val="none"/>
        </w:rPr>
      </w:pPr>
    </w:p>
    <w:p w14:paraId="744FF4D3">
      <w:pPr>
        <w:ind w:firstLine="1441" w:firstLineChars="600"/>
        <w:rPr>
          <w:b/>
          <w:color w:val="auto"/>
          <w:highlight w:val="none"/>
        </w:rPr>
      </w:pPr>
    </w:p>
    <w:p w14:paraId="1BFC4D67">
      <w:pPr>
        <w:rPr>
          <w:b/>
          <w:color w:val="auto"/>
          <w:highlight w:val="none"/>
        </w:rPr>
      </w:pPr>
      <w:r>
        <w:rPr>
          <w:b/>
          <w:color w:val="auto"/>
          <w:highlight w:val="none"/>
        </w:rPr>
        <w:br w:type="page"/>
      </w:r>
    </w:p>
    <w:p w14:paraId="6EB93AC6">
      <w:pPr>
        <w:outlineLvl w:val="1"/>
        <w:rPr>
          <w:rFonts w:ascii="宋体" w:hAnsi="宋体"/>
          <w:b/>
          <w:color w:val="auto"/>
          <w:sz w:val="28"/>
          <w:szCs w:val="28"/>
          <w:highlight w:val="none"/>
        </w:rPr>
      </w:pPr>
      <w:r>
        <w:rPr>
          <w:rFonts w:hint="eastAsia" w:ascii="宋体" w:hAnsi="宋体"/>
          <w:b/>
          <w:color w:val="auto"/>
          <w:sz w:val="28"/>
          <w:szCs w:val="28"/>
          <w:highlight w:val="none"/>
        </w:rPr>
        <w:t>投标文件附件（信息不公开部分）</w:t>
      </w:r>
    </w:p>
    <w:p w14:paraId="0160FA66">
      <w:pPr>
        <w:pStyle w:val="3"/>
        <w:jc w:val="center"/>
        <w:rPr>
          <w:rFonts w:ascii="黑体" w:eastAsia="黑体"/>
          <w:b w:val="0"/>
          <w:color w:val="auto"/>
          <w:sz w:val="24"/>
          <w:highlight w:val="none"/>
        </w:rPr>
      </w:pPr>
      <w:r>
        <w:rPr>
          <w:rFonts w:hint="eastAsia" w:ascii="黑体" w:eastAsia="黑体"/>
          <w:bCs w:val="0"/>
          <w:color w:val="auto"/>
          <w:sz w:val="24"/>
          <w:highlight w:val="none"/>
        </w:rPr>
        <w:t>一、</w:t>
      </w:r>
      <w:bookmarkStart w:id="40" w:name="_Hlk72092499"/>
      <w:r>
        <w:rPr>
          <w:rFonts w:hint="eastAsia" w:ascii="黑体" w:eastAsia="黑体"/>
          <w:b w:val="0"/>
          <w:color w:val="auto"/>
          <w:sz w:val="24"/>
          <w:highlight w:val="none"/>
        </w:rPr>
        <w:t>法定代表人（负责人或执行事务合伙人）资格证明书</w:t>
      </w:r>
      <w:bookmarkEnd w:id="40"/>
    </w:p>
    <w:p w14:paraId="774E55A1">
      <w:pPr>
        <w:keepNext w:val="0"/>
        <w:keepLines w:val="0"/>
        <w:pageBreakBefore w:val="0"/>
        <w:widowControl w:val="0"/>
        <w:kinsoku/>
        <w:wordWrap/>
        <w:overflowPunct/>
        <w:topLinePunct w:val="0"/>
        <w:autoSpaceDE/>
        <w:autoSpaceDN/>
        <w:bidi w:val="0"/>
        <w:adjustRightInd/>
        <w:snapToGrid/>
        <w:spacing w:line="340" w:lineRule="exact"/>
        <w:jc w:val="left"/>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致友和保险经纪有限公司：</w:t>
      </w:r>
    </w:p>
    <w:p w14:paraId="697B0AC1">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color w:val="auto"/>
          <w:sz w:val="24"/>
          <w:highlight w:val="none"/>
        </w:rPr>
      </w:pPr>
    </w:p>
    <w:p w14:paraId="4A534C3F">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u w:val="single"/>
        </w:rPr>
      </w:pPr>
      <w:r>
        <w:rPr>
          <w:rFonts w:hint="eastAsia" w:asciiTheme="minorEastAsia" w:hAnsiTheme="minorEastAsia" w:eastAsiaTheme="minorEastAsia" w:cstheme="minorEastAsia"/>
          <w:color w:val="auto"/>
          <w:sz w:val="24"/>
          <w:highlight w:val="none"/>
        </w:rPr>
        <w:t>单位名称：</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rPr>
        <w:softHyphen/>
      </w:r>
      <w:r>
        <w:rPr>
          <w:rFonts w:hint="eastAsia" w:asciiTheme="minorEastAsia" w:hAnsiTheme="minorEastAsia" w:eastAsiaTheme="minorEastAsia" w:cstheme="minorEastAsia"/>
          <w:color w:val="auto"/>
          <w:sz w:val="24"/>
          <w:highlight w:val="none"/>
          <w:u w:val="single"/>
        </w:rPr>
        <w:softHyphen/>
      </w:r>
      <w:r>
        <w:rPr>
          <w:rFonts w:hint="eastAsia" w:asciiTheme="minorEastAsia" w:hAnsiTheme="minorEastAsia" w:eastAsiaTheme="minorEastAsia" w:cstheme="minorEastAsia"/>
          <w:color w:val="auto"/>
          <w:sz w:val="24"/>
          <w:highlight w:val="none"/>
          <w:u w:val="single"/>
        </w:rPr>
        <w:softHyphen/>
      </w:r>
      <w:r>
        <w:rPr>
          <w:rFonts w:hint="eastAsia" w:asciiTheme="minorEastAsia" w:hAnsiTheme="minorEastAsia" w:eastAsiaTheme="minorEastAsia" w:cstheme="minorEastAsia"/>
          <w:color w:val="auto"/>
          <w:sz w:val="24"/>
          <w:highlight w:val="none"/>
          <w:u w:val="single"/>
        </w:rPr>
        <w:softHyphen/>
      </w:r>
      <w:r>
        <w:rPr>
          <w:rFonts w:hint="eastAsia" w:asciiTheme="minorEastAsia" w:hAnsiTheme="minorEastAsia" w:eastAsiaTheme="minorEastAsia" w:cstheme="minorEastAsia"/>
          <w:color w:val="auto"/>
          <w:sz w:val="24"/>
          <w:highlight w:val="none"/>
          <w:u w:val="single"/>
        </w:rPr>
        <w:softHyphen/>
      </w:r>
    </w:p>
    <w:p w14:paraId="7DBD67A4">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地    址：</w:t>
      </w:r>
      <w:r>
        <w:rPr>
          <w:rFonts w:hint="eastAsia" w:asciiTheme="minorEastAsia" w:hAnsiTheme="minorEastAsia" w:eastAsiaTheme="minorEastAsia" w:cstheme="minorEastAsia"/>
          <w:color w:val="auto"/>
          <w:sz w:val="24"/>
          <w:highlight w:val="none"/>
          <w:u w:val="single"/>
          <w:lang w:val="en-US" w:eastAsia="zh-CN"/>
        </w:rPr>
        <w:t xml:space="preserve">                   </w:t>
      </w:r>
    </w:p>
    <w:p w14:paraId="15C5E88D">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姓    名：</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lang w:val="en-US" w:eastAsia="zh-CN"/>
        </w:rPr>
        <w:t xml:space="preserve"> </w:t>
      </w:r>
      <w:r>
        <w:rPr>
          <w:rFonts w:hint="eastAsia" w:asciiTheme="minorEastAsia" w:hAnsiTheme="minorEastAsia" w:eastAsiaTheme="minorEastAsia" w:cstheme="minorEastAsia"/>
          <w:color w:val="auto"/>
          <w:sz w:val="24"/>
          <w:highlight w:val="none"/>
        </w:rPr>
        <w:t>性别：</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lang w:val="en-US" w:eastAsia="zh-CN"/>
        </w:rPr>
        <w:t xml:space="preserve"> </w:t>
      </w:r>
      <w:r>
        <w:rPr>
          <w:rFonts w:hint="eastAsia" w:asciiTheme="minorEastAsia" w:hAnsiTheme="minorEastAsia" w:eastAsiaTheme="minorEastAsia" w:cstheme="minorEastAsia"/>
          <w:color w:val="auto"/>
          <w:sz w:val="24"/>
          <w:highlight w:val="none"/>
        </w:rPr>
        <w:t>年龄：</w:t>
      </w:r>
      <w:r>
        <w:rPr>
          <w:rFonts w:hint="eastAsia" w:asciiTheme="minorEastAsia" w:hAnsiTheme="minorEastAsia" w:eastAsiaTheme="minorEastAsia" w:cstheme="minorEastAsia"/>
          <w:color w:val="auto"/>
          <w:sz w:val="24"/>
          <w:highlight w:val="none"/>
          <w:u w:val="single"/>
          <w:lang w:val="en-US" w:eastAsia="zh-CN"/>
        </w:rPr>
        <w:t xml:space="preserve">          </w:t>
      </w:r>
    </w:p>
    <w:p w14:paraId="16E6D7AE">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身份证号码：</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rPr>
        <w:t>职务：</w:t>
      </w:r>
      <w:r>
        <w:rPr>
          <w:rFonts w:hint="eastAsia" w:asciiTheme="minorEastAsia" w:hAnsiTheme="minorEastAsia" w:eastAsiaTheme="minorEastAsia" w:cstheme="minorEastAsia"/>
          <w:color w:val="auto"/>
          <w:sz w:val="24"/>
          <w:highlight w:val="none"/>
          <w:u w:val="single"/>
          <w:lang w:val="en-US" w:eastAsia="zh-CN"/>
        </w:rPr>
        <w:t xml:space="preserve">                   </w:t>
      </w:r>
    </w:p>
    <w:p w14:paraId="241FFD5A">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lang w:val="en-US" w:eastAsia="zh-CN"/>
        </w:rPr>
        <w:t>联系电话或手机号码</w:t>
      </w:r>
      <w:r>
        <w:rPr>
          <w:rFonts w:hint="eastAsia" w:asciiTheme="minorEastAsia" w:hAnsiTheme="minorEastAsia" w:eastAsiaTheme="minorEastAsia" w:cstheme="minorEastAsia"/>
          <w:color w:val="auto"/>
          <w:sz w:val="24"/>
          <w:highlight w:val="none"/>
          <w:u w:val="single"/>
          <w:lang w:val="en-US" w:eastAsia="zh-CN"/>
        </w:rPr>
        <w:t>：（如法定代表人为投标人代表，则必须需填写此项）</w:t>
      </w:r>
      <w:r>
        <w:rPr>
          <w:rFonts w:hint="eastAsia" w:asciiTheme="minorEastAsia" w:hAnsiTheme="minorEastAsia" w:eastAsiaTheme="minorEastAsia" w:cstheme="minorEastAsia"/>
          <w:color w:val="auto"/>
          <w:sz w:val="24"/>
          <w:highlight w:val="none"/>
          <w:lang w:val="en-US" w:eastAsia="zh-CN"/>
        </w:rPr>
        <w:t>。</w:t>
      </w:r>
    </w:p>
    <w:p w14:paraId="06205DBB">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我系</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rPr>
        <w:t>投标人名称</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rPr>
        <w:t>的法定代表人（</w:t>
      </w:r>
      <w:r>
        <w:rPr>
          <w:rFonts w:hint="eastAsia" w:asciiTheme="minorEastAsia" w:hAnsiTheme="minorEastAsia" w:eastAsiaTheme="minorEastAsia" w:cstheme="minorEastAsia"/>
          <w:color w:val="auto"/>
          <w:sz w:val="24"/>
          <w:highlight w:val="none"/>
          <w:lang w:eastAsia="zh-CN"/>
        </w:rPr>
        <w:t>负责人或执行事务合伙人</w:t>
      </w:r>
      <w:r>
        <w:rPr>
          <w:rFonts w:hint="eastAsia" w:asciiTheme="minorEastAsia" w:hAnsiTheme="minorEastAsia" w:eastAsiaTheme="minorEastAsia" w:cstheme="minorEastAsia"/>
          <w:color w:val="auto"/>
          <w:sz w:val="24"/>
          <w:highlight w:val="none"/>
        </w:rPr>
        <w:t>）。本证明书用于</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lang w:eastAsia="zh-CN"/>
        </w:rPr>
        <w:t>投标人</w:t>
      </w:r>
      <w:r>
        <w:rPr>
          <w:rFonts w:hint="eastAsia" w:asciiTheme="minorEastAsia" w:hAnsiTheme="minorEastAsia" w:eastAsiaTheme="minorEastAsia" w:cstheme="minorEastAsia"/>
          <w:color w:val="auto"/>
          <w:sz w:val="24"/>
          <w:highlight w:val="none"/>
          <w:u w:val="single"/>
        </w:rPr>
        <w:t>名称</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rPr>
        <w:t>签署</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lang w:eastAsia="zh-CN"/>
        </w:rPr>
        <w:t>2025年通信线缆维护</w:t>
      </w:r>
      <w:r>
        <w:rPr>
          <w:rFonts w:hint="eastAsia" w:asciiTheme="minorEastAsia" w:hAnsiTheme="minorEastAsia" w:eastAsiaTheme="minorEastAsia" w:cstheme="minorEastAsia"/>
          <w:color w:val="auto"/>
          <w:sz w:val="24"/>
          <w:highlight w:val="none"/>
          <w:u w:val="single"/>
        </w:rPr>
        <w:t>（项目编号</w:t>
      </w:r>
      <w:r>
        <w:rPr>
          <w:rFonts w:hint="eastAsia" w:asciiTheme="minorEastAsia" w:hAnsiTheme="minorEastAsia" w:eastAsiaTheme="minorEastAsia" w:cstheme="minorEastAsia"/>
          <w:color w:val="auto"/>
          <w:sz w:val="24"/>
          <w:highlight w:val="none"/>
          <w:u w:val="single"/>
          <w:lang w:eastAsia="zh-CN"/>
        </w:rPr>
        <w:t>：SZDL2025000623</w:t>
      </w:r>
      <w:r>
        <w:rPr>
          <w:rFonts w:hint="eastAsia" w:asciiTheme="minorEastAsia" w:hAnsiTheme="minorEastAsia" w:eastAsiaTheme="minorEastAsia" w:cstheme="minorEastAsia"/>
          <w:color w:val="auto"/>
          <w:sz w:val="24"/>
          <w:highlight w:val="none"/>
          <w:u w:val="single"/>
        </w:rPr>
        <w:t>）</w:t>
      </w:r>
      <w:r>
        <w:rPr>
          <w:rFonts w:hint="eastAsia" w:asciiTheme="minorEastAsia" w:hAnsiTheme="minorEastAsia" w:eastAsiaTheme="minorEastAsia" w:cstheme="minorEastAsia"/>
          <w:color w:val="auto"/>
          <w:sz w:val="24"/>
          <w:highlight w:val="none"/>
        </w:rPr>
        <w:t>项目的投标文件、进行合同投标、签署合同和处理与之有关的一切事务。</w:t>
      </w:r>
    </w:p>
    <w:p w14:paraId="79A99CCF">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特此证明。</w:t>
      </w:r>
    </w:p>
    <w:p w14:paraId="5979DEA8">
      <w:pPr>
        <w:keepNext w:val="0"/>
        <w:keepLines w:val="0"/>
        <w:pageBreakBefore w:val="0"/>
        <w:widowControl w:val="0"/>
        <w:kinsoku/>
        <w:wordWrap/>
        <w:overflowPunct/>
        <w:topLinePunct w:val="0"/>
        <w:autoSpaceDE/>
        <w:autoSpaceDN/>
        <w:bidi w:val="0"/>
        <w:adjustRightInd/>
        <w:snapToGrid/>
        <w:spacing w:line="34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日  期：</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年</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月</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日</w:t>
      </w:r>
    </w:p>
    <w:p w14:paraId="39BEE31F">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bCs/>
          <w:color w:val="auto"/>
          <w:sz w:val="24"/>
          <w:highlight w:val="none"/>
        </w:rPr>
      </w:pPr>
      <w:r>
        <w:rPr>
          <w:rFonts w:hint="eastAsia" w:asciiTheme="minorEastAsia" w:hAnsiTheme="minorEastAsia" w:eastAsiaTheme="minorEastAsia" w:cstheme="minorEastAsia"/>
          <w:color w:val="auto"/>
          <w:highlight w:val="none"/>
        </w:rPr>
        <mc:AlternateContent>
          <mc:Choice Requires="wps">
            <w:drawing>
              <wp:anchor distT="0" distB="0" distL="114300" distR="114300" simplePos="0" relativeHeight="251660288" behindDoc="0" locked="0" layoutInCell="1" allowOverlap="1">
                <wp:simplePos x="0" y="0"/>
                <wp:positionH relativeFrom="column">
                  <wp:posOffset>2999740</wp:posOffset>
                </wp:positionH>
                <wp:positionV relativeFrom="paragraph">
                  <wp:posOffset>113030</wp:posOffset>
                </wp:positionV>
                <wp:extent cx="2782570" cy="1920875"/>
                <wp:effectExtent l="5080" t="4445" r="12700" b="17780"/>
                <wp:wrapNone/>
                <wp:docPr id="2" name="文本框 2"/>
                <wp:cNvGraphicFramePr/>
                <a:graphic xmlns:a="http://schemas.openxmlformats.org/drawingml/2006/main">
                  <a:graphicData uri="http://schemas.microsoft.com/office/word/2010/wordprocessingShape">
                    <wps:wsp>
                      <wps:cNvSpPr txBox="1"/>
                      <wps:spPr>
                        <a:xfrm>
                          <a:off x="0" y="0"/>
                          <a:ext cx="2782570" cy="19208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97AFEFE">
                            <w:pPr>
                              <w:widowControl/>
                              <w:jc w:val="left"/>
                              <w:rPr>
                                <w:rFonts w:ascii="宋体" w:hAnsi="宋体" w:cs="宋体"/>
                                <w:kern w:val="0"/>
                                <w:sz w:val="24"/>
                              </w:rPr>
                            </w:pPr>
                          </w:p>
                          <w:p w14:paraId="1DD07E6B">
                            <w:pPr>
                              <w:widowControl/>
                              <w:jc w:val="left"/>
                            </w:pPr>
                          </w:p>
                          <w:p w14:paraId="72FA4A9B">
                            <w:pPr>
                              <w:jc w:val="center"/>
                              <w:rPr>
                                <w:rFonts w:hint="eastAsia" w:ascii="仿宋" w:hAnsi="仿宋" w:eastAsia="仿宋" w:cs="仿宋"/>
                                <w:bCs/>
                                <w:sz w:val="22"/>
                                <w:szCs w:val="22"/>
                              </w:rPr>
                            </w:pPr>
                            <w:r>
                              <w:rPr>
                                <w:rFonts w:hint="eastAsia" w:ascii="仿宋" w:hAnsi="仿宋" w:eastAsia="仿宋" w:cs="仿宋"/>
                                <w:bCs/>
                                <w:sz w:val="22"/>
                                <w:szCs w:val="22"/>
                              </w:rPr>
                              <w:t>法定代表人（</w:t>
                            </w:r>
                            <w:r>
                              <w:rPr>
                                <w:rFonts w:hint="eastAsia" w:ascii="仿宋" w:hAnsi="仿宋" w:eastAsia="仿宋" w:cs="仿宋"/>
                                <w:bCs/>
                                <w:sz w:val="22"/>
                                <w:szCs w:val="22"/>
                                <w:lang w:eastAsia="zh-CN"/>
                              </w:rPr>
                              <w:t>负责人或执行事务合伙人</w:t>
                            </w:r>
                            <w:r>
                              <w:rPr>
                                <w:rFonts w:hint="eastAsia" w:ascii="仿宋" w:hAnsi="仿宋" w:eastAsia="仿宋" w:cs="仿宋"/>
                                <w:bCs/>
                                <w:sz w:val="22"/>
                                <w:szCs w:val="22"/>
                              </w:rPr>
                              <w:t>）</w:t>
                            </w:r>
                          </w:p>
                          <w:p w14:paraId="4CBAC21B">
                            <w:pPr>
                              <w:jc w:val="center"/>
                              <w:rPr>
                                <w:rFonts w:hint="eastAsia" w:ascii="仿宋" w:hAnsi="仿宋" w:eastAsia="仿宋" w:cs="仿宋"/>
                                <w:bCs/>
                                <w:sz w:val="28"/>
                                <w:szCs w:val="28"/>
                              </w:rPr>
                            </w:pPr>
                            <w:r>
                              <w:rPr>
                                <w:rFonts w:hint="eastAsia" w:ascii="仿宋" w:hAnsi="仿宋" w:eastAsia="仿宋" w:cs="仿宋"/>
                                <w:bCs/>
                                <w:sz w:val="28"/>
                                <w:szCs w:val="28"/>
                              </w:rPr>
                              <w:t>身份证反面</w:t>
                            </w:r>
                          </w:p>
                        </w:txbxContent>
                      </wps:txbx>
                      <wps:bodyPr vert="horz" wrap="square" anchor="t" anchorCtr="0" upright="1"/>
                    </wps:wsp>
                  </a:graphicData>
                </a:graphic>
              </wp:anchor>
            </w:drawing>
          </mc:Choice>
          <mc:Fallback>
            <w:pict>
              <v:shape id="_x0000_s1026" o:spid="_x0000_s1026" o:spt="202" type="#_x0000_t202" style="position:absolute;left:0pt;margin-left:236.2pt;margin-top:8.9pt;height:151.25pt;width:219.1pt;z-index:251660288;mso-width-relative:page;mso-height-relative:page;" fillcolor="#FFFFFF" filled="t" stroked="t" coordsize="21600,21600" o:gfxdata="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UHQ1S2QAAAAoBAAAPAAAAAAAAAAEAIAAAACIAAABkcnMvZG93bnJldi54bWxQ&#10;SwECFAAUAAAACACHTuJA0Ql06i8CAAB4BAAADgAAAAAAAAABACAAAAAoAQAAZHJzL2Uyb0RvYy54&#10;bWxQSwUGAAAAAAYABgBZAQAAyQUAAAAA&#10;">
                <v:fill on="t" focussize="0,0"/>
                <v:stroke color="#000000" joinstyle="miter"/>
                <v:imagedata o:title=""/>
                <o:lock v:ext="edit" aspectratio="f"/>
                <v:textbox>
                  <w:txbxContent>
                    <w:p w14:paraId="097AFEFE">
                      <w:pPr>
                        <w:widowControl/>
                        <w:jc w:val="left"/>
                        <w:rPr>
                          <w:rFonts w:ascii="宋体" w:hAnsi="宋体" w:cs="宋体"/>
                          <w:kern w:val="0"/>
                          <w:sz w:val="24"/>
                        </w:rPr>
                      </w:pPr>
                    </w:p>
                    <w:p w14:paraId="1DD07E6B">
                      <w:pPr>
                        <w:widowControl/>
                        <w:jc w:val="left"/>
                      </w:pPr>
                    </w:p>
                    <w:p w14:paraId="72FA4A9B">
                      <w:pPr>
                        <w:jc w:val="center"/>
                        <w:rPr>
                          <w:rFonts w:hint="eastAsia" w:ascii="仿宋" w:hAnsi="仿宋" w:eastAsia="仿宋" w:cs="仿宋"/>
                          <w:bCs/>
                          <w:sz w:val="22"/>
                          <w:szCs w:val="22"/>
                        </w:rPr>
                      </w:pPr>
                      <w:r>
                        <w:rPr>
                          <w:rFonts w:hint="eastAsia" w:ascii="仿宋" w:hAnsi="仿宋" w:eastAsia="仿宋" w:cs="仿宋"/>
                          <w:bCs/>
                          <w:sz w:val="22"/>
                          <w:szCs w:val="22"/>
                        </w:rPr>
                        <w:t>法定代表人（</w:t>
                      </w:r>
                      <w:r>
                        <w:rPr>
                          <w:rFonts w:hint="eastAsia" w:ascii="仿宋" w:hAnsi="仿宋" w:eastAsia="仿宋" w:cs="仿宋"/>
                          <w:bCs/>
                          <w:sz w:val="22"/>
                          <w:szCs w:val="22"/>
                          <w:lang w:eastAsia="zh-CN"/>
                        </w:rPr>
                        <w:t>负责人或执行事务合伙人</w:t>
                      </w:r>
                      <w:r>
                        <w:rPr>
                          <w:rFonts w:hint="eastAsia" w:ascii="仿宋" w:hAnsi="仿宋" w:eastAsia="仿宋" w:cs="仿宋"/>
                          <w:bCs/>
                          <w:sz w:val="22"/>
                          <w:szCs w:val="22"/>
                        </w:rPr>
                        <w:t>）</w:t>
                      </w:r>
                    </w:p>
                    <w:p w14:paraId="4CBAC21B">
                      <w:pPr>
                        <w:jc w:val="center"/>
                        <w:rPr>
                          <w:rFonts w:hint="eastAsia" w:ascii="仿宋" w:hAnsi="仿宋" w:eastAsia="仿宋" w:cs="仿宋"/>
                          <w:bCs/>
                          <w:sz w:val="28"/>
                          <w:szCs w:val="28"/>
                        </w:rPr>
                      </w:pPr>
                      <w:r>
                        <w:rPr>
                          <w:rFonts w:hint="eastAsia" w:ascii="仿宋" w:hAnsi="仿宋" w:eastAsia="仿宋" w:cs="仿宋"/>
                          <w:bCs/>
                          <w:sz w:val="28"/>
                          <w:szCs w:val="28"/>
                        </w:rPr>
                        <w:t>身份证反面</w:t>
                      </w:r>
                    </w:p>
                  </w:txbxContent>
                </v:textbox>
              </v:shape>
            </w:pict>
          </mc:Fallback>
        </mc:AlternateContent>
      </w:r>
      <w:r>
        <w:rPr>
          <w:rFonts w:hint="eastAsia" w:asciiTheme="minorEastAsia" w:hAnsiTheme="minorEastAsia" w:eastAsiaTheme="minorEastAsia" w:cstheme="minorEastAsia"/>
          <w:color w:val="auto"/>
          <w:highlight w:val="none"/>
        </w:rPr>
        <mc:AlternateContent>
          <mc:Choice Requires="wps">
            <w:drawing>
              <wp:anchor distT="0" distB="0" distL="114300" distR="114300" simplePos="0" relativeHeight="251659264" behindDoc="0" locked="0" layoutInCell="1" allowOverlap="1">
                <wp:simplePos x="0" y="0"/>
                <wp:positionH relativeFrom="column">
                  <wp:posOffset>1905</wp:posOffset>
                </wp:positionH>
                <wp:positionV relativeFrom="paragraph">
                  <wp:posOffset>109855</wp:posOffset>
                </wp:positionV>
                <wp:extent cx="2830830" cy="1920875"/>
                <wp:effectExtent l="5080" t="4445" r="21590" b="17780"/>
                <wp:wrapNone/>
                <wp:docPr id="5" name="文本框 5"/>
                <wp:cNvGraphicFramePr/>
                <a:graphic xmlns:a="http://schemas.openxmlformats.org/drawingml/2006/main">
                  <a:graphicData uri="http://schemas.microsoft.com/office/word/2010/wordprocessingShape">
                    <wps:wsp>
                      <wps:cNvSpPr txBox="1"/>
                      <wps:spPr>
                        <a:xfrm>
                          <a:off x="0" y="0"/>
                          <a:ext cx="2830830" cy="19208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BA4B23D">
                            <w:pPr>
                              <w:widowControl/>
                              <w:jc w:val="left"/>
                              <w:rPr>
                                <w:rFonts w:ascii="宋体" w:hAnsi="宋体" w:cs="宋体"/>
                                <w:kern w:val="0"/>
                                <w:sz w:val="24"/>
                              </w:rPr>
                            </w:pPr>
                          </w:p>
                          <w:p w14:paraId="61E16A8C">
                            <w:pPr>
                              <w:widowControl/>
                              <w:jc w:val="left"/>
                            </w:pPr>
                          </w:p>
                          <w:p w14:paraId="17A69E73">
                            <w:pPr>
                              <w:jc w:val="center"/>
                              <w:rPr>
                                <w:rFonts w:hint="eastAsia" w:ascii="仿宋" w:hAnsi="仿宋" w:eastAsia="仿宋" w:cs="仿宋"/>
                                <w:bCs/>
                                <w:sz w:val="22"/>
                                <w:szCs w:val="22"/>
                              </w:rPr>
                            </w:pPr>
                            <w:r>
                              <w:rPr>
                                <w:rFonts w:hint="eastAsia" w:ascii="仿宋" w:hAnsi="仿宋" w:eastAsia="仿宋" w:cs="仿宋"/>
                                <w:bCs/>
                                <w:sz w:val="22"/>
                                <w:szCs w:val="22"/>
                              </w:rPr>
                              <w:t>法定代表人（</w:t>
                            </w:r>
                            <w:r>
                              <w:rPr>
                                <w:rFonts w:hint="eastAsia" w:ascii="仿宋" w:hAnsi="仿宋" w:eastAsia="仿宋" w:cs="仿宋"/>
                                <w:bCs/>
                                <w:sz w:val="22"/>
                                <w:szCs w:val="22"/>
                                <w:lang w:eastAsia="zh-CN"/>
                              </w:rPr>
                              <w:t>负责人或执行事务合伙人</w:t>
                            </w:r>
                            <w:r>
                              <w:rPr>
                                <w:rFonts w:hint="eastAsia" w:ascii="仿宋" w:hAnsi="仿宋" w:eastAsia="仿宋" w:cs="仿宋"/>
                                <w:bCs/>
                                <w:sz w:val="22"/>
                                <w:szCs w:val="22"/>
                              </w:rPr>
                              <w:t>）</w:t>
                            </w:r>
                          </w:p>
                          <w:p w14:paraId="14DF2BFB">
                            <w:pPr>
                              <w:jc w:val="center"/>
                              <w:rPr>
                                <w:rFonts w:hint="eastAsia" w:ascii="仿宋" w:hAnsi="仿宋" w:eastAsia="仿宋" w:cs="仿宋"/>
                                <w:sz w:val="22"/>
                                <w:szCs w:val="28"/>
                              </w:rPr>
                            </w:pPr>
                            <w:r>
                              <w:rPr>
                                <w:rFonts w:hint="eastAsia" w:ascii="仿宋" w:hAnsi="仿宋" w:eastAsia="仿宋" w:cs="仿宋"/>
                                <w:bCs/>
                                <w:sz w:val="28"/>
                                <w:szCs w:val="28"/>
                              </w:rPr>
                              <w:t>身份证</w:t>
                            </w:r>
                            <w:r>
                              <w:rPr>
                                <w:rFonts w:hint="eastAsia" w:ascii="仿宋" w:hAnsi="仿宋" w:eastAsia="仿宋" w:cs="仿宋"/>
                                <w:sz w:val="28"/>
                                <w:szCs w:val="36"/>
                              </w:rPr>
                              <w:t>正面</w:t>
                            </w:r>
                          </w:p>
                        </w:txbxContent>
                      </wps:txbx>
                      <wps:bodyPr vert="horz" wrap="square" anchor="t" anchorCtr="0" upright="1"/>
                    </wps:wsp>
                  </a:graphicData>
                </a:graphic>
              </wp:anchor>
            </w:drawing>
          </mc:Choice>
          <mc:Fallback>
            <w:pict>
              <v:shape id="_x0000_s1026" o:spid="_x0000_s1026" o:spt="202" type="#_x0000_t202" style="position:absolute;left:0pt;margin-left:0.15pt;margin-top:8.65pt;height:151.25pt;width:222.9pt;z-index:251659264;mso-width-relative:page;mso-height-relative:page;" fillcolor="#FFFFFF" filled="t" stroked="t" coordsize="21600,21600" o:gfxdata="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VMnmr1QAAAAcBAAAPAAAAAAAAAAEAIAAAACIAAABkcnMvZG93bnJldi54bWxQSwEC&#10;FAAUAAAACACHTuJAFt58ZDACAAB4BAAADgAAAAAAAAABACAAAAAkAQAAZHJzL2Uyb0RvYy54bWxQ&#10;SwUGAAAAAAYABgBZAQAAxgUAAAAA&#10;">
                <v:fill on="t" focussize="0,0"/>
                <v:stroke color="#000000" joinstyle="miter"/>
                <v:imagedata o:title=""/>
                <o:lock v:ext="edit" aspectratio="f"/>
                <v:textbox>
                  <w:txbxContent>
                    <w:p w14:paraId="4BA4B23D">
                      <w:pPr>
                        <w:widowControl/>
                        <w:jc w:val="left"/>
                        <w:rPr>
                          <w:rFonts w:ascii="宋体" w:hAnsi="宋体" w:cs="宋体"/>
                          <w:kern w:val="0"/>
                          <w:sz w:val="24"/>
                        </w:rPr>
                      </w:pPr>
                    </w:p>
                    <w:p w14:paraId="61E16A8C">
                      <w:pPr>
                        <w:widowControl/>
                        <w:jc w:val="left"/>
                      </w:pPr>
                    </w:p>
                    <w:p w14:paraId="17A69E73">
                      <w:pPr>
                        <w:jc w:val="center"/>
                        <w:rPr>
                          <w:rFonts w:hint="eastAsia" w:ascii="仿宋" w:hAnsi="仿宋" w:eastAsia="仿宋" w:cs="仿宋"/>
                          <w:bCs/>
                          <w:sz w:val="22"/>
                          <w:szCs w:val="22"/>
                        </w:rPr>
                      </w:pPr>
                      <w:r>
                        <w:rPr>
                          <w:rFonts w:hint="eastAsia" w:ascii="仿宋" w:hAnsi="仿宋" w:eastAsia="仿宋" w:cs="仿宋"/>
                          <w:bCs/>
                          <w:sz w:val="22"/>
                          <w:szCs w:val="22"/>
                        </w:rPr>
                        <w:t>法定代表人（</w:t>
                      </w:r>
                      <w:r>
                        <w:rPr>
                          <w:rFonts w:hint="eastAsia" w:ascii="仿宋" w:hAnsi="仿宋" w:eastAsia="仿宋" w:cs="仿宋"/>
                          <w:bCs/>
                          <w:sz w:val="22"/>
                          <w:szCs w:val="22"/>
                          <w:lang w:eastAsia="zh-CN"/>
                        </w:rPr>
                        <w:t>负责人或执行事务合伙人</w:t>
                      </w:r>
                      <w:r>
                        <w:rPr>
                          <w:rFonts w:hint="eastAsia" w:ascii="仿宋" w:hAnsi="仿宋" w:eastAsia="仿宋" w:cs="仿宋"/>
                          <w:bCs/>
                          <w:sz w:val="22"/>
                          <w:szCs w:val="22"/>
                        </w:rPr>
                        <w:t>）</w:t>
                      </w:r>
                    </w:p>
                    <w:p w14:paraId="14DF2BFB">
                      <w:pPr>
                        <w:jc w:val="center"/>
                        <w:rPr>
                          <w:rFonts w:hint="eastAsia" w:ascii="仿宋" w:hAnsi="仿宋" w:eastAsia="仿宋" w:cs="仿宋"/>
                          <w:sz w:val="22"/>
                          <w:szCs w:val="28"/>
                        </w:rPr>
                      </w:pPr>
                      <w:r>
                        <w:rPr>
                          <w:rFonts w:hint="eastAsia" w:ascii="仿宋" w:hAnsi="仿宋" w:eastAsia="仿宋" w:cs="仿宋"/>
                          <w:bCs/>
                          <w:sz w:val="28"/>
                          <w:szCs w:val="28"/>
                        </w:rPr>
                        <w:t>身份证</w:t>
                      </w:r>
                      <w:r>
                        <w:rPr>
                          <w:rFonts w:hint="eastAsia" w:ascii="仿宋" w:hAnsi="仿宋" w:eastAsia="仿宋" w:cs="仿宋"/>
                          <w:sz w:val="28"/>
                          <w:szCs w:val="36"/>
                        </w:rPr>
                        <w:t>正面</w:t>
                      </w:r>
                    </w:p>
                  </w:txbxContent>
                </v:textbox>
              </v:shape>
            </w:pict>
          </mc:Fallback>
        </mc:AlternateContent>
      </w:r>
    </w:p>
    <w:p w14:paraId="6698D4B3">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bCs/>
          <w:color w:val="auto"/>
          <w:sz w:val="24"/>
          <w:highlight w:val="none"/>
        </w:rPr>
      </w:pPr>
    </w:p>
    <w:p w14:paraId="31A7281E">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bCs/>
          <w:color w:val="auto"/>
          <w:sz w:val="24"/>
          <w:highlight w:val="none"/>
        </w:rPr>
      </w:pPr>
    </w:p>
    <w:p w14:paraId="4C076DB9">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bCs/>
          <w:color w:val="auto"/>
          <w:sz w:val="24"/>
          <w:highlight w:val="none"/>
        </w:rPr>
      </w:pPr>
    </w:p>
    <w:p w14:paraId="47539C24">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color w:val="auto"/>
          <w:sz w:val="24"/>
          <w:highlight w:val="none"/>
        </w:rPr>
      </w:pPr>
    </w:p>
    <w:p w14:paraId="6FA9B9E0">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color w:val="auto"/>
          <w:sz w:val="24"/>
          <w:highlight w:val="none"/>
        </w:rPr>
      </w:pPr>
    </w:p>
    <w:p w14:paraId="52837E55">
      <w:pPr>
        <w:keepNext w:val="0"/>
        <w:keepLines w:val="0"/>
        <w:pageBreakBefore w:val="0"/>
        <w:kinsoku/>
        <w:wordWrap/>
        <w:overflowPunct/>
        <w:topLinePunct w:val="0"/>
        <w:autoSpaceDE/>
        <w:autoSpaceDN/>
        <w:bidi w:val="0"/>
        <w:adjustRightInd/>
        <w:spacing w:after="60" w:line="340" w:lineRule="exact"/>
        <w:textAlignment w:val="auto"/>
        <w:rPr>
          <w:rFonts w:hint="eastAsia" w:asciiTheme="minorEastAsia" w:hAnsiTheme="minorEastAsia" w:eastAsiaTheme="minorEastAsia" w:cstheme="minorEastAsia"/>
          <w:color w:val="auto"/>
          <w:sz w:val="24"/>
          <w:highlight w:val="none"/>
        </w:rPr>
      </w:pPr>
    </w:p>
    <w:p w14:paraId="69A24D83">
      <w:pPr>
        <w:keepNext w:val="0"/>
        <w:keepLines w:val="0"/>
        <w:pageBreakBefore w:val="0"/>
        <w:kinsoku/>
        <w:wordWrap/>
        <w:overflowPunct/>
        <w:topLinePunct w:val="0"/>
        <w:autoSpaceDE/>
        <w:autoSpaceDN/>
        <w:bidi w:val="0"/>
        <w:adjustRightInd/>
        <w:spacing w:line="340" w:lineRule="exact"/>
        <w:textAlignment w:val="auto"/>
        <w:rPr>
          <w:rFonts w:hint="eastAsia" w:asciiTheme="minorEastAsia" w:hAnsiTheme="minorEastAsia" w:eastAsiaTheme="minorEastAsia" w:cstheme="minorEastAsia"/>
          <w:color w:val="auto"/>
          <w:sz w:val="24"/>
          <w:highlight w:val="none"/>
        </w:rPr>
      </w:pPr>
    </w:p>
    <w:p w14:paraId="536E3FE1">
      <w:pPr>
        <w:keepNext w:val="0"/>
        <w:keepLines w:val="0"/>
        <w:pageBreakBefore w:val="0"/>
        <w:kinsoku/>
        <w:wordWrap/>
        <w:overflowPunct/>
        <w:topLinePunct w:val="0"/>
        <w:autoSpaceDE/>
        <w:autoSpaceDN/>
        <w:bidi w:val="0"/>
        <w:adjustRightInd/>
        <w:spacing w:line="340" w:lineRule="exact"/>
        <w:jc w:val="center"/>
        <w:textAlignment w:val="auto"/>
        <w:rPr>
          <w:rFonts w:hint="eastAsia" w:asciiTheme="minorEastAsia" w:hAnsiTheme="minorEastAsia" w:eastAsiaTheme="minorEastAsia" w:cstheme="minorEastAsia"/>
          <w:b/>
          <w:bCs/>
          <w:color w:val="auto"/>
          <w:sz w:val="24"/>
          <w:highlight w:val="none"/>
        </w:rPr>
      </w:pPr>
    </w:p>
    <w:p w14:paraId="06D1FFE4">
      <w:pPr>
        <w:keepNext w:val="0"/>
        <w:keepLines w:val="0"/>
        <w:pageBreakBefore w:val="0"/>
        <w:kinsoku/>
        <w:wordWrap/>
        <w:overflowPunct/>
        <w:topLinePunct w:val="0"/>
        <w:autoSpaceDE/>
        <w:autoSpaceDN/>
        <w:bidi w:val="0"/>
        <w:adjustRightInd/>
        <w:snapToGrid w:val="0"/>
        <w:spacing w:line="340" w:lineRule="exact"/>
        <w:ind w:left="840" w:hanging="840" w:hangingChars="350"/>
        <w:textAlignment w:val="auto"/>
        <w:rPr>
          <w:rFonts w:hint="eastAsia" w:asciiTheme="minorEastAsia" w:hAnsiTheme="minorEastAsia" w:eastAsiaTheme="minorEastAsia" w:cstheme="minorEastAsia"/>
          <w:bCs/>
          <w:color w:val="auto"/>
          <w:sz w:val="24"/>
          <w:highlight w:val="none"/>
        </w:rPr>
      </w:pPr>
      <w:r>
        <w:rPr>
          <w:rFonts w:hint="eastAsia" w:asciiTheme="minorEastAsia" w:hAnsiTheme="minorEastAsia" w:eastAsiaTheme="minorEastAsia" w:cstheme="minorEastAsia"/>
          <w:bCs/>
          <w:color w:val="auto"/>
          <w:sz w:val="24"/>
          <w:highlight w:val="none"/>
        </w:rPr>
        <w:t>说明：</w:t>
      </w:r>
    </w:p>
    <w:p w14:paraId="0A48C4EB">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eastAsia" w:asciiTheme="minorEastAsia" w:hAnsiTheme="minorEastAsia" w:eastAsiaTheme="minorEastAsia" w:cstheme="minorEastAsia"/>
          <w:bCs/>
          <w:color w:val="auto"/>
          <w:sz w:val="24"/>
          <w:highlight w:val="none"/>
          <w:lang w:eastAsia="zh-CN"/>
        </w:rPr>
      </w:pPr>
      <w:r>
        <w:rPr>
          <w:rFonts w:hint="eastAsia" w:asciiTheme="minorEastAsia" w:hAnsiTheme="minorEastAsia" w:eastAsiaTheme="minorEastAsia" w:cstheme="minorEastAsia"/>
          <w:bCs/>
          <w:color w:val="auto"/>
          <w:sz w:val="24"/>
          <w:highlight w:val="none"/>
        </w:rPr>
        <w:t>1.</w:t>
      </w:r>
      <w:r>
        <w:rPr>
          <w:rFonts w:hint="eastAsia"/>
          <w:color w:val="auto"/>
          <w:szCs w:val="21"/>
          <w:highlight w:val="none"/>
        </w:rPr>
        <w:t>法定代表人（负责人或执行事务合伙人）为投标人（企业事业单位、国家机关、社会团体）的主要行政负责人。</w:t>
      </w:r>
      <w:r>
        <w:rPr>
          <w:rFonts w:hint="eastAsia" w:asciiTheme="minorEastAsia" w:hAnsiTheme="minorEastAsia" w:eastAsiaTheme="minorEastAsia" w:cstheme="minorEastAsia"/>
          <w:bCs/>
          <w:color w:val="auto"/>
          <w:sz w:val="24"/>
          <w:highlight w:val="none"/>
        </w:rPr>
        <w:t>须提供法定代表人（</w:t>
      </w:r>
      <w:r>
        <w:rPr>
          <w:rFonts w:hint="eastAsia" w:asciiTheme="minorEastAsia" w:hAnsiTheme="minorEastAsia" w:eastAsiaTheme="minorEastAsia" w:cstheme="minorEastAsia"/>
          <w:bCs/>
          <w:color w:val="auto"/>
          <w:sz w:val="24"/>
          <w:highlight w:val="none"/>
          <w:lang w:eastAsia="zh-CN"/>
        </w:rPr>
        <w:t>负责人或执行事务合伙人</w:t>
      </w:r>
      <w:r>
        <w:rPr>
          <w:rFonts w:hint="eastAsia" w:asciiTheme="minorEastAsia" w:hAnsiTheme="minorEastAsia" w:eastAsiaTheme="minorEastAsia" w:cstheme="minorEastAsia"/>
          <w:bCs/>
          <w:color w:val="auto"/>
          <w:sz w:val="24"/>
          <w:highlight w:val="none"/>
        </w:rPr>
        <w:t>）的身份证</w:t>
      </w:r>
      <w:r>
        <w:rPr>
          <w:rFonts w:hint="eastAsia" w:asciiTheme="minorEastAsia" w:hAnsiTheme="minorEastAsia" w:eastAsiaTheme="minorEastAsia" w:cstheme="minorEastAsia"/>
          <w:bCs/>
          <w:color w:val="auto"/>
          <w:sz w:val="24"/>
          <w:highlight w:val="none"/>
          <w:lang w:eastAsia="zh-CN"/>
        </w:rPr>
        <w:t>扫描</w:t>
      </w:r>
      <w:r>
        <w:rPr>
          <w:rFonts w:hint="eastAsia" w:asciiTheme="minorEastAsia" w:hAnsiTheme="minorEastAsia" w:eastAsiaTheme="minorEastAsia" w:cstheme="minorEastAsia"/>
          <w:bCs/>
          <w:color w:val="auto"/>
          <w:sz w:val="24"/>
          <w:highlight w:val="none"/>
        </w:rPr>
        <w:t>件</w:t>
      </w:r>
      <w:r>
        <w:rPr>
          <w:rFonts w:hint="eastAsia" w:asciiTheme="minorEastAsia" w:hAnsiTheme="minorEastAsia" w:eastAsiaTheme="minorEastAsia" w:cstheme="minorEastAsia"/>
          <w:bCs/>
          <w:color w:val="auto"/>
          <w:sz w:val="24"/>
          <w:highlight w:val="none"/>
          <w:lang w:eastAsia="zh-CN"/>
        </w:rPr>
        <w:t>；港澳台居民可提供来往通行证扫描</w:t>
      </w:r>
      <w:r>
        <w:rPr>
          <w:rFonts w:hint="eastAsia" w:asciiTheme="minorEastAsia" w:hAnsiTheme="minorEastAsia" w:eastAsiaTheme="minorEastAsia" w:cstheme="minorEastAsia"/>
          <w:bCs/>
          <w:color w:val="auto"/>
          <w:sz w:val="24"/>
          <w:highlight w:val="none"/>
        </w:rPr>
        <w:t>件</w:t>
      </w:r>
      <w:r>
        <w:rPr>
          <w:rFonts w:hint="eastAsia" w:asciiTheme="minorEastAsia" w:hAnsiTheme="minorEastAsia" w:eastAsiaTheme="minorEastAsia" w:cstheme="minorEastAsia"/>
          <w:bCs/>
          <w:color w:val="auto"/>
          <w:sz w:val="24"/>
          <w:highlight w:val="none"/>
          <w:lang w:eastAsia="zh-CN"/>
        </w:rPr>
        <w:t>；非中国国籍管辖范围人员，可提供公安部门认可的身份证明材料扫描</w:t>
      </w:r>
      <w:r>
        <w:rPr>
          <w:rFonts w:hint="eastAsia" w:asciiTheme="minorEastAsia" w:hAnsiTheme="minorEastAsia" w:eastAsiaTheme="minorEastAsia" w:cstheme="minorEastAsia"/>
          <w:bCs/>
          <w:color w:val="auto"/>
          <w:sz w:val="24"/>
          <w:highlight w:val="none"/>
        </w:rPr>
        <w:t>件</w:t>
      </w:r>
      <w:r>
        <w:rPr>
          <w:rFonts w:hint="eastAsia" w:asciiTheme="minorEastAsia" w:hAnsiTheme="minorEastAsia" w:eastAsiaTheme="minorEastAsia" w:cstheme="minorEastAsia"/>
          <w:bCs/>
          <w:color w:val="auto"/>
          <w:sz w:val="24"/>
          <w:highlight w:val="none"/>
          <w:lang w:eastAsia="zh-CN"/>
        </w:rPr>
        <w:t>；</w:t>
      </w:r>
    </w:p>
    <w:p w14:paraId="696B5D56">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eastAsia" w:asciiTheme="minorEastAsia" w:hAnsiTheme="minorEastAsia" w:eastAsiaTheme="minorEastAsia" w:cstheme="minorEastAsia"/>
          <w:bCs/>
          <w:color w:val="auto"/>
          <w:sz w:val="24"/>
          <w:highlight w:val="none"/>
          <w:lang w:val="en-US" w:eastAsia="zh-CN"/>
        </w:rPr>
      </w:pPr>
      <w:r>
        <w:rPr>
          <w:rFonts w:hint="eastAsia" w:asciiTheme="minorEastAsia" w:hAnsiTheme="minorEastAsia" w:eastAsiaTheme="minorEastAsia" w:cstheme="minorEastAsia"/>
          <w:bCs/>
          <w:color w:val="auto"/>
          <w:sz w:val="24"/>
          <w:highlight w:val="none"/>
          <w:lang w:val="en-US" w:eastAsia="zh-CN"/>
        </w:rPr>
        <w:t>2.招投标文件中涉及需法定代表人之处，非法人组织可由负责人或执行事务合伙人执行。</w:t>
      </w:r>
    </w:p>
    <w:p w14:paraId="5EA5E8F2">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eastAsia" w:asciiTheme="minorEastAsia" w:hAnsiTheme="minorEastAsia" w:eastAsiaTheme="minorEastAsia" w:cstheme="minorEastAsia"/>
          <w:bCs/>
          <w:color w:val="auto"/>
          <w:sz w:val="24"/>
          <w:highlight w:val="none"/>
          <w:lang w:val="en-US" w:eastAsia="zh-CN"/>
        </w:rPr>
      </w:pPr>
      <w:r>
        <w:rPr>
          <w:rFonts w:hint="eastAsia" w:asciiTheme="minorEastAsia" w:hAnsiTheme="minorEastAsia" w:eastAsiaTheme="minorEastAsia" w:cstheme="minorEastAsia"/>
          <w:bCs/>
          <w:color w:val="auto"/>
          <w:sz w:val="24"/>
          <w:highlight w:val="none"/>
          <w:lang w:val="en-US" w:eastAsia="zh-CN"/>
        </w:rPr>
        <w:t>3.如是法定代表人（负责人或执行事务合伙人）直接参与投标，必须填写《法定代表人（负责人或执行事务合伙人）资格证明书》，可不用填写《法定代表人（负责人或执行事务合伙人）授权书》。</w:t>
      </w:r>
    </w:p>
    <w:p w14:paraId="1B23A8B4">
      <w:pPr>
        <w:pStyle w:val="6"/>
        <w:keepNext w:val="0"/>
        <w:keepLines w:val="0"/>
        <w:pageBreakBefore w:val="0"/>
        <w:kinsoku/>
        <w:wordWrap/>
        <w:overflowPunct/>
        <w:topLinePunct w:val="0"/>
        <w:autoSpaceDE/>
        <w:autoSpaceDN/>
        <w:bidi w:val="0"/>
        <w:adjustRightInd/>
        <w:spacing w:line="340" w:lineRule="exact"/>
        <w:textAlignment w:val="auto"/>
        <w:rPr>
          <w:rFonts w:hint="eastAsia"/>
          <w:color w:val="auto"/>
          <w:highlight w:val="none"/>
          <w:lang w:val="en-US" w:eastAsia="zh-CN"/>
        </w:rPr>
      </w:pPr>
      <w:r>
        <w:rPr>
          <w:rFonts w:hint="eastAsia" w:eastAsia="宋体"/>
          <w:color w:val="auto"/>
          <w:szCs w:val="21"/>
          <w:highlight w:val="none"/>
          <w:lang w:val="en-US" w:eastAsia="zh-CN"/>
        </w:rPr>
        <w:t>4.</w:t>
      </w:r>
      <w:r>
        <w:rPr>
          <w:rFonts w:hint="eastAsia"/>
          <w:color w:val="auto"/>
          <w:szCs w:val="21"/>
          <w:highlight w:val="none"/>
        </w:rPr>
        <w:t>内容必须填写真实、清</w:t>
      </w:r>
      <w:r>
        <w:rPr>
          <w:rFonts w:hint="eastAsia"/>
          <w:color w:val="auto"/>
          <w:szCs w:val="21"/>
          <w:highlight w:val="none"/>
          <w:lang w:val="en-US" w:eastAsia="zh-CN"/>
        </w:rPr>
        <w:t>楚，涂改无效，不得转让、买卖。</w:t>
      </w:r>
    </w:p>
    <w:p w14:paraId="43963A7E">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eastAsia"/>
          <w:color w:val="auto"/>
          <w:szCs w:val="21"/>
          <w:highlight w:val="none"/>
          <w:lang w:val="en-US" w:eastAsia="zh-CN"/>
        </w:rPr>
      </w:pPr>
      <w:r>
        <w:rPr>
          <w:rFonts w:hint="eastAsia"/>
          <w:b/>
          <w:bCs/>
          <w:color w:val="auto"/>
          <w:szCs w:val="21"/>
          <w:highlight w:val="none"/>
          <w:lang w:val="en-US" w:eastAsia="zh-CN"/>
        </w:rPr>
        <w:t>温馨提示:</w:t>
      </w:r>
      <w:r>
        <w:rPr>
          <w:rFonts w:hint="eastAsia"/>
          <w:color w:val="auto"/>
          <w:szCs w:val="21"/>
          <w:highlight w:val="none"/>
          <w:lang w:val="en-US" w:eastAsia="zh-CN"/>
        </w:rPr>
        <w:t>为避免出现《深圳经济特区政府采购条例实施细则》第七十五条第二项所列情形，请投标供应商核实你单位法定代表人、本项目投标授权代表人、项目负责人、主要技术人员等是否在你公司缴纳社会保险。</w:t>
      </w:r>
    </w:p>
    <w:p w14:paraId="2D8E0529">
      <w:pPr>
        <w:pStyle w:val="6"/>
        <w:rPr>
          <w:color w:val="auto"/>
          <w:highlight w:val="none"/>
        </w:rPr>
      </w:pPr>
    </w:p>
    <w:p w14:paraId="5710BE81">
      <w:pPr>
        <w:rPr>
          <w:color w:val="auto"/>
          <w:highlight w:val="none"/>
        </w:rPr>
      </w:pPr>
    </w:p>
    <w:p w14:paraId="50E1EA7B">
      <w:pPr>
        <w:pStyle w:val="3"/>
        <w:spacing w:before="120" w:after="120"/>
        <w:jc w:val="center"/>
        <w:rPr>
          <w:rFonts w:ascii="黑体" w:eastAsia="黑体"/>
          <w:b w:val="0"/>
          <w:color w:val="auto"/>
          <w:sz w:val="24"/>
          <w:highlight w:val="none"/>
        </w:rPr>
      </w:pPr>
      <w:r>
        <w:rPr>
          <w:rFonts w:hint="eastAsia" w:ascii="黑体" w:eastAsia="黑体"/>
          <w:b w:val="0"/>
          <w:color w:val="auto"/>
          <w:sz w:val="24"/>
          <w:highlight w:val="none"/>
        </w:rPr>
        <w:t>二、投标文件签署授权委托书</w:t>
      </w:r>
    </w:p>
    <w:p w14:paraId="1628C545">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致友和保险经纪有限公司：</w:t>
      </w:r>
    </w:p>
    <w:p w14:paraId="65E4146C">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本授权委托书声明：我</w:t>
      </w:r>
      <w:r>
        <w:rPr>
          <w:rFonts w:hint="eastAsia" w:asciiTheme="minorEastAsia" w:hAnsiTheme="minorEastAsia" w:eastAsiaTheme="minorEastAsia" w:cstheme="minorEastAsia"/>
          <w:color w:val="auto"/>
          <w:sz w:val="24"/>
          <w:highlight w:val="none"/>
          <w:u w:val="single"/>
        </w:rPr>
        <w:t xml:space="preserve"> </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rPr>
        <w:t>姓名</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rPr>
        <w:t>系</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rPr>
        <w:t>投标人名称</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rPr>
        <w:t>的法定代表人（</w:t>
      </w:r>
      <w:r>
        <w:rPr>
          <w:rFonts w:hint="eastAsia" w:asciiTheme="minorEastAsia" w:hAnsiTheme="minorEastAsia" w:eastAsiaTheme="minorEastAsia" w:cstheme="minorEastAsia"/>
          <w:color w:val="auto"/>
          <w:sz w:val="24"/>
          <w:highlight w:val="none"/>
          <w:lang w:eastAsia="zh-CN"/>
        </w:rPr>
        <w:t>负责人或执行事务合伙人</w:t>
      </w:r>
      <w:r>
        <w:rPr>
          <w:rFonts w:hint="eastAsia" w:asciiTheme="minorEastAsia" w:hAnsiTheme="minorEastAsia" w:eastAsiaTheme="minorEastAsia" w:cstheme="minorEastAsia"/>
          <w:color w:val="auto"/>
          <w:sz w:val="24"/>
          <w:highlight w:val="none"/>
        </w:rPr>
        <w:t>），现授权委托</w:t>
      </w:r>
      <w:r>
        <w:rPr>
          <w:rFonts w:hint="eastAsia" w:asciiTheme="minorEastAsia" w:hAnsiTheme="minorEastAsia" w:eastAsiaTheme="minorEastAsia" w:cstheme="minorEastAsia"/>
          <w:color w:val="auto"/>
          <w:sz w:val="24"/>
          <w:highlight w:val="none"/>
          <w:u w:val="single"/>
        </w:rPr>
        <w:t xml:space="preserve"> </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u w:val="single"/>
        </w:rPr>
        <w:t>姓名</w:t>
      </w:r>
      <w:r>
        <w:rPr>
          <w:rFonts w:hint="eastAsia" w:asciiTheme="minorEastAsia" w:hAnsiTheme="minorEastAsia" w:eastAsiaTheme="minorEastAsia" w:cstheme="minorEastAsia"/>
          <w:color w:val="auto"/>
          <w:sz w:val="24"/>
          <w:highlight w:val="none"/>
          <w:u w:val="single"/>
          <w:lang w:val="en-US" w:eastAsia="zh-CN"/>
        </w:rPr>
        <w:t xml:space="preserve">  </w:t>
      </w:r>
      <w:r>
        <w:rPr>
          <w:rFonts w:hint="eastAsia" w:asciiTheme="minorEastAsia" w:hAnsiTheme="minorEastAsia" w:eastAsiaTheme="minorEastAsia" w:cstheme="minorEastAsia"/>
          <w:color w:val="auto"/>
          <w:sz w:val="24"/>
          <w:highlight w:val="none"/>
        </w:rPr>
        <w:t>为我公司签署本项目已递交的投标文件的法定代表人的授权委托代理人，代理人全权代表我所签署的本项目已递交的投标文件内容我均承认。</w:t>
      </w:r>
    </w:p>
    <w:p w14:paraId="1C518257">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代理人无转委托权，特此委托。</w:t>
      </w:r>
    </w:p>
    <w:p w14:paraId="0DA0D024">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rPr>
      </w:pPr>
    </w:p>
    <w:p w14:paraId="2B85DD2B">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代理人：</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性别：</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年龄：</w:t>
      </w:r>
      <w:r>
        <w:rPr>
          <w:rFonts w:hint="eastAsia"/>
          <w:color w:val="auto"/>
          <w:szCs w:val="21"/>
          <w:highlight w:val="none"/>
          <w:u w:val="single"/>
        </w:rPr>
        <w:t xml:space="preserve">                  </w:t>
      </w:r>
    </w:p>
    <w:p w14:paraId="5ABDD1C2">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联系电话：</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手机：</w:t>
      </w:r>
      <w:r>
        <w:rPr>
          <w:rFonts w:hint="eastAsia"/>
          <w:color w:val="auto"/>
          <w:szCs w:val="21"/>
          <w:highlight w:val="none"/>
          <w:u w:val="single"/>
        </w:rPr>
        <w:t xml:space="preserve">                  </w:t>
      </w:r>
    </w:p>
    <w:p w14:paraId="2A7D56F0">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u w:val="single"/>
        </w:rPr>
      </w:pPr>
      <w:r>
        <w:rPr>
          <w:rFonts w:hint="eastAsia" w:asciiTheme="minorEastAsia" w:hAnsiTheme="minorEastAsia" w:eastAsiaTheme="minorEastAsia" w:cstheme="minorEastAsia"/>
          <w:color w:val="auto"/>
          <w:sz w:val="24"/>
          <w:highlight w:val="none"/>
        </w:rPr>
        <w:t>身份证号码：</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职务：</w:t>
      </w:r>
      <w:r>
        <w:rPr>
          <w:rFonts w:hint="eastAsia"/>
          <w:color w:val="auto"/>
          <w:szCs w:val="21"/>
          <w:highlight w:val="none"/>
          <w:u w:val="single"/>
        </w:rPr>
        <w:t xml:space="preserve">                  </w:t>
      </w:r>
    </w:p>
    <w:p w14:paraId="00147313">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sz w:val="24"/>
          <w:highlight w:val="none"/>
        </w:rPr>
      </w:pPr>
    </w:p>
    <w:p w14:paraId="0AF704DC">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color w:val="auto"/>
          <w:kern w:val="0"/>
          <w:sz w:val="24"/>
          <w:highlight w:val="none"/>
          <w:lang w:eastAsia="zh-CN"/>
        </w:rPr>
      </w:pPr>
      <w:r>
        <w:rPr>
          <w:rFonts w:hint="eastAsia" w:asciiTheme="minorEastAsia" w:hAnsiTheme="minorEastAsia" w:eastAsiaTheme="minorEastAsia" w:cstheme="minorEastAsia"/>
          <w:color w:val="auto"/>
          <w:sz w:val="24"/>
          <w:highlight w:val="none"/>
        </w:rPr>
        <w:t>授权委托日期：</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年</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月</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日</w:t>
      </w:r>
      <w:r>
        <w:rPr>
          <w:rFonts w:hint="eastAsia" w:asciiTheme="minorEastAsia" w:hAnsiTheme="minorEastAsia" w:eastAsiaTheme="minorEastAsia" w:cstheme="minorEastAsia"/>
          <w:color w:val="auto"/>
          <w:sz w:val="24"/>
          <w:highlight w:val="none"/>
          <w:lang w:eastAsia="zh-CN"/>
        </w:rPr>
        <w:t>，有效期至</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年</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月</w:t>
      </w:r>
      <w:r>
        <w:rPr>
          <w:rFonts w:hint="eastAsia"/>
          <w:color w:val="auto"/>
          <w:szCs w:val="21"/>
          <w:highlight w:val="none"/>
          <w:u w:val="single"/>
        </w:rPr>
        <w:t xml:space="preserve">      </w:t>
      </w:r>
      <w:r>
        <w:rPr>
          <w:rFonts w:hint="eastAsia" w:asciiTheme="minorEastAsia" w:hAnsiTheme="minorEastAsia" w:eastAsiaTheme="minorEastAsia" w:cstheme="minorEastAsia"/>
          <w:color w:val="auto"/>
          <w:sz w:val="24"/>
          <w:highlight w:val="none"/>
        </w:rPr>
        <w:t>日</w:t>
      </w:r>
      <w:r>
        <w:rPr>
          <w:rFonts w:hint="eastAsia" w:asciiTheme="minorEastAsia" w:hAnsiTheme="minorEastAsia" w:eastAsiaTheme="minorEastAsia" w:cstheme="minorEastAsia"/>
          <w:color w:val="auto"/>
          <w:sz w:val="24"/>
          <w:highlight w:val="none"/>
          <w:lang w:eastAsia="zh-CN"/>
        </w:rPr>
        <w:t>。</w:t>
      </w:r>
    </w:p>
    <w:p w14:paraId="6DDF1E50">
      <w:pPr>
        <w:spacing w:line="360" w:lineRule="auto"/>
        <w:rPr>
          <w:rFonts w:ascii="仿宋" w:hAnsi="仿宋" w:eastAsia="仿宋" w:cs="仿宋"/>
          <w:bCs/>
          <w:color w:val="auto"/>
          <w:sz w:val="24"/>
          <w:highlight w:val="none"/>
        </w:rPr>
      </w:pPr>
      <w:r>
        <w:rPr>
          <w:color w:val="auto"/>
          <w:highlight w:val="none"/>
        </w:rPr>
        <mc:AlternateContent>
          <mc:Choice Requires="wps">
            <w:drawing>
              <wp:anchor distT="0" distB="0" distL="114300" distR="114300" simplePos="0" relativeHeight="251662336" behindDoc="0" locked="0" layoutInCell="1" allowOverlap="1">
                <wp:simplePos x="0" y="0"/>
                <wp:positionH relativeFrom="column">
                  <wp:posOffset>2999740</wp:posOffset>
                </wp:positionH>
                <wp:positionV relativeFrom="paragraph">
                  <wp:posOffset>20955</wp:posOffset>
                </wp:positionV>
                <wp:extent cx="2782570" cy="1920875"/>
                <wp:effectExtent l="5080" t="4445" r="12700" b="17780"/>
                <wp:wrapNone/>
                <wp:docPr id="12" name="文本框 12"/>
                <wp:cNvGraphicFramePr/>
                <a:graphic xmlns:a="http://schemas.openxmlformats.org/drawingml/2006/main">
                  <a:graphicData uri="http://schemas.microsoft.com/office/word/2010/wordprocessingShape">
                    <wps:wsp>
                      <wps:cNvSpPr txBox="1"/>
                      <wps:spPr>
                        <a:xfrm>
                          <a:off x="0" y="0"/>
                          <a:ext cx="2782570" cy="19208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6A9C50A">
                            <w:pPr>
                              <w:widowControl/>
                              <w:jc w:val="left"/>
                              <w:rPr>
                                <w:rFonts w:ascii="宋体" w:hAnsi="宋体" w:cs="宋体"/>
                                <w:kern w:val="0"/>
                                <w:sz w:val="24"/>
                              </w:rPr>
                            </w:pPr>
                          </w:p>
                          <w:p w14:paraId="644055D5">
                            <w:pPr>
                              <w:widowControl/>
                              <w:jc w:val="left"/>
                            </w:pPr>
                          </w:p>
                          <w:p w14:paraId="302FD226">
                            <w:pPr>
                              <w:jc w:val="center"/>
                              <w:rPr>
                                <w:rFonts w:hint="eastAsia" w:ascii="仿宋" w:hAnsi="仿宋" w:eastAsia="仿宋" w:cs="仿宋"/>
                                <w:bCs/>
                                <w:sz w:val="24"/>
                                <w:szCs w:val="24"/>
                              </w:rPr>
                            </w:pPr>
                            <w:r>
                              <w:rPr>
                                <w:rFonts w:hint="eastAsia" w:ascii="仿宋" w:hAnsi="仿宋" w:eastAsia="仿宋" w:cs="仿宋"/>
                                <w:bCs/>
                                <w:sz w:val="24"/>
                                <w:szCs w:val="24"/>
                              </w:rPr>
                              <w:t>被授权人身份证反面</w:t>
                            </w:r>
                          </w:p>
                        </w:txbxContent>
                      </wps:txbx>
                      <wps:bodyPr vert="horz" wrap="square" anchor="t" anchorCtr="0" upright="1"/>
                    </wps:wsp>
                  </a:graphicData>
                </a:graphic>
              </wp:anchor>
            </w:drawing>
          </mc:Choice>
          <mc:Fallback>
            <w:pict>
              <v:shape id="_x0000_s1026" o:spid="_x0000_s1026" o:spt="202" type="#_x0000_t202" style="position:absolute;left:0pt;margin-left:236.2pt;margin-top:1.65pt;height:151.25pt;width:219.1pt;z-index:251662336;mso-width-relative:page;mso-height-relative:page;" fillcolor="#FFFFFF" filled="t" stroked="t" coordsize="21600,21600" o:gfxdata="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H/Z41nYAAAACQEAAA8AAAAAAAAAAQAgAAAAIgAAAGRycy9kb3ducmV2LnhtbFBL&#10;AQIUABQAAAAIAIdO4kBZsc1XLwIAAHoEAAAOAAAAAAAAAAEAIAAAACcBAABkcnMvZTJvRG9jLnht&#10;bFBLBQYAAAAABgAGAFkBAADIBQAAAAA=&#10;">
                <v:fill on="t" focussize="0,0"/>
                <v:stroke color="#000000" joinstyle="miter"/>
                <v:imagedata o:title=""/>
                <o:lock v:ext="edit" aspectratio="f"/>
                <v:textbox>
                  <w:txbxContent>
                    <w:p w14:paraId="76A9C50A">
                      <w:pPr>
                        <w:widowControl/>
                        <w:jc w:val="left"/>
                        <w:rPr>
                          <w:rFonts w:ascii="宋体" w:hAnsi="宋体" w:cs="宋体"/>
                          <w:kern w:val="0"/>
                          <w:sz w:val="24"/>
                        </w:rPr>
                      </w:pPr>
                    </w:p>
                    <w:p w14:paraId="644055D5">
                      <w:pPr>
                        <w:widowControl/>
                        <w:jc w:val="left"/>
                      </w:pPr>
                    </w:p>
                    <w:p w14:paraId="302FD226">
                      <w:pPr>
                        <w:jc w:val="center"/>
                        <w:rPr>
                          <w:rFonts w:hint="eastAsia" w:ascii="仿宋" w:hAnsi="仿宋" w:eastAsia="仿宋" w:cs="仿宋"/>
                          <w:bCs/>
                          <w:sz w:val="24"/>
                          <w:szCs w:val="24"/>
                        </w:rPr>
                      </w:pPr>
                      <w:r>
                        <w:rPr>
                          <w:rFonts w:hint="eastAsia" w:ascii="仿宋" w:hAnsi="仿宋" w:eastAsia="仿宋" w:cs="仿宋"/>
                          <w:bCs/>
                          <w:sz w:val="24"/>
                          <w:szCs w:val="24"/>
                        </w:rPr>
                        <w:t>被授权人身份证反面</w:t>
                      </w:r>
                    </w:p>
                  </w:txbxContent>
                </v:textbox>
              </v:shape>
            </w:pict>
          </mc:Fallback>
        </mc:AlternateContent>
      </w:r>
      <w:r>
        <w:rPr>
          <w:color w:val="auto"/>
          <w:highlight w:val="none"/>
        </w:rPr>
        <mc:AlternateContent>
          <mc:Choice Requires="wps">
            <w:drawing>
              <wp:anchor distT="0" distB="0" distL="114300" distR="114300" simplePos="0" relativeHeight="251661312" behindDoc="0" locked="0" layoutInCell="1" allowOverlap="1">
                <wp:simplePos x="0" y="0"/>
                <wp:positionH relativeFrom="column">
                  <wp:posOffset>1905</wp:posOffset>
                </wp:positionH>
                <wp:positionV relativeFrom="paragraph">
                  <wp:posOffset>20955</wp:posOffset>
                </wp:positionV>
                <wp:extent cx="2830830" cy="1920875"/>
                <wp:effectExtent l="5080" t="4445" r="21590" b="17780"/>
                <wp:wrapNone/>
                <wp:docPr id="11" name="文本框 11"/>
                <wp:cNvGraphicFramePr/>
                <a:graphic xmlns:a="http://schemas.openxmlformats.org/drawingml/2006/main">
                  <a:graphicData uri="http://schemas.microsoft.com/office/word/2010/wordprocessingShape">
                    <wps:wsp>
                      <wps:cNvSpPr txBox="1"/>
                      <wps:spPr>
                        <a:xfrm>
                          <a:off x="0" y="0"/>
                          <a:ext cx="2830830" cy="19208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17305FC">
                            <w:pPr>
                              <w:widowControl/>
                              <w:jc w:val="left"/>
                              <w:rPr>
                                <w:rFonts w:ascii="宋体" w:hAnsi="宋体" w:cs="宋体"/>
                                <w:kern w:val="0"/>
                                <w:sz w:val="24"/>
                              </w:rPr>
                            </w:pPr>
                          </w:p>
                          <w:p w14:paraId="133EA086">
                            <w:pPr>
                              <w:widowControl/>
                              <w:jc w:val="left"/>
                            </w:pPr>
                          </w:p>
                          <w:p w14:paraId="122718D0">
                            <w:pPr>
                              <w:jc w:val="center"/>
                              <w:rPr>
                                <w:rFonts w:hint="eastAsia" w:ascii="仿宋" w:hAnsi="仿宋" w:eastAsia="仿宋" w:cs="仿宋"/>
                                <w:bCs/>
                                <w:sz w:val="22"/>
                                <w:szCs w:val="22"/>
                              </w:rPr>
                            </w:pPr>
                            <w:r>
                              <w:rPr>
                                <w:rFonts w:hint="eastAsia" w:ascii="仿宋" w:hAnsi="仿宋" w:eastAsia="仿宋" w:cs="仿宋"/>
                                <w:bCs/>
                                <w:sz w:val="24"/>
                                <w:szCs w:val="24"/>
                              </w:rPr>
                              <w:t>被授权人身份证正面</w:t>
                            </w:r>
                          </w:p>
                        </w:txbxContent>
                      </wps:txbx>
                      <wps:bodyPr vert="horz" wrap="square" anchor="t" anchorCtr="0" upright="1"/>
                    </wps:wsp>
                  </a:graphicData>
                </a:graphic>
              </wp:anchor>
            </w:drawing>
          </mc:Choice>
          <mc:Fallback>
            <w:pict>
              <v:shape id="_x0000_s1026" o:spid="_x0000_s1026" o:spt="202" type="#_x0000_t202" style="position:absolute;left:0pt;margin-left:0.15pt;margin-top:1.65pt;height:151.25pt;width:222.9pt;z-index:251661312;mso-width-relative:page;mso-height-relative:page;" fillcolor="#FFFFFF" filled="t" stroked="t" coordsize="21600,21600" o:gfxdata="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GdNwDVAAAABgEAAA8AAAAAAAAAAQAgAAAAIgAAAGRycy9kb3ducmV2LnhtbFBLAQIU&#10;ABQAAAAIAIdO4kDplZsDLwIAAHoEAAAOAAAAAAAAAAEAIAAAACQBAABkcnMvZTJvRG9jLnhtbFBL&#10;BQYAAAAABgAGAFkBAADFBQAAAAA=&#10;">
                <v:fill on="t" focussize="0,0"/>
                <v:stroke color="#000000" joinstyle="miter"/>
                <v:imagedata o:title=""/>
                <o:lock v:ext="edit" aspectratio="f"/>
                <v:textbox>
                  <w:txbxContent>
                    <w:p w14:paraId="517305FC">
                      <w:pPr>
                        <w:widowControl/>
                        <w:jc w:val="left"/>
                        <w:rPr>
                          <w:rFonts w:ascii="宋体" w:hAnsi="宋体" w:cs="宋体"/>
                          <w:kern w:val="0"/>
                          <w:sz w:val="24"/>
                        </w:rPr>
                      </w:pPr>
                    </w:p>
                    <w:p w14:paraId="133EA086">
                      <w:pPr>
                        <w:widowControl/>
                        <w:jc w:val="left"/>
                      </w:pPr>
                    </w:p>
                    <w:p w14:paraId="122718D0">
                      <w:pPr>
                        <w:jc w:val="center"/>
                        <w:rPr>
                          <w:rFonts w:hint="eastAsia" w:ascii="仿宋" w:hAnsi="仿宋" w:eastAsia="仿宋" w:cs="仿宋"/>
                          <w:bCs/>
                          <w:sz w:val="22"/>
                          <w:szCs w:val="22"/>
                        </w:rPr>
                      </w:pPr>
                      <w:r>
                        <w:rPr>
                          <w:rFonts w:hint="eastAsia" w:ascii="仿宋" w:hAnsi="仿宋" w:eastAsia="仿宋" w:cs="仿宋"/>
                          <w:bCs/>
                          <w:sz w:val="24"/>
                          <w:szCs w:val="24"/>
                        </w:rPr>
                        <w:t>被授权人身份证正面</w:t>
                      </w:r>
                    </w:p>
                  </w:txbxContent>
                </v:textbox>
              </v:shape>
            </w:pict>
          </mc:Fallback>
        </mc:AlternateContent>
      </w:r>
    </w:p>
    <w:p w14:paraId="1279E1E2">
      <w:pPr>
        <w:spacing w:line="360" w:lineRule="auto"/>
        <w:rPr>
          <w:rFonts w:ascii="仿宋" w:hAnsi="仿宋" w:eastAsia="仿宋" w:cs="仿宋"/>
          <w:bCs/>
          <w:color w:val="auto"/>
          <w:sz w:val="24"/>
          <w:highlight w:val="none"/>
        </w:rPr>
      </w:pPr>
    </w:p>
    <w:p w14:paraId="413FEFFB">
      <w:pPr>
        <w:spacing w:line="360" w:lineRule="auto"/>
        <w:rPr>
          <w:rFonts w:ascii="仿宋" w:hAnsi="仿宋" w:eastAsia="仿宋" w:cs="仿宋"/>
          <w:bCs/>
          <w:color w:val="auto"/>
          <w:sz w:val="24"/>
          <w:highlight w:val="none"/>
        </w:rPr>
      </w:pPr>
    </w:p>
    <w:p w14:paraId="4D2CDC26">
      <w:pPr>
        <w:spacing w:line="360" w:lineRule="auto"/>
        <w:rPr>
          <w:rFonts w:ascii="仿宋" w:hAnsi="仿宋" w:eastAsia="仿宋" w:cs="仿宋"/>
          <w:bCs/>
          <w:color w:val="auto"/>
          <w:sz w:val="24"/>
          <w:highlight w:val="none"/>
        </w:rPr>
      </w:pPr>
    </w:p>
    <w:p w14:paraId="6AAA3502">
      <w:pPr>
        <w:rPr>
          <w:rFonts w:ascii="仿宋" w:hAnsi="仿宋" w:eastAsia="仿宋" w:cs="仿宋"/>
          <w:color w:val="auto"/>
          <w:sz w:val="24"/>
          <w:highlight w:val="none"/>
        </w:rPr>
      </w:pPr>
    </w:p>
    <w:p w14:paraId="4A468183">
      <w:pPr>
        <w:rPr>
          <w:rFonts w:ascii="仿宋" w:hAnsi="仿宋" w:eastAsia="仿宋" w:cs="仿宋"/>
          <w:color w:val="auto"/>
          <w:sz w:val="24"/>
          <w:highlight w:val="none"/>
        </w:rPr>
      </w:pPr>
    </w:p>
    <w:p w14:paraId="3257CD2D">
      <w:pPr>
        <w:spacing w:after="60"/>
        <w:rPr>
          <w:rFonts w:ascii="仿宋" w:hAnsi="仿宋" w:eastAsia="仿宋" w:cs="仿宋"/>
          <w:color w:val="auto"/>
          <w:sz w:val="24"/>
          <w:highlight w:val="none"/>
        </w:rPr>
      </w:pPr>
    </w:p>
    <w:p w14:paraId="3CB7A949">
      <w:pPr>
        <w:rPr>
          <w:rFonts w:ascii="仿宋" w:hAnsi="仿宋" w:eastAsia="仿宋" w:cs="仿宋"/>
          <w:color w:val="auto"/>
          <w:sz w:val="24"/>
          <w:highlight w:val="none"/>
        </w:rPr>
      </w:pPr>
    </w:p>
    <w:p w14:paraId="0271CC52">
      <w:pPr>
        <w:spacing w:line="360" w:lineRule="auto"/>
        <w:jc w:val="both"/>
        <w:rPr>
          <w:rFonts w:hint="eastAsia"/>
          <w:color w:val="auto"/>
          <w:szCs w:val="21"/>
          <w:highlight w:val="none"/>
          <w:lang w:val="en-US" w:eastAsia="zh-CN"/>
        </w:rPr>
      </w:pPr>
      <w:r>
        <w:rPr>
          <w:rFonts w:hint="eastAsia"/>
          <w:color w:val="auto"/>
          <w:szCs w:val="21"/>
          <w:highlight w:val="none"/>
          <w:lang w:val="en-US" w:eastAsia="zh-CN"/>
        </w:rPr>
        <w:t>说明：</w:t>
      </w:r>
    </w:p>
    <w:p w14:paraId="777A3016">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default"/>
          <w:color w:val="auto"/>
          <w:szCs w:val="21"/>
          <w:highlight w:val="none"/>
          <w:lang w:val="en-US" w:eastAsia="zh-CN" w:bidi="ar-SA"/>
        </w:rPr>
      </w:pPr>
      <w:r>
        <w:rPr>
          <w:rFonts w:hint="eastAsia"/>
          <w:color w:val="auto"/>
          <w:szCs w:val="21"/>
          <w:highlight w:val="none"/>
          <w:lang w:val="en-US" w:eastAsia="zh-CN" w:bidi="ar-SA"/>
        </w:rPr>
        <w:t>1.如是代理人（受托人）参与投标，则必须提供《法定代表人（负责人或执行事务合伙人）证明书》和《投标文件签署授权委托书》，且《投标函》的委托代理人与《投标文件签署授权委托书》的代理人（受托人）必须一致。</w:t>
      </w:r>
    </w:p>
    <w:p w14:paraId="447877D0">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eastAsia"/>
          <w:color w:val="auto"/>
          <w:szCs w:val="21"/>
          <w:highlight w:val="none"/>
          <w:lang w:val="en-US" w:eastAsia="zh-CN" w:bidi="ar-SA"/>
        </w:rPr>
      </w:pPr>
      <w:r>
        <w:rPr>
          <w:rFonts w:hint="eastAsia"/>
          <w:color w:val="auto"/>
          <w:szCs w:val="21"/>
          <w:highlight w:val="none"/>
          <w:lang w:val="en-US" w:eastAsia="zh-CN" w:bidi="ar-SA"/>
        </w:rPr>
        <w:t>2.请提供代理人身份证扫描件（正反两面）；港澳台居民可提供来往通行证扫描件；非中国国籍管辖范围人员，可提供公安部门认可的身份证明材料扫描件。</w:t>
      </w:r>
    </w:p>
    <w:p w14:paraId="0211D1C6">
      <w:pPr>
        <w:keepNext w:val="0"/>
        <w:keepLines w:val="0"/>
        <w:pageBreakBefore w:val="0"/>
        <w:kinsoku/>
        <w:wordWrap/>
        <w:overflowPunct/>
        <w:topLinePunct w:val="0"/>
        <w:autoSpaceDE/>
        <w:autoSpaceDN/>
        <w:bidi w:val="0"/>
        <w:adjustRightInd/>
        <w:snapToGrid w:val="0"/>
        <w:spacing w:line="340" w:lineRule="exact"/>
        <w:ind w:firstLine="480" w:firstLineChars="200"/>
        <w:textAlignment w:val="auto"/>
        <w:rPr>
          <w:rFonts w:hint="eastAsia"/>
          <w:color w:val="auto"/>
          <w:szCs w:val="21"/>
          <w:highlight w:val="none"/>
          <w:lang w:val="en-US" w:eastAsia="zh-CN"/>
        </w:rPr>
      </w:pPr>
      <w:r>
        <w:rPr>
          <w:rFonts w:hint="eastAsia"/>
          <w:b/>
          <w:bCs/>
          <w:color w:val="auto"/>
          <w:szCs w:val="21"/>
          <w:highlight w:val="none"/>
          <w:lang w:val="en-US" w:eastAsia="zh-CN"/>
        </w:rPr>
        <w:t>温馨提示:</w:t>
      </w:r>
      <w:r>
        <w:rPr>
          <w:rFonts w:hint="eastAsia"/>
          <w:color w:val="auto"/>
          <w:szCs w:val="21"/>
          <w:highlight w:val="none"/>
          <w:lang w:val="en-US" w:eastAsia="zh-CN"/>
        </w:rPr>
        <w:t>为避免出现《深圳经济特区政府采购条例实施细则》第七十五条第二项所列情形，请投标供应商核实你单位法定代表人、本项目投标授权代表人、项目负责人、主要技术人员等是否在你公司缴纳社会保险。</w:t>
      </w:r>
    </w:p>
    <w:p w14:paraId="1C50CBC0">
      <w:pPr>
        <w:pStyle w:val="6"/>
        <w:rPr>
          <w:color w:val="auto"/>
          <w:highlight w:val="none"/>
        </w:rPr>
      </w:pPr>
    </w:p>
    <w:p w14:paraId="09A70DB2">
      <w:pPr>
        <w:rPr>
          <w:rFonts w:ascii="黑体" w:hAnsi="宋体" w:eastAsia="黑体"/>
          <w:color w:val="auto"/>
          <w:szCs w:val="20"/>
          <w:highlight w:val="none"/>
        </w:rPr>
      </w:pPr>
    </w:p>
    <w:p w14:paraId="29150BFE">
      <w:pPr>
        <w:rPr>
          <w:rFonts w:ascii="黑体" w:hAnsi="宋体" w:eastAsia="黑体"/>
          <w:color w:val="auto"/>
          <w:szCs w:val="20"/>
          <w:highlight w:val="none"/>
        </w:rPr>
      </w:pPr>
    </w:p>
    <w:p w14:paraId="25962B81">
      <w:pPr>
        <w:rPr>
          <w:rFonts w:ascii="黑体" w:hAnsi="宋体" w:eastAsia="黑体"/>
          <w:color w:val="auto"/>
          <w:szCs w:val="20"/>
          <w:highlight w:val="none"/>
        </w:rPr>
      </w:pPr>
    </w:p>
    <w:p w14:paraId="5864AD26">
      <w:pPr>
        <w:rPr>
          <w:rFonts w:ascii="黑体" w:hAnsi="宋体" w:eastAsia="黑体"/>
          <w:color w:val="auto"/>
          <w:szCs w:val="20"/>
          <w:highlight w:val="none"/>
        </w:rPr>
      </w:pPr>
    </w:p>
    <w:p w14:paraId="3B1E62B7">
      <w:pPr>
        <w:rPr>
          <w:rFonts w:ascii="黑体" w:hAnsi="宋体" w:eastAsia="黑体"/>
          <w:color w:val="auto"/>
          <w:szCs w:val="20"/>
          <w:highlight w:val="none"/>
        </w:rPr>
      </w:pPr>
    </w:p>
    <w:p w14:paraId="6AD1A603">
      <w:pPr>
        <w:pStyle w:val="3"/>
        <w:spacing w:before="120" w:after="120"/>
        <w:jc w:val="center"/>
        <w:rPr>
          <w:rFonts w:hint="eastAsia" w:ascii="黑体" w:hAnsi="宋体" w:eastAsia="黑体" w:cs="Times New Roman"/>
          <w:b w:val="0"/>
          <w:color w:val="auto"/>
          <w:sz w:val="24"/>
          <w:highlight w:val="none"/>
          <w:lang w:eastAsia="zh-CN"/>
        </w:rPr>
      </w:pPr>
      <w:r>
        <w:rPr>
          <w:rFonts w:hint="eastAsia" w:ascii="黑体" w:hAnsi="宋体" w:eastAsia="黑体" w:cs="Times New Roman"/>
          <w:b w:val="0"/>
          <w:color w:val="auto"/>
          <w:sz w:val="24"/>
          <w:highlight w:val="none"/>
          <w:lang w:eastAsia="zh-CN"/>
        </w:rPr>
        <w:t>三、供应商</w:t>
      </w:r>
      <w:r>
        <w:rPr>
          <w:rFonts w:hint="eastAsia" w:ascii="黑体" w:eastAsia="黑体" w:cs="Times New Roman"/>
          <w:b w:val="0"/>
          <w:color w:val="auto"/>
          <w:sz w:val="24"/>
          <w:highlight w:val="none"/>
          <w:lang w:val="en-US" w:eastAsia="zh-CN"/>
        </w:rPr>
        <w:t>基本</w:t>
      </w:r>
      <w:r>
        <w:rPr>
          <w:rFonts w:hint="eastAsia" w:ascii="黑体" w:hAnsi="宋体" w:eastAsia="黑体" w:cs="Times New Roman"/>
          <w:b w:val="0"/>
          <w:color w:val="auto"/>
          <w:sz w:val="24"/>
          <w:highlight w:val="none"/>
          <w:lang w:eastAsia="zh-CN"/>
        </w:rPr>
        <w:t>情况表</w:t>
      </w:r>
    </w:p>
    <w:p w14:paraId="70580ED7">
      <w:pPr>
        <w:keepNext w:val="0"/>
        <w:keepLines w:val="0"/>
        <w:pageBreakBefore w:val="0"/>
        <w:widowControl/>
        <w:numPr>
          <w:ilvl w:val="0"/>
          <w:numId w:val="0"/>
        </w:numPr>
        <w:kinsoku/>
        <w:wordWrap/>
        <w:overflowPunct/>
        <w:topLinePunct w:val="0"/>
        <w:autoSpaceDE/>
        <w:autoSpaceDN/>
        <w:bidi w:val="0"/>
        <w:adjustRightInd/>
        <w:snapToGrid w:val="0"/>
        <w:ind w:firstLine="482" w:firstLineChars="200"/>
        <w:textAlignment w:val="auto"/>
        <w:outlineLvl w:val="9"/>
        <w:rPr>
          <w:rFonts w:hint="eastAsia" w:ascii="宋体" w:hAnsi="宋体" w:eastAsia="宋体" w:cs="宋体"/>
          <w:b/>
          <w:bCs w:val="0"/>
          <w:color w:val="auto"/>
          <w:sz w:val="24"/>
          <w:szCs w:val="24"/>
          <w:highlight w:val="none"/>
          <w:lang w:eastAsia="zh-CN"/>
        </w:rPr>
      </w:pPr>
      <w:r>
        <w:rPr>
          <w:rFonts w:hint="eastAsia" w:ascii="宋体" w:hAnsi="宋体" w:eastAsia="宋体" w:cs="宋体"/>
          <w:b/>
          <w:bCs w:val="0"/>
          <w:color w:val="auto"/>
          <w:sz w:val="24"/>
          <w:szCs w:val="24"/>
          <w:highlight w:val="none"/>
          <w:lang w:eastAsia="zh-CN"/>
        </w:rPr>
        <w:t>根据《深圳经济特区政府采购条例实施细则》第七十五条第一款（二）规定，存在“不同投标供应商的法定代表人、主要经营负责人、项目投标授权代表人、项目负责人、主要技术人员为同一人、属同一单位或者在同一单位缴纳社会保险”情形的，属于串通投标行为。</w:t>
      </w:r>
    </w:p>
    <w:p w14:paraId="75BEF9D5">
      <w:pPr>
        <w:keepNext w:val="0"/>
        <w:keepLines w:val="0"/>
        <w:pageBreakBefore w:val="0"/>
        <w:widowControl/>
        <w:numPr>
          <w:ilvl w:val="0"/>
          <w:numId w:val="0"/>
        </w:numPr>
        <w:kinsoku/>
        <w:wordWrap/>
        <w:overflowPunct/>
        <w:topLinePunct w:val="0"/>
        <w:autoSpaceDE/>
        <w:autoSpaceDN/>
        <w:bidi w:val="0"/>
        <w:adjustRightInd/>
        <w:snapToGrid w:val="0"/>
        <w:ind w:firstLine="482" w:firstLineChars="200"/>
        <w:textAlignment w:val="auto"/>
        <w:outlineLvl w:val="9"/>
        <w:rPr>
          <w:rFonts w:hint="eastAsia" w:ascii="宋体" w:hAnsi="宋体" w:eastAsia="宋体" w:cs="宋体"/>
          <w:b/>
          <w:bCs w:val="0"/>
          <w:color w:val="auto"/>
          <w:sz w:val="24"/>
          <w:szCs w:val="24"/>
          <w:highlight w:val="none"/>
          <w:lang w:eastAsia="zh-CN"/>
        </w:rPr>
      </w:pPr>
      <w:r>
        <w:rPr>
          <w:rFonts w:hint="eastAsia" w:ascii="宋体" w:hAnsi="宋体" w:eastAsia="宋体" w:cs="宋体"/>
          <w:b/>
          <w:bCs w:val="0"/>
          <w:color w:val="auto"/>
          <w:sz w:val="24"/>
          <w:szCs w:val="24"/>
          <w:highlight w:val="none"/>
          <w:lang w:eastAsia="zh-CN"/>
        </w:rPr>
        <w:t>请供应商按以下格式提供上述法规涉及人员情况。（注：以下内容将作为评审委员会和主管部门判定本项目不同投标供应商是否涉嫌、属于串通投标的重要依据，请供应商认真填报，并保证所填信息的真实、准确和完整。）</w:t>
      </w:r>
    </w:p>
    <w:p w14:paraId="0E669E4F">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color w:val="auto"/>
          <w:sz w:val="24"/>
          <w:szCs w:val="24"/>
          <w:highlight w:val="none"/>
          <w:lang w:val="en-US" w:eastAsia="zh-CN"/>
        </w:rPr>
      </w:pPr>
    </w:p>
    <w:p w14:paraId="4FBDC2FF">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color w:val="auto"/>
          <w:sz w:val="24"/>
          <w:szCs w:val="24"/>
          <w:highlight w:val="none"/>
          <w:lang w:val="en-US" w:eastAsia="zh-CN"/>
        </w:rPr>
      </w:pPr>
      <w:r>
        <w:rPr>
          <w:rFonts w:hint="eastAsia" w:ascii="宋体" w:hAnsi="宋体" w:eastAsia="宋体" w:cs="宋体"/>
          <w:b/>
          <w:color w:val="auto"/>
          <w:sz w:val="24"/>
          <w:szCs w:val="24"/>
          <w:highlight w:val="none"/>
          <w:lang w:val="en-US" w:eastAsia="zh-CN"/>
        </w:rPr>
        <w:t>1.情况一览表</w:t>
      </w:r>
    </w:p>
    <w:tbl>
      <w:tblPr>
        <w:tblStyle w:val="1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3"/>
        <w:gridCol w:w="644"/>
        <w:gridCol w:w="1728"/>
        <w:gridCol w:w="1005"/>
        <w:gridCol w:w="693"/>
        <w:gridCol w:w="1165"/>
        <w:gridCol w:w="1263"/>
        <w:gridCol w:w="1328"/>
      </w:tblGrid>
      <w:tr w14:paraId="2E3A5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5" w:type="pct"/>
            <w:gridSpan w:val="2"/>
            <w:noWrap w:val="0"/>
            <w:vAlign w:val="center"/>
          </w:tcPr>
          <w:p w14:paraId="0769EF9C">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bCs/>
                <w:color w:val="auto"/>
                <w:spacing w:val="-4"/>
                <w:sz w:val="24"/>
                <w:szCs w:val="24"/>
                <w:highlight w:val="none"/>
                <w:lang w:val="en-US" w:eastAsia="zh-CN"/>
              </w:rPr>
              <w:t>投标（响应）供应商</w:t>
            </w:r>
          </w:p>
        </w:tc>
        <w:tc>
          <w:tcPr>
            <w:tcW w:w="1604" w:type="pct"/>
            <w:gridSpan w:val="2"/>
            <w:noWrap w:val="0"/>
            <w:vAlign w:val="center"/>
          </w:tcPr>
          <w:p w14:paraId="23F1DE7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noWrap w:val="0"/>
            <w:vAlign w:val="center"/>
          </w:tcPr>
          <w:p w14:paraId="7CE36284">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bCs/>
                <w:color w:val="auto"/>
                <w:spacing w:val="-4"/>
                <w:sz w:val="24"/>
                <w:szCs w:val="24"/>
                <w:highlight w:val="none"/>
                <w:lang w:val="en-US" w:eastAsia="zh-CN"/>
              </w:rPr>
              <w:t>供应商统一社会信用代码</w:t>
            </w:r>
          </w:p>
        </w:tc>
        <w:tc>
          <w:tcPr>
            <w:tcW w:w="1519" w:type="pct"/>
            <w:gridSpan w:val="2"/>
            <w:noWrap w:val="0"/>
            <w:vAlign w:val="center"/>
          </w:tcPr>
          <w:p w14:paraId="7DE5A6AE">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6CCCA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8"/>
            <w:noWrap w:val="0"/>
            <w:vAlign w:val="center"/>
          </w:tcPr>
          <w:p w14:paraId="2FC02CAE">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投标（响应）供应商相关人员情况</w:t>
            </w:r>
          </w:p>
        </w:tc>
      </w:tr>
      <w:tr w14:paraId="5F35E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bottom w:val="single" w:color="auto" w:sz="4" w:space="0"/>
            </w:tcBorders>
            <w:noWrap w:val="0"/>
            <w:vAlign w:val="center"/>
          </w:tcPr>
          <w:p w14:paraId="41C5D291">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序号</w:t>
            </w:r>
          </w:p>
        </w:tc>
        <w:tc>
          <w:tcPr>
            <w:tcW w:w="1392" w:type="pct"/>
            <w:gridSpan w:val="2"/>
            <w:tcBorders>
              <w:bottom w:val="single" w:color="auto" w:sz="4" w:space="0"/>
            </w:tcBorders>
            <w:noWrap w:val="0"/>
            <w:vAlign w:val="center"/>
          </w:tcPr>
          <w:p w14:paraId="3540A92C">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职务</w:t>
            </w:r>
          </w:p>
        </w:tc>
        <w:tc>
          <w:tcPr>
            <w:tcW w:w="589" w:type="pct"/>
            <w:tcBorders>
              <w:bottom w:val="single" w:color="auto" w:sz="4" w:space="0"/>
            </w:tcBorders>
            <w:noWrap w:val="0"/>
            <w:vAlign w:val="center"/>
          </w:tcPr>
          <w:p w14:paraId="37F0C7EA">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姓名</w:t>
            </w:r>
          </w:p>
        </w:tc>
        <w:tc>
          <w:tcPr>
            <w:tcW w:w="1091" w:type="pct"/>
            <w:gridSpan w:val="2"/>
            <w:tcBorders>
              <w:bottom w:val="single" w:color="auto" w:sz="4" w:space="0"/>
            </w:tcBorders>
            <w:noWrap w:val="0"/>
            <w:vAlign w:val="center"/>
          </w:tcPr>
          <w:p w14:paraId="2BAEAAD4">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身份证号码</w:t>
            </w:r>
          </w:p>
        </w:tc>
        <w:tc>
          <w:tcPr>
            <w:tcW w:w="741" w:type="pct"/>
            <w:tcBorders>
              <w:bottom w:val="single" w:color="auto" w:sz="4" w:space="0"/>
            </w:tcBorders>
            <w:noWrap w:val="0"/>
            <w:vAlign w:val="center"/>
          </w:tcPr>
          <w:p w14:paraId="2AD8852F">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劳动合同</w:t>
            </w:r>
          </w:p>
          <w:p w14:paraId="4C6F3C61">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关系单位</w:t>
            </w:r>
          </w:p>
        </w:tc>
        <w:tc>
          <w:tcPr>
            <w:tcW w:w="778" w:type="pct"/>
            <w:tcBorders>
              <w:bottom w:val="single" w:color="auto" w:sz="4" w:space="0"/>
            </w:tcBorders>
            <w:noWrap w:val="0"/>
            <w:vAlign w:val="center"/>
          </w:tcPr>
          <w:p w14:paraId="1921DECF">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缴纳社会</w:t>
            </w:r>
          </w:p>
          <w:p w14:paraId="0396519E">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保险单位</w:t>
            </w:r>
          </w:p>
        </w:tc>
      </w:tr>
      <w:tr w14:paraId="6122D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top w:val="single" w:color="auto" w:sz="4" w:space="0"/>
              <w:left w:val="single" w:color="auto" w:sz="4" w:space="0"/>
              <w:bottom w:val="single" w:color="auto" w:sz="4" w:space="0"/>
              <w:right w:val="single" w:color="auto" w:sz="4" w:space="0"/>
            </w:tcBorders>
            <w:noWrap w:val="0"/>
            <w:vAlign w:val="center"/>
          </w:tcPr>
          <w:p w14:paraId="505BF9EF">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1</w:t>
            </w:r>
          </w:p>
        </w:tc>
        <w:tc>
          <w:tcPr>
            <w:tcW w:w="1392" w:type="pct"/>
            <w:gridSpan w:val="2"/>
            <w:tcBorders>
              <w:top w:val="single" w:color="auto" w:sz="4" w:space="0"/>
              <w:left w:val="single" w:color="auto" w:sz="4" w:space="0"/>
              <w:bottom w:val="single" w:color="auto" w:sz="4" w:space="0"/>
              <w:right w:val="single" w:color="auto" w:sz="4" w:space="0"/>
            </w:tcBorders>
            <w:noWrap w:val="0"/>
            <w:vAlign w:val="center"/>
          </w:tcPr>
          <w:p w14:paraId="2C946F80">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val="0"/>
                <w:color w:val="auto"/>
                <w:spacing w:val="-4"/>
                <w:sz w:val="24"/>
                <w:szCs w:val="24"/>
                <w:highlight w:val="none"/>
                <w:lang w:val="en-US" w:eastAsia="zh-CN"/>
              </w:rPr>
              <w:t>法定代表人（或单位负责人或执行事务合伙人）</w:t>
            </w:r>
          </w:p>
        </w:tc>
        <w:tc>
          <w:tcPr>
            <w:tcW w:w="589" w:type="pct"/>
            <w:tcBorders>
              <w:top w:val="single" w:color="auto" w:sz="4" w:space="0"/>
              <w:left w:val="single" w:color="auto" w:sz="4" w:space="0"/>
              <w:bottom w:val="single" w:color="auto" w:sz="4" w:space="0"/>
              <w:right w:val="single" w:color="auto" w:sz="4" w:space="0"/>
            </w:tcBorders>
            <w:noWrap w:val="0"/>
            <w:vAlign w:val="center"/>
          </w:tcPr>
          <w:p w14:paraId="312E6C0D">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tcBorders>
              <w:top w:val="single" w:color="auto" w:sz="4" w:space="0"/>
              <w:left w:val="single" w:color="auto" w:sz="4" w:space="0"/>
              <w:bottom w:val="single" w:color="auto" w:sz="4" w:space="0"/>
              <w:right w:val="single" w:color="auto" w:sz="4" w:space="0"/>
            </w:tcBorders>
            <w:noWrap w:val="0"/>
            <w:vAlign w:val="center"/>
          </w:tcPr>
          <w:p w14:paraId="6B54A280">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41" w:type="pct"/>
            <w:tcBorders>
              <w:top w:val="single" w:color="auto" w:sz="4" w:space="0"/>
              <w:left w:val="single" w:color="auto" w:sz="4" w:space="0"/>
              <w:bottom w:val="single" w:color="auto" w:sz="4" w:space="0"/>
              <w:right w:val="single" w:color="auto" w:sz="4" w:space="0"/>
            </w:tcBorders>
            <w:noWrap w:val="0"/>
            <w:vAlign w:val="center"/>
          </w:tcPr>
          <w:p w14:paraId="12434D7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78" w:type="pct"/>
            <w:tcBorders>
              <w:top w:val="single" w:color="auto" w:sz="4" w:space="0"/>
              <w:left w:val="single" w:color="auto" w:sz="4" w:space="0"/>
              <w:bottom w:val="single" w:color="auto" w:sz="4" w:space="0"/>
              <w:right w:val="single" w:color="auto" w:sz="4" w:space="0"/>
            </w:tcBorders>
            <w:noWrap w:val="0"/>
            <w:vAlign w:val="center"/>
          </w:tcPr>
          <w:p w14:paraId="6015ECDF">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38644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top w:val="single" w:color="auto" w:sz="4" w:space="0"/>
              <w:left w:val="single" w:color="auto" w:sz="4" w:space="0"/>
              <w:bottom w:val="single" w:color="auto" w:sz="4" w:space="0"/>
              <w:right w:val="single" w:color="auto" w:sz="4" w:space="0"/>
            </w:tcBorders>
            <w:noWrap w:val="0"/>
            <w:vAlign w:val="center"/>
          </w:tcPr>
          <w:p w14:paraId="66F50ECC">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default"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2</w:t>
            </w:r>
          </w:p>
        </w:tc>
        <w:tc>
          <w:tcPr>
            <w:tcW w:w="1392" w:type="pct"/>
            <w:gridSpan w:val="2"/>
            <w:tcBorders>
              <w:top w:val="single" w:color="auto" w:sz="4" w:space="0"/>
              <w:left w:val="single" w:color="auto" w:sz="4" w:space="0"/>
              <w:bottom w:val="single" w:color="auto" w:sz="4" w:space="0"/>
              <w:right w:val="single" w:color="auto" w:sz="4" w:space="0"/>
            </w:tcBorders>
            <w:noWrap w:val="0"/>
            <w:vAlign w:val="center"/>
          </w:tcPr>
          <w:p w14:paraId="70991FDC">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bCs/>
                <w:color w:val="auto"/>
                <w:spacing w:val="-4"/>
                <w:sz w:val="24"/>
                <w:szCs w:val="24"/>
                <w:highlight w:val="none"/>
                <w:lang w:val="en-US" w:eastAsia="zh-CN"/>
              </w:rPr>
            </w:pPr>
            <w:r>
              <w:rPr>
                <w:rFonts w:hint="eastAsia" w:ascii="宋体" w:hAnsi="宋体" w:eastAsia="宋体" w:cs="宋体"/>
                <w:b w:val="0"/>
                <w:bCs w:val="0"/>
                <w:color w:val="auto"/>
                <w:spacing w:val="-4"/>
                <w:sz w:val="24"/>
                <w:szCs w:val="24"/>
                <w:highlight w:val="none"/>
                <w:lang w:val="en-US" w:eastAsia="zh-CN"/>
              </w:rPr>
              <w:t>主要经营负责人</w:t>
            </w:r>
          </w:p>
        </w:tc>
        <w:tc>
          <w:tcPr>
            <w:tcW w:w="589" w:type="pct"/>
            <w:tcBorders>
              <w:top w:val="single" w:color="auto" w:sz="4" w:space="0"/>
              <w:left w:val="single" w:color="auto" w:sz="4" w:space="0"/>
              <w:bottom w:val="single" w:color="auto" w:sz="4" w:space="0"/>
              <w:right w:val="single" w:color="auto" w:sz="4" w:space="0"/>
            </w:tcBorders>
            <w:noWrap w:val="0"/>
            <w:vAlign w:val="center"/>
          </w:tcPr>
          <w:p w14:paraId="4DFF0A74">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tcBorders>
              <w:top w:val="single" w:color="auto" w:sz="4" w:space="0"/>
              <w:left w:val="single" w:color="auto" w:sz="4" w:space="0"/>
              <w:bottom w:val="single" w:color="auto" w:sz="4" w:space="0"/>
              <w:right w:val="single" w:color="auto" w:sz="4" w:space="0"/>
            </w:tcBorders>
            <w:noWrap w:val="0"/>
            <w:vAlign w:val="center"/>
          </w:tcPr>
          <w:p w14:paraId="029D0A50">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41" w:type="pct"/>
            <w:tcBorders>
              <w:top w:val="single" w:color="auto" w:sz="4" w:space="0"/>
              <w:left w:val="single" w:color="auto" w:sz="4" w:space="0"/>
              <w:bottom w:val="single" w:color="auto" w:sz="4" w:space="0"/>
              <w:right w:val="single" w:color="auto" w:sz="4" w:space="0"/>
            </w:tcBorders>
            <w:noWrap w:val="0"/>
            <w:vAlign w:val="center"/>
          </w:tcPr>
          <w:p w14:paraId="3F8EAE45">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78" w:type="pct"/>
            <w:tcBorders>
              <w:top w:val="single" w:color="auto" w:sz="4" w:space="0"/>
              <w:left w:val="single" w:color="auto" w:sz="4" w:space="0"/>
              <w:bottom w:val="single" w:color="auto" w:sz="4" w:space="0"/>
              <w:right w:val="single" w:color="auto" w:sz="4" w:space="0"/>
            </w:tcBorders>
            <w:noWrap w:val="0"/>
            <w:vAlign w:val="center"/>
          </w:tcPr>
          <w:p w14:paraId="6E10F01A">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58116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top w:val="single" w:color="auto" w:sz="4" w:space="0"/>
              <w:left w:val="single" w:color="auto" w:sz="4" w:space="0"/>
              <w:bottom w:val="single" w:color="auto" w:sz="4" w:space="0"/>
              <w:right w:val="single" w:color="auto" w:sz="4" w:space="0"/>
            </w:tcBorders>
            <w:noWrap w:val="0"/>
            <w:vAlign w:val="center"/>
          </w:tcPr>
          <w:p w14:paraId="6145007E">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3</w:t>
            </w:r>
          </w:p>
        </w:tc>
        <w:tc>
          <w:tcPr>
            <w:tcW w:w="1392" w:type="pct"/>
            <w:gridSpan w:val="2"/>
            <w:tcBorders>
              <w:top w:val="single" w:color="auto" w:sz="4" w:space="0"/>
              <w:left w:val="single" w:color="auto" w:sz="4" w:space="0"/>
              <w:bottom w:val="single" w:color="auto" w:sz="4" w:space="0"/>
              <w:right w:val="single" w:color="auto" w:sz="4" w:space="0"/>
            </w:tcBorders>
            <w:noWrap w:val="0"/>
            <w:vAlign w:val="center"/>
          </w:tcPr>
          <w:p w14:paraId="4355E9BD">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val="0"/>
                <w:color w:val="auto"/>
                <w:spacing w:val="-4"/>
                <w:sz w:val="24"/>
                <w:szCs w:val="24"/>
                <w:highlight w:val="none"/>
                <w:lang w:val="en-US" w:eastAsia="zh-CN"/>
              </w:rPr>
              <w:t>项目投标授权代表人</w:t>
            </w:r>
          </w:p>
        </w:tc>
        <w:tc>
          <w:tcPr>
            <w:tcW w:w="589" w:type="pct"/>
            <w:tcBorders>
              <w:top w:val="single" w:color="auto" w:sz="4" w:space="0"/>
              <w:left w:val="single" w:color="auto" w:sz="4" w:space="0"/>
              <w:bottom w:val="single" w:color="auto" w:sz="4" w:space="0"/>
              <w:right w:val="single" w:color="auto" w:sz="4" w:space="0"/>
            </w:tcBorders>
            <w:noWrap w:val="0"/>
            <w:vAlign w:val="center"/>
          </w:tcPr>
          <w:p w14:paraId="51CD4796">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tcBorders>
              <w:top w:val="single" w:color="auto" w:sz="4" w:space="0"/>
              <w:left w:val="single" w:color="auto" w:sz="4" w:space="0"/>
              <w:bottom w:val="single" w:color="auto" w:sz="4" w:space="0"/>
              <w:right w:val="single" w:color="auto" w:sz="4" w:space="0"/>
            </w:tcBorders>
            <w:noWrap w:val="0"/>
            <w:vAlign w:val="center"/>
          </w:tcPr>
          <w:p w14:paraId="07BB9685">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41" w:type="pct"/>
            <w:tcBorders>
              <w:top w:val="single" w:color="auto" w:sz="4" w:space="0"/>
              <w:left w:val="single" w:color="auto" w:sz="4" w:space="0"/>
              <w:bottom w:val="single" w:color="auto" w:sz="4" w:space="0"/>
              <w:right w:val="single" w:color="auto" w:sz="4" w:space="0"/>
            </w:tcBorders>
            <w:noWrap w:val="0"/>
            <w:vAlign w:val="center"/>
          </w:tcPr>
          <w:p w14:paraId="32BD99D2">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78" w:type="pct"/>
            <w:tcBorders>
              <w:top w:val="single" w:color="auto" w:sz="4" w:space="0"/>
              <w:left w:val="single" w:color="auto" w:sz="4" w:space="0"/>
              <w:bottom w:val="single" w:color="auto" w:sz="4" w:space="0"/>
              <w:right w:val="single" w:color="auto" w:sz="4" w:space="0"/>
            </w:tcBorders>
            <w:noWrap w:val="0"/>
            <w:vAlign w:val="center"/>
          </w:tcPr>
          <w:p w14:paraId="3D9CE8BF">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5CB99F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top w:val="single" w:color="auto" w:sz="4" w:space="0"/>
            </w:tcBorders>
            <w:noWrap w:val="0"/>
            <w:vAlign w:val="center"/>
          </w:tcPr>
          <w:p w14:paraId="3C7F2D06">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4</w:t>
            </w:r>
          </w:p>
        </w:tc>
        <w:tc>
          <w:tcPr>
            <w:tcW w:w="1392" w:type="pct"/>
            <w:gridSpan w:val="2"/>
            <w:tcBorders>
              <w:top w:val="single" w:color="auto" w:sz="4" w:space="0"/>
            </w:tcBorders>
            <w:noWrap w:val="0"/>
            <w:vAlign w:val="center"/>
          </w:tcPr>
          <w:p w14:paraId="0A44191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项目负责人</w:t>
            </w:r>
          </w:p>
        </w:tc>
        <w:tc>
          <w:tcPr>
            <w:tcW w:w="589" w:type="pct"/>
            <w:tcBorders>
              <w:top w:val="single" w:color="auto" w:sz="4" w:space="0"/>
            </w:tcBorders>
            <w:noWrap w:val="0"/>
            <w:vAlign w:val="center"/>
          </w:tcPr>
          <w:p w14:paraId="08EB8318">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tcBorders>
              <w:top w:val="single" w:color="auto" w:sz="4" w:space="0"/>
            </w:tcBorders>
            <w:noWrap w:val="0"/>
            <w:vAlign w:val="center"/>
          </w:tcPr>
          <w:p w14:paraId="74740BF8">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41" w:type="pct"/>
            <w:tcBorders>
              <w:top w:val="single" w:color="auto" w:sz="4" w:space="0"/>
            </w:tcBorders>
            <w:noWrap w:val="0"/>
            <w:vAlign w:val="center"/>
          </w:tcPr>
          <w:p w14:paraId="2B325DBB">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78" w:type="pct"/>
            <w:tcBorders>
              <w:top w:val="single" w:color="auto" w:sz="4" w:space="0"/>
            </w:tcBorders>
            <w:noWrap w:val="0"/>
            <w:vAlign w:val="center"/>
          </w:tcPr>
          <w:p w14:paraId="6D278BB2">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6BEB8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noWrap w:val="0"/>
            <w:vAlign w:val="center"/>
          </w:tcPr>
          <w:p w14:paraId="1EB60CB3">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5</w:t>
            </w:r>
          </w:p>
        </w:tc>
        <w:tc>
          <w:tcPr>
            <w:tcW w:w="1392" w:type="pct"/>
            <w:gridSpan w:val="2"/>
            <w:noWrap w:val="0"/>
            <w:vAlign w:val="center"/>
          </w:tcPr>
          <w:p w14:paraId="2DA7480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主要技术人员</w:t>
            </w:r>
          </w:p>
        </w:tc>
        <w:tc>
          <w:tcPr>
            <w:tcW w:w="589" w:type="pct"/>
            <w:noWrap w:val="0"/>
            <w:vAlign w:val="center"/>
          </w:tcPr>
          <w:p w14:paraId="3500FFB1">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noWrap w:val="0"/>
            <w:vAlign w:val="center"/>
          </w:tcPr>
          <w:p w14:paraId="4760450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41" w:type="pct"/>
            <w:noWrap w:val="0"/>
            <w:vAlign w:val="center"/>
          </w:tcPr>
          <w:p w14:paraId="551A68B5">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78" w:type="pct"/>
            <w:noWrap w:val="0"/>
            <w:vAlign w:val="center"/>
          </w:tcPr>
          <w:p w14:paraId="3978CCBC">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06FBE6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noWrap w:val="0"/>
            <w:vAlign w:val="center"/>
          </w:tcPr>
          <w:p w14:paraId="295679C8">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6</w:t>
            </w:r>
          </w:p>
        </w:tc>
        <w:tc>
          <w:tcPr>
            <w:tcW w:w="1392" w:type="pct"/>
            <w:gridSpan w:val="2"/>
            <w:noWrap w:val="0"/>
            <w:vAlign w:val="center"/>
          </w:tcPr>
          <w:p w14:paraId="16F19062">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val="0"/>
                <w:color w:val="auto"/>
                <w:spacing w:val="-4"/>
                <w:sz w:val="24"/>
                <w:szCs w:val="24"/>
                <w:highlight w:val="none"/>
                <w:lang w:val="en-US" w:eastAsia="zh-CN"/>
              </w:rPr>
              <w:t>投标文件编制人员</w:t>
            </w:r>
          </w:p>
        </w:tc>
        <w:tc>
          <w:tcPr>
            <w:tcW w:w="589" w:type="pct"/>
            <w:noWrap w:val="0"/>
            <w:vAlign w:val="center"/>
          </w:tcPr>
          <w:p w14:paraId="4068C716">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1091" w:type="pct"/>
            <w:gridSpan w:val="2"/>
            <w:noWrap w:val="0"/>
            <w:vAlign w:val="center"/>
          </w:tcPr>
          <w:p w14:paraId="17244605">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41" w:type="pct"/>
            <w:noWrap w:val="0"/>
            <w:vAlign w:val="center"/>
          </w:tcPr>
          <w:p w14:paraId="50F438F3">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778" w:type="pct"/>
            <w:noWrap w:val="0"/>
            <w:vAlign w:val="center"/>
          </w:tcPr>
          <w:p w14:paraId="42AAAB57">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r>
      <w:tr w14:paraId="4CB42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8"/>
            <w:noWrap w:val="0"/>
            <w:vAlign w:val="center"/>
          </w:tcPr>
          <w:p w14:paraId="46925EFE">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说明：</w:t>
            </w:r>
          </w:p>
          <w:p w14:paraId="08D6403D">
            <w:pPr>
              <w:pStyle w:val="7"/>
              <w:keepNext w:val="0"/>
              <w:keepLines w:val="0"/>
              <w:widowControl w:val="0"/>
              <w:numPr>
                <w:ilvl w:val="0"/>
                <w:numId w:val="0"/>
              </w:numPr>
              <w:suppressLineNumbers w:val="0"/>
              <w:spacing w:before="0" w:beforeAutospacing="0" w:after="0" w:afterAutospacing="0"/>
              <w:ind w:left="0" w:right="0"/>
              <w:jc w:val="both"/>
              <w:rPr>
                <w:rFonts w:hint="eastAsia" w:eastAsia="宋体"/>
                <w:color w:val="auto"/>
                <w:highlight w:val="none"/>
                <w:lang w:val="en-US" w:eastAsia="zh-CN"/>
              </w:rPr>
            </w:pPr>
            <w:r>
              <w:rPr>
                <w:rFonts w:hint="eastAsia" w:eastAsia="宋体"/>
                <w:color w:val="auto"/>
                <w:highlight w:val="none"/>
                <w:lang w:val="en-US" w:eastAsia="zh-CN"/>
              </w:rPr>
              <w:t>1.同一职务有多人担任（如</w:t>
            </w:r>
            <w:r>
              <w:rPr>
                <w:rFonts w:hint="eastAsia" w:ascii="宋体" w:hAnsi="宋体" w:eastAsia="宋体" w:cs="宋体"/>
                <w:b w:val="0"/>
                <w:bCs w:val="0"/>
                <w:color w:val="auto"/>
                <w:spacing w:val="-4"/>
                <w:sz w:val="24"/>
                <w:szCs w:val="24"/>
                <w:highlight w:val="none"/>
                <w:lang w:val="en-US" w:eastAsia="zh-CN"/>
              </w:rPr>
              <w:t>主要经营负责人、</w:t>
            </w:r>
            <w:r>
              <w:rPr>
                <w:rFonts w:hint="eastAsia" w:eastAsia="宋体"/>
                <w:color w:val="auto"/>
                <w:highlight w:val="none"/>
                <w:lang w:val="en-US" w:eastAsia="zh-CN"/>
              </w:rPr>
              <w:t>主要技术人员）或</w:t>
            </w:r>
            <w:r>
              <w:rPr>
                <w:rFonts w:hint="eastAsia" w:ascii="宋体" w:hAnsi="宋体" w:eastAsia="宋体" w:cs="宋体"/>
                <w:b w:val="0"/>
                <w:bCs w:val="0"/>
                <w:color w:val="auto"/>
                <w:spacing w:val="-4"/>
                <w:sz w:val="24"/>
                <w:szCs w:val="24"/>
                <w:highlight w:val="none"/>
                <w:lang w:val="en-US" w:eastAsia="zh-CN" w:bidi="ar-SA"/>
              </w:rPr>
              <w:t>同一人担任多个职务的</w:t>
            </w:r>
            <w:r>
              <w:rPr>
                <w:rFonts w:hint="eastAsia" w:eastAsia="宋体"/>
                <w:color w:val="auto"/>
                <w:highlight w:val="none"/>
                <w:lang w:val="en-US" w:eastAsia="zh-CN"/>
              </w:rPr>
              <w:t>，应分行填写</w:t>
            </w:r>
            <w:r>
              <w:rPr>
                <w:rFonts w:hint="eastAsia" w:ascii="宋体" w:hAnsi="宋体" w:eastAsia="宋体" w:cs="宋体"/>
                <w:b w:val="0"/>
                <w:bCs w:val="0"/>
                <w:color w:val="auto"/>
                <w:spacing w:val="-4"/>
                <w:sz w:val="24"/>
                <w:szCs w:val="24"/>
                <w:highlight w:val="none"/>
                <w:lang w:val="en-US" w:eastAsia="zh-CN" w:bidi="ar-SA"/>
              </w:rPr>
              <w:t>。</w:t>
            </w:r>
          </w:p>
          <w:p w14:paraId="4722C568">
            <w:pPr>
              <w:pStyle w:val="7"/>
              <w:keepNext w:val="0"/>
              <w:keepLines w:val="0"/>
              <w:widowControl w:val="0"/>
              <w:numPr>
                <w:ilvl w:val="0"/>
                <w:numId w:val="0"/>
              </w:numPr>
              <w:suppressLineNumbers w:val="0"/>
              <w:spacing w:before="0" w:beforeAutospacing="0" w:after="0" w:afterAutospacing="0"/>
              <w:ind w:left="0" w:right="0"/>
              <w:jc w:val="both"/>
              <w:rPr>
                <w:rFonts w:hint="eastAsia" w:eastAsia="宋体"/>
                <w:color w:val="auto"/>
                <w:highlight w:val="none"/>
                <w:lang w:val="en-US" w:eastAsia="zh-CN"/>
              </w:rPr>
            </w:pPr>
            <w:r>
              <w:rPr>
                <w:rFonts w:hint="eastAsia" w:eastAsia="宋体"/>
                <w:color w:val="auto"/>
                <w:highlight w:val="none"/>
                <w:lang w:val="en-US" w:eastAsia="zh-CN"/>
              </w:rPr>
              <w:t>2.上述项目负责人、主要技术人员必须为供应商本单位人员。</w:t>
            </w:r>
          </w:p>
          <w:p w14:paraId="01321EC4">
            <w:pPr>
              <w:pStyle w:val="7"/>
              <w:keepNext w:val="0"/>
              <w:keepLines w:val="0"/>
              <w:widowControl w:val="0"/>
              <w:numPr>
                <w:ilvl w:val="0"/>
                <w:numId w:val="0"/>
              </w:numPr>
              <w:suppressLineNumbers w:val="0"/>
              <w:spacing w:before="0" w:beforeAutospacing="0" w:after="0" w:afterAutospacing="0"/>
              <w:ind w:left="0" w:right="0"/>
              <w:jc w:val="both"/>
              <w:rPr>
                <w:rFonts w:hint="default" w:eastAsia="宋体"/>
                <w:color w:val="auto"/>
                <w:highlight w:val="none"/>
                <w:lang w:val="en-US" w:eastAsia="zh-CN"/>
              </w:rPr>
            </w:pPr>
            <w:r>
              <w:rPr>
                <w:rFonts w:hint="eastAsia" w:eastAsia="宋体"/>
                <w:color w:val="auto"/>
                <w:highlight w:val="none"/>
                <w:lang w:val="en-US" w:eastAsia="zh-CN"/>
              </w:rPr>
              <w:t>3.</w:t>
            </w:r>
            <w:r>
              <w:rPr>
                <w:rFonts w:hint="default" w:eastAsia="宋体"/>
                <w:color w:val="auto"/>
                <w:highlight w:val="none"/>
                <w:lang w:val="en-US" w:eastAsia="zh-CN"/>
              </w:rPr>
              <w:t>依据《民法典》第504条规定，上述单位负责人，是指非法人组织（如个体工商户、分支机构）的负责人，即对外代表该组织的自然人。</w:t>
            </w:r>
          </w:p>
        </w:tc>
      </w:tr>
      <w:tr w14:paraId="72F30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5000" w:type="pct"/>
            <w:gridSpan w:val="8"/>
            <w:noWrap w:val="0"/>
            <w:vAlign w:val="center"/>
          </w:tcPr>
          <w:p w14:paraId="129B7E9C">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投标（响应）供应商关联关系情况</w:t>
            </w:r>
          </w:p>
        </w:tc>
      </w:tr>
      <w:tr w14:paraId="025960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bottom w:val="single" w:color="auto" w:sz="4" w:space="0"/>
            </w:tcBorders>
            <w:noWrap w:val="0"/>
            <w:vAlign w:val="center"/>
          </w:tcPr>
          <w:p w14:paraId="2680E8B5">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序号</w:t>
            </w:r>
          </w:p>
        </w:tc>
        <w:tc>
          <w:tcPr>
            <w:tcW w:w="1392" w:type="pct"/>
            <w:gridSpan w:val="2"/>
            <w:tcBorders>
              <w:bottom w:val="single" w:color="auto" w:sz="4" w:space="0"/>
            </w:tcBorders>
            <w:noWrap w:val="0"/>
            <w:vAlign w:val="center"/>
          </w:tcPr>
          <w:p w14:paraId="577EEBC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关联关系类型</w:t>
            </w:r>
          </w:p>
        </w:tc>
        <w:tc>
          <w:tcPr>
            <w:tcW w:w="997" w:type="pct"/>
            <w:gridSpan w:val="2"/>
            <w:tcBorders>
              <w:bottom w:val="single" w:color="auto" w:sz="4" w:space="0"/>
            </w:tcBorders>
            <w:noWrap w:val="0"/>
            <w:vAlign w:val="center"/>
          </w:tcPr>
          <w:p w14:paraId="3EDF1E3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关联主体名称</w:t>
            </w:r>
          </w:p>
        </w:tc>
        <w:tc>
          <w:tcPr>
            <w:tcW w:w="2203" w:type="pct"/>
            <w:gridSpan w:val="3"/>
            <w:tcBorders>
              <w:bottom w:val="single" w:color="auto" w:sz="4" w:space="0"/>
            </w:tcBorders>
            <w:noWrap w:val="0"/>
            <w:vAlign w:val="center"/>
          </w:tcPr>
          <w:p w14:paraId="03A3FF6B">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center"/>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备注</w:t>
            </w:r>
          </w:p>
        </w:tc>
      </w:tr>
      <w:tr w14:paraId="54200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top w:val="single" w:color="auto" w:sz="4" w:space="0"/>
              <w:left w:val="single" w:color="auto" w:sz="4" w:space="0"/>
              <w:bottom w:val="single" w:color="auto" w:sz="4" w:space="0"/>
              <w:right w:val="single" w:color="auto" w:sz="4" w:space="0"/>
            </w:tcBorders>
            <w:noWrap w:val="0"/>
            <w:vAlign w:val="center"/>
          </w:tcPr>
          <w:p w14:paraId="08587262">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1</w:t>
            </w:r>
          </w:p>
        </w:tc>
        <w:tc>
          <w:tcPr>
            <w:tcW w:w="1392" w:type="pct"/>
            <w:gridSpan w:val="2"/>
            <w:tcBorders>
              <w:top w:val="single" w:color="auto" w:sz="4" w:space="0"/>
              <w:left w:val="single" w:color="auto" w:sz="4" w:space="0"/>
              <w:bottom w:val="single" w:color="auto" w:sz="4" w:space="0"/>
              <w:right w:val="single" w:color="auto" w:sz="4" w:space="0"/>
            </w:tcBorders>
            <w:noWrap w:val="0"/>
            <w:vAlign w:val="center"/>
          </w:tcPr>
          <w:p w14:paraId="54F16BA9">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bCs/>
                <w:color w:val="auto"/>
                <w:spacing w:val="-4"/>
                <w:sz w:val="24"/>
                <w:szCs w:val="24"/>
                <w:highlight w:val="none"/>
                <w:lang w:val="en-US" w:eastAsia="zh-CN"/>
              </w:rPr>
              <w:t>控股股东</w:t>
            </w:r>
          </w:p>
        </w:tc>
        <w:tc>
          <w:tcPr>
            <w:tcW w:w="997" w:type="pct"/>
            <w:gridSpan w:val="2"/>
            <w:tcBorders>
              <w:top w:val="single" w:color="auto" w:sz="4" w:space="0"/>
              <w:left w:val="single" w:color="auto" w:sz="4" w:space="0"/>
              <w:bottom w:val="single" w:color="auto" w:sz="4" w:space="0"/>
              <w:right w:val="single" w:color="auto" w:sz="4" w:space="0"/>
            </w:tcBorders>
            <w:noWrap w:val="0"/>
            <w:vAlign w:val="center"/>
          </w:tcPr>
          <w:p w14:paraId="22F420A8">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2203" w:type="pct"/>
            <w:gridSpan w:val="3"/>
            <w:tcBorders>
              <w:top w:val="single" w:color="auto" w:sz="4" w:space="0"/>
              <w:left w:val="single" w:color="auto" w:sz="4" w:space="0"/>
              <w:bottom w:val="single" w:color="auto" w:sz="4" w:space="0"/>
              <w:right w:val="single" w:color="auto" w:sz="4" w:space="0"/>
            </w:tcBorders>
            <w:noWrap w:val="0"/>
            <w:vAlign w:val="center"/>
          </w:tcPr>
          <w:p w14:paraId="618E4871">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62A87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 w:type="pct"/>
            <w:tcBorders>
              <w:top w:val="single" w:color="auto" w:sz="4" w:space="0"/>
              <w:left w:val="single" w:color="auto" w:sz="4" w:space="0"/>
              <w:bottom w:val="single" w:color="auto" w:sz="4" w:space="0"/>
              <w:right w:val="single" w:color="auto" w:sz="4" w:space="0"/>
            </w:tcBorders>
            <w:noWrap w:val="0"/>
            <w:vAlign w:val="center"/>
          </w:tcPr>
          <w:p w14:paraId="6FBDB090">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2</w:t>
            </w:r>
          </w:p>
        </w:tc>
        <w:tc>
          <w:tcPr>
            <w:tcW w:w="1392" w:type="pct"/>
            <w:gridSpan w:val="2"/>
            <w:tcBorders>
              <w:top w:val="single" w:color="auto" w:sz="4" w:space="0"/>
              <w:left w:val="single" w:color="auto" w:sz="4" w:space="0"/>
              <w:bottom w:val="single" w:color="auto" w:sz="4" w:space="0"/>
              <w:right w:val="single" w:color="auto" w:sz="4" w:space="0"/>
            </w:tcBorders>
            <w:noWrap w:val="0"/>
            <w:vAlign w:val="center"/>
          </w:tcPr>
          <w:p w14:paraId="03A4C572">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管理关系</w:t>
            </w:r>
          </w:p>
        </w:tc>
        <w:tc>
          <w:tcPr>
            <w:tcW w:w="997" w:type="pct"/>
            <w:gridSpan w:val="2"/>
            <w:tcBorders>
              <w:top w:val="single" w:color="auto" w:sz="4" w:space="0"/>
              <w:left w:val="single" w:color="auto" w:sz="4" w:space="0"/>
              <w:bottom w:val="single" w:color="auto" w:sz="4" w:space="0"/>
              <w:right w:val="single" w:color="auto" w:sz="4" w:space="0"/>
            </w:tcBorders>
            <w:noWrap w:val="0"/>
            <w:vAlign w:val="center"/>
          </w:tcPr>
          <w:p w14:paraId="1E38D9A2">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p>
        </w:tc>
        <w:tc>
          <w:tcPr>
            <w:tcW w:w="2203" w:type="pct"/>
            <w:gridSpan w:val="3"/>
            <w:tcBorders>
              <w:top w:val="single" w:color="auto" w:sz="4" w:space="0"/>
              <w:left w:val="single" w:color="auto" w:sz="4" w:space="0"/>
              <w:bottom w:val="single" w:color="auto" w:sz="4" w:space="0"/>
              <w:right w:val="single" w:color="auto" w:sz="4" w:space="0"/>
            </w:tcBorders>
            <w:noWrap w:val="0"/>
            <w:vAlign w:val="center"/>
          </w:tcPr>
          <w:p w14:paraId="6B9EC62F">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指对投标（响应）供应商不具有出资持股关系，但对其存在管理关系的主体。</w:t>
            </w:r>
          </w:p>
        </w:tc>
      </w:tr>
      <w:tr w14:paraId="12E23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8"/>
            <w:tcBorders>
              <w:top w:val="single" w:color="auto" w:sz="4" w:space="0"/>
              <w:left w:val="single" w:color="auto" w:sz="4" w:space="0"/>
              <w:bottom w:val="single" w:color="auto" w:sz="4" w:space="0"/>
              <w:right w:val="single" w:color="auto" w:sz="4" w:space="0"/>
            </w:tcBorders>
            <w:noWrap w:val="0"/>
            <w:vAlign w:val="center"/>
          </w:tcPr>
          <w:p w14:paraId="2A231B66">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color w:val="auto"/>
                <w:sz w:val="24"/>
                <w:szCs w:val="24"/>
                <w:highlight w:val="none"/>
                <w:lang w:val="en-US" w:eastAsia="zh-CN"/>
              </w:rPr>
            </w:pPr>
            <w:r>
              <w:rPr>
                <w:rFonts w:hint="eastAsia" w:ascii="宋体" w:hAnsi="宋体" w:eastAsia="宋体" w:cs="宋体"/>
                <w:b/>
                <w:color w:val="auto"/>
                <w:sz w:val="24"/>
                <w:szCs w:val="24"/>
                <w:highlight w:val="none"/>
                <w:lang w:val="en-US" w:eastAsia="zh-CN"/>
              </w:rPr>
              <w:t>说明：</w:t>
            </w:r>
          </w:p>
          <w:p w14:paraId="279F015E">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ascii="宋体" w:hAnsi="宋体" w:eastAsia="宋体" w:cs="宋体"/>
                <w:b/>
                <w:color w:val="auto"/>
                <w:sz w:val="24"/>
                <w:szCs w:val="24"/>
                <w:highlight w:val="none"/>
                <w:lang w:val="en-US" w:eastAsia="zh-CN"/>
              </w:rPr>
            </w:pPr>
            <w:r>
              <w:rPr>
                <w:rFonts w:hint="eastAsia" w:ascii="宋体" w:hAnsi="宋体" w:eastAsia="宋体" w:cs="宋体"/>
                <w:b/>
                <w:color w:val="auto"/>
                <w:sz w:val="24"/>
                <w:szCs w:val="24"/>
                <w:highlight w:val="none"/>
                <w:lang w:val="en-US" w:eastAsia="zh-CN"/>
              </w:rPr>
              <w:t>1.同一关联关系类型有多个主体的，应分行填写。</w:t>
            </w:r>
          </w:p>
          <w:p w14:paraId="4488CA0B">
            <w:pPr>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ind w:left="0" w:right="0"/>
              <w:jc w:val="both"/>
              <w:textAlignment w:val="auto"/>
              <w:outlineLvl w:val="9"/>
              <w:rPr>
                <w:rFonts w:hint="eastAsia"/>
                <w:color w:val="auto"/>
                <w:highlight w:val="none"/>
                <w:lang w:val="en-US" w:eastAsia="zh-CN"/>
              </w:rPr>
            </w:pPr>
            <w:r>
              <w:rPr>
                <w:rFonts w:hint="eastAsia" w:ascii="宋体" w:hAnsi="宋体" w:eastAsia="宋体" w:cs="宋体"/>
                <w:b/>
                <w:color w:val="auto"/>
                <w:sz w:val="24"/>
                <w:szCs w:val="24"/>
                <w:highlight w:val="none"/>
                <w:lang w:val="en-US" w:eastAsia="zh-CN"/>
              </w:rPr>
              <w:t>2.上述规定的控股、管理关系仅限于直接控股、直接管理关系，不包括间接的控股或管理关系。</w:t>
            </w:r>
          </w:p>
        </w:tc>
      </w:tr>
    </w:tbl>
    <w:p w14:paraId="74766B8C">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color w:val="auto"/>
          <w:sz w:val="24"/>
          <w:szCs w:val="24"/>
          <w:highlight w:val="none"/>
          <w:lang w:val="en-US" w:eastAsia="zh-CN"/>
        </w:rPr>
      </w:pPr>
    </w:p>
    <w:p w14:paraId="1340E5E5">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color w:val="auto"/>
          <w:sz w:val="24"/>
          <w:szCs w:val="24"/>
          <w:highlight w:val="none"/>
          <w:lang w:val="en-US" w:eastAsia="zh-CN"/>
        </w:rPr>
      </w:pPr>
      <w:r>
        <w:rPr>
          <w:rFonts w:hint="eastAsia" w:ascii="宋体" w:hAnsi="宋体" w:eastAsia="宋体" w:cs="宋体"/>
          <w:b/>
          <w:color w:val="auto"/>
          <w:sz w:val="24"/>
          <w:szCs w:val="24"/>
          <w:highlight w:val="none"/>
          <w:lang w:val="en-US" w:eastAsia="zh-CN"/>
        </w:rPr>
        <w:t>2.社保证明材料：</w:t>
      </w:r>
    </w:p>
    <w:p w14:paraId="278209D1">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（1）法定代表人（单位负责人或执行事务合伙人）</w:t>
      </w:r>
    </w:p>
    <w:p w14:paraId="22A33E39">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身份证扫描件（正反面）：</w:t>
      </w:r>
    </w:p>
    <w:p w14:paraId="54E8C089">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开标前一个月的社保缴纳凭证(须由社保部门出具，并至少载明参保人姓名、身份证号和参保单位名称)：</w:t>
      </w:r>
    </w:p>
    <w:p w14:paraId="1D93A9F3">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p>
    <w:p w14:paraId="1DABC10E">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（2）主要经营负责人</w:t>
      </w:r>
    </w:p>
    <w:p w14:paraId="3928680D">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身份证扫描件（正反面）：</w:t>
      </w:r>
    </w:p>
    <w:p w14:paraId="032F1373">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开标前一个月的社保缴纳凭证(须由社保部门出具，并至少载明参保人姓名、身份证号和参保单位名称)：</w:t>
      </w:r>
    </w:p>
    <w:p w14:paraId="711B7034">
      <w:pPr>
        <w:pStyle w:val="7"/>
        <w:rPr>
          <w:rFonts w:hint="eastAsia"/>
          <w:color w:val="auto"/>
          <w:highlight w:val="none"/>
          <w:lang w:val="en-US" w:eastAsia="zh-CN"/>
        </w:rPr>
      </w:pPr>
    </w:p>
    <w:p w14:paraId="290C7DF8">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eastAsia="zh-CN"/>
        </w:rPr>
      </w:pPr>
      <w:r>
        <w:rPr>
          <w:rFonts w:hint="eastAsia" w:ascii="宋体" w:hAnsi="宋体" w:eastAsia="宋体" w:cs="宋体"/>
          <w:b w:val="0"/>
          <w:bCs/>
          <w:color w:val="auto"/>
          <w:sz w:val="24"/>
          <w:szCs w:val="24"/>
          <w:highlight w:val="none"/>
          <w:lang w:val="en-US" w:eastAsia="zh-CN"/>
        </w:rPr>
        <w:t>（3）投标授权代表人</w:t>
      </w:r>
    </w:p>
    <w:p w14:paraId="6EA3F64E">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身份证扫描件（正反面）：</w:t>
      </w:r>
    </w:p>
    <w:p w14:paraId="071767B5">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开标前一个月的社保缴纳凭证(须由社保部门出具，并至少载明参保人姓名、身份证号和参保单位名称)：</w:t>
      </w:r>
    </w:p>
    <w:p w14:paraId="02513727">
      <w:pPr>
        <w:pStyle w:val="6"/>
        <w:keepNext w:val="0"/>
        <w:keepLines w:val="0"/>
        <w:pageBreakBefore w:val="0"/>
        <w:widowControl/>
        <w:kinsoku/>
        <w:wordWrap/>
        <w:overflowPunct/>
        <w:topLinePunct w:val="0"/>
        <w:autoSpaceDE/>
        <w:autoSpaceDN/>
        <w:bidi w:val="0"/>
        <w:adjustRightInd/>
        <w:textAlignment w:val="auto"/>
        <w:outlineLvl w:val="9"/>
        <w:rPr>
          <w:rFonts w:hint="eastAsia" w:ascii="宋体" w:hAnsi="宋体" w:eastAsia="宋体" w:cs="宋体"/>
          <w:b w:val="0"/>
          <w:bCs/>
          <w:color w:val="auto"/>
          <w:sz w:val="24"/>
          <w:szCs w:val="24"/>
          <w:highlight w:val="none"/>
          <w:lang w:val="en-US" w:eastAsia="zh-CN"/>
        </w:rPr>
      </w:pPr>
    </w:p>
    <w:p w14:paraId="00A22443">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eastAsia="zh-CN"/>
        </w:rPr>
      </w:pPr>
      <w:r>
        <w:rPr>
          <w:rFonts w:hint="eastAsia" w:ascii="宋体" w:hAnsi="宋体" w:eastAsia="宋体" w:cs="宋体"/>
          <w:b w:val="0"/>
          <w:bCs/>
          <w:color w:val="auto"/>
          <w:sz w:val="24"/>
          <w:szCs w:val="24"/>
          <w:highlight w:val="none"/>
          <w:lang w:val="en-US" w:eastAsia="zh-CN"/>
        </w:rPr>
        <w:t>（4）项目负责人</w:t>
      </w:r>
    </w:p>
    <w:p w14:paraId="25965E2B">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身份证扫描件（正反面）：</w:t>
      </w:r>
    </w:p>
    <w:p w14:paraId="60603BC5">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开标前一个月的社保缴纳凭证(须由社保部门出具，并至少载明参保人姓名、身份证号和参保单位名称)：</w:t>
      </w:r>
    </w:p>
    <w:p w14:paraId="584CDA0E">
      <w:pPr>
        <w:pStyle w:val="6"/>
        <w:keepNext w:val="0"/>
        <w:keepLines w:val="0"/>
        <w:pageBreakBefore w:val="0"/>
        <w:widowControl/>
        <w:kinsoku/>
        <w:wordWrap/>
        <w:overflowPunct/>
        <w:topLinePunct w:val="0"/>
        <w:autoSpaceDE/>
        <w:autoSpaceDN/>
        <w:bidi w:val="0"/>
        <w:adjustRightInd/>
        <w:textAlignment w:val="auto"/>
        <w:outlineLvl w:val="9"/>
        <w:rPr>
          <w:rFonts w:hint="eastAsia" w:ascii="宋体" w:hAnsi="宋体" w:eastAsia="宋体" w:cs="宋体"/>
          <w:b w:val="0"/>
          <w:bCs/>
          <w:color w:val="auto"/>
          <w:sz w:val="24"/>
          <w:szCs w:val="24"/>
          <w:highlight w:val="none"/>
          <w:lang w:val="en-US" w:eastAsia="zh-CN"/>
        </w:rPr>
      </w:pPr>
    </w:p>
    <w:p w14:paraId="589816C3">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（5）主要技术人员</w:t>
      </w:r>
    </w:p>
    <w:p w14:paraId="57A15517">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身份证扫描件（正反面）：</w:t>
      </w:r>
    </w:p>
    <w:p w14:paraId="0EB91626">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开标前一个月的社保缴纳凭证(须由社保部门出具，并至少载明参保人姓名、身份证号和参保单位名称)：</w:t>
      </w:r>
    </w:p>
    <w:p w14:paraId="51646619">
      <w:pPr>
        <w:pStyle w:val="6"/>
        <w:keepNext w:val="0"/>
        <w:keepLines w:val="0"/>
        <w:pageBreakBefore w:val="0"/>
        <w:widowControl/>
        <w:kinsoku/>
        <w:wordWrap/>
        <w:overflowPunct/>
        <w:topLinePunct w:val="0"/>
        <w:autoSpaceDE/>
        <w:autoSpaceDN/>
        <w:bidi w:val="0"/>
        <w:adjustRightInd/>
        <w:textAlignment w:val="auto"/>
        <w:outlineLvl w:val="9"/>
        <w:rPr>
          <w:rFonts w:hint="eastAsia" w:ascii="宋体" w:hAnsi="宋体" w:eastAsia="宋体" w:cs="宋体"/>
          <w:b w:val="0"/>
          <w:bCs/>
          <w:color w:val="auto"/>
          <w:sz w:val="24"/>
          <w:szCs w:val="24"/>
          <w:highlight w:val="none"/>
          <w:lang w:val="en-US" w:eastAsia="zh-CN"/>
        </w:rPr>
      </w:pPr>
    </w:p>
    <w:p w14:paraId="4B8CFF52">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（6）投标文件编制人员</w:t>
      </w:r>
    </w:p>
    <w:p w14:paraId="76A85308">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身份证扫描件（正反面）：</w:t>
      </w:r>
    </w:p>
    <w:p w14:paraId="3BCC83A5">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开标前一个月的社保缴纳凭证(须由社保部门出具，并至少载明参保人姓名、身份证号和参保单位名称)：</w:t>
      </w:r>
    </w:p>
    <w:p w14:paraId="16574C63">
      <w:pPr>
        <w:pStyle w:val="6"/>
        <w:keepNext w:val="0"/>
        <w:keepLines w:val="0"/>
        <w:pageBreakBefore w:val="0"/>
        <w:widowControl/>
        <w:kinsoku/>
        <w:wordWrap/>
        <w:overflowPunct/>
        <w:topLinePunct w:val="0"/>
        <w:autoSpaceDE/>
        <w:autoSpaceDN/>
        <w:bidi w:val="0"/>
        <w:adjustRightInd/>
        <w:textAlignment w:val="auto"/>
        <w:outlineLvl w:val="9"/>
        <w:rPr>
          <w:rFonts w:hint="eastAsia" w:ascii="宋体" w:hAnsi="宋体" w:eastAsia="宋体" w:cs="宋体"/>
          <w:color w:val="auto"/>
          <w:sz w:val="24"/>
          <w:szCs w:val="24"/>
          <w:highlight w:val="none"/>
          <w:lang w:val="en-US" w:eastAsia="zh-CN"/>
        </w:rPr>
      </w:pPr>
    </w:p>
    <w:p w14:paraId="575FD5FF">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注：</w:t>
      </w:r>
    </w:p>
    <w:p w14:paraId="6019CBB0">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1）如开标前近一个月的社保材料因社保部门原因暂时无法取得，则可以往前顺延一个月。其中项目负责人及主要技术人员社保证明须由供应商缴纳。</w:t>
      </w:r>
    </w:p>
    <w:p w14:paraId="4563909A">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2）供应商的项目投标授权代表人与法定代表人为同一人的，则须提供法定代表人的社保证明；本项目未安排项目负责人的，则无须提供项目负责人的社保证明。</w:t>
      </w:r>
    </w:p>
    <w:p w14:paraId="5977DF4A">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3）如无法按上述要求提供人员社会保险证明材料的，提交以下材料亦视为符合：</w:t>
      </w:r>
    </w:p>
    <w:p w14:paraId="28710FF6">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若供应商为新成立企业且成立时间不足一个月，提供加盖投标人公章的情况说明或者证明材料。若为退休人员，需提供社保部门出具的退休证明。如依法不需要缴纳社会保险的，应提供相应文件证明并对其真实性负责。若因为社保部门原因无法提供的，需提供劳动合同及社保部门官方通知证明(或官网公告截图)。</w:t>
      </w:r>
    </w:p>
    <w:p w14:paraId="59C6B2B8">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p>
    <w:p w14:paraId="3D426E3A">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color w:val="auto"/>
          <w:sz w:val="24"/>
          <w:szCs w:val="24"/>
          <w:highlight w:val="none"/>
          <w:lang w:val="en-US" w:eastAsia="zh-CN"/>
        </w:rPr>
      </w:pPr>
      <w:r>
        <w:rPr>
          <w:rFonts w:hint="eastAsia" w:ascii="宋体" w:hAnsi="宋体" w:eastAsia="宋体" w:cs="宋体"/>
          <w:b/>
          <w:color w:val="auto"/>
          <w:sz w:val="24"/>
          <w:szCs w:val="24"/>
          <w:highlight w:val="none"/>
          <w:lang w:val="en-US" w:eastAsia="zh-CN"/>
        </w:rPr>
        <w:t>3.股权关系证明材料：</w:t>
      </w:r>
    </w:p>
    <w:p w14:paraId="182DAFDC">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bCs w:val="0"/>
          <w:color w:val="auto"/>
          <w:sz w:val="24"/>
          <w:szCs w:val="24"/>
          <w:highlight w:val="none"/>
          <w:lang w:val="en-US" w:eastAsia="zh-CN"/>
        </w:rPr>
      </w:pPr>
      <w:r>
        <w:rPr>
          <w:rFonts w:hint="eastAsia" w:ascii="宋体" w:hAnsi="宋体" w:eastAsia="宋体" w:cs="宋体"/>
          <w:b/>
          <w:bCs w:val="0"/>
          <w:color w:val="auto"/>
          <w:sz w:val="24"/>
          <w:szCs w:val="24"/>
          <w:highlight w:val="none"/>
          <w:lang w:val="en-US" w:eastAsia="zh-CN"/>
        </w:rPr>
        <w:t>（1）股权（或管理）关系证明材料：</w:t>
      </w:r>
    </w:p>
    <w:p w14:paraId="209305DD">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通过国家企业信用信息公示系统(https://www.gsxt.gov.cn/index.html）、或机关赋码和事业单位登记管理网（http://gjsy.gov.cn/sydwfrxxcx/)、或全国社会组织信用信息公示平台（https://xxgs.chinanpo.mca.gov.cn/gsxt/newList)等网站查询的最新股权（或管理）关系截图）</w:t>
      </w:r>
    </w:p>
    <w:p w14:paraId="51B67CE2">
      <w:pPr>
        <w:jc w:val="left"/>
        <w:rPr>
          <w:rFonts w:hint="eastAsia" w:ascii="宋体" w:hAnsi="宋体" w:eastAsia="宋体" w:cs="宋体"/>
          <w:color w:val="auto"/>
          <w:sz w:val="24"/>
          <w:szCs w:val="24"/>
          <w:highlight w:val="none"/>
          <w:lang w:eastAsia="zh-CN"/>
        </w:rPr>
      </w:pPr>
    </w:p>
    <w:p w14:paraId="41422401">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bCs w:val="0"/>
          <w:color w:val="auto"/>
          <w:sz w:val="24"/>
          <w:szCs w:val="24"/>
          <w:highlight w:val="none"/>
          <w:lang w:val="en-US" w:eastAsia="zh-CN"/>
        </w:rPr>
      </w:pPr>
      <w:r>
        <w:rPr>
          <w:rFonts w:hint="eastAsia" w:ascii="宋体" w:hAnsi="宋体" w:eastAsia="宋体" w:cs="宋体"/>
          <w:b/>
          <w:bCs w:val="0"/>
          <w:color w:val="auto"/>
          <w:sz w:val="24"/>
          <w:szCs w:val="24"/>
          <w:highlight w:val="none"/>
          <w:lang w:val="en-US" w:eastAsia="zh-CN"/>
        </w:rPr>
        <w:t>（2）《股权关系情况承诺函》</w:t>
      </w:r>
    </w:p>
    <w:p w14:paraId="4FA75FFD">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致：深圳市公安局交通警察局、友和保险经纪有限公司</w:t>
      </w:r>
    </w:p>
    <w:p w14:paraId="228CE390">
      <w:pPr>
        <w:keepNext w:val="0"/>
        <w:keepLines w:val="0"/>
        <w:pageBreakBefore w:val="0"/>
        <w:widowControl/>
        <w:numPr>
          <w:ilvl w:val="0"/>
          <w:numId w:val="0"/>
        </w:numPr>
        <w:kinsoku/>
        <w:wordWrap/>
        <w:overflowPunct/>
        <w:topLinePunct w:val="0"/>
        <w:autoSpaceDE/>
        <w:autoSpaceDN/>
        <w:bidi w:val="0"/>
        <w:adjustRightInd/>
        <w:snapToGrid w:val="0"/>
        <w:ind w:firstLine="480" w:firstLineChars="20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我公司申请参加2025年通信线缆维护，项目编号为SZDL2025000623的项目投标，并作出如下承诺：</w:t>
      </w:r>
    </w:p>
    <w:p w14:paraId="25B729D0">
      <w:pPr>
        <w:keepNext w:val="0"/>
        <w:keepLines w:val="0"/>
        <w:pageBreakBefore w:val="0"/>
        <w:widowControl/>
        <w:numPr>
          <w:ilvl w:val="0"/>
          <w:numId w:val="0"/>
        </w:numPr>
        <w:kinsoku/>
        <w:wordWrap/>
        <w:overflowPunct/>
        <w:topLinePunct w:val="0"/>
        <w:autoSpaceDE/>
        <w:autoSpaceDN/>
        <w:bidi w:val="0"/>
        <w:adjustRightInd/>
        <w:snapToGrid w:val="0"/>
        <w:ind w:firstLine="480" w:firstLineChars="20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我公司承诺所填的股权关系情况真实、准确、完整。</w:t>
      </w:r>
    </w:p>
    <w:p w14:paraId="2CC16EFB">
      <w:pPr>
        <w:keepNext w:val="0"/>
        <w:keepLines w:val="0"/>
        <w:pageBreakBefore w:val="0"/>
        <w:widowControl/>
        <w:numPr>
          <w:ilvl w:val="0"/>
          <w:numId w:val="0"/>
        </w:numPr>
        <w:kinsoku/>
        <w:wordWrap/>
        <w:overflowPunct/>
        <w:topLinePunct w:val="0"/>
        <w:autoSpaceDE/>
        <w:autoSpaceDN/>
        <w:bidi w:val="0"/>
        <w:adjustRightInd/>
        <w:snapToGrid w:val="0"/>
        <w:ind w:firstLine="480" w:firstLineChars="20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我公司承诺自股权关系证明材料查询之日起至本项目投标截止日止，股权关系如发生变更，将在投标文件中另行申明并附证明材料，保证不出现违背《中华人民共和国政府采购法实施条例》第十八条规定的情形。否则，自愿承担因此产生的不利后果而无异议。</w:t>
      </w:r>
    </w:p>
    <w:p w14:paraId="75660E3A">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特此承诺！</w:t>
      </w:r>
    </w:p>
    <w:p w14:paraId="6039A98F">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p>
    <w:p w14:paraId="71D4325B">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 xml:space="preserve">                                供应商名称： </w:t>
      </w:r>
    </w:p>
    <w:p w14:paraId="4438A191">
      <w:pPr>
        <w:keepNext w:val="0"/>
        <w:keepLines w:val="0"/>
        <w:pageBreakBefore w:val="0"/>
        <w:widowControl/>
        <w:numPr>
          <w:ilvl w:val="0"/>
          <w:numId w:val="0"/>
        </w:numPr>
        <w:kinsoku/>
        <w:wordWrap/>
        <w:overflowPunct/>
        <w:topLinePunct w:val="0"/>
        <w:autoSpaceDE/>
        <w:autoSpaceDN/>
        <w:bidi w:val="0"/>
        <w:adjustRightInd/>
        <w:snapToGrid w:val="0"/>
        <w:ind w:firstLine="3840" w:firstLineChars="160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日  期：       年    月   日</w:t>
      </w:r>
    </w:p>
    <w:p w14:paraId="3B1A3E48">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p>
    <w:p w14:paraId="1F35FB07">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hint="eastAsia" w:ascii="宋体" w:hAnsi="宋体" w:eastAsia="宋体" w:cs="宋体"/>
          <w:b w:val="0"/>
          <w:bCs/>
          <w:color w:val="auto"/>
          <w:sz w:val="24"/>
          <w:szCs w:val="24"/>
          <w:highlight w:val="none"/>
          <w:lang w:val="en-US" w:eastAsia="zh-CN"/>
        </w:rPr>
      </w:pPr>
      <w:r>
        <w:rPr>
          <w:rFonts w:hint="eastAsia" w:ascii="宋体" w:hAnsi="宋体" w:eastAsia="宋体" w:cs="宋体"/>
          <w:b w:val="0"/>
          <w:bCs/>
          <w:color w:val="auto"/>
          <w:sz w:val="24"/>
          <w:szCs w:val="24"/>
          <w:highlight w:val="none"/>
          <w:lang w:val="en-US" w:eastAsia="zh-CN"/>
        </w:rPr>
        <w:t>注：代理机构将于截标当日同步通过上述网站进行查询，查询结果与供应商填报信息不一致的，以代理机构于截标当日的查询结果为准。</w:t>
      </w:r>
    </w:p>
    <w:p w14:paraId="0A2D5049">
      <w:pPr>
        <w:rPr>
          <w:rFonts w:hint="default"/>
          <w:color w:val="auto"/>
          <w:highlight w:val="none"/>
          <w:lang w:val="en-US" w:eastAsia="zh-CN"/>
        </w:rPr>
      </w:pPr>
    </w:p>
    <w:p w14:paraId="32FFBF0A">
      <w:pPr>
        <w:rPr>
          <w:rFonts w:hint="eastAsia"/>
          <w:b w:val="0"/>
          <w:color w:val="auto"/>
          <w:sz w:val="24"/>
          <w:szCs w:val="24"/>
          <w:highlight w:val="none"/>
          <w:lang w:eastAsia="zh-CN"/>
        </w:rPr>
      </w:pPr>
      <w:r>
        <w:rPr>
          <w:rFonts w:hint="eastAsia"/>
          <w:b w:val="0"/>
          <w:color w:val="auto"/>
          <w:sz w:val="24"/>
          <w:szCs w:val="24"/>
          <w:highlight w:val="none"/>
          <w:lang w:eastAsia="zh-CN"/>
        </w:rPr>
        <w:br w:type="page"/>
      </w:r>
    </w:p>
    <w:p w14:paraId="131F1076">
      <w:pPr>
        <w:pStyle w:val="3"/>
        <w:jc w:val="center"/>
        <w:rPr>
          <w:b w:val="0"/>
          <w:color w:val="auto"/>
          <w:sz w:val="24"/>
          <w:szCs w:val="24"/>
          <w:highlight w:val="none"/>
        </w:rPr>
      </w:pPr>
      <w:r>
        <w:rPr>
          <w:rFonts w:hint="eastAsia"/>
          <w:b w:val="0"/>
          <w:color w:val="auto"/>
          <w:sz w:val="24"/>
          <w:szCs w:val="24"/>
          <w:highlight w:val="none"/>
          <w:lang w:eastAsia="zh-CN"/>
        </w:rPr>
        <w:t>四</w:t>
      </w:r>
      <w:r>
        <w:rPr>
          <w:rFonts w:hint="eastAsia"/>
          <w:b w:val="0"/>
          <w:color w:val="auto"/>
          <w:sz w:val="24"/>
          <w:szCs w:val="24"/>
          <w:highlight w:val="none"/>
        </w:rPr>
        <w:t>、</w:t>
      </w:r>
      <w:bookmarkStart w:id="41" w:name="_Hlk72092634"/>
      <w:r>
        <w:rPr>
          <w:rFonts w:hint="eastAsia"/>
          <w:b w:val="0"/>
          <w:color w:val="auto"/>
          <w:sz w:val="24"/>
          <w:szCs w:val="24"/>
          <w:highlight w:val="none"/>
        </w:rPr>
        <w:t>实质性条款响应情况表</w:t>
      </w:r>
      <w:bookmarkEnd w:id="41"/>
    </w:p>
    <w:tbl>
      <w:tblPr>
        <w:tblStyle w:val="1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5"/>
        <w:gridCol w:w="4401"/>
        <w:gridCol w:w="2084"/>
        <w:gridCol w:w="762"/>
        <w:gridCol w:w="580"/>
      </w:tblGrid>
      <w:tr w14:paraId="77F2B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408" w:type="pct"/>
            <w:vAlign w:val="center"/>
          </w:tcPr>
          <w:p w14:paraId="2D02C14E">
            <w:pPr>
              <w:keepNext w:val="0"/>
              <w:keepLines w:val="0"/>
              <w:widowControl/>
              <w:suppressLineNumbers w:val="0"/>
              <w:adjustRightInd w:val="0"/>
              <w:snapToGrid w:val="0"/>
              <w:spacing w:before="0" w:beforeAutospacing="0" w:after="0" w:afterAutospacing="0" w:line="360" w:lineRule="auto"/>
              <w:ind w:left="0" w:right="0"/>
              <w:jc w:val="center"/>
              <w:rPr>
                <w:rFonts w:hint="default" w:ascii="宋体" w:hAnsi="宋体" w:eastAsia="宋体"/>
                <w:color w:val="auto"/>
                <w:szCs w:val="21"/>
                <w:highlight w:val="none"/>
              </w:rPr>
            </w:pPr>
            <w:bookmarkStart w:id="42" w:name="_Hlk72092651"/>
            <w:r>
              <w:rPr>
                <w:rFonts w:hint="eastAsia" w:ascii="宋体" w:hAnsi="宋体" w:eastAsia="宋体"/>
                <w:color w:val="auto"/>
                <w:szCs w:val="21"/>
                <w:highlight w:val="none"/>
              </w:rPr>
              <w:t>序号</w:t>
            </w:r>
          </w:p>
        </w:tc>
        <w:tc>
          <w:tcPr>
            <w:tcW w:w="2581" w:type="pct"/>
            <w:vAlign w:val="center"/>
          </w:tcPr>
          <w:p w14:paraId="18003A37">
            <w:pPr>
              <w:keepNext w:val="0"/>
              <w:keepLines w:val="0"/>
              <w:widowControl/>
              <w:suppressLineNumbers w:val="0"/>
              <w:adjustRightInd w:val="0"/>
              <w:snapToGrid w:val="0"/>
              <w:spacing w:before="0" w:beforeAutospacing="0" w:after="0" w:afterAutospacing="0" w:line="360" w:lineRule="auto"/>
              <w:ind w:left="0" w:right="0"/>
              <w:jc w:val="center"/>
              <w:rPr>
                <w:rFonts w:hint="default" w:ascii="宋体" w:hAnsi="宋体" w:eastAsia="宋体"/>
                <w:color w:val="auto"/>
                <w:szCs w:val="21"/>
                <w:highlight w:val="none"/>
              </w:rPr>
            </w:pPr>
            <w:r>
              <w:rPr>
                <w:rFonts w:hint="eastAsia" w:ascii="宋体" w:hAnsi="宋体" w:eastAsia="宋体"/>
                <w:color w:val="auto"/>
                <w:szCs w:val="21"/>
                <w:highlight w:val="none"/>
              </w:rPr>
              <w:t>实质性条款具体内容</w:t>
            </w:r>
          </w:p>
        </w:tc>
        <w:tc>
          <w:tcPr>
            <w:tcW w:w="1222" w:type="pct"/>
            <w:vAlign w:val="center"/>
          </w:tcPr>
          <w:p w14:paraId="63FC415B">
            <w:pPr>
              <w:keepNext w:val="0"/>
              <w:keepLines w:val="0"/>
              <w:widowControl/>
              <w:suppressLineNumbers w:val="0"/>
              <w:adjustRightInd w:val="0"/>
              <w:snapToGrid w:val="0"/>
              <w:spacing w:before="0" w:beforeAutospacing="0" w:after="0" w:afterAutospacing="0" w:line="360" w:lineRule="auto"/>
              <w:ind w:left="0" w:right="0"/>
              <w:jc w:val="center"/>
              <w:rPr>
                <w:rFonts w:hint="default" w:ascii="宋体" w:hAnsi="宋体" w:eastAsia="宋体"/>
                <w:color w:val="auto"/>
                <w:szCs w:val="21"/>
                <w:highlight w:val="none"/>
              </w:rPr>
            </w:pPr>
            <w:r>
              <w:rPr>
                <w:rFonts w:hint="eastAsia" w:ascii="宋体" w:hAnsi="宋体" w:eastAsia="宋体"/>
                <w:color w:val="auto"/>
                <w:highlight w:val="none"/>
              </w:rPr>
              <w:t>投标响应</w:t>
            </w:r>
          </w:p>
        </w:tc>
        <w:tc>
          <w:tcPr>
            <w:tcW w:w="447" w:type="pct"/>
            <w:vAlign w:val="center"/>
          </w:tcPr>
          <w:p w14:paraId="5502E284">
            <w:pPr>
              <w:keepNext w:val="0"/>
              <w:keepLines w:val="0"/>
              <w:widowControl/>
              <w:suppressLineNumbers w:val="0"/>
              <w:adjustRightInd w:val="0"/>
              <w:snapToGrid w:val="0"/>
              <w:spacing w:before="0" w:beforeAutospacing="0" w:after="0" w:afterAutospacing="0" w:line="360" w:lineRule="auto"/>
              <w:ind w:left="0" w:right="0"/>
              <w:jc w:val="center"/>
              <w:rPr>
                <w:rFonts w:hint="default" w:ascii="宋体" w:hAnsi="宋体" w:eastAsia="宋体"/>
                <w:color w:val="auto"/>
                <w:szCs w:val="21"/>
                <w:highlight w:val="none"/>
              </w:rPr>
            </w:pPr>
            <w:r>
              <w:rPr>
                <w:rFonts w:hint="eastAsia" w:ascii="宋体" w:hAnsi="宋体" w:eastAsia="宋体"/>
                <w:color w:val="auto"/>
                <w:highlight w:val="none"/>
              </w:rPr>
              <w:t>偏离情况</w:t>
            </w:r>
          </w:p>
        </w:tc>
        <w:tc>
          <w:tcPr>
            <w:tcW w:w="340" w:type="pct"/>
            <w:vAlign w:val="center"/>
          </w:tcPr>
          <w:p w14:paraId="10FD5742">
            <w:pPr>
              <w:keepNext w:val="0"/>
              <w:keepLines w:val="0"/>
              <w:widowControl/>
              <w:suppressLineNumbers w:val="0"/>
              <w:adjustRightInd w:val="0"/>
              <w:snapToGrid w:val="0"/>
              <w:spacing w:before="0" w:beforeAutospacing="0" w:after="0" w:afterAutospacing="0" w:line="360" w:lineRule="auto"/>
              <w:ind w:left="0" w:right="0"/>
              <w:jc w:val="center"/>
              <w:rPr>
                <w:rFonts w:hint="default" w:ascii="宋体" w:hAnsi="宋体" w:eastAsia="宋体"/>
                <w:color w:val="auto"/>
                <w:szCs w:val="21"/>
                <w:highlight w:val="none"/>
              </w:rPr>
            </w:pPr>
            <w:r>
              <w:rPr>
                <w:rFonts w:hint="eastAsia" w:ascii="宋体" w:hAnsi="宋体" w:eastAsia="宋体"/>
                <w:color w:val="auto"/>
                <w:highlight w:val="none"/>
              </w:rPr>
              <w:t>说明</w:t>
            </w:r>
          </w:p>
        </w:tc>
      </w:tr>
      <w:bookmarkEnd w:id="42"/>
      <w:tr w14:paraId="4BA87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8" w:type="pct"/>
            <w:vAlign w:val="top"/>
          </w:tcPr>
          <w:p w14:paraId="13A355AC">
            <w:pPr>
              <w:keepNext w:val="0"/>
              <w:keepLines w:val="0"/>
              <w:widowControl/>
              <w:suppressLineNumbers w:val="0"/>
              <w:adjustRightInd w:val="0"/>
              <w:snapToGrid w:val="0"/>
              <w:spacing w:before="0" w:beforeAutospacing="0" w:after="0" w:afterAutospacing="0" w:line="360" w:lineRule="auto"/>
              <w:ind w:left="0" w:right="0"/>
              <w:jc w:val="center"/>
              <w:rPr>
                <w:rFonts w:hint="eastAsia"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1</w:t>
            </w:r>
          </w:p>
        </w:tc>
        <w:tc>
          <w:tcPr>
            <w:tcW w:w="2581" w:type="pct"/>
            <w:vAlign w:val="top"/>
          </w:tcPr>
          <w:p w14:paraId="611143AC">
            <w:pPr>
              <w:pStyle w:val="8"/>
              <w:keepNext w:val="0"/>
              <w:keepLines w:val="0"/>
              <w:widowControl/>
              <w:suppressLineNumbers w:val="0"/>
              <w:ind w:left="0" w:leftChars="0" w:right="0" w:rightChars="0"/>
              <w:rPr>
                <w:rFonts w:hint="eastAsia" w:ascii="宋体" w:hAnsi="宋体" w:eastAsia="宋体"/>
                <w:color w:val="auto"/>
                <w:szCs w:val="21"/>
                <w:highlight w:val="none"/>
                <w:lang w:eastAsia="zh-CN"/>
              </w:rPr>
            </w:pPr>
            <w:r>
              <w:rPr>
                <w:rFonts w:hint="default" w:ascii="Times New Roman" w:hAnsi="Times New Roman" w:cs="Times New Roman"/>
                <w:color w:val="auto"/>
                <w:sz w:val="21"/>
                <w:szCs w:val="21"/>
              </w:rPr>
              <w:t>★</w:t>
            </w:r>
            <w:r>
              <w:rPr>
                <w:rFonts w:hint="eastAsia" w:ascii="宋体" w:hAnsi="宋体" w:eastAsia="宋体" w:cs="宋体"/>
                <w:color w:val="auto"/>
                <w:sz w:val="21"/>
                <w:szCs w:val="21"/>
              </w:rPr>
              <w:t>1.</w:t>
            </w:r>
            <w:r>
              <w:rPr>
                <w:rFonts w:hint="default" w:ascii="Times New Roman" w:hAnsi="Times New Roman" w:cs="Times New Roman"/>
                <w:color w:val="auto"/>
                <w:sz w:val="21"/>
                <w:szCs w:val="21"/>
              </w:rPr>
              <w:t>投标人承诺实际履约的项目团队成员为投标文件中提供的拟安排人员，如因客观原因需调整人员，须具备与拟安排人员同等或以上资质，且征得采购人同意，否则视为主动放弃中标资格【提供承诺函】。</w:t>
            </w:r>
          </w:p>
        </w:tc>
        <w:tc>
          <w:tcPr>
            <w:tcW w:w="1222" w:type="pct"/>
          </w:tcPr>
          <w:p w14:paraId="67AD5527">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c>
          <w:tcPr>
            <w:tcW w:w="447" w:type="pct"/>
          </w:tcPr>
          <w:p w14:paraId="53B20C1A">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c>
          <w:tcPr>
            <w:tcW w:w="340" w:type="pct"/>
          </w:tcPr>
          <w:p w14:paraId="6321ED2B">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r>
      <w:tr w14:paraId="5B5A0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8" w:type="pct"/>
            <w:vAlign w:val="top"/>
          </w:tcPr>
          <w:p w14:paraId="722D6E75">
            <w:pPr>
              <w:keepNext w:val="0"/>
              <w:keepLines w:val="0"/>
              <w:widowControl/>
              <w:suppressLineNumbers w:val="0"/>
              <w:adjustRightInd w:val="0"/>
              <w:snapToGrid w:val="0"/>
              <w:spacing w:before="0" w:beforeAutospacing="0" w:after="0" w:afterAutospacing="0" w:line="360" w:lineRule="auto"/>
              <w:ind w:left="0" w:right="0"/>
              <w:jc w:val="center"/>
              <w:rPr>
                <w:rFonts w:hint="eastAsia"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2</w:t>
            </w:r>
          </w:p>
        </w:tc>
        <w:tc>
          <w:tcPr>
            <w:tcW w:w="2581" w:type="pct"/>
            <w:vAlign w:val="top"/>
          </w:tcPr>
          <w:p w14:paraId="40AD9A90">
            <w:pPr>
              <w:pStyle w:val="8"/>
              <w:keepNext w:val="0"/>
              <w:keepLines w:val="0"/>
              <w:widowControl/>
              <w:suppressLineNumbers w:val="0"/>
              <w:ind w:left="0" w:leftChars="0" w:right="0" w:rightChars="0"/>
              <w:rPr>
                <w:rFonts w:ascii="宋体" w:hAnsi="宋体" w:eastAsia="宋体"/>
                <w:color w:val="auto"/>
                <w:szCs w:val="21"/>
                <w:highlight w:val="none"/>
              </w:rPr>
            </w:pPr>
            <w:r>
              <w:rPr>
                <w:rFonts w:hint="default" w:ascii="Times New Roman" w:hAnsi="Times New Roman" w:cs="Times New Roman"/>
                <w:color w:val="auto"/>
                <w:sz w:val="21"/>
                <w:szCs w:val="21"/>
              </w:rPr>
              <w:t>★（</w:t>
            </w:r>
            <w:r>
              <w:rPr>
                <w:rFonts w:hint="eastAsia" w:ascii="宋体" w:hAnsi="宋体" w:eastAsia="宋体" w:cs="宋体"/>
                <w:color w:val="auto"/>
                <w:sz w:val="21"/>
                <w:szCs w:val="21"/>
              </w:rPr>
              <w:t>2</w:t>
            </w:r>
            <w:r>
              <w:rPr>
                <w:rFonts w:hint="default" w:ascii="Times New Roman" w:hAnsi="Times New Roman" w:cs="Times New Roman"/>
                <w:color w:val="auto"/>
                <w:sz w:val="21"/>
                <w:szCs w:val="21"/>
              </w:rPr>
              <w:t>）投标人承诺为本项目投入</w:t>
            </w:r>
            <w:r>
              <w:rPr>
                <w:rFonts w:hint="eastAsia" w:ascii="宋体" w:hAnsi="宋体" w:eastAsia="宋体" w:cs="宋体"/>
                <w:color w:val="auto"/>
                <w:sz w:val="21"/>
                <w:szCs w:val="21"/>
              </w:rPr>
              <w:t>1</w:t>
            </w:r>
            <w:r>
              <w:rPr>
                <w:rFonts w:hint="default" w:ascii="Times New Roman" w:hAnsi="Times New Roman" w:cs="Times New Roman"/>
                <w:color w:val="auto"/>
                <w:sz w:val="21"/>
                <w:szCs w:val="21"/>
              </w:rPr>
              <w:t>名项目负责人以及</w:t>
            </w:r>
            <w:r>
              <w:rPr>
                <w:rFonts w:hint="eastAsia" w:ascii="宋体" w:hAnsi="宋体" w:eastAsia="宋体" w:cs="宋体"/>
                <w:color w:val="auto"/>
                <w:sz w:val="21"/>
                <w:szCs w:val="21"/>
              </w:rPr>
              <w:t>10</w:t>
            </w:r>
            <w:r>
              <w:rPr>
                <w:rFonts w:hint="default" w:ascii="Times New Roman" w:hAnsi="Times New Roman" w:cs="Times New Roman"/>
                <w:color w:val="auto"/>
                <w:sz w:val="21"/>
                <w:szCs w:val="21"/>
              </w:rPr>
              <w:t>名项目团队成员，负责光缆资源的优化规划、故障跟踪、抢修及新增光资源录入等工作，并配备足够的日常维护辅助人员和专职安全员【提供承诺函】。</w:t>
            </w:r>
          </w:p>
        </w:tc>
        <w:tc>
          <w:tcPr>
            <w:tcW w:w="1222" w:type="pct"/>
          </w:tcPr>
          <w:p w14:paraId="1E3568E2">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c>
          <w:tcPr>
            <w:tcW w:w="447" w:type="pct"/>
          </w:tcPr>
          <w:p w14:paraId="334A45D9">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c>
          <w:tcPr>
            <w:tcW w:w="340" w:type="pct"/>
          </w:tcPr>
          <w:p w14:paraId="2C587F0A">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r>
      <w:tr w14:paraId="0973B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8" w:type="pct"/>
            <w:vAlign w:val="top"/>
          </w:tcPr>
          <w:p w14:paraId="15918C6C">
            <w:pPr>
              <w:keepNext w:val="0"/>
              <w:keepLines w:val="0"/>
              <w:widowControl/>
              <w:suppressLineNumbers w:val="0"/>
              <w:adjustRightInd w:val="0"/>
              <w:snapToGrid w:val="0"/>
              <w:spacing w:before="0" w:beforeAutospacing="0" w:after="0" w:afterAutospacing="0" w:line="360" w:lineRule="auto"/>
              <w:ind w:left="0" w:right="0"/>
              <w:jc w:val="center"/>
              <w:rPr>
                <w:rFonts w:hint="default" w:ascii="宋体" w:hAnsi="宋体" w:eastAsia="宋体"/>
                <w:color w:val="auto"/>
                <w:szCs w:val="21"/>
                <w:highlight w:val="none"/>
              </w:rPr>
            </w:pPr>
            <w:r>
              <w:rPr>
                <w:rFonts w:hint="eastAsia" w:ascii="宋体" w:hAnsi="宋体" w:eastAsia="宋体"/>
                <w:color w:val="auto"/>
                <w:szCs w:val="21"/>
                <w:highlight w:val="none"/>
                <w:lang w:val="en-US" w:eastAsia="zh-CN"/>
              </w:rPr>
              <w:t>3</w:t>
            </w:r>
          </w:p>
        </w:tc>
        <w:tc>
          <w:tcPr>
            <w:tcW w:w="2581" w:type="pct"/>
            <w:vAlign w:val="top"/>
          </w:tcPr>
          <w:p w14:paraId="378CE520">
            <w:pPr>
              <w:pStyle w:val="8"/>
              <w:keepNext w:val="0"/>
              <w:keepLines w:val="0"/>
              <w:widowControl/>
              <w:suppressLineNumbers w:val="0"/>
              <w:rPr>
                <w:rFonts w:hint="default" w:ascii="宋体" w:hAnsi="宋体" w:cs="Times New Roman"/>
                <w:color w:val="auto"/>
                <w:sz w:val="21"/>
                <w:szCs w:val="21"/>
              </w:rPr>
            </w:pPr>
            <w:r>
              <w:rPr>
                <w:rFonts w:hint="default" w:ascii="Times New Roman" w:hAnsi="Times New Roman" w:cs="Times New Roman"/>
                <w:color w:val="auto"/>
                <w:sz w:val="21"/>
                <w:szCs w:val="21"/>
              </w:rPr>
              <w:t>★（八）其他要求</w:t>
            </w:r>
          </w:p>
          <w:p w14:paraId="3238C1E4">
            <w:pPr>
              <w:pStyle w:val="8"/>
              <w:keepNext w:val="0"/>
              <w:keepLines w:val="0"/>
              <w:widowControl/>
              <w:suppressLineNumbers w:val="0"/>
              <w:ind w:left="0" w:leftChars="0" w:right="0" w:rightChars="0"/>
              <w:rPr>
                <w:rFonts w:ascii="宋体" w:hAnsi="宋体" w:eastAsia="宋体"/>
                <w:color w:val="auto"/>
                <w:szCs w:val="21"/>
                <w:highlight w:val="none"/>
              </w:rPr>
            </w:pPr>
            <w:r>
              <w:rPr>
                <w:rFonts w:hint="default" w:ascii="Times New Roman" w:hAnsi="Times New Roman" w:cs="Times New Roman"/>
                <w:color w:val="auto"/>
                <w:sz w:val="21"/>
                <w:szCs w:val="21"/>
              </w:rPr>
              <w:t>投标人公司经营状况良好，自</w:t>
            </w:r>
            <w:r>
              <w:rPr>
                <w:rFonts w:hint="eastAsia" w:ascii="宋体" w:hAnsi="宋体" w:eastAsia="宋体" w:cs="宋体"/>
                <w:color w:val="auto"/>
                <w:sz w:val="21"/>
                <w:szCs w:val="21"/>
              </w:rPr>
              <w:t>2024</w:t>
            </w:r>
            <w:r>
              <w:rPr>
                <w:rFonts w:hint="default" w:ascii="Times New Roman" w:hAnsi="Times New Roman" w:cs="Times New Roman"/>
                <w:color w:val="auto"/>
                <w:sz w:val="21"/>
                <w:szCs w:val="21"/>
              </w:rPr>
              <w:t>年</w:t>
            </w:r>
            <w:r>
              <w:rPr>
                <w:rFonts w:hint="eastAsia" w:ascii="宋体" w:hAnsi="宋体" w:eastAsia="宋体" w:cs="宋体"/>
                <w:color w:val="auto"/>
                <w:sz w:val="21"/>
                <w:szCs w:val="21"/>
              </w:rPr>
              <w:t>1</w:t>
            </w:r>
            <w:r>
              <w:rPr>
                <w:rFonts w:hint="default" w:ascii="Times New Roman" w:hAnsi="Times New Roman" w:cs="Times New Roman"/>
                <w:color w:val="auto"/>
                <w:sz w:val="21"/>
                <w:szCs w:val="21"/>
              </w:rPr>
              <w:t>月</w:t>
            </w:r>
            <w:r>
              <w:rPr>
                <w:rFonts w:hint="eastAsia" w:ascii="宋体" w:hAnsi="宋体" w:eastAsia="宋体" w:cs="宋体"/>
                <w:color w:val="auto"/>
                <w:sz w:val="21"/>
                <w:szCs w:val="21"/>
              </w:rPr>
              <w:t>1</w:t>
            </w:r>
            <w:r>
              <w:rPr>
                <w:rFonts w:hint="default" w:ascii="Times New Roman" w:hAnsi="Times New Roman" w:cs="Times New Roman"/>
                <w:color w:val="auto"/>
                <w:sz w:val="21"/>
                <w:szCs w:val="21"/>
              </w:rPr>
              <w:t>日至今未出现因拖欠员工工资而造成社会不良影响的情形。【提供承诺函】</w:t>
            </w:r>
          </w:p>
        </w:tc>
        <w:tc>
          <w:tcPr>
            <w:tcW w:w="1222" w:type="pct"/>
          </w:tcPr>
          <w:p w14:paraId="38221121">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c>
          <w:tcPr>
            <w:tcW w:w="447" w:type="pct"/>
          </w:tcPr>
          <w:p w14:paraId="439DCD88">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c>
          <w:tcPr>
            <w:tcW w:w="340" w:type="pct"/>
          </w:tcPr>
          <w:p w14:paraId="40EC66F2">
            <w:pPr>
              <w:keepNext w:val="0"/>
              <w:keepLines w:val="0"/>
              <w:widowControl/>
              <w:suppressLineNumbers w:val="0"/>
              <w:adjustRightInd w:val="0"/>
              <w:snapToGrid w:val="0"/>
              <w:spacing w:before="0" w:beforeAutospacing="0" w:after="0" w:afterAutospacing="0" w:line="360" w:lineRule="auto"/>
              <w:ind w:left="0" w:right="0"/>
              <w:rPr>
                <w:rFonts w:hint="default" w:ascii="宋体" w:hAnsi="宋体" w:eastAsia="宋体"/>
                <w:color w:val="auto"/>
                <w:szCs w:val="21"/>
                <w:highlight w:val="none"/>
              </w:rPr>
            </w:pPr>
          </w:p>
        </w:tc>
      </w:tr>
    </w:tbl>
    <w:p w14:paraId="0754E71D">
      <w:pPr>
        <w:ind w:firstLine="482" w:firstLineChars="200"/>
        <w:rPr>
          <w:rFonts w:ascii="宋体" w:hAnsi="宋体" w:eastAsia="宋体"/>
          <w:b/>
          <w:color w:val="auto"/>
          <w:szCs w:val="22"/>
          <w:highlight w:val="none"/>
        </w:rPr>
      </w:pPr>
    </w:p>
    <w:p w14:paraId="3C4CED3C">
      <w:pPr>
        <w:ind w:firstLine="482" w:firstLineChars="200"/>
        <w:rPr>
          <w:rFonts w:ascii="宋体" w:hAnsi="宋体" w:eastAsia="宋体"/>
          <w:b/>
          <w:color w:val="auto"/>
          <w:szCs w:val="22"/>
          <w:highlight w:val="none"/>
        </w:rPr>
      </w:pPr>
      <w:r>
        <w:rPr>
          <w:rFonts w:hint="eastAsia" w:ascii="宋体" w:hAnsi="宋体" w:eastAsia="宋体"/>
          <w:b/>
          <w:color w:val="auto"/>
          <w:szCs w:val="22"/>
          <w:highlight w:val="none"/>
        </w:rPr>
        <w:t>注：1. 上表所列各项均为不可负偏离条款。</w:t>
      </w:r>
    </w:p>
    <w:p w14:paraId="5361BF69">
      <w:pPr>
        <w:ind w:firstLine="482" w:firstLineChars="200"/>
        <w:rPr>
          <w:rFonts w:ascii="宋体" w:hAnsi="宋体" w:eastAsia="宋体"/>
          <w:b/>
          <w:color w:val="auto"/>
          <w:szCs w:val="22"/>
          <w:highlight w:val="none"/>
        </w:rPr>
      </w:pPr>
      <w:r>
        <w:rPr>
          <w:rFonts w:hint="eastAsia" w:ascii="宋体" w:hAnsi="宋体" w:eastAsia="宋体"/>
          <w:b/>
          <w:color w:val="auto"/>
          <w:szCs w:val="22"/>
          <w:highlight w:val="none"/>
        </w:rPr>
        <w:t>2.“投标响应”一栏应当详细填写投标人自身响应情况，而不能不合理照搬照抄招实质性条款具体内容。</w:t>
      </w:r>
    </w:p>
    <w:p w14:paraId="2F22AA5A">
      <w:pPr>
        <w:ind w:firstLine="482" w:firstLineChars="200"/>
        <w:rPr>
          <w:rFonts w:ascii="宋体" w:hAnsi="宋体" w:eastAsia="宋体"/>
          <w:b/>
          <w:color w:val="auto"/>
          <w:szCs w:val="22"/>
          <w:highlight w:val="none"/>
        </w:rPr>
      </w:pPr>
      <w:r>
        <w:rPr>
          <w:rFonts w:hint="eastAsia" w:ascii="宋体" w:hAnsi="宋体" w:eastAsia="宋体"/>
          <w:b/>
          <w:color w:val="auto"/>
          <w:szCs w:val="22"/>
          <w:highlight w:val="none"/>
        </w:rPr>
        <w:t>3</w:t>
      </w:r>
      <w:r>
        <w:rPr>
          <w:rFonts w:ascii="宋体" w:hAnsi="宋体" w:eastAsia="宋体"/>
          <w:b/>
          <w:color w:val="auto"/>
          <w:szCs w:val="22"/>
          <w:highlight w:val="none"/>
        </w:rPr>
        <w:t>.</w:t>
      </w:r>
      <w:r>
        <w:rPr>
          <w:rFonts w:hint="eastAsia" w:ascii="宋体" w:hAnsi="宋体" w:eastAsia="宋体"/>
          <w:b/>
          <w:color w:val="auto"/>
          <w:szCs w:val="22"/>
          <w:highlight w:val="none"/>
        </w:rPr>
        <w:t>“偏离情况”一栏应填写“正偏离”、“负偏离”或“无偏离”，</w:t>
      </w:r>
      <w:r>
        <w:rPr>
          <w:rFonts w:hint="eastAsia" w:ascii="宋体" w:hAnsi="宋体" w:eastAsia="宋体"/>
          <w:b/>
          <w:color w:val="auto"/>
          <w:highlight w:val="none"/>
        </w:rPr>
        <w:t>“正偏离”表示“投标响应优于实质性条款具体内容要求”，“负偏离”表示“投标响应不满足实质性条款具体内容要求”，“无偏离”表示“投标响应与实质性条款具体内容要求一致”。</w:t>
      </w:r>
    </w:p>
    <w:p w14:paraId="7F5C3DD1">
      <w:pPr>
        <w:ind w:firstLine="482" w:firstLineChars="200"/>
        <w:rPr>
          <w:rFonts w:ascii="宋体" w:hAnsi="宋体" w:eastAsia="宋体"/>
          <w:b/>
          <w:color w:val="auto"/>
          <w:highlight w:val="none"/>
        </w:rPr>
      </w:pPr>
      <w:r>
        <w:rPr>
          <w:rFonts w:ascii="宋体" w:hAnsi="宋体" w:eastAsia="宋体"/>
          <w:b/>
          <w:color w:val="auto"/>
          <w:highlight w:val="none"/>
        </w:rPr>
        <w:t>4.</w:t>
      </w:r>
      <w:r>
        <w:rPr>
          <w:rFonts w:hint="eastAsia" w:ascii="宋体" w:hAnsi="宋体" w:eastAsia="宋体"/>
          <w:b/>
          <w:color w:val="auto"/>
          <w:highlight w:val="none"/>
        </w:rPr>
        <w:t>评审委员会有权对投标响应情况作出判断（作出评审结论）。</w:t>
      </w:r>
    </w:p>
    <w:p w14:paraId="4CC36323">
      <w:pPr>
        <w:ind w:firstLine="482" w:firstLineChars="200"/>
        <w:rPr>
          <w:color w:val="auto"/>
          <w:highlight w:val="none"/>
        </w:rPr>
      </w:pPr>
      <w:r>
        <w:rPr>
          <w:rFonts w:ascii="宋体" w:hAnsi="宋体" w:eastAsia="宋体"/>
          <w:b/>
          <w:color w:val="auto"/>
          <w:szCs w:val="22"/>
          <w:highlight w:val="none"/>
        </w:rPr>
        <w:t>5</w:t>
      </w:r>
      <w:r>
        <w:rPr>
          <w:rFonts w:hint="eastAsia" w:ascii="宋体" w:hAnsi="宋体" w:eastAsia="宋体"/>
          <w:b/>
          <w:color w:val="auto"/>
          <w:szCs w:val="22"/>
          <w:highlight w:val="none"/>
        </w:rPr>
        <w:t>.实质性响应条款“投标响应情况”与投标文件其它内容冲突的，以实质性响应条款“投标响应情况”为准。</w:t>
      </w:r>
    </w:p>
    <w:p w14:paraId="5531066B">
      <w:pPr>
        <w:rPr>
          <w:rFonts w:eastAsia="黑体"/>
          <w:color w:val="auto"/>
          <w:highlight w:val="none"/>
        </w:rPr>
      </w:pPr>
    </w:p>
    <w:p w14:paraId="2B3DF1C8">
      <w:pPr>
        <w:rPr>
          <w:rFonts w:hint="eastAsia" w:ascii="黑体" w:eastAsia="黑体"/>
          <w:bCs w:val="0"/>
          <w:color w:val="auto"/>
          <w:sz w:val="24"/>
          <w:highlight w:val="none"/>
          <w:lang w:eastAsia="zh-CN"/>
        </w:rPr>
      </w:pPr>
      <w:r>
        <w:rPr>
          <w:rFonts w:hint="eastAsia" w:ascii="黑体" w:eastAsia="黑体"/>
          <w:bCs w:val="0"/>
          <w:color w:val="auto"/>
          <w:sz w:val="24"/>
          <w:highlight w:val="none"/>
          <w:lang w:eastAsia="zh-CN"/>
        </w:rPr>
        <w:br w:type="page"/>
      </w:r>
    </w:p>
    <w:p w14:paraId="10375979">
      <w:pPr>
        <w:pStyle w:val="3"/>
        <w:jc w:val="center"/>
        <w:rPr>
          <w:rFonts w:hint="eastAsia" w:ascii="黑体" w:eastAsia="黑体"/>
          <w:bCs w:val="0"/>
          <w:color w:val="auto"/>
          <w:sz w:val="24"/>
          <w:highlight w:val="none"/>
          <w:lang w:eastAsia="zh-CN"/>
        </w:rPr>
      </w:pPr>
      <w:r>
        <w:rPr>
          <w:rFonts w:hint="eastAsia" w:ascii="黑体" w:eastAsia="黑体"/>
          <w:bCs w:val="0"/>
          <w:color w:val="auto"/>
          <w:sz w:val="24"/>
          <w:highlight w:val="none"/>
          <w:lang w:eastAsia="zh-CN"/>
        </w:rPr>
        <w:t>五</w:t>
      </w:r>
      <w:r>
        <w:rPr>
          <w:rFonts w:hint="eastAsia" w:ascii="黑体" w:eastAsia="黑体"/>
          <w:bCs w:val="0"/>
          <w:color w:val="auto"/>
          <w:sz w:val="24"/>
          <w:highlight w:val="none"/>
        </w:rPr>
        <w:t>、</w:t>
      </w:r>
      <w:r>
        <w:rPr>
          <w:rFonts w:hint="eastAsia" w:ascii="黑体" w:eastAsia="黑体"/>
          <w:bCs w:val="0"/>
          <w:color w:val="auto"/>
          <w:sz w:val="24"/>
          <w:highlight w:val="none"/>
          <w:lang w:val="en-US" w:eastAsia="zh-CN"/>
        </w:rPr>
        <w:t>承诺函</w:t>
      </w:r>
    </w:p>
    <w:p w14:paraId="1BCB0B71">
      <w:pPr>
        <w:rPr>
          <w:rFonts w:ascii="宋体" w:hAnsi="宋体" w:eastAsia="宋体"/>
          <w:color w:val="auto"/>
          <w:highlight w:val="none"/>
        </w:rPr>
      </w:pPr>
      <w:r>
        <w:rPr>
          <w:rFonts w:hint="eastAsia" w:ascii="宋体" w:hAnsi="宋体" w:eastAsia="宋体"/>
          <w:color w:val="auto"/>
          <w:highlight w:val="none"/>
        </w:rPr>
        <w:t>致：</w:t>
      </w:r>
      <w:r>
        <w:rPr>
          <w:rFonts w:hint="eastAsia" w:ascii="宋体" w:hAnsi="宋体" w:eastAsia="宋体"/>
          <w:color w:val="auto"/>
          <w:highlight w:val="none"/>
          <w:u w:val="single"/>
        </w:rPr>
        <w:t>深圳市公安局交通警察局</w:t>
      </w:r>
    </w:p>
    <w:p w14:paraId="05602B5A">
      <w:pPr>
        <w:ind w:right="-815" w:firstLine="480" w:firstLineChars="200"/>
        <w:rPr>
          <w:rFonts w:ascii="宋体" w:hAnsi="宋体" w:eastAsia="宋体"/>
          <w:color w:val="auto"/>
          <w:highlight w:val="none"/>
        </w:rPr>
      </w:pPr>
      <w:r>
        <w:rPr>
          <w:rFonts w:hint="eastAsia" w:ascii="宋体" w:hAnsi="宋体" w:eastAsia="宋体"/>
          <w:color w:val="auto"/>
          <w:highlight w:val="none"/>
        </w:rPr>
        <w:t>我单位承诺：</w:t>
      </w:r>
    </w:p>
    <w:p w14:paraId="378AE054">
      <w:pPr>
        <w:ind w:firstLine="480" w:firstLineChars="200"/>
        <w:rPr>
          <w:rFonts w:ascii="宋体" w:hAnsi="宋体" w:eastAsia="宋体"/>
          <w:color w:val="auto"/>
          <w:highlight w:val="none"/>
        </w:rPr>
      </w:pPr>
      <w:r>
        <w:rPr>
          <w:rFonts w:hint="eastAsia" w:ascii="宋体" w:hAnsi="宋体" w:eastAsia="宋体"/>
          <w:color w:val="auto"/>
          <w:highlight w:val="none"/>
        </w:rPr>
        <w:t>1.</w:t>
      </w:r>
      <w:r>
        <w:rPr>
          <w:rFonts w:hint="eastAsia" w:ascii="宋体" w:hAnsi="宋体"/>
          <w:color w:val="auto"/>
          <w:szCs w:val="21"/>
          <w:highlight w:val="none"/>
        </w:rPr>
        <w:t>我单位参与本项目实际履约的项目团队成员为投标文件中提供的拟安排人员，如因客观原因需调整人员，须具备与拟安排人员同等或以上资质，且征得采购人同意，否则视为主动放弃中标资格。</w:t>
      </w:r>
    </w:p>
    <w:p w14:paraId="51B7A705">
      <w:pPr>
        <w:keepNext w:val="0"/>
        <w:keepLines w:val="0"/>
        <w:pageBreakBefore w:val="0"/>
        <w:widowControl/>
        <w:kinsoku/>
        <w:wordWrap/>
        <w:overflowPunct/>
        <w:topLinePunct w:val="0"/>
        <w:autoSpaceDE/>
        <w:autoSpaceDN/>
        <w:bidi w:val="0"/>
        <w:adjustRightInd/>
        <w:snapToGrid/>
        <w:ind w:firstLine="480" w:firstLineChars="200"/>
        <w:textAlignment w:val="auto"/>
        <w:rPr>
          <w:rFonts w:hint="eastAsia" w:ascii="宋体" w:hAnsi="宋体" w:eastAsia="宋体"/>
          <w:color w:val="auto"/>
          <w:highlight w:val="none"/>
          <w:lang w:eastAsia="zh-CN"/>
        </w:rPr>
      </w:pPr>
      <w:r>
        <w:rPr>
          <w:rFonts w:hint="eastAsia" w:ascii="宋体" w:hAnsi="宋体" w:eastAsia="宋体"/>
          <w:color w:val="auto"/>
          <w:highlight w:val="none"/>
        </w:rPr>
        <w:t>2.</w:t>
      </w:r>
      <w:r>
        <w:rPr>
          <w:rFonts w:hint="eastAsia" w:ascii="宋体" w:hAnsi="宋体"/>
          <w:color w:val="auto"/>
          <w:szCs w:val="21"/>
          <w:highlight w:val="none"/>
        </w:rPr>
        <w:t>我单位参与该项目投标，</w:t>
      </w:r>
      <w:r>
        <w:rPr>
          <w:rFonts w:hint="eastAsia" w:ascii="宋体" w:hAnsi="宋体" w:eastAsia="宋体"/>
          <w:color w:val="auto"/>
          <w:szCs w:val="21"/>
          <w:highlight w:val="none"/>
          <w:lang w:val="en-US" w:eastAsia="zh-CN"/>
        </w:rPr>
        <w:t>将</w:t>
      </w:r>
      <w:r>
        <w:rPr>
          <w:rFonts w:hint="eastAsia" w:ascii="宋体" w:hAnsi="宋体" w:eastAsia="宋体"/>
          <w:color w:val="auto"/>
          <w:highlight w:val="none"/>
        </w:rPr>
        <w:t>为本项目投入1名项目负责人以及10名项目团队成员，负责光缆资源的优化规划、故障跟踪、抢修及新增光资源录入等工作，并配备足够的日常维护辅助人员和专职安全员</w:t>
      </w:r>
      <w:r>
        <w:rPr>
          <w:rFonts w:hint="eastAsia" w:ascii="宋体" w:hAnsi="宋体" w:eastAsia="宋体"/>
          <w:color w:val="auto"/>
          <w:highlight w:val="none"/>
          <w:lang w:eastAsia="zh-CN"/>
        </w:rPr>
        <w:t>。</w:t>
      </w:r>
    </w:p>
    <w:p w14:paraId="0FF5CD21">
      <w:pPr>
        <w:keepNext w:val="0"/>
        <w:keepLines w:val="0"/>
        <w:pageBreakBefore w:val="0"/>
        <w:widowControl/>
        <w:kinsoku/>
        <w:wordWrap/>
        <w:overflowPunct/>
        <w:topLinePunct w:val="0"/>
        <w:autoSpaceDE/>
        <w:autoSpaceDN/>
        <w:bidi w:val="0"/>
        <w:adjustRightInd/>
        <w:snapToGrid/>
        <w:ind w:firstLine="480" w:firstLineChars="200"/>
        <w:textAlignment w:val="auto"/>
        <w:rPr>
          <w:rFonts w:hint="eastAsia" w:ascii="宋体" w:hAnsi="宋体"/>
          <w:color w:val="auto"/>
          <w:szCs w:val="21"/>
          <w:highlight w:val="none"/>
        </w:rPr>
      </w:pPr>
      <w:r>
        <w:rPr>
          <w:rFonts w:hint="eastAsia" w:ascii="宋体" w:hAnsi="宋体"/>
          <w:color w:val="auto"/>
          <w:szCs w:val="21"/>
          <w:highlight w:val="none"/>
        </w:rPr>
        <w:t>3.我单位公司经营状况良好，自2024年1月1日至今未出现因拖欠员工工资而造成社会不良影响的情形。</w:t>
      </w:r>
    </w:p>
    <w:p w14:paraId="28DEB515">
      <w:pPr>
        <w:ind w:firstLine="480" w:firstLineChars="200"/>
        <w:rPr>
          <w:rFonts w:ascii="宋体" w:hAnsi="宋体" w:eastAsia="宋体"/>
          <w:color w:val="auto"/>
          <w:highlight w:val="none"/>
        </w:rPr>
      </w:pPr>
      <w:r>
        <w:rPr>
          <w:rFonts w:hint="eastAsia" w:ascii="宋体" w:hAnsi="宋体" w:eastAsia="宋体"/>
          <w:color w:val="auto"/>
          <w:highlight w:val="none"/>
        </w:rPr>
        <w:t>以上承诺，如有违反，愿依照国家相关法律法规处理，并承担由此给采购人带来的损失。</w:t>
      </w:r>
    </w:p>
    <w:p w14:paraId="5D4380E4">
      <w:pPr>
        <w:spacing w:before="60" w:beforeLines="25" w:after="60" w:afterLines="25"/>
        <w:ind w:firstLine="6240" w:firstLineChars="2600"/>
        <w:rPr>
          <w:rFonts w:ascii="宋体" w:hAnsi="宋体" w:eastAsia="宋体"/>
          <w:color w:val="auto"/>
          <w:highlight w:val="none"/>
        </w:rPr>
      </w:pPr>
      <w:r>
        <w:rPr>
          <w:rFonts w:hint="eastAsia" w:ascii="宋体" w:hAnsi="宋体" w:eastAsia="宋体"/>
          <w:color w:val="auto"/>
          <w:highlight w:val="none"/>
        </w:rPr>
        <w:t xml:space="preserve">                                    </w:t>
      </w:r>
    </w:p>
    <w:p w14:paraId="19DB3D2E">
      <w:pPr>
        <w:spacing w:before="60" w:beforeLines="25" w:after="60" w:afterLines="25"/>
        <w:ind w:left="0" w:leftChars="0" w:firstLine="5520" w:firstLineChars="2300"/>
        <w:rPr>
          <w:rFonts w:ascii="宋体" w:hAnsi="宋体" w:eastAsia="宋体"/>
          <w:color w:val="auto"/>
          <w:highlight w:val="none"/>
        </w:rPr>
      </w:pPr>
      <w:r>
        <w:rPr>
          <w:rFonts w:hint="eastAsia" w:ascii="宋体" w:hAnsi="宋体" w:eastAsia="宋体"/>
          <w:color w:val="auto"/>
          <w:highlight w:val="none"/>
        </w:rPr>
        <w:t>投标人：</w:t>
      </w:r>
      <w:r>
        <w:rPr>
          <w:rFonts w:hint="eastAsia" w:ascii="宋体" w:hAnsi="宋体" w:eastAsia="宋体"/>
          <w:color w:val="auto"/>
          <w:highlight w:val="none"/>
          <w:u w:val="single"/>
        </w:rPr>
        <w:t xml:space="preserve">  </w:t>
      </w:r>
      <w:r>
        <w:rPr>
          <w:rFonts w:hint="eastAsia" w:ascii="宋体" w:hAnsi="宋体" w:eastAsia="宋体"/>
          <w:color w:val="auto"/>
          <w:highlight w:val="none"/>
          <w:u w:val="single"/>
          <w:lang w:val="en-US" w:eastAsia="zh-CN"/>
        </w:rPr>
        <w:t xml:space="preserve">   </w:t>
      </w:r>
      <w:r>
        <w:rPr>
          <w:rFonts w:hint="eastAsia" w:ascii="宋体" w:hAnsi="宋体" w:eastAsia="宋体"/>
          <w:color w:val="auto"/>
          <w:highlight w:val="none"/>
          <w:u w:val="single"/>
        </w:rPr>
        <w:t xml:space="preserve">            </w:t>
      </w:r>
    </w:p>
    <w:p w14:paraId="4AACAC6F">
      <w:pPr>
        <w:ind w:firstLine="645"/>
        <w:rPr>
          <w:rFonts w:ascii="宋体" w:hAnsi="宋体" w:eastAsia="宋体"/>
          <w:color w:val="auto"/>
          <w:highlight w:val="none"/>
        </w:rPr>
      </w:pPr>
      <w:r>
        <w:rPr>
          <w:rFonts w:hint="eastAsia" w:ascii="宋体" w:hAnsi="宋体" w:eastAsia="宋体"/>
          <w:color w:val="auto"/>
          <w:highlight w:val="none"/>
        </w:rPr>
        <w:t xml:space="preserve">                                        日期：</w:t>
      </w:r>
      <w:r>
        <w:rPr>
          <w:rFonts w:hint="eastAsia" w:ascii="宋体" w:hAnsi="宋体" w:eastAsia="宋体"/>
          <w:color w:val="auto"/>
          <w:highlight w:val="none"/>
          <w:u w:val="single"/>
        </w:rPr>
        <w:t xml:space="preserve">    </w:t>
      </w:r>
      <w:r>
        <w:rPr>
          <w:rFonts w:hint="eastAsia" w:ascii="宋体" w:hAnsi="宋体" w:eastAsia="宋体"/>
          <w:color w:val="auto"/>
          <w:highlight w:val="none"/>
        </w:rPr>
        <w:t>年</w:t>
      </w:r>
      <w:r>
        <w:rPr>
          <w:rFonts w:hint="eastAsia" w:ascii="宋体" w:hAnsi="宋体" w:eastAsia="宋体"/>
          <w:color w:val="auto"/>
          <w:highlight w:val="none"/>
          <w:u w:val="single"/>
        </w:rPr>
        <w:t xml:space="preserve">   </w:t>
      </w:r>
      <w:r>
        <w:rPr>
          <w:rFonts w:hint="eastAsia" w:ascii="宋体" w:hAnsi="宋体" w:eastAsia="宋体"/>
          <w:color w:val="auto"/>
          <w:highlight w:val="none"/>
        </w:rPr>
        <w:t>月</w:t>
      </w:r>
      <w:r>
        <w:rPr>
          <w:rFonts w:hint="eastAsia" w:ascii="宋体" w:hAnsi="宋体" w:eastAsia="宋体"/>
          <w:color w:val="auto"/>
          <w:highlight w:val="none"/>
          <w:u w:val="single"/>
        </w:rPr>
        <w:t xml:space="preserve">   </w:t>
      </w:r>
      <w:r>
        <w:rPr>
          <w:rFonts w:hint="eastAsia" w:ascii="宋体" w:hAnsi="宋体" w:eastAsia="宋体"/>
          <w:color w:val="auto"/>
          <w:highlight w:val="none"/>
        </w:rPr>
        <w:t>日</w:t>
      </w:r>
    </w:p>
    <w:p w14:paraId="067AE440">
      <w:pPr>
        <w:rPr>
          <w:rFonts w:ascii="宋体" w:hAnsi="宋体" w:eastAsia="宋体"/>
          <w:color w:val="auto"/>
          <w:highlight w:val="none"/>
        </w:rPr>
      </w:pPr>
    </w:p>
    <w:p w14:paraId="37F3B15E">
      <w:pPr>
        <w:rPr>
          <w:rFonts w:hint="eastAsia" w:ascii="黑体" w:eastAsia="黑体"/>
          <w:bCs w:val="0"/>
          <w:color w:val="auto"/>
          <w:sz w:val="24"/>
          <w:highlight w:val="none"/>
          <w:lang w:eastAsia="zh-CN"/>
        </w:rPr>
      </w:pPr>
      <w:r>
        <w:rPr>
          <w:rFonts w:hint="eastAsia" w:ascii="黑体" w:eastAsia="黑体"/>
          <w:bCs w:val="0"/>
          <w:color w:val="auto"/>
          <w:sz w:val="24"/>
          <w:highlight w:val="none"/>
          <w:lang w:eastAsia="zh-CN"/>
        </w:rPr>
        <w:br w:type="page"/>
      </w:r>
    </w:p>
    <w:p w14:paraId="24F9CD44">
      <w:pPr>
        <w:pStyle w:val="3"/>
        <w:jc w:val="center"/>
        <w:rPr>
          <w:rFonts w:ascii="黑体" w:eastAsia="黑体"/>
          <w:bCs w:val="0"/>
          <w:color w:val="auto"/>
          <w:sz w:val="24"/>
          <w:highlight w:val="none"/>
        </w:rPr>
      </w:pPr>
      <w:r>
        <w:rPr>
          <w:rFonts w:hint="eastAsia" w:ascii="黑体" w:eastAsia="黑体"/>
          <w:bCs w:val="0"/>
          <w:color w:val="auto"/>
          <w:sz w:val="24"/>
          <w:highlight w:val="none"/>
          <w:lang w:val="en-US" w:eastAsia="zh-CN"/>
        </w:rPr>
        <w:t>六</w:t>
      </w:r>
      <w:r>
        <w:rPr>
          <w:rFonts w:hint="eastAsia" w:ascii="黑体" w:eastAsia="黑体"/>
          <w:bCs w:val="0"/>
          <w:color w:val="auto"/>
          <w:sz w:val="24"/>
          <w:highlight w:val="none"/>
        </w:rPr>
        <w:t>、商务、</w:t>
      </w:r>
      <w:r>
        <w:rPr>
          <w:rFonts w:hint="eastAsia" w:ascii="黑体" w:eastAsia="黑体"/>
          <w:bCs w:val="0"/>
          <w:color w:val="auto"/>
          <w:sz w:val="24"/>
          <w:highlight w:val="none"/>
          <w:lang w:eastAsia="zh-CN"/>
        </w:rPr>
        <w:t>服务</w:t>
      </w:r>
      <w:r>
        <w:rPr>
          <w:rFonts w:hint="eastAsia" w:ascii="黑体" w:eastAsia="黑体"/>
          <w:bCs w:val="0"/>
          <w:color w:val="auto"/>
          <w:sz w:val="24"/>
          <w:highlight w:val="none"/>
        </w:rPr>
        <w:t>条款偏离表</w:t>
      </w:r>
    </w:p>
    <w:p w14:paraId="76C6E523">
      <w:pPr>
        <w:snapToGrid w:val="0"/>
        <w:spacing w:line="360" w:lineRule="auto"/>
        <w:rPr>
          <w:rFonts w:ascii="Arial" w:hAnsi="Arial" w:eastAsia="宋体" w:cs="Arial"/>
          <w:color w:val="auto"/>
          <w:highlight w:val="none"/>
          <w:u w:val="single"/>
        </w:rPr>
      </w:pPr>
      <w:r>
        <w:rPr>
          <w:rFonts w:hint="eastAsia" w:ascii="Arial" w:hAnsi="Arial" w:eastAsia="宋体" w:cs="Arial"/>
          <w:color w:val="auto"/>
          <w:highlight w:val="none"/>
        </w:rPr>
        <w:t>投标单位（投标人）名称：</w:t>
      </w:r>
    </w:p>
    <w:tbl>
      <w:tblPr>
        <w:tblStyle w:val="17"/>
        <w:tblW w:w="4999" w:type="pct"/>
        <w:jc w:val="center"/>
        <w:tblBorders>
          <w:top w:val="double" w:color="auto" w:sz="4" w:space="0"/>
          <w:left w:val="double" w:color="auto" w:sz="4" w:space="0"/>
          <w:bottom w:val="double" w:color="auto" w:sz="4" w:space="0"/>
          <w:right w:val="double" w:color="auto" w:sz="4" w:space="0"/>
          <w:insideH w:val="double" w:color="auto" w:sz="4" w:space="0"/>
          <w:insideV w:val="double" w:color="auto" w:sz="4" w:space="0"/>
        </w:tblBorders>
        <w:tblLayout w:type="autofit"/>
        <w:tblCellMar>
          <w:top w:w="0" w:type="dxa"/>
          <w:left w:w="108" w:type="dxa"/>
          <w:bottom w:w="0" w:type="dxa"/>
          <w:right w:w="108" w:type="dxa"/>
        </w:tblCellMar>
      </w:tblPr>
      <w:tblGrid>
        <w:gridCol w:w="497"/>
        <w:gridCol w:w="3683"/>
        <w:gridCol w:w="2376"/>
        <w:gridCol w:w="982"/>
        <w:gridCol w:w="982"/>
      </w:tblGrid>
      <w:tr w14:paraId="6909F571">
        <w:tblPrEx>
          <w:tblBorders>
            <w:top w:val="double" w:color="auto" w:sz="4" w:space="0"/>
            <w:left w:val="double" w:color="auto" w:sz="4" w:space="0"/>
            <w:bottom w:val="double" w:color="auto" w:sz="4" w:space="0"/>
            <w:right w:val="double" w:color="auto" w:sz="4" w:space="0"/>
            <w:insideH w:val="double" w:color="auto" w:sz="4" w:space="0"/>
            <w:insideV w:val="double" w:color="auto" w:sz="4" w:space="0"/>
          </w:tblBorders>
          <w:tblCellMar>
            <w:top w:w="0" w:type="dxa"/>
            <w:left w:w="108" w:type="dxa"/>
            <w:bottom w:w="0" w:type="dxa"/>
            <w:right w:w="108" w:type="dxa"/>
          </w:tblCellMar>
        </w:tblPrEx>
        <w:trPr>
          <w:trHeight w:val="361" w:hRule="atLeast"/>
          <w:jc w:val="center"/>
        </w:trPr>
        <w:tc>
          <w:tcPr>
            <w:tcW w:w="292" w:type="pct"/>
            <w:vAlign w:val="center"/>
          </w:tcPr>
          <w:p w14:paraId="3D8C2882">
            <w:pPr>
              <w:keepNext w:val="0"/>
              <w:keepLines w:val="0"/>
              <w:widowControl/>
              <w:suppressLineNumbers w:val="0"/>
              <w:spacing w:before="0" w:beforeAutospacing="0" w:after="0" w:afterAutospacing="0" w:line="360" w:lineRule="auto"/>
              <w:ind w:left="0" w:right="0"/>
              <w:jc w:val="center"/>
              <w:rPr>
                <w:rFonts w:hint="default" w:cs="Arial" w:asciiTheme="minorEastAsia" w:hAnsiTheme="minorEastAsia"/>
                <w:b/>
                <w:color w:val="auto"/>
                <w:sz w:val="21"/>
                <w:szCs w:val="21"/>
                <w:highlight w:val="none"/>
              </w:rPr>
            </w:pPr>
            <w:r>
              <w:rPr>
                <w:rFonts w:hint="eastAsia" w:cs="Arial" w:asciiTheme="minorEastAsia" w:hAnsiTheme="minorEastAsia"/>
                <w:b/>
                <w:color w:val="auto"/>
                <w:sz w:val="21"/>
                <w:szCs w:val="21"/>
                <w:highlight w:val="none"/>
              </w:rPr>
              <w:t>序号</w:t>
            </w:r>
          </w:p>
        </w:tc>
        <w:tc>
          <w:tcPr>
            <w:tcW w:w="2161" w:type="pct"/>
            <w:vAlign w:val="center"/>
          </w:tcPr>
          <w:p w14:paraId="35629533">
            <w:pPr>
              <w:keepNext w:val="0"/>
              <w:keepLines w:val="0"/>
              <w:widowControl/>
              <w:suppressLineNumbers w:val="0"/>
              <w:spacing w:before="0" w:beforeAutospacing="0" w:after="0" w:afterAutospacing="0" w:line="360" w:lineRule="auto"/>
              <w:ind w:left="0" w:right="0"/>
              <w:jc w:val="center"/>
              <w:rPr>
                <w:rFonts w:hint="default" w:cs="Arial" w:asciiTheme="minorEastAsia" w:hAnsiTheme="minorEastAsia"/>
                <w:b/>
                <w:color w:val="auto"/>
                <w:sz w:val="21"/>
                <w:szCs w:val="21"/>
                <w:highlight w:val="none"/>
              </w:rPr>
            </w:pPr>
            <w:r>
              <w:rPr>
                <w:rFonts w:hint="eastAsia" w:cs="Arial" w:asciiTheme="minorEastAsia" w:hAnsiTheme="minorEastAsia"/>
                <w:b/>
                <w:color w:val="auto"/>
                <w:sz w:val="21"/>
                <w:szCs w:val="21"/>
                <w:highlight w:val="none"/>
              </w:rPr>
              <w:t>招标文件要求</w:t>
            </w:r>
          </w:p>
        </w:tc>
        <w:tc>
          <w:tcPr>
            <w:tcW w:w="1394" w:type="pct"/>
            <w:vAlign w:val="center"/>
          </w:tcPr>
          <w:p w14:paraId="1392FA2A">
            <w:pPr>
              <w:keepNext w:val="0"/>
              <w:keepLines w:val="0"/>
              <w:widowControl/>
              <w:suppressLineNumbers w:val="0"/>
              <w:spacing w:before="0" w:beforeAutospacing="0" w:after="0" w:afterAutospacing="0" w:line="360" w:lineRule="auto"/>
              <w:ind w:left="0" w:right="0"/>
              <w:jc w:val="center"/>
              <w:rPr>
                <w:rFonts w:hint="default" w:cs="Arial" w:asciiTheme="minorEastAsia" w:hAnsiTheme="minorEastAsia"/>
                <w:b/>
                <w:color w:val="auto"/>
                <w:sz w:val="21"/>
                <w:szCs w:val="21"/>
                <w:highlight w:val="none"/>
              </w:rPr>
            </w:pPr>
            <w:r>
              <w:rPr>
                <w:rFonts w:hint="eastAsia" w:cs="Arial" w:asciiTheme="minorEastAsia" w:hAnsiTheme="minorEastAsia"/>
                <w:b/>
                <w:color w:val="auto"/>
                <w:sz w:val="21"/>
                <w:szCs w:val="21"/>
                <w:highlight w:val="none"/>
              </w:rPr>
              <w:t>投标文件响应</w:t>
            </w:r>
          </w:p>
        </w:tc>
        <w:tc>
          <w:tcPr>
            <w:tcW w:w="576" w:type="pct"/>
            <w:vAlign w:val="center"/>
          </w:tcPr>
          <w:p w14:paraId="2B4FB3B5">
            <w:pPr>
              <w:keepNext w:val="0"/>
              <w:keepLines w:val="0"/>
              <w:widowControl/>
              <w:suppressLineNumbers w:val="0"/>
              <w:spacing w:before="0" w:beforeAutospacing="0" w:after="0" w:afterAutospacing="0" w:line="360" w:lineRule="auto"/>
              <w:ind w:left="0" w:right="0"/>
              <w:jc w:val="center"/>
              <w:rPr>
                <w:rFonts w:hint="eastAsia" w:eastAsia="宋体" w:cs="Arial" w:asciiTheme="minorEastAsia" w:hAnsiTheme="minorEastAsia"/>
                <w:b/>
                <w:color w:val="auto"/>
                <w:sz w:val="21"/>
                <w:szCs w:val="21"/>
                <w:highlight w:val="none"/>
                <w:lang w:eastAsia="zh-CN"/>
              </w:rPr>
            </w:pPr>
            <w:r>
              <w:rPr>
                <w:rFonts w:hint="eastAsia" w:eastAsia="宋体" w:cs="Arial" w:asciiTheme="minorEastAsia" w:hAnsiTheme="minorEastAsia"/>
                <w:b/>
                <w:color w:val="auto"/>
                <w:sz w:val="21"/>
                <w:szCs w:val="21"/>
                <w:highlight w:val="none"/>
                <w:lang w:eastAsia="zh-CN"/>
              </w:rPr>
              <w:t>偏离情况</w:t>
            </w:r>
          </w:p>
        </w:tc>
        <w:tc>
          <w:tcPr>
            <w:tcW w:w="576" w:type="pct"/>
            <w:vAlign w:val="center"/>
          </w:tcPr>
          <w:p w14:paraId="78C6A492">
            <w:pPr>
              <w:keepNext w:val="0"/>
              <w:keepLines w:val="0"/>
              <w:widowControl/>
              <w:suppressLineNumbers w:val="0"/>
              <w:spacing w:before="0" w:beforeAutospacing="0" w:after="0" w:afterAutospacing="0" w:line="360" w:lineRule="auto"/>
              <w:ind w:left="0" w:right="0"/>
              <w:jc w:val="center"/>
              <w:rPr>
                <w:rFonts w:hint="default" w:cs="Arial" w:asciiTheme="minorEastAsia" w:hAnsiTheme="minorEastAsia"/>
                <w:b/>
                <w:color w:val="auto"/>
                <w:sz w:val="21"/>
                <w:szCs w:val="21"/>
                <w:highlight w:val="none"/>
              </w:rPr>
            </w:pPr>
            <w:r>
              <w:rPr>
                <w:rFonts w:hint="eastAsia" w:cs="Arial" w:asciiTheme="minorEastAsia" w:hAnsiTheme="minorEastAsia"/>
                <w:b/>
                <w:color w:val="auto"/>
                <w:sz w:val="21"/>
                <w:szCs w:val="21"/>
                <w:highlight w:val="none"/>
              </w:rPr>
              <w:t>说明</w:t>
            </w:r>
          </w:p>
        </w:tc>
      </w:tr>
      <w:tr w14:paraId="7A8AA615">
        <w:tblPrEx>
          <w:tblBorders>
            <w:top w:val="double" w:color="auto" w:sz="4" w:space="0"/>
            <w:left w:val="double" w:color="auto" w:sz="4" w:space="0"/>
            <w:bottom w:val="double" w:color="auto" w:sz="4" w:space="0"/>
            <w:right w:val="double" w:color="auto" w:sz="4" w:space="0"/>
            <w:insideH w:val="double" w:color="auto" w:sz="4" w:space="0"/>
            <w:insideV w:val="double" w:color="auto" w:sz="4" w:space="0"/>
          </w:tblBorders>
          <w:tblCellMar>
            <w:top w:w="0" w:type="dxa"/>
            <w:left w:w="108" w:type="dxa"/>
            <w:bottom w:w="0" w:type="dxa"/>
            <w:right w:w="108" w:type="dxa"/>
          </w:tblCellMar>
        </w:tblPrEx>
        <w:trPr>
          <w:trHeight w:val="1341" w:hRule="atLeast"/>
          <w:jc w:val="center"/>
        </w:trPr>
        <w:tc>
          <w:tcPr>
            <w:tcW w:w="292" w:type="pct"/>
            <w:vAlign w:val="center"/>
          </w:tcPr>
          <w:p w14:paraId="1BF2547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color w:val="auto"/>
                <w:sz w:val="21"/>
                <w:szCs w:val="21"/>
                <w:highlight w:val="none"/>
              </w:rPr>
            </w:pPr>
            <w:r>
              <w:rPr>
                <w:rFonts w:hint="eastAsia" w:asciiTheme="minorEastAsia" w:hAnsiTheme="minorEastAsia"/>
                <w:color w:val="auto"/>
                <w:sz w:val="21"/>
                <w:szCs w:val="21"/>
                <w:highlight w:val="none"/>
              </w:rPr>
              <w:t>1</w:t>
            </w:r>
          </w:p>
        </w:tc>
        <w:tc>
          <w:tcPr>
            <w:tcW w:w="2161" w:type="pct"/>
            <w:vAlign w:val="center"/>
          </w:tcPr>
          <w:p w14:paraId="2176D23B">
            <w:pPr>
              <w:keepNext w:val="0"/>
              <w:keepLines w:val="0"/>
              <w:widowControl/>
              <w:suppressLineNumbers w:val="0"/>
              <w:spacing w:before="0" w:beforeAutospacing="0" w:after="0" w:afterAutospacing="0" w:line="360" w:lineRule="auto"/>
              <w:ind w:left="0" w:right="0"/>
              <w:rPr>
                <w:rFonts w:hint="default" w:asciiTheme="minorEastAsia" w:hAnsiTheme="minorEastAsia"/>
                <w:b/>
                <w:color w:val="auto"/>
                <w:sz w:val="21"/>
                <w:szCs w:val="21"/>
                <w:highlight w:val="none"/>
              </w:rPr>
            </w:pPr>
            <w:r>
              <w:rPr>
                <w:rFonts w:hint="eastAsia" w:asciiTheme="minorEastAsia" w:hAnsiTheme="minorEastAsia"/>
                <w:b/>
                <w:color w:val="auto"/>
                <w:sz w:val="21"/>
                <w:szCs w:val="21"/>
                <w:highlight w:val="none"/>
              </w:rPr>
              <w:t>《第三章 用户需求书：四、项目服务要求》中所有条款要求。</w:t>
            </w:r>
          </w:p>
        </w:tc>
        <w:tc>
          <w:tcPr>
            <w:tcW w:w="1394" w:type="pct"/>
            <w:vAlign w:val="center"/>
          </w:tcPr>
          <w:p w14:paraId="047342E3">
            <w:pPr>
              <w:keepNext w:val="0"/>
              <w:keepLines w:val="0"/>
              <w:widowControl/>
              <w:suppressLineNumbers w:val="0"/>
              <w:spacing w:before="0" w:beforeAutospacing="0" w:after="0" w:afterAutospacing="0" w:line="360" w:lineRule="auto"/>
              <w:ind w:left="0" w:right="0"/>
              <w:rPr>
                <w:rFonts w:hint="default" w:cs="Arial" w:asciiTheme="minorEastAsia" w:hAnsiTheme="minorEastAsia"/>
                <w:color w:val="auto"/>
                <w:sz w:val="21"/>
                <w:szCs w:val="21"/>
                <w:highlight w:val="none"/>
              </w:rPr>
            </w:pPr>
            <w:r>
              <w:rPr>
                <w:rFonts w:hint="eastAsia" w:cs="Arial" w:asciiTheme="minorEastAsia" w:hAnsiTheme="minorEastAsia"/>
                <w:color w:val="auto"/>
                <w:sz w:val="21"/>
                <w:szCs w:val="21"/>
                <w:highlight w:val="none"/>
              </w:rPr>
              <w:t>我公司完全响应满足招标文件中此项要求。</w:t>
            </w:r>
          </w:p>
        </w:tc>
        <w:tc>
          <w:tcPr>
            <w:tcW w:w="576" w:type="pct"/>
            <w:shd w:val="clear" w:color="auto" w:fill="auto"/>
            <w:vAlign w:val="center"/>
          </w:tcPr>
          <w:p w14:paraId="0305A168">
            <w:pPr>
              <w:keepNext w:val="0"/>
              <w:keepLines w:val="0"/>
              <w:widowControl/>
              <w:suppressLineNumbers w:val="0"/>
              <w:spacing w:before="0" w:beforeAutospacing="0" w:after="0" w:afterAutospacing="0" w:line="360" w:lineRule="auto"/>
              <w:ind w:left="0" w:right="0"/>
              <w:jc w:val="center"/>
              <w:rPr>
                <w:rFonts w:hint="eastAsia" w:eastAsia="Times New Roman" w:cs="Arial" w:asciiTheme="minorEastAsia" w:hAnsiTheme="minorEastAsia"/>
                <w:color w:val="auto"/>
                <w:sz w:val="21"/>
                <w:szCs w:val="21"/>
                <w:highlight w:val="none"/>
              </w:rPr>
            </w:pPr>
          </w:p>
        </w:tc>
        <w:tc>
          <w:tcPr>
            <w:tcW w:w="576" w:type="pct"/>
            <w:vAlign w:val="center"/>
          </w:tcPr>
          <w:p w14:paraId="1AC94310">
            <w:pPr>
              <w:keepNext w:val="0"/>
              <w:keepLines w:val="0"/>
              <w:widowControl/>
              <w:suppressLineNumbers w:val="0"/>
              <w:spacing w:before="0" w:beforeAutospacing="0" w:after="0" w:afterAutospacing="0" w:line="360" w:lineRule="auto"/>
              <w:ind w:left="0" w:right="0"/>
              <w:jc w:val="center"/>
              <w:rPr>
                <w:rFonts w:hint="default" w:cs="Arial" w:asciiTheme="minorEastAsia" w:hAnsiTheme="minorEastAsia"/>
                <w:color w:val="auto"/>
                <w:sz w:val="21"/>
                <w:szCs w:val="21"/>
                <w:highlight w:val="none"/>
              </w:rPr>
            </w:pPr>
          </w:p>
        </w:tc>
      </w:tr>
      <w:tr w14:paraId="3F08A89A">
        <w:tblPrEx>
          <w:tblBorders>
            <w:top w:val="double" w:color="auto" w:sz="4" w:space="0"/>
            <w:left w:val="double" w:color="auto" w:sz="4" w:space="0"/>
            <w:bottom w:val="double" w:color="auto" w:sz="4" w:space="0"/>
            <w:right w:val="double" w:color="auto" w:sz="4" w:space="0"/>
            <w:insideH w:val="double" w:color="auto" w:sz="4" w:space="0"/>
            <w:insideV w:val="double" w:color="auto" w:sz="4" w:space="0"/>
          </w:tblBorders>
          <w:tblCellMar>
            <w:top w:w="0" w:type="dxa"/>
            <w:left w:w="108" w:type="dxa"/>
            <w:bottom w:w="0" w:type="dxa"/>
            <w:right w:w="108" w:type="dxa"/>
          </w:tblCellMar>
        </w:tblPrEx>
        <w:trPr>
          <w:trHeight w:val="904" w:hRule="atLeast"/>
          <w:jc w:val="center"/>
        </w:trPr>
        <w:tc>
          <w:tcPr>
            <w:tcW w:w="292" w:type="pct"/>
            <w:vAlign w:val="center"/>
          </w:tcPr>
          <w:p w14:paraId="2E074CC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color w:val="auto"/>
                <w:sz w:val="21"/>
                <w:szCs w:val="21"/>
                <w:highlight w:val="none"/>
              </w:rPr>
            </w:pPr>
            <w:r>
              <w:rPr>
                <w:rFonts w:hint="eastAsia" w:asciiTheme="minorEastAsia" w:hAnsiTheme="minorEastAsia"/>
                <w:color w:val="auto"/>
                <w:sz w:val="21"/>
                <w:szCs w:val="21"/>
                <w:highlight w:val="none"/>
              </w:rPr>
              <w:t>2</w:t>
            </w:r>
          </w:p>
        </w:tc>
        <w:tc>
          <w:tcPr>
            <w:tcW w:w="2161" w:type="pct"/>
          </w:tcPr>
          <w:p w14:paraId="36B65418">
            <w:pPr>
              <w:keepNext w:val="0"/>
              <w:keepLines w:val="0"/>
              <w:widowControl/>
              <w:suppressLineNumbers w:val="0"/>
              <w:spacing w:before="0" w:beforeAutospacing="0" w:after="0" w:afterAutospacing="0" w:line="360" w:lineRule="auto"/>
              <w:ind w:left="0" w:right="0"/>
              <w:rPr>
                <w:rFonts w:hint="default" w:asciiTheme="minorEastAsia" w:hAnsiTheme="minorEastAsia"/>
                <w:b/>
                <w:color w:val="auto"/>
                <w:sz w:val="21"/>
                <w:szCs w:val="21"/>
                <w:highlight w:val="none"/>
              </w:rPr>
            </w:pPr>
            <w:r>
              <w:rPr>
                <w:rFonts w:hint="eastAsia" w:asciiTheme="minorEastAsia" w:hAnsiTheme="minorEastAsia"/>
                <w:b/>
                <w:color w:val="auto"/>
                <w:sz w:val="21"/>
                <w:szCs w:val="21"/>
                <w:highlight w:val="none"/>
              </w:rPr>
              <w:t>《第三章 用户需求书：五、项目商务要求》中所有条款要求。</w:t>
            </w:r>
          </w:p>
        </w:tc>
        <w:tc>
          <w:tcPr>
            <w:tcW w:w="1394" w:type="pct"/>
            <w:vAlign w:val="center"/>
          </w:tcPr>
          <w:p w14:paraId="170A27E9">
            <w:pPr>
              <w:keepNext w:val="0"/>
              <w:keepLines w:val="0"/>
              <w:widowControl/>
              <w:suppressLineNumbers w:val="0"/>
              <w:spacing w:before="0" w:beforeAutospacing="0" w:after="0" w:afterAutospacing="0" w:line="360" w:lineRule="auto"/>
              <w:ind w:left="0" w:right="0"/>
              <w:rPr>
                <w:rFonts w:hint="default" w:cs="Arial" w:asciiTheme="minorEastAsia" w:hAnsiTheme="minorEastAsia"/>
                <w:color w:val="auto"/>
                <w:sz w:val="21"/>
                <w:szCs w:val="21"/>
                <w:highlight w:val="none"/>
              </w:rPr>
            </w:pPr>
            <w:r>
              <w:rPr>
                <w:rFonts w:hint="eastAsia" w:cs="Arial" w:asciiTheme="minorEastAsia" w:hAnsiTheme="minorEastAsia"/>
                <w:color w:val="auto"/>
                <w:sz w:val="21"/>
                <w:szCs w:val="21"/>
                <w:highlight w:val="none"/>
              </w:rPr>
              <w:t>我公司完全响应满足招标文件中此项要求。</w:t>
            </w:r>
          </w:p>
        </w:tc>
        <w:tc>
          <w:tcPr>
            <w:tcW w:w="576" w:type="pct"/>
            <w:shd w:val="clear" w:color="auto" w:fill="auto"/>
            <w:vAlign w:val="center"/>
          </w:tcPr>
          <w:p w14:paraId="699E89F6">
            <w:pPr>
              <w:keepNext w:val="0"/>
              <w:keepLines w:val="0"/>
              <w:widowControl/>
              <w:suppressLineNumbers w:val="0"/>
              <w:spacing w:before="0" w:beforeAutospacing="0" w:after="0" w:afterAutospacing="0" w:line="360" w:lineRule="auto"/>
              <w:ind w:left="0" w:right="0"/>
              <w:jc w:val="center"/>
              <w:rPr>
                <w:rFonts w:hint="eastAsia" w:eastAsia="Times New Roman" w:cs="Arial" w:asciiTheme="minorEastAsia" w:hAnsiTheme="minorEastAsia"/>
                <w:color w:val="auto"/>
                <w:sz w:val="21"/>
                <w:szCs w:val="21"/>
                <w:highlight w:val="none"/>
              </w:rPr>
            </w:pPr>
          </w:p>
        </w:tc>
        <w:tc>
          <w:tcPr>
            <w:tcW w:w="576" w:type="pct"/>
            <w:vAlign w:val="center"/>
          </w:tcPr>
          <w:p w14:paraId="6576D3FB">
            <w:pPr>
              <w:keepNext w:val="0"/>
              <w:keepLines w:val="0"/>
              <w:widowControl/>
              <w:suppressLineNumbers w:val="0"/>
              <w:spacing w:before="0" w:beforeAutospacing="0" w:after="0" w:afterAutospacing="0" w:line="360" w:lineRule="auto"/>
              <w:ind w:left="0" w:right="0"/>
              <w:jc w:val="center"/>
              <w:rPr>
                <w:rFonts w:hint="default" w:cs="Arial" w:asciiTheme="minorEastAsia" w:hAnsiTheme="minorEastAsia"/>
                <w:color w:val="auto"/>
                <w:sz w:val="21"/>
                <w:szCs w:val="21"/>
                <w:highlight w:val="none"/>
              </w:rPr>
            </w:pPr>
          </w:p>
        </w:tc>
      </w:tr>
    </w:tbl>
    <w:p w14:paraId="4E3E36BF">
      <w:pPr>
        <w:snapToGrid w:val="0"/>
        <w:spacing w:line="360" w:lineRule="auto"/>
        <w:rPr>
          <w:rFonts w:asciiTheme="minorEastAsia" w:hAnsiTheme="minorEastAsia"/>
          <w:b/>
          <w:color w:val="auto"/>
          <w:highlight w:val="none"/>
        </w:rPr>
      </w:pPr>
    </w:p>
    <w:p w14:paraId="1D1946C6">
      <w:pPr>
        <w:numPr>
          <w:ilvl w:val="0"/>
          <w:numId w:val="0"/>
        </w:numPr>
        <w:snapToGrid w:val="0"/>
        <w:spacing w:after="60" w:afterLines="25" w:line="360" w:lineRule="auto"/>
        <w:ind w:leftChars="0"/>
        <w:rPr>
          <w:rFonts w:hint="eastAsia" w:ascii="宋体" w:hAnsi="宋体" w:eastAsia="宋体"/>
          <w:b/>
          <w:color w:val="auto"/>
          <w:szCs w:val="22"/>
          <w:highlight w:val="none"/>
        </w:rPr>
      </w:pPr>
      <w:r>
        <w:rPr>
          <w:rFonts w:hint="eastAsia" w:ascii="宋体" w:hAnsi="宋体" w:eastAsia="宋体"/>
          <w:b/>
          <w:color w:val="auto"/>
          <w:szCs w:val="22"/>
          <w:highlight w:val="none"/>
        </w:rPr>
        <w:t>注：</w:t>
      </w:r>
    </w:p>
    <w:p w14:paraId="485A8DD1">
      <w:pPr>
        <w:numPr>
          <w:ilvl w:val="0"/>
          <w:numId w:val="0"/>
        </w:numPr>
        <w:snapToGrid w:val="0"/>
        <w:spacing w:after="60" w:afterLines="25" w:line="360" w:lineRule="auto"/>
        <w:rPr>
          <w:rFonts w:hint="eastAsia" w:asciiTheme="majorEastAsia" w:hAnsiTheme="majorEastAsia" w:eastAsiaTheme="majorEastAsia"/>
          <w:color w:val="auto"/>
          <w:highlight w:val="none"/>
          <w:lang w:eastAsia="zh-CN"/>
        </w:rPr>
      </w:pPr>
      <w:r>
        <w:rPr>
          <w:rFonts w:hint="eastAsia" w:asciiTheme="majorEastAsia" w:hAnsiTheme="majorEastAsia" w:eastAsiaTheme="majorEastAsia"/>
          <w:color w:val="auto"/>
          <w:highlight w:val="none"/>
          <w:lang w:eastAsia="zh-CN"/>
        </w:rPr>
        <w:t>1.</w:t>
      </w:r>
      <w:r>
        <w:rPr>
          <w:rFonts w:hint="eastAsia" w:asciiTheme="majorEastAsia" w:hAnsiTheme="majorEastAsia" w:eastAsiaTheme="majorEastAsia"/>
          <w:b/>
          <w:bCs/>
          <w:color w:val="auto"/>
          <w:highlight w:val="none"/>
          <w:lang w:eastAsia="zh-CN"/>
        </w:rPr>
        <w:t>“偏离情况”一栏应填写“正偏离”“负偏离”或“无偏离”。</w:t>
      </w:r>
      <w:r>
        <w:rPr>
          <w:rFonts w:hint="eastAsia" w:asciiTheme="majorEastAsia" w:hAnsiTheme="majorEastAsia" w:eastAsiaTheme="majorEastAsia"/>
          <w:color w:val="auto"/>
          <w:highlight w:val="none"/>
          <w:lang w:eastAsia="zh-CN"/>
        </w:rPr>
        <w:t>其中，“正偏离”表示投标响应优于招标文件要求，“负偏离”表示投标响应不满足招标文件要求，“无偏离”表示投标响应与招标文件要求一致。</w:t>
      </w:r>
    </w:p>
    <w:p w14:paraId="660806DA">
      <w:pPr>
        <w:numPr>
          <w:ilvl w:val="0"/>
          <w:numId w:val="0"/>
        </w:numPr>
        <w:snapToGrid w:val="0"/>
        <w:spacing w:after="60" w:afterLines="25" w:line="360" w:lineRule="auto"/>
        <w:ind w:leftChars="0"/>
        <w:rPr>
          <w:rFonts w:hint="eastAsia" w:ascii="宋体" w:hAnsi="宋体" w:eastAsia="宋体"/>
          <w:b/>
          <w:color w:val="auto"/>
          <w:szCs w:val="22"/>
          <w:highlight w:val="none"/>
          <w:lang w:val="en-US" w:eastAsia="zh-CN"/>
        </w:rPr>
      </w:pPr>
      <w:r>
        <w:rPr>
          <w:rFonts w:hint="eastAsia" w:ascii="宋体" w:hAnsi="宋体" w:eastAsia="宋体"/>
          <w:b/>
          <w:color w:val="auto"/>
          <w:szCs w:val="22"/>
          <w:highlight w:val="none"/>
          <w:lang w:val="en-US" w:eastAsia="zh-CN"/>
        </w:rPr>
        <w:t>2.如投标人能完全响应并满足本表【招标文件要求】栏中的内容，可在对应的【投标文件响应】栏中填写“我公司完全响应并满足招标文件中此项要求”。除招标文件另有注明外，不强制要求逐条列出投标文件响应情况。</w:t>
      </w:r>
    </w:p>
    <w:p w14:paraId="2D26FEDA">
      <w:pPr>
        <w:numPr>
          <w:ilvl w:val="0"/>
          <w:numId w:val="0"/>
        </w:numPr>
        <w:snapToGrid w:val="0"/>
        <w:spacing w:after="60" w:afterLines="25" w:line="360" w:lineRule="auto"/>
        <w:ind w:leftChars="0"/>
        <w:rPr>
          <w:rFonts w:hint="eastAsia" w:asciiTheme="majorEastAsia" w:hAnsiTheme="majorEastAsia" w:eastAsiaTheme="majorEastAsia"/>
          <w:color w:val="auto"/>
          <w:highlight w:val="none"/>
        </w:rPr>
      </w:pPr>
      <w:r>
        <w:rPr>
          <w:rFonts w:hint="eastAsia" w:asciiTheme="majorEastAsia" w:hAnsiTheme="majorEastAsia" w:eastAsiaTheme="majorEastAsia"/>
          <w:color w:val="auto"/>
          <w:highlight w:val="none"/>
          <w:lang w:val="en-US" w:eastAsia="zh-CN"/>
        </w:rPr>
        <w:t>3.</w:t>
      </w:r>
      <w:r>
        <w:rPr>
          <w:rFonts w:hint="eastAsia" w:asciiTheme="majorEastAsia" w:hAnsiTheme="majorEastAsia" w:eastAsiaTheme="majorEastAsia"/>
          <w:color w:val="auto"/>
          <w:highlight w:val="none"/>
        </w:rPr>
        <w:t>如投标人响应情况出现“正偏离”或“负偏离”，请在【投标文件响应】栏中对存在“正偏离”或“负偏离”的条款逐条做出说明。</w:t>
      </w:r>
    </w:p>
    <w:p w14:paraId="0AF5EF4F">
      <w:pPr>
        <w:numPr>
          <w:ilvl w:val="0"/>
          <w:numId w:val="0"/>
        </w:numPr>
        <w:snapToGrid w:val="0"/>
        <w:spacing w:after="60" w:afterLines="25" w:line="360" w:lineRule="auto"/>
        <w:ind w:leftChars="0"/>
        <w:rPr>
          <w:rFonts w:hint="eastAsia" w:asciiTheme="majorEastAsia" w:hAnsiTheme="majorEastAsia" w:eastAsiaTheme="majorEastAsia"/>
          <w:color w:val="auto"/>
          <w:highlight w:val="none"/>
        </w:rPr>
      </w:pPr>
      <w:r>
        <w:rPr>
          <w:rFonts w:hint="eastAsia" w:asciiTheme="majorEastAsia" w:hAnsiTheme="majorEastAsia" w:eastAsiaTheme="majorEastAsia"/>
          <w:color w:val="auto"/>
          <w:highlight w:val="none"/>
          <w:lang w:val="en-US" w:eastAsia="zh-CN"/>
        </w:rPr>
        <w:t>4.</w:t>
      </w:r>
      <w:r>
        <w:rPr>
          <w:rFonts w:hint="eastAsia" w:asciiTheme="majorEastAsia" w:hAnsiTheme="majorEastAsia" w:eastAsiaTheme="majorEastAsia"/>
          <w:color w:val="auto"/>
          <w:highlight w:val="none"/>
        </w:rPr>
        <w:t>如果偏离情况与投标文件响应情况不一致，或要求提供相关证明材料但投标人未提供的，或提供的相关证明材料与偏离情况、投标文件响应情况不一致的，均视为负偏离。</w:t>
      </w:r>
    </w:p>
    <w:p w14:paraId="0F11D2AF">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七</w:t>
      </w:r>
      <w:r>
        <w:rPr>
          <w:rFonts w:hint="eastAsia" w:ascii="黑体" w:eastAsia="黑体"/>
          <w:bCs w:val="0"/>
          <w:color w:val="auto"/>
          <w:sz w:val="24"/>
          <w:highlight w:val="none"/>
        </w:rPr>
        <w:t>、拟安排的项目负责人情况（仅限一人）</w:t>
      </w:r>
    </w:p>
    <w:p w14:paraId="0084C490">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八、</w:t>
      </w:r>
      <w:r>
        <w:rPr>
          <w:rFonts w:hint="eastAsia" w:ascii="黑体" w:eastAsia="黑体"/>
          <w:bCs w:val="0"/>
          <w:color w:val="auto"/>
          <w:sz w:val="24"/>
          <w:highlight w:val="none"/>
        </w:rPr>
        <w:t>拟安排的项目主要团队成员（主要技术人员）情况（项目负责人除外）</w:t>
      </w:r>
    </w:p>
    <w:p w14:paraId="5618DDD5">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九、实施方案</w:t>
      </w:r>
      <w:r>
        <w:rPr>
          <w:rFonts w:hint="eastAsia" w:ascii="黑体" w:eastAsia="黑体"/>
          <w:bCs w:val="0"/>
          <w:color w:val="auto"/>
          <w:sz w:val="24"/>
          <w:highlight w:val="none"/>
        </w:rPr>
        <w:t>（格式自定）</w:t>
      </w:r>
    </w:p>
    <w:p w14:paraId="70E73ADE">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十、项目重点难点分析、应对措施及相关的合理化建议（格式自定）</w:t>
      </w:r>
    </w:p>
    <w:p w14:paraId="2FD72F71">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十一、质量（完成时间、安全、环保）保障措施及方案（格式自定）</w:t>
      </w:r>
    </w:p>
    <w:p w14:paraId="00C6D7DE">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十二、项目完成（服务期满）后的服务承诺（格式自定）</w:t>
      </w:r>
    </w:p>
    <w:p w14:paraId="65294530">
      <w:pPr>
        <w:pStyle w:val="3"/>
        <w:jc w:val="center"/>
        <w:rPr>
          <w:rFonts w:ascii="黑体" w:eastAsia="黑体"/>
          <w:bCs w:val="0"/>
          <w:color w:val="auto"/>
          <w:sz w:val="24"/>
          <w:highlight w:val="none"/>
        </w:rPr>
      </w:pPr>
      <w:r>
        <w:rPr>
          <w:rFonts w:hint="eastAsia" w:ascii="黑体" w:eastAsia="黑体"/>
          <w:bCs w:val="0"/>
          <w:color w:val="auto"/>
          <w:sz w:val="24"/>
          <w:highlight w:val="none"/>
          <w:lang w:val="en-US" w:eastAsia="zh-CN"/>
        </w:rPr>
        <w:t>十三、违约承诺（格式自定）</w:t>
      </w:r>
    </w:p>
    <w:p w14:paraId="71A50473">
      <w:pPr>
        <w:keepNext/>
        <w:keepLines/>
        <w:pageBreakBefore w:val="0"/>
        <w:widowControl/>
        <w:kinsoku/>
        <w:wordWrap/>
        <w:overflowPunct/>
        <w:topLinePunct w:val="0"/>
        <w:autoSpaceDE/>
        <w:autoSpaceDN/>
        <w:bidi w:val="0"/>
        <w:adjustRightInd/>
        <w:snapToGrid/>
        <w:jc w:val="center"/>
        <w:textAlignment w:val="auto"/>
        <w:outlineLvl w:val="9"/>
        <w:rPr>
          <w:rFonts w:hint="eastAsia" w:ascii="黑体" w:eastAsia="黑体"/>
          <w:bCs w:val="0"/>
          <w:color w:val="auto"/>
          <w:sz w:val="24"/>
          <w:highlight w:val="none"/>
          <w:lang w:val="en-US" w:eastAsia="zh-CN"/>
        </w:rPr>
      </w:pPr>
    </w:p>
    <w:p w14:paraId="39EB74F1">
      <w:pPr>
        <w:rPr>
          <w:rFonts w:hint="eastAsia" w:ascii="黑体" w:eastAsia="黑体"/>
          <w:bCs w:val="0"/>
          <w:color w:val="auto"/>
          <w:sz w:val="24"/>
          <w:highlight w:val="none"/>
          <w:lang w:val="en-US" w:eastAsia="zh-CN"/>
        </w:rPr>
      </w:pPr>
      <w:r>
        <w:rPr>
          <w:rFonts w:hint="eastAsia" w:ascii="黑体" w:eastAsia="黑体"/>
          <w:bCs w:val="0"/>
          <w:color w:val="auto"/>
          <w:sz w:val="24"/>
          <w:highlight w:val="none"/>
          <w:lang w:val="en-US" w:eastAsia="zh-CN"/>
        </w:rPr>
        <w:br w:type="page"/>
      </w:r>
    </w:p>
    <w:p w14:paraId="26C3B899">
      <w:pPr>
        <w:pStyle w:val="3"/>
        <w:jc w:val="center"/>
        <w:rPr>
          <w:rFonts w:hint="eastAsia" w:ascii="黑体" w:eastAsia="黑体"/>
          <w:bCs w:val="0"/>
          <w:color w:val="auto"/>
          <w:sz w:val="24"/>
          <w:highlight w:val="none"/>
        </w:rPr>
      </w:pPr>
      <w:r>
        <w:rPr>
          <w:rFonts w:hint="eastAsia" w:ascii="黑体" w:eastAsia="黑体"/>
          <w:bCs w:val="0"/>
          <w:color w:val="auto"/>
          <w:sz w:val="24"/>
          <w:highlight w:val="none"/>
          <w:lang w:val="en-US" w:eastAsia="zh-CN"/>
        </w:rPr>
        <w:t>十四</w:t>
      </w:r>
      <w:r>
        <w:rPr>
          <w:rFonts w:ascii="黑体" w:eastAsia="黑体"/>
          <w:bCs w:val="0"/>
          <w:color w:val="auto"/>
          <w:sz w:val="24"/>
          <w:highlight w:val="none"/>
        </w:rPr>
        <w:t>、</w:t>
      </w:r>
      <w:r>
        <w:rPr>
          <w:rFonts w:hint="eastAsia" w:ascii="黑体" w:eastAsia="黑体"/>
          <w:bCs w:val="0"/>
          <w:color w:val="auto"/>
          <w:sz w:val="24"/>
          <w:highlight w:val="none"/>
        </w:rPr>
        <w:t>投标人认为需要加以说明的其他</w:t>
      </w:r>
      <w:r>
        <w:rPr>
          <w:rFonts w:hint="eastAsia" w:ascii="黑体" w:eastAsia="黑体"/>
          <w:bCs w:val="0"/>
          <w:color w:val="auto"/>
          <w:sz w:val="24"/>
          <w:highlight w:val="none"/>
          <w:lang w:val="en-US" w:eastAsia="zh-CN"/>
        </w:rPr>
        <w:t>不公开</w:t>
      </w:r>
      <w:r>
        <w:rPr>
          <w:rFonts w:hint="eastAsia" w:ascii="黑体" w:eastAsia="黑体"/>
          <w:bCs w:val="0"/>
          <w:color w:val="auto"/>
          <w:sz w:val="24"/>
          <w:highlight w:val="none"/>
        </w:rPr>
        <w:t>内容（格式自定）</w:t>
      </w:r>
    </w:p>
    <w:p w14:paraId="59F0392A">
      <w:pPr>
        <w:rPr>
          <w:rFonts w:hint="eastAsia" w:asciiTheme="majorEastAsia" w:hAnsiTheme="majorEastAsia" w:eastAsiaTheme="majorEastAsia" w:cstheme="majorEastAsia"/>
          <w:b/>
          <w:bCs/>
          <w:color w:val="auto"/>
          <w:sz w:val="24"/>
          <w:szCs w:val="20"/>
          <w:highlight w:val="none"/>
          <w:lang w:eastAsia="zh-CN"/>
        </w:rPr>
      </w:pPr>
      <w:r>
        <w:rPr>
          <w:rFonts w:hint="eastAsia" w:asciiTheme="majorEastAsia" w:hAnsiTheme="majorEastAsia" w:eastAsiaTheme="majorEastAsia" w:cstheme="majorEastAsia"/>
          <w:b/>
          <w:bCs/>
          <w:color w:val="auto"/>
          <w:sz w:val="24"/>
          <w:szCs w:val="20"/>
          <w:highlight w:val="none"/>
          <w:lang w:eastAsia="zh-CN"/>
        </w:rPr>
        <w:t>（</w:t>
      </w:r>
      <w:r>
        <w:rPr>
          <w:rFonts w:hint="eastAsia" w:asciiTheme="majorEastAsia" w:hAnsiTheme="majorEastAsia" w:eastAsiaTheme="majorEastAsia" w:cstheme="majorEastAsia"/>
          <w:b/>
          <w:bCs/>
          <w:color w:val="auto"/>
          <w:sz w:val="24"/>
          <w:szCs w:val="20"/>
          <w:highlight w:val="none"/>
          <w:lang w:val="en-US" w:eastAsia="zh-CN"/>
        </w:rPr>
        <w:t>1</w:t>
      </w:r>
      <w:r>
        <w:rPr>
          <w:rFonts w:hint="eastAsia" w:asciiTheme="majorEastAsia" w:hAnsiTheme="majorEastAsia" w:eastAsiaTheme="majorEastAsia" w:cstheme="majorEastAsia"/>
          <w:b/>
          <w:bCs/>
          <w:color w:val="auto"/>
          <w:sz w:val="24"/>
          <w:szCs w:val="20"/>
          <w:highlight w:val="none"/>
          <w:lang w:eastAsia="zh-CN"/>
        </w:rPr>
        <w:t>）政府采购违法行为风险知悉确认书</w:t>
      </w:r>
    </w:p>
    <w:p w14:paraId="219EED4A">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我单位在投标前已充分知悉以下情形为参与政府采购活动时的重大风险事项，并承诺已对下述风险提示事项重点排查，若存在下述情况，我单位愿意依法承担被记入供应商诚信档案、罚款、取消参与政府采购资格、吊销营业执照等处罚；构成犯罪的，依法承担刑事责任。</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1"/>
        <w:gridCol w:w="7811"/>
      </w:tblGrid>
      <w:tr w14:paraId="7B2A9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trPr>
        <w:tc>
          <w:tcPr>
            <w:tcW w:w="711" w:type="dxa"/>
          </w:tcPr>
          <w:p w14:paraId="1ABA7A13">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序号</w:t>
            </w:r>
          </w:p>
        </w:tc>
        <w:tc>
          <w:tcPr>
            <w:tcW w:w="7811" w:type="dxa"/>
          </w:tcPr>
          <w:p w14:paraId="3BF37A6A">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b/>
                <w:bCs/>
                <w:color w:val="auto"/>
                <w:sz w:val="21"/>
                <w:szCs w:val="18"/>
                <w:highlight w:val="none"/>
              </w:rPr>
              <w:t>供应商参与投标禁止情形</w:t>
            </w:r>
          </w:p>
        </w:tc>
      </w:tr>
      <w:tr w14:paraId="178C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tcPr>
          <w:p w14:paraId="14485DFD">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1</w:t>
            </w:r>
          </w:p>
        </w:tc>
        <w:tc>
          <w:tcPr>
            <w:tcW w:w="7811" w:type="dxa"/>
            <w:vAlign w:val="center"/>
          </w:tcPr>
          <w:p w14:paraId="7D98E99A">
            <w:pPr>
              <w:keepNext w:val="0"/>
              <w:keepLines w:val="0"/>
              <w:widowControl w:val="0"/>
              <w:suppressLineNumbers w:val="0"/>
              <w:spacing w:before="0" w:beforeAutospacing="0" w:after="0" w:afterAutospacing="0" w:line="400" w:lineRule="exact"/>
              <w:ind w:left="0" w:right="0"/>
              <w:jc w:val="left"/>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与其他投标供应商的法定代表人、主要经营负责人、投标授权代表人、项目负责人、主要技术人员为</w:t>
            </w:r>
            <w:r>
              <w:rPr>
                <w:rFonts w:hint="eastAsia" w:ascii="宋体" w:hAnsi="宋体" w:eastAsia="宋体" w:cs="宋体"/>
                <w:b/>
                <w:bCs/>
                <w:color w:val="auto"/>
                <w:sz w:val="21"/>
                <w:szCs w:val="18"/>
                <w:highlight w:val="none"/>
              </w:rPr>
              <w:t>同一人、属同一单位或者在同一单位缴纳社会保险</w:t>
            </w:r>
            <w:r>
              <w:rPr>
                <w:rFonts w:hint="eastAsia" w:ascii="宋体" w:hAnsi="宋体" w:eastAsia="宋体" w:cs="宋体"/>
                <w:color w:val="auto"/>
                <w:sz w:val="21"/>
                <w:szCs w:val="18"/>
                <w:highlight w:val="none"/>
              </w:rPr>
              <w:t>。</w:t>
            </w:r>
          </w:p>
        </w:tc>
      </w:tr>
      <w:tr w14:paraId="2D551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11" w:type="dxa"/>
          </w:tcPr>
          <w:p w14:paraId="2FDC9B54">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2</w:t>
            </w:r>
          </w:p>
        </w:tc>
        <w:tc>
          <w:tcPr>
            <w:tcW w:w="7811" w:type="dxa"/>
            <w:vAlign w:val="center"/>
          </w:tcPr>
          <w:p w14:paraId="36E9AA7D">
            <w:pPr>
              <w:keepNext w:val="0"/>
              <w:keepLines w:val="0"/>
              <w:widowControl w:val="0"/>
              <w:suppressLineNumbers w:val="0"/>
              <w:spacing w:before="0" w:beforeAutospacing="0" w:after="0" w:afterAutospacing="0" w:line="400" w:lineRule="exact"/>
              <w:ind w:left="0" w:right="0"/>
              <w:jc w:val="left"/>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参与本项目政府采购活动时，与其他投标供应商存在单位负责人为</w:t>
            </w:r>
            <w:r>
              <w:rPr>
                <w:rFonts w:hint="eastAsia" w:ascii="宋体" w:hAnsi="宋体" w:eastAsia="宋体" w:cs="宋体"/>
                <w:b/>
                <w:bCs/>
                <w:color w:val="auto"/>
                <w:sz w:val="21"/>
                <w:szCs w:val="18"/>
                <w:highlight w:val="none"/>
              </w:rPr>
              <w:t>同一人或直接控股、管理关系</w:t>
            </w:r>
            <w:r>
              <w:rPr>
                <w:rFonts w:hint="eastAsia" w:ascii="宋体" w:hAnsi="宋体" w:eastAsia="宋体" w:cs="宋体"/>
                <w:color w:val="auto"/>
                <w:sz w:val="21"/>
                <w:szCs w:val="18"/>
                <w:highlight w:val="none"/>
              </w:rPr>
              <w:t>。</w:t>
            </w:r>
          </w:p>
        </w:tc>
      </w:tr>
      <w:tr w14:paraId="56D6C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tcPr>
          <w:p w14:paraId="04354B64">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3</w:t>
            </w:r>
          </w:p>
        </w:tc>
        <w:tc>
          <w:tcPr>
            <w:tcW w:w="7811" w:type="dxa"/>
            <w:vAlign w:val="center"/>
          </w:tcPr>
          <w:p w14:paraId="676EDAD2">
            <w:pPr>
              <w:keepNext w:val="0"/>
              <w:keepLines w:val="0"/>
              <w:widowControl w:val="0"/>
              <w:suppressLineNumbers w:val="0"/>
              <w:spacing w:before="0" w:beforeAutospacing="0" w:after="0" w:afterAutospacing="0" w:line="400" w:lineRule="exact"/>
              <w:ind w:left="0" w:right="0"/>
              <w:jc w:val="left"/>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与其他投标供应商的投标文件或部分投标文件</w:t>
            </w:r>
            <w:r>
              <w:rPr>
                <w:rFonts w:hint="eastAsia" w:ascii="宋体" w:hAnsi="宋体" w:eastAsia="宋体" w:cs="宋体"/>
                <w:b/>
                <w:bCs/>
                <w:color w:val="auto"/>
                <w:sz w:val="21"/>
                <w:szCs w:val="18"/>
                <w:highlight w:val="none"/>
              </w:rPr>
              <w:t>相互混装或存在非正常一致</w:t>
            </w:r>
            <w:r>
              <w:rPr>
                <w:rFonts w:hint="eastAsia" w:ascii="宋体" w:hAnsi="宋体" w:eastAsia="宋体" w:cs="宋体"/>
                <w:color w:val="auto"/>
                <w:sz w:val="21"/>
                <w:szCs w:val="18"/>
                <w:highlight w:val="none"/>
              </w:rPr>
              <w:t>。</w:t>
            </w:r>
          </w:p>
        </w:tc>
      </w:tr>
      <w:tr w14:paraId="229AE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tcPr>
          <w:p w14:paraId="12E5BA07">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4</w:t>
            </w:r>
          </w:p>
        </w:tc>
        <w:tc>
          <w:tcPr>
            <w:tcW w:w="7811" w:type="dxa"/>
            <w:vAlign w:val="center"/>
          </w:tcPr>
          <w:p w14:paraId="006E00D3">
            <w:pPr>
              <w:keepNext w:val="0"/>
              <w:keepLines w:val="0"/>
              <w:widowControl w:val="0"/>
              <w:suppressLineNumbers w:val="0"/>
              <w:spacing w:before="0" w:beforeAutospacing="0" w:after="0" w:afterAutospacing="0" w:line="400" w:lineRule="exact"/>
              <w:ind w:left="0" w:right="0"/>
              <w:jc w:val="left"/>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与其他投标供应商的投标文件由</w:t>
            </w:r>
            <w:r>
              <w:rPr>
                <w:rFonts w:hint="eastAsia" w:ascii="宋体" w:hAnsi="宋体" w:eastAsia="宋体" w:cs="宋体"/>
                <w:b/>
                <w:bCs/>
                <w:color w:val="auto"/>
                <w:sz w:val="21"/>
                <w:szCs w:val="18"/>
                <w:highlight w:val="none"/>
              </w:rPr>
              <w:t>同一单位或者同一人编制</w:t>
            </w:r>
            <w:r>
              <w:rPr>
                <w:rFonts w:hint="eastAsia" w:ascii="宋体" w:hAnsi="宋体" w:eastAsia="宋体" w:cs="宋体"/>
                <w:color w:val="auto"/>
                <w:sz w:val="21"/>
                <w:szCs w:val="18"/>
                <w:highlight w:val="none"/>
              </w:rPr>
              <w:t>，或者使用</w:t>
            </w:r>
            <w:r>
              <w:rPr>
                <w:rFonts w:hint="eastAsia" w:ascii="宋体" w:hAnsi="宋体" w:eastAsia="宋体" w:cs="宋体"/>
                <w:b/>
                <w:bCs/>
                <w:color w:val="auto"/>
                <w:sz w:val="21"/>
                <w:szCs w:val="18"/>
                <w:highlight w:val="none"/>
              </w:rPr>
              <w:t>同一设备编制</w:t>
            </w:r>
            <w:r>
              <w:rPr>
                <w:rFonts w:hint="eastAsia" w:ascii="宋体" w:hAnsi="宋体" w:eastAsia="宋体" w:cs="宋体"/>
                <w:color w:val="auto"/>
                <w:sz w:val="21"/>
                <w:szCs w:val="18"/>
                <w:highlight w:val="none"/>
              </w:rPr>
              <w:t>（“文件制作机器码”“文件创建标识码”一致）。</w:t>
            </w:r>
          </w:p>
        </w:tc>
      </w:tr>
      <w:tr w14:paraId="020D11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11" w:type="dxa"/>
          </w:tcPr>
          <w:p w14:paraId="5ED1DB9E">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5</w:t>
            </w:r>
          </w:p>
        </w:tc>
        <w:tc>
          <w:tcPr>
            <w:tcW w:w="7811" w:type="dxa"/>
            <w:vAlign w:val="center"/>
          </w:tcPr>
          <w:p w14:paraId="1034EDAD">
            <w:pPr>
              <w:keepNext w:val="0"/>
              <w:keepLines w:val="0"/>
              <w:widowControl w:val="0"/>
              <w:suppressLineNumbers w:val="0"/>
              <w:spacing w:before="0" w:beforeAutospacing="0" w:after="0" w:afterAutospacing="0" w:line="400" w:lineRule="exact"/>
              <w:ind w:left="0" w:right="0"/>
              <w:jc w:val="left"/>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提供</w:t>
            </w:r>
            <w:r>
              <w:rPr>
                <w:rFonts w:hint="eastAsia" w:ascii="宋体" w:hAnsi="宋体" w:eastAsia="宋体" w:cs="宋体"/>
                <w:b/>
                <w:bCs/>
                <w:color w:val="auto"/>
                <w:sz w:val="21"/>
                <w:szCs w:val="18"/>
                <w:highlight w:val="none"/>
              </w:rPr>
              <w:t>未经出具机构核实</w:t>
            </w:r>
            <w:r>
              <w:rPr>
                <w:rFonts w:hint="eastAsia" w:ascii="宋体" w:hAnsi="宋体" w:eastAsia="宋体" w:cs="宋体"/>
                <w:color w:val="auto"/>
                <w:sz w:val="21"/>
                <w:szCs w:val="18"/>
                <w:highlight w:val="none"/>
              </w:rPr>
              <w:t>的虚假的检验检测报告、业绩材料、社保缴纳证明、学历学位证书、职称认证证书等材料。</w:t>
            </w:r>
          </w:p>
        </w:tc>
      </w:tr>
      <w:tr w14:paraId="2C6ED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tcPr>
          <w:p w14:paraId="139F6A15">
            <w:pPr>
              <w:keepNext w:val="0"/>
              <w:keepLines w:val="0"/>
              <w:widowControl w:val="0"/>
              <w:suppressLineNumbers w:val="0"/>
              <w:spacing w:before="0" w:beforeAutospacing="0" w:after="0" w:afterAutospacing="0" w:line="400" w:lineRule="exact"/>
              <w:ind w:left="0" w:right="0"/>
              <w:jc w:val="center"/>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6</w:t>
            </w:r>
          </w:p>
        </w:tc>
        <w:tc>
          <w:tcPr>
            <w:tcW w:w="7811" w:type="dxa"/>
            <w:vAlign w:val="center"/>
          </w:tcPr>
          <w:p w14:paraId="601A51EC">
            <w:pPr>
              <w:keepNext w:val="0"/>
              <w:keepLines w:val="0"/>
              <w:widowControl w:val="0"/>
              <w:suppressLineNumbers w:val="0"/>
              <w:spacing w:before="0" w:beforeAutospacing="0" w:after="0" w:afterAutospacing="0" w:line="400" w:lineRule="exact"/>
              <w:ind w:left="0" w:right="0"/>
              <w:jc w:val="left"/>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擅自将投标密钥或电子营业执照出借他人使用或未妥善保管。</w:t>
            </w:r>
          </w:p>
        </w:tc>
      </w:tr>
    </w:tbl>
    <w:p w14:paraId="104DF8C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本公司在投标前已充分知悉以下情形为参与政府采购活动时的重大风险事项，并承诺已对下述风险提示事项重点排查，做到严谨、诚信、依法依规参与政府采购活动。</w:t>
      </w:r>
    </w:p>
    <w:p w14:paraId="43F4EE63">
      <w:pPr>
        <w:keepNext w:val="0"/>
        <w:keepLines w:val="0"/>
        <w:pageBreakBefore w:val="0"/>
        <w:kinsoku/>
        <w:wordWrap/>
        <w:overflowPunct/>
        <w:topLinePunct w:val="0"/>
        <w:bidi w:val="0"/>
        <w:adjustRightInd/>
        <w:snapToGrid/>
        <w:spacing w:beforeAutospacing="0" w:afterAutospacing="0" w:line="240" w:lineRule="auto"/>
        <w:ind w:right="0" w:rightChars="0"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一、本公司已充分知悉“隐瞒真实情况，提供虚假资料”的法定情形，相关情形包括但不限于：</w:t>
      </w:r>
    </w:p>
    <w:p w14:paraId="586A5F11">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（一）通过转让或者租借等方式从其他单位获取资格或者资质证书投标的。</w:t>
      </w:r>
    </w:p>
    <w:p w14:paraId="21F9038B">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（二）由其他单位或者其他单位负责人在投标供应商编制的投标文件上加盖印章或者签字的。</w:t>
      </w:r>
    </w:p>
    <w:p w14:paraId="2A4D41C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（三）项目负责人或者主要技术人员不是本单位人员的。</w:t>
      </w:r>
    </w:p>
    <w:p w14:paraId="73202F2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（四）投标保证金不是从投标供应商基本账户转出的。</w:t>
      </w:r>
    </w:p>
    <w:p w14:paraId="0C2A2C7B">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（五）其他隐瞒真实情况、提供虚假资料的行为。</w:t>
      </w:r>
    </w:p>
    <w:p w14:paraId="65706FFF">
      <w:pPr>
        <w:keepNext w:val="0"/>
        <w:keepLines w:val="0"/>
        <w:pageBreakBefore w:val="0"/>
        <w:kinsoku/>
        <w:wordWrap/>
        <w:overflowPunct/>
        <w:topLinePunct w:val="0"/>
        <w:bidi w:val="0"/>
        <w:adjustRightInd/>
        <w:snapToGrid/>
        <w:spacing w:beforeAutospacing="0" w:afterAutospacing="0" w:line="240" w:lineRule="auto"/>
        <w:ind w:right="0" w:rightChars="0"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二、本公司已充分知悉“与其他采购参加人串通投标”的法定情形，相关情形包括但不限于：</w:t>
      </w:r>
    </w:p>
    <w:p w14:paraId="0619BF0D">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（一）投标供应商之间相互约定给予未中标的供应商利益补偿。</w:t>
      </w:r>
    </w:p>
    <w:p w14:paraId="5E9956F9">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（二）不同投标供应商的法定代表人、主要经营负责人、项目投标授权代表人、项目负责人、主要技术人员为同一人、属同一单位或者在同一单位缴纳社会保险。</w:t>
      </w:r>
    </w:p>
    <w:p w14:paraId="6E1DC371">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（三）不同投标供应商的投标文件由同一单位或者同一人编制，或者由同一人分阶段参与编制的。</w:t>
      </w:r>
    </w:p>
    <w:p w14:paraId="79CA0FFB">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（四）不同投标供应商的投标文件或部分投标文件相互混装。</w:t>
      </w:r>
    </w:p>
    <w:p w14:paraId="3E3FB297">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（五）不同投标供应商的投标文件内容存在非正常一致。</w:t>
      </w:r>
    </w:p>
    <w:p w14:paraId="52803113">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（六）由同一单位工作人员为两家以上（含两家）供应商进行同一项投标活动的。</w:t>
      </w:r>
    </w:p>
    <w:p w14:paraId="4CD2EAE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（七）不同投标人的投标报价呈规律性差异。</w:t>
      </w:r>
    </w:p>
    <w:p w14:paraId="66BCA575">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（八）不同投标人的投标保证金从同一单位或者个人的账户转出。</w:t>
      </w:r>
    </w:p>
    <w:p w14:paraId="55E176FB">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（九）主管部门依照法律、法规认定的其他情形。</w:t>
      </w:r>
    </w:p>
    <w:p w14:paraId="48604C47">
      <w:pPr>
        <w:keepNext w:val="0"/>
        <w:keepLines w:val="0"/>
        <w:pageBreakBefore w:val="0"/>
        <w:kinsoku/>
        <w:wordWrap/>
        <w:overflowPunct/>
        <w:topLinePunct w:val="0"/>
        <w:bidi w:val="0"/>
        <w:adjustRightInd/>
        <w:snapToGrid/>
        <w:spacing w:beforeAutospacing="0" w:afterAutospacing="0" w:line="240" w:lineRule="auto"/>
        <w:ind w:right="0" w:rightChars="0"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三、本公司已充分知悉下列情形所对应的法律风险，并在投标前已对相关风险事项进行排查。</w:t>
      </w:r>
    </w:p>
    <w:p w14:paraId="6E37972B">
      <w:pPr>
        <w:keepNext w:val="0"/>
        <w:keepLines w:val="0"/>
        <w:pageBreakBefore w:val="0"/>
        <w:kinsoku/>
        <w:wordWrap/>
        <w:overflowPunct/>
        <w:topLinePunct w:val="0"/>
        <w:autoSpaceDE w:val="0"/>
        <w:autoSpaceDN w:val="0"/>
        <w:bidi w:val="0"/>
        <w:adjustRightInd/>
        <w:snapToGrid/>
        <w:spacing w:beforeAutospacing="0" w:afterAutospacing="0" w:line="240" w:lineRule="auto"/>
        <w:ind w:right="0" w:rightChars="0" w:firstLine="404" w:firstLineChars="200"/>
        <w:textAlignment w:val="auto"/>
        <w:rPr>
          <w:rFonts w:hint="eastAsia" w:ascii="宋体" w:hAnsi="宋体" w:eastAsia="宋体" w:cs="宋体"/>
          <w:b/>
          <w:bCs/>
          <w:color w:val="auto"/>
          <w:spacing w:val="-4"/>
          <w:kern w:val="0"/>
          <w:sz w:val="21"/>
          <w:szCs w:val="21"/>
          <w:highlight w:val="none"/>
        </w:rPr>
      </w:pPr>
      <w:r>
        <w:rPr>
          <w:rFonts w:hint="eastAsia" w:ascii="宋体" w:hAnsi="宋体" w:eastAsia="宋体" w:cs="宋体"/>
          <w:color w:val="auto"/>
          <w:spacing w:val="-4"/>
          <w:kern w:val="0"/>
          <w:sz w:val="21"/>
          <w:szCs w:val="21"/>
          <w:highlight w:val="none"/>
        </w:rPr>
        <w:t>（一）对于从其他主体获取的投标资料，供应商应审慎核查，确保投标资料的真实性。</w:t>
      </w:r>
      <w:r>
        <w:rPr>
          <w:rFonts w:hint="eastAsia" w:ascii="宋体" w:hAnsi="宋体" w:eastAsia="宋体" w:cs="宋体"/>
          <w:b/>
          <w:bCs/>
          <w:color w:val="auto"/>
          <w:spacing w:val="-4"/>
          <w:kern w:val="0"/>
          <w:sz w:val="21"/>
          <w:szCs w:val="21"/>
          <w:highlight w:val="none"/>
        </w:rPr>
        <w:t>如主管部门查实投标文件中存在虚假资料的，无论相关资料是否由第三方或本公司员工提供，均不影响主管部门对供应商存在“隐瞒真实情况，提供虚假资料”违法行为的认定。</w:t>
      </w:r>
    </w:p>
    <w:p w14:paraId="325FB6DD">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（二）对于涉及国家机关出具的公文、证件、证明材料等文件，一旦涉嫌虚假，经查实，主管部门将依法从严处理，并移送有关部门追究法律责任；涉嫌犯罪的，主管部门将一并移送司法机关追究法律责任。</w:t>
      </w:r>
    </w:p>
    <w:p w14:paraId="62CF5D1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（三）对于涉及安全生产、特种作业、抢险救灾、防疫等政府采购项目，供应商实施提供虚假资料、串通投标等违法行为的，主管部门将依法从严处理。</w:t>
      </w:r>
    </w:p>
    <w:p w14:paraId="1DA7E09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四）供应商应严格规范项目授权代表、员工参与招标投标的行为，加强对投标文件的审核。项目授权代表、员工编制、上传投标文件等行为违反政府采购法律法规或招标文件要求的，投标供应商应当依法承担相应法律责任。</w:t>
      </w:r>
    </w:p>
    <w:p w14:paraId="185544AE">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五）供应商对投标电子密钥负有妥善保管、及时变更和续期等主体责任。供应商使用电子密钥在深圳政府采购网站进行的活动，均具有法律效力，须承担相应的法律后果。供应商擅自将投标密钥出借他人使用所造成的法律后果，由供应商自行承担。</w:t>
      </w:r>
    </w:p>
    <w:p w14:paraId="681BE6BB">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（六）单位负责人为同一人或者存在直接控股、管理关系的不同供应商，不得参加同一合同项下的政府采购活动。相关情形如查实，依法作投标无效处理；涉嫌串通投标等违法行为的，主管部门将依法调查处理。</w:t>
      </w:r>
    </w:p>
    <w:p w14:paraId="1927B70D">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22" w:firstLineChars="200"/>
        <w:jc w:val="left"/>
        <w:textAlignment w:val="auto"/>
        <w:rPr>
          <w:rFonts w:hint="eastAsia" w:ascii="宋体" w:hAnsi="宋体" w:eastAsia="宋体" w:cs="宋体"/>
          <w:b/>
          <w:bCs/>
          <w:color w:val="auto"/>
          <w:kern w:val="0"/>
          <w:sz w:val="21"/>
          <w:szCs w:val="21"/>
          <w:highlight w:val="none"/>
          <w:lang w:val="en-US" w:eastAsia="zh-CN" w:bidi="ar-SA"/>
        </w:rPr>
      </w:pPr>
      <w:r>
        <w:rPr>
          <w:rFonts w:hint="eastAsia" w:ascii="宋体" w:hAnsi="宋体" w:eastAsia="宋体" w:cs="宋体"/>
          <w:b/>
          <w:bCs/>
          <w:color w:val="auto"/>
          <w:kern w:val="0"/>
          <w:sz w:val="21"/>
          <w:szCs w:val="21"/>
          <w:highlight w:val="none"/>
          <w:lang w:val="en-US" w:eastAsia="zh-CN" w:bidi="ar-SA"/>
        </w:rPr>
        <w:t>四、本公司已充分知悉政府采购违法、违规行为的法律后果。</w:t>
      </w:r>
    </w:p>
    <w:p w14:paraId="6EB8F2B0">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4" w:firstLineChars="200"/>
        <w:jc w:val="left"/>
        <w:textAlignment w:val="auto"/>
        <w:rPr>
          <w:rFonts w:hint="eastAsia" w:ascii="宋体" w:hAnsi="宋体" w:eastAsia="宋体" w:cs="宋体"/>
          <w:b/>
          <w:bCs/>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经查实，若投标供应商存在政府采购违法、违规行为，主管部门将依据《深圳经济特区政府采购条例》第五十七条的规定，处以一至三年内禁止参与本市政府采购，并由主管部门记入供应商诚信档案，处采购金额千分之十以上千分之二十以下罚款；情节严重的，取消参与本市政府采购资格，处采购金额千分之二十以上千分之三十以下罚款，并由市场监管部门依法吊销营业执照。</w:t>
      </w:r>
      <w:r>
        <w:rPr>
          <w:rFonts w:hint="eastAsia" w:ascii="宋体" w:hAnsi="宋体" w:eastAsia="宋体" w:cs="宋体"/>
          <w:b/>
          <w:bCs/>
          <w:color w:val="auto"/>
          <w:spacing w:val="-4"/>
          <w:kern w:val="0"/>
          <w:sz w:val="21"/>
          <w:szCs w:val="21"/>
          <w:highlight w:val="none"/>
          <w:lang w:val="en-US" w:eastAsia="zh-CN" w:bidi="ar-SA"/>
        </w:rPr>
        <w:t>以下文字请投标供应商抄写并确认：“本公司已仔细阅读《政府采购违法行为风险知悉确认书》，充分知悉违法行为的法律后果，并承诺将严谨、诚信、依法依规参与政府采购活动”。</w:t>
      </w:r>
    </w:p>
    <w:tbl>
      <w:tblPr>
        <w:tblStyle w:val="18"/>
        <w:tblW w:w="0" w:type="auto"/>
        <w:tblInd w:w="0"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2D7E3FBD">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8529" w:type="dxa"/>
            <w:tcBorders>
              <w:top w:val="nil"/>
              <w:left w:val="nil"/>
              <w:bottom w:val="single" w:color="000000" w:sz="8" w:space="0"/>
              <w:right w:val="nil"/>
            </w:tcBorders>
          </w:tcPr>
          <w:p w14:paraId="6B920EAF">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hint="eastAsia" w:ascii="宋体" w:hAnsi="宋体" w:eastAsia="宋体" w:cs="宋体"/>
                <w:color w:val="auto"/>
                <w:spacing w:val="-4"/>
                <w:kern w:val="0"/>
                <w:sz w:val="21"/>
                <w:szCs w:val="21"/>
                <w:highlight w:val="none"/>
                <w:vertAlign w:val="baseline"/>
                <w:lang w:val="en-US" w:eastAsia="zh-CN" w:bidi="ar-SA"/>
              </w:rPr>
            </w:pPr>
          </w:p>
        </w:tc>
      </w:tr>
      <w:tr w14:paraId="6CCACB17">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tcPr>
          <w:p w14:paraId="00DF8816">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hint="eastAsia" w:ascii="宋体" w:hAnsi="宋体" w:eastAsia="宋体" w:cs="宋体"/>
                <w:color w:val="auto"/>
                <w:spacing w:val="-4"/>
                <w:kern w:val="0"/>
                <w:sz w:val="21"/>
                <w:szCs w:val="21"/>
                <w:highlight w:val="none"/>
                <w:vertAlign w:val="baseline"/>
                <w:lang w:val="en-US" w:eastAsia="zh-CN" w:bidi="ar-SA"/>
              </w:rPr>
            </w:pPr>
          </w:p>
        </w:tc>
      </w:tr>
      <w:tr w14:paraId="2C115ABC">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tcPr>
          <w:p w14:paraId="54D01758">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hint="eastAsia" w:ascii="宋体" w:hAnsi="宋体" w:eastAsia="宋体" w:cs="宋体"/>
                <w:color w:val="auto"/>
                <w:spacing w:val="-4"/>
                <w:kern w:val="0"/>
                <w:sz w:val="21"/>
                <w:szCs w:val="21"/>
                <w:highlight w:val="none"/>
                <w:vertAlign w:val="baseline"/>
                <w:lang w:val="en-US" w:eastAsia="zh-CN" w:bidi="ar-SA"/>
              </w:rPr>
            </w:pPr>
          </w:p>
        </w:tc>
      </w:tr>
      <w:tr w14:paraId="2AA6905C">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9" w:type="dxa"/>
            <w:tcBorders>
              <w:top w:val="single" w:color="000000" w:sz="8" w:space="0"/>
              <w:left w:val="nil"/>
              <w:bottom w:val="single" w:color="auto" w:sz="8" w:space="0"/>
              <w:right w:val="nil"/>
            </w:tcBorders>
          </w:tcPr>
          <w:p w14:paraId="18ACEDE0">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hint="eastAsia" w:ascii="宋体" w:hAnsi="宋体" w:eastAsia="宋体" w:cs="宋体"/>
                <w:color w:val="auto"/>
                <w:spacing w:val="-4"/>
                <w:kern w:val="0"/>
                <w:sz w:val="21"/>
                <w:szCs w:val="21"/>
                <w:highlight w:val="none"/>
                <w:vertAlign w:val="baseline"/>
                <w:lang w:val="en-US" w:eastAsia="zh-CN" w:bidi="ar-SA"/>
              </w:rPr>
            </w:pPr>
          </w:p>
        </w:tc>
      </w:tr>
    </w:tbl>
    <w:p w14:paraId="40EE7B42">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6" w:firstLineChars="200"/>
        <w:jc w:val="left"/>
        <w:textAlignment w:val="auto"/>
        <w:rPr>
          <w:rFonts w:hint="eastAsia" w:ascii="宋体" w:hAnsi="宋体" w:eastAsia="宋体" w:cs="宋体"/>
          <w:b/>
          <w:bCs/>
          <w:color w:val="auto"/>
          <w:spacing w:val="-4"/>
          <w:kern w:val="0"/>
          <w:sz w:val="21"/>
          <w:szCs w:val="21"/>
          <w:highlight w:val="none"/>
          <w:lang w:val="en-US" w:eastAsia="zh-CN" w:bidi="ar-SA"/>
        </w:rPr>
      </w:pPr>
      <w:r>
        <w:rPr>
          <w:rFonts w:hint="eastAsia" w:ascii="宋体" w:hAnsi="宋体" w:eastAsia="宋体" w:cs="宋体"/>
          <w:b/>
          <w:bCs/>
          <w:color w:val="auto"/>
          <w:spacing w:val="-4"/>
          <w:kern w:val="0"/>
          <w:sz w:val="21"/>
          <w:szCs w:val="21"/>
          <w:highlight w:val="none"/>
          <w:lang w:val="en-US" w:eastAsia="zh-CN" w:bidi="ar-SA"/>
        </w:rPr>
        <w:t>注：1.政府采购违法行为风险知悉确认书不作为资格性审查及符合性审查条件。</w:t>
      </w:r>
    </w:p>
    <w:p w14:paraId="3BE7097D">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rightChars="0" w:firstLine="406" w:firstLineChars="200"/>
        <w:jc w:val="lef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b/>
          <w:bCs/>
          <w:color w:val="auto"/>
          <w:spacing w:val="-4"/>
          <w:kern w:val="0"/>
          <w:sz w:val="21"/>
          <w:szCs w:val="21"/>
          <w:highlight w:val="none"/>
          <w:lang w:val="en-US" w:eastAsia="zh-CN" w:bidi="ar-SA"/>
        </w:rPr>
        <w:t>2.投标供应商负责人或投标授权代表签字并加盖单位公章后，扫描上传至投标文件一并提交。</w:t>
      </w:r>
    </w:p>
    <w:p w14:paraId="2B7DAE45">
      <w:pPr>
        <w:keepNext w:val="0"/>
        <w:keepLines w:val="0"/>
        <w:pageBreakBefore w:val="0"/>
        <w:widowControl w:val="0"/>
        <w:kinsoku/>
        <w:wordWrap w:val="0"/>
        <w:overflowPunct/>
        <w:topLinePunct w:val="0"/>
        <w:autoSpaceDE w:val="0"/>
        <w:autoSpaceDN w:val="0"/>
        <w:bidi w:val="0"/>
        <w:adjustRightInd/>
        <w:snapToGrid/>
        <w:spacing w:beforeAutospacing="0" w:afterAutospacing="0" w:line="240" w:lineRule="auto"/>
        <w:ind w:right="0" w:rightChars="0" w:firstLine="404" w:firstLineChars="200"/>
        <w:jc w:val="righ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 xml:space="preserve">负责人/投标授权代表签名：     </w:t>
      </w:r>
    </w:p>
    <w:p w14:paraId="69E8D703">
      <w:pPr>
        <w:keepNext w:val="0"/>
        <w:keepLines w:val="0"/>
        <w:pageBreakBefore w:val="0"/>
        <w:widowControl w:val="0"/>
        <w:kinsoku/>
        <w:wordWrap w:val="0"/>
        <w:overflowPunct/>
        <w:topLinePunct w:val="0"/>
        <w:autoSpaceDE w:val="0"/>
        <w:autoSpaceDN w:val="0"/>
        <w:bidi w:val="0"/>
        <w:adjustRightInd/>
        <w:snapToGrid/>
        <w:spacing w:beforeAutospacing="0" w:afterAutospacing="0" w:line="240" w:lineRule="auto"/>
        <w:ind w:right="0" w:rightChars="0" w:firstLine="404" w:firstLineChars="200"/>
        <w:jc w:val="right"/>
        <w:textAlignment w:val="auto"/>
        <w:rPr>
          <w:rFonts w:hint="eastAsia" w:ascii="宋体" w:hAnsi="宋体" w:eastAsia="宋体" w:cs="宋体"/>
          <w:color w:val="auto"/>
          <w:spacing w:val="-4"/>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 xml:space="preserve">知悉人（公章）：     </w:t>
      </w:r>
    </w:p>
    <w:p w14:paraId="4E4C937B">
      <w:pPr>
        <w:keepNext w:val="0"/>
        <w:keepLines w:val="0"/>
        <w:pageBreakBefore w:val="0"/>
        <w:widowControl w:val="0"/>
        <w:kinsoku/>
        <w:wordWrap w:val="0"/>
        <w:overflowPunct/>
        <w:topLinePunct w:val="0"/>
        <w:autoSpaceDE w:val="0"/>
        <w:autoSpaceDN w:val="0"/>
        <w:bidi w:val="0"/>
        <w:adjustRightInd/>
        <w:snapToGrid/>
        <w:spacing w:beforeAutospacing="0" w:afterAutospacing="0" w:line="240" w:lineRule="auto"/>
        <w:ind w:right="0" w:rightChars="0" w:firstLine="404" w:firstLineChars="200"/>
        <w:jc w:val="right"/>
        <w:textAlignment w:val="auto"/>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spacing w:val="-4"/>
          <w:kern w:val="0"/>
          <w:sz w:val="21"/>
          <w:szCs w:val="21"/>
          <w:highlight w:val="none"/>
          <w:lang w:val="en-US" w:eastAsia="zh-CN" w:bidi="ar-SA"/>
        </w:rPr>
        <w:t xml:space="preserve">日期：     </w:t>
      </w:r>
    </w:p>
    <w:p w14:paraId="78D44553">
      <w:pPr>
        <w:widowControl w:val="0"/>
        <w:spacing w:line="360" w:lineRule="auto"/>
        <w:jc w:val="both"/>
        <w:rPr>
          <w:rFonts w:hint="eastAsia" w:ascii="Times New Roman" w:hAnsi="Times New Roman" w:eastAsia="宋体" w:cs="Times New Roman"/>
          <w:b/>
          <w:bCs/>
          <w:color w:val="auto"/>
          <w:kern w:val="2"/>
          <w:sz w:val="24"/>
          <w:szCs w:val="24"/>
          <w:highlight w:val="none"/>
          <w:lang w:val="en-US" w:eastAsia="zh-CN" w:bidi="ar-SA"/>
        </w:rPr>
      </w:pPr>
    </w:p>
    <w:p w14:paraId="41BF84ED">
      <w:pPr>
        <w:rPr>
          <w:rFonts w:hint="eastAsia" w:ascii="黑体" w:hAnsi="宋体" w:eastAsia="黑体" w:cs="Times New Roman"/>
          <w:color w:val="auto"/>
          <w:sz w:val="24"/>
          <w:szCs w:val="20"/>
          <w:highlight w:val="none"/>
          <w:lang w:eastAsia="zh-CN"/>
        </w:rPr>
      </w:pPr>
    </w:p>
    <w:p w14:paraId="7675BD32">
      <w:pPr>
        <w:rPr>
          <w:rFonts w:hint="eastAsia" w:asciiTheme="majorEastAsia" w:hAnsiTheme="majorEastAsia" w:eastAsiaTheme="majorEastAsia" w:cstheme="majorEastAsia"/>
          <w:b/>
          <w:bCs/>
          <w:color w:val="auto"/>
          <w:highlight w:val="none"/>
        </w:rPr>
      </w:pPr>
      <w:r>
        <w:rPr>
          <w:rFonts w:hint="eastAsia" w:asciiTheme="majorEastAsia" w:hAnsiTheme="majorEastAsia" w:eastAsiaTheme="majorEastAsia" w:cstheme="majorEastAsia"/>
          <w:b/>
          <w:bCs/>
          <w:color w:val="auto"/>
          <w:sz w:val="24"/>
          <w:szCs w:val="20"/>
          <w:highlight w:val="none"/>
          <w:lang w:eastAsia="zh-CN"/>
        </w:rPr>
        <w:t>（</w:t>
      </w:r>
      <w:r>
        <w:rPr>
          <w:rFonts w:hint="eastAsia" w:asciiTheme="majorEastAsia" w:hAnsiTheme="majorEastAsia" w:eastAsiaTheme="majorEastAsia" w:cstheme="majorEastAsia"/>
          <w:b/>
          <w:bCs/>
          <w:color w:val="auto"/>
          <w:sz w:val="24"/>
          <w:szCs w:val="20"/>
          <w:highlight w:val="none"/>
          <w:lang w:val="en-US" w:eastAsia="zh-CN"/>
        </w:rPr>
        <w:t>2</w:t>
      </w:r>
      <w:r>
        <w:rPr>
          <w:rFonts w:hint="eastAsia" w:asciiTheme="majorEastAsia" w:hAnsiTheme="majorEastAsia" w:eastAsiaTheme="majorEastAsia" w:cstheme="majorEastAsia"/>
          <w:b/>
          <w:bCs/>
          <w:color w:val="auto"/>
          <w:sz w:val="24"/>
          <w:szCs w:val="20"/>
          <w:highlight w:val="none"/>
          <w:lang w:eastAsia="zh-CN"/>
        </w:rPr>
        <w:t>）</w:t>
      </w:r>
      <w:r>
        <w:rPr>
          <w:rFonts w:hint="eastAsia" w:asciiTheme="majorEastAsia" w:hAnsiTheme="majorEastAsia" w:eastAsiaTheme="majorEastAsia" w:cstheme="majorEastAsia"/>
          <w:b/>
          <w:bCs/>
          <w:color w:val="auto"/>
          <w:sz w:val="24"/>
          <w:szCs w:val="20"/>
          <w:highlight w:val="none"/>
        </w:rPr>
        <w:t>投标人认为需要加以说明的其他内容</w:t>
      </w:r>
    </w:p>
    <w:p w14:paraId="3BED5B74">
      <w:pPr>
        <w:pStyle w:val="6"/>
        <w:rPr>
          <w:color w:val="auto"/>
          <w:highlight w:val="none"/>
        </w:rPr>
      </w:pPr>
    </w:p>
    <w:p w14:paraId="5570A54C">
      <w:pPr>
        <w:rPr>
          <w:color w:val="auto"/>
          <w:highlight w:val="none"/>
        </w:rPr>
      </w:pPr>
    </w:p>
    <w:p w14:paraId="3ECB2DA5">
      <w:pPr>
        <w:pStyle w:val="6"/>
        <w:rPr>
          <w:color w:val="auto"/>
          <w:highlight w:val="none"/>
        </w:rPr>
      </w:pPr>
    </w:p>
    <w:p w14:paraId="5A374FC1">
      <w:pPr>
        <w:rPr>
          <w:color w:val="auto"/>
          <w:highlight w:val="none"/>
        </w:rPr>
      </w:pPr>
    </w:p>
    <w:p w14:paraId="3720A33D">
      <w:pPr>
        <w:pStyle w:val="6"/>
        <w:rPr>
          <w:color w:val="auto"/>
          <w:highlight w:val="none"/>
        </w:rPr>
      </w:pPr>
    </w:p>
    <w:p w14:paraId="2CE7543B">
      <w:pPr>
        <w:pStyle w:val="5"/>
        <w:rPr>
          <w:color w:val="auto"/>
          <w:highlight w:val="none"/>
        </w:rPr>
      </w:pPr>
      <w:r>
        <w:rPr>
          <w:rFonts w:hint="eastAsia"/>
          <w:color w:val="auto"/>
          <w:highlight w:val="none"/>
        </w:rPr>
        <w:br w:type="page"/>
      </w:r>
      <w:r>
        <w:rPr>
          <w:rFonts w:hint="eastAsia"/>
          <w:color w:val="auto"/>
          <w:highlight w:val="none"/>
        </w:rPr>
        <w:t>第五章  合同条款及格式</w:t>
      </w:r>
    </w:p>
    <w:p w14:paraId="3BEF22DB">
      <w:pPr>
        <w:spacing w:line="360" w:lineRule="auto"/>
        <w:jc w:val="center"/>
        <w:rPr>
          <w:rFonts w:ascii="宋体" w:hAnsi="宋体" w:eastAsia="黑体"/>
          <w:bCs/>
          <w:color w:val="auto"/>
          <w:kern w:val="44"/>
          <w:sz w:val="28"/>
          <w:szCs w:val="44"/>
          <w:highlight w:val="none"/>
        </w:rPr>
      </w:pPr>
      <w:bookmarkStart w:id="43" w:name="_Hlk72574405"/>
      <w:r>
        <w:rPr>
          <w:rFonts w:hint="eastAsia" w:ascii="宋体" w:hAnsi="宋体" w:eastAsia="宋体" w:cs="宋体"/>
          <w:b/>
          <w:color w:val="auto"/>
          <w:highlight w:val="none"/>
        </w:rPr>
        <w:t>（仅供参考，具体以项目需求及采购结果为准）</w:t>
      </w:r>
      <w:bookmarkEnd w:id="43"/>
    </w:p>
    <w:p w14:paraId="36CE720F">
      <w:pPr>
        <w:snapToGrid w:val="0"/>
        <w:spacing w:line="300" w:lineRule="auto"/>
        <w:rPr>
          <w:rFonts w:ascii="宋体" w:hAnsi="宋体" w:eastAsia="宋体"/>
          <w:color w:val="auto"/>
          <w:highlight w:val="none"/>
          <w:u w:val="single"/>
        </w:rPr>
      </w:pPr>
      <w:r>
        <w:rPr>
          <w:rFonts w:hint="eastAsia" w:ascii="宋体" w:hAnsi="宋体" w:eastAsia="宋体"/>
          <w:color w:val="auto"/>
          <w:highlight w:val="none"/>
        </w:rPr>
        <w:t>甲方：</w:t>
      </w:r>
      <w:r>
        <w:rPr>
          <w:rFonts w:hint="eastAsia" w:ascii="宋体" w:hAnsi="宋体" w:eastAsia="宋体"/>
          <w:color w:val="auto"/>
          <w:highlight w:val="none"/>
          <w:u w:val="single"/>
        </w:rPr>
        <w:t xml:space="preserve">                </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乙方: </w:t>
      </w:r>
      <w:r>
        <w:rPr>
          <w:rFonts w:hint="eastAsia" w:ascii="宋体" w:hAnsi="宋体" w:eastAsia="宋体"/>
          <w:color w:val="auto"/>
          <w:highlight w:val="none"/>
          <w:u w:val="single"/>
        </w:rPr>
        <w:t xml:space="preserve">   </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 xml:space="preserve">   </w:t>
      </w:r>
      <w:r>
        <w:rPr>
          <w:rFonts w:hint="eastAsia" w:ascii="宋体" w:hAnsi="宋体" w:eastAsia="宋体"/>
          <w:color w:val="auto"/>
          <w:highlight w:val="none"/>
          <w:u w:val="single"/>
        </w:rPr>
        <w:tab/>
      </w:r>
      <w:r>
        <w:rPr>
          <w:rFonts w:hint="eastAsia" w:ascii="宋体" w:hAnsi="宋体" w:eastAsia="宋体"/>
          <w:color w:val="auto"/>
          <w:highlight w:val="none"/>
          <w:u w:val="single"/>
        </w:rPr>
        <w:t xml:space="preserve">   </w:t>
      </w:r>
      <w:r>
        <w:rPr>
          <w:rFonts w:hint="eastAsia" w:ascii="宋体" w:hAnsi="宋体" w:eastAsia="宋体"/>
          <w:color w:val="auto"/>
          <w:highlight w:val="none"/>
          <w:u w:val="single"/>
        </w:rPr>
        <w:tab/>
      </w:r>
      <w:r>
        <w:rPr>
          <w:rFonts w:hint="eastAsia" w:ascii="宋体" w:hAnsi="宋体" w:eastAsia="宋体"/>
          <w:color w:val="auto"/>
          <w:highlight w:val="none"/>
          <w:u w:val="single"/>
        </w:rPr>
        <w:t xml:space="preserve">  </w:t>
      </w:r>
    </w:p>
    <w:p w14:paraId="1E7D9483">
      <w:pPr>
        <w:snapToGrid w:val="0"/>
        <w:spacing w:line="300" w:lineRule="auto"/>
        <w:rPr>
          <w:rFonts w:ascii="宋体" w:hAnsi="宋体" w:eastAsia="宋体"/>
          <w:color w:val="auto"/>
          <w:highlight w:val="none"/>
        </w:rPr>
      </w:pPr>
      <w:r>
        <w:rPr>
          <w:rFonts w:hint="eastAsia" w:ascii="宋体" w:hAnsi="宋体" w:eastAsia="宋体"/>
          <w:color w:val="auto"/>
          <w:highlight w:val="none"/>
        </w:rPr>
        <w:t>住所地：</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住所地：</w:t>
      </w:r>
      <w:r>
        <w:rPr>
          <w:rFonts w:hint="eastAsia" w:ascii="宋体" w:hAnsi="宋体" w:eastAsia="宋体"/>
          <w:color w:val="auto"/>
          <w:highlight w:val="none"/>
          <w:u w:val="single"/>
        </w:rPr>
        <w:t xml:space="preserve">                    </w:t>
      </w:r>
    </w:p>
    <w:p w14:paraId="742A2082">
      <w:pPr>
        <w:snapToGrid w:val="0"/>
        <w:spacing w:line="300" w:lineRule="auto"/>
        <w:rPr>
          <w:rFonts w:ascii="宋体" w:hAnsi="宋体" w:eastAsia="宋体"/>
          <w:color w:val="auto"/>
          <w:highlight w:val="none"/>
        </w:rPr>
      </w:pPr>
      <w:r>
        <w:rPr>
          <w:rFonts w:hint="eastAsia" w:ascii="宋体" w:hAnsi="宋体" w:eastAsia="宋体"/>
          <w:color w:val="auto"/>
          <w:highlight w:val="none"/>
        </w:rPr>
        <w:t>法定代表人：</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法定代表人：</w:t>
      </w:r>
      <w:r>
        <w:rPr>
          <w:rFonts w:hint="eastAsia" w:ascii="宋体" w:hAnsi="宋体" w:eastAsia="宋体"/>
          <w:color w:val="auto"/>
          <w:highlight w:val="none"/>
          <w:u w:val="single"/>
        </w:rPr>
        <w:t xml:space="preserve">                </w:t>
      </w:r>
    </w:p>
    <w:p w14:paraId="09EFD6D0">
      <w:pPr>
        <w:snapToGrid w:val="0"/>
        <w:spacing w:line="300" w:lineRule="auto"/>
        <w:rPr>
          <w:rFonts w:ascii="宋体" w:hAnsi="宋体" w:eastAsia="宋体"/>
          <w:color w:val="auto"/>
          <w:highlight w:val="none"/>
        </w:rPr>
      </w:pPr>
      <w:r>
        <w:rPr>
          <w:rFonts w:hint="eastAsia" w:ascii="宋体" w:hAnsi="宋体" w:eastAsia="宋体"/>
          <w:color w:val="auto"/>
          <w:highlight w:val="none"/>
        </w:rPr>
        <w:t>联系人：</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联系人：</w:t>
      </w:r>
      <w:r>
        <w:rPr>
          <w:rFonts w:hint="eastAsia" w:ascii="宋体" w:hAnsi="宋体" w:eastAsia="宋体"/>
          <w:color w:val="auto"/>
          <w:highlight w:val="none"/>
          <w:u w:val="single"/>
        </w:rPr>
        <w:t xml:space="preserve">                    </w:t>
      </w:r>
    </w:p>
    <w:p w14:paraId="6A07F79B">
      <w:pPr>
        <w:snapToGrid w:val="0"/>
        <w:spacing w:line="300" w:lineRule="auto"/>
        <w:rPr>
          <w:rFonts w:ascii="宋体" w:hAnsi="宋体" w:eastAsia="宋体"/>
          <w:color w:val="auto"/>
          <w:highlight w:val="none"/>
        </w:rPr>
      </w:pPr>
      <w:r>
        <w:rPr>
          <w:rFonts w:hint="eastAsia" w:ascii="宋体" w:hAnsi="宋体" w:eastAsia="宋体"/>
          <w:color w:val="auto"/>
          <w:highlight w:val="none"/>
        </w:rPr>
        <w:t>电话：</w:t>
      </w:r>
      <w:r>
        <w:rPr>
          <w:rFonts w:hint="eastAsia" w:ascii="宋体" w:hAnsi="宋体" w:eastAsia="宋体"/>
          <w:color w:val="auto"/>
          <w:highlight w:val="none"/>
          <w:u w:val="single"/>
        </w:rPr>
        <w:tab/>
      </w:r>
      <w:r>
        <w:rPr>
          <w:rFonts w:hint="eastAsia" w:ascii="宋体" w:hAnsi="宋体" w:eastAsia="宋体"/>
          <w:color w:val="auto"/>
          <w:highlight w:val="none"/>
          <w:u w:val="single"/>
        </w:rPr>
        <w:tab/>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电话：</w:t>
      </w:r>
      <w:r>
        <w:rPr>
          <w:rFonts w:hint="eastAsia" w:ascii="宋体" w:hAnsi="宋体" w:eastAsia="宋体"/>
          <w:color w:val="auto"/>
          <w:highlight w:val="none"/>
          <w:u w:val="single"/>
        </w:rPr>
        <w:t xml:space="preserve">                      </w:t>
      </w:r>
    </w:p>
    <w:p w14:paraId="10BAAA47">
      <w:pPr>
        <w:snapToGrid w:val="0"/>
        <w:spacing w:line="300" w:lineRule="auto"/>
        <w:rPr>
          <w:rFonts w:ascii="宋体" w:hAnsi="宋体" w:eastAsia="宋体"/>
          <w:color w:val="auto"/>
          <w:highlight w:val="none"/>
        </w:rPr>
      </w:pPr>
      <w:r>
        <w:rPr>
          <w:rFonts w:hint="eastAsia" w:ascii="宋体" w:hAnsi="宋体" w:eastAsia="宋体"/>
          <w:color w:val="auto"/>
          <w:highlight w:val="none"/>
        </w:rPr>
        <w:t>传真：</w:t>
      </w:r>
      <w:r>
        <w:rPr>
          <w:rFonts w:hint="eastAsia" w:ascii="宋体" w:hAnsi="宋体" w:eastAsia="宋体"/>
          <w:color w:val="auto"/>
          <w:highlight w:val="none"/>
          <w:u w:val="single"/>
        </w:rPr>
        <w:t xml:space="preserve">                      </w:t>
      </w:r>
      <w:r>
        <w:rPr>
          <w:rFonts w:hint="eastAsia" w:ascii="宋体" w:hAnsi="宋体" w:eastAsia="宋体"/>
          <w:color w:val="auto"/>
          <w:highlight w:val="none"/>
        </w:rPr>
        <w:t xml:space="preserve">   传真：</w:t>
      </w:r>
      <w:r>
        <w:rPr>
          <w:rFonts w:hint="eastAsia" w:ascii="宋体" w:hAnsi="宋体" w:eastAsia="宋体"/>
          <w:color w:val="auto"/>
          <w:highlight w:val="none"/>
          <w:u w:val="single"/>
        </w:rPr>
        <w:t xml:space="preserve">                      </w:t>
      </w:r>
    </w:p>
    <w:p w14:paraId="374DABBB">
      <w:pPr>
        <w:snapToGrid w:val="0"/>
        <w:spacing w:line="360" w:lineRule="auto"/>
        <w:rPr>
          <w:rFonts w:ascii="宋体" w:hAnsi="宋体" w:eastAsia="宋体"/>
          <w:color w:val="auto"/>
          <w:highlight w:val="none"/>
        </w:rPr>
      </w:pPr>
    </w:p>
    <w:p w14:paraId="7CD7558D">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第一条 项目基本情况</w:t>
      </w:r>
    </w:p>
    <w:p w14:paraId="4E4DB96D">
      <w:pPr>
        <w:tabs>
          <w:tab w:val="left" w:pos="0"/>
        </w:tabs>
        <w:snapToGrid w:val="0"/>
        <w:spacing w:line="300" w:lineRule="auto"/>
        <w:ind w:firstLine="555"/>
        <w:rPr>
          <w:rFonts w:ascii="宋体" w:hAnsi="宋体" w:eastAsia="宋体"/>
          <w:color w:val="auto"/>
          <w:highlight w:val="none"/>
        </w:rPr>
      </w:pPr>
      <w:r>
        <w:rPr>
          <w:rFonts w:hint="eastAsia" w:ascii="宋体" w:hAnsi="宋体" w:eastAsia="宋体"/>
          <w:color w:val="auto"/>
          <w:highlight w:val="none"/>
        </w:rPr>
        <w:t>根据友和保险经纪有限公司</w:t>
      </w:r>
      <w:r>
        <w:rPr>
          <w:rFonts w:hint="eastAsia" w:ascii="宋体" w:hAnsi="宋体" w:eastAsia="宋体"/>
          <w:color w:val="auto"/>
          <w:highlight w:val="none"/>
          <w:u w:val="single"/>
        </w:rPr>
        <w:t xml:space="preserve">      </w:t>
      </w:r>
      <w:r>
        <w:rPr>
          <w:rFonts w:ascii="宋体" w:hAnsi="宋体" w:eastAsia="宋体"/>
          <w:color w:val="auto"/>
          <w:highlight w:val="none"/>
          <w:u w:val="single"/>
        </w:rPr>
        <w:t xml:space="preserve">    </w:t>
      </w:r>
      <w:r>
        <w:rPr>
          <w:rFonts w:hint="eastAsia" w:ascii="宋体" w:hAnsi="宋体" w:eastAsia="宋体"/>
          <w:color w:val="auto"/>
          <w:highlight w:val="none"/>
          <w:u w:val="single"/>
        </w:rPr>
        <w:t xml:space="preserve">  </w:t>
      </w:r>
      <w:r>
        <w:rPr>
          <w:rFonts w:hint="eastAsia" w:ascii="宋体" w:hAnsi="宋体" w:eastAsia="宋体"/>
          <w:color w:val="auto"/>
          <w:highlight w:val="none"/>
        </w:rPr>
        <w:t>项目（招标编号：</w:t>
      </w:r>
      <w:r>
        <w:rPr>
          <w:rFonts w:ascii="宋体" w:hAnsi="宋体" w:eastAsia="宋体"/>
          <w:color w:val="auto"/>
          <w:highlight w:val="none"/>
          <w:u w:val="single"/>
        </w:rPr>
        <w:t xml:space="preserve">   </w:t>
      </w:r>
      <w:r>
        <w:rPr>
          <w:rFonts w:hint="eastAsia" w:ascii="宋体" w:hAnsi="宋体" w:eastAsia="宋体"/>
          <w:color w:val="auto"/>
          <w:highlight w:val="none"/>
          <w:u w:val="single"/>
        </w:rPr>
        <w:t xml:space="preserve">  </w:t>
      </w:r>
      <w:r>
        <w:rPr>
          <w:rFonts w:ascii="宋体" w:hAnsi="宋体" w:eastAsia="宋体"/>
          <w:color w:val="auto"/>
          <w:highlight w:val="none"/>
          <w:u w:val="single"/>
        </w:rPr>
        <w:t xml:space="preserve"> </w:t>
      </w:r>
      <w:r>
        <w:rPr>
          <w:rFonts w:hint="eastAsia" w:ascii="宋体" w:hAnsi="宋体" w:eastAsia="宋体"/>
          <w:color w:val="auto"/>
          <w:highlight w:val="none"/>
          <w:u w:val="single"/>
        </w:rPr>
        <w:t xml:space="preserve"> </w:t>
      </w:r>
      <w:r>
        <w:rPr>
          <w:rFonts w:hint="eastAsia" w:ascii="宋体" w:hAnsi="宋体" w:eastAsia="宋体"/>
          <w:color w:val="auto"/>
          <w:highlight w:val="none"/>
        </w:rPr>
        <w:t>）结果，</w:t>
      </w:r>
      <w:r>
        <w:rPr>
          <w:rFonts w:hint="eastAsia" w:ascii="宋体" w:hAnsi="宋体" w:eastAsia="宋体"/>
          <w:color w:val="auto"/>
          <w:highlight w:val="none"/>
          <w:u w:val="single"/>
        </w:rPr>
        <w:t xml:space="preserve">        </w:t>
      </w:r>
      <w:r>
        <w:rPr>
          <w:rFonts w:hint="eastAsia" w:ascii="宋体" w:hAnsi="宋体" w:eastAsia="宋体"/>
          <w:color w:val="auto"/>
          <w:highlight w:val="none"/>
        </w:rPr>
        <w:t>为中标人。按照《中华人民共和国民法典》（第三编 合同）》和《深圳经济特区政府采购条例》，经</w:t>
      </w:r>
      <w:r>
        <w:rPr>
          <w:rFonts w:hint="eastAsia" w:ascii="宋体" w:hAnsi="宋体" w:eastAsia="宋体"/>
          <w:color w:val="auto"/>
          <w:highlight w:val="none"/>
          <w:u w:val="single"/>
        </w:rPr>
        <w:t xml:space="preserve">        </w:t>
      </w:r>
      <w:r>
        <w:rPr>
          <w:rFonts w:hint="eastAsia" w:ascii="宋体" w:hAnsi="宋体" w:eastAsia="宋体"/>
          <w:color w:val="auto"/>
          <w:highlight w:val="none"/>
        </w:rPr>
        <w:t>（以下简称甲方）和</w:t>
      </w:r>
      <w:r>
        <w:rPr>
          <w:rFonts w:hint="eastAsia" w:ascii="宋体" w:hAnsi="宋体" w:eastAsia="宋体"/>
          <w:color w:val="auto"/>
          <w:highlight w:val="none"/>
          <w:u w:val="single"/>
        </w:rPr>
        <w:t xml:space="preserve">        </w:t>
      </w:r>
      <w:r>
        <w:rPr>
          <w:rFonts w:hint="eastAsia" w:ascii="宋体" w:hAnsi="宋体" w:eastAsia="宋体"/>
          <w:color w:val="auto"/>
          <w:highlight w:val="none"/>
        </w:rPr>
        <w:t>（以下简称乙方）协商，达成本合同条款。</w:t>
      </w:r>
    </w:p>
    <w:p w14:paraId="4E268AAC">
      <w:pPr>
        <w:tabs>
          <w:tab w:val="left" w:pos="0"/>
        </w:tabs>
        <w:snapToGrid w:val="0"/>
        <w:spacing w:line="360" w:lineRule="auto"/>
        <w:rPr>
          <w:rFonts w:ascii="宋体" w:hAnsi="宋体" w:eastAsia="宋体"/>
          <w:color w:val="auto"/>
          <w:highlight w:val="none"/>
        </w:rPr>
      </w:pPr>
      <w:r>
        <w:rPr>
          <w:rFonts w:hint="eastAsia" w:ascii="宋体" w:hAnsi="宋体" w:eastAsia="宋体"/>
          <w:b/>
          <w:color w:val="auto"/>
          <w:highlight w:val="none"/>
        </w:rPr>
        <w:t>第二条 合同标的内容（标的数量或质量等）</w:t>
      </w:r>
    </w:p>
    <w:p w14:paraId="62AFB6A4">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第三条 合同价款（金额）</w:t>
      </w:r>
    </w:p>
    <w:p w14:paraId="5A21B0CE">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第四条 项目履约（交付、交货）地点</w:t>
      </w:r>
    </w:p>
    <w:p w14:paraId="30DA34D6">
      <w:pPr>
        <w:tabs>
          <w:tab w:val="left" w:pos="0"/>
        </w:tabs>
        <w:snapToGrid w:val="0"/>
        <w:spacing w:line="360" w:lineRule="auto"/>
        <w:ind w:left="-1" w:firstLine="480" w:firstLineChars="200"/>
        <w:rPr>
          <w:rFonts w:ascii="宋体" w:hAnsi="宋体" w:eastAsia="宋体"/>
          <w:color w:val="auto"/>
          <w:highlight w:val="none"/>
        </w:rPr>
      </w:pPr>
      <w:r>
        <w:rPr>
          <w:rFonts w:hint="eastAsia" w:ascii="宋体" w:hAnsi="宋体" w:eastAsia="宋体"/>
          <w:color w:val="auto"/>
          <w:highlight w:val="none"/>
        </w:rPr>
        <w:t>深圳市</w:t>
      </w:r>
      <w:r>
        <w:rPr>
          <w:rFonts w:hint="eastAsia" w:ascii="宋体" w:hAnsi="宋体" w:eastAsia="宋体"/>
          <w:color w:val="auto"/>
          <w:highlight w:val="none"/>
          <w:u w:val="single"/>
        </w:rPr>
        <w:t xml:space="preserve">      </w:t>
      </w:r>
      <w:r>
        <w:rPr>
          <w:rFonts w:hint="eastAsia" w:ascii="宋体" w:hAnsi="宋体" w:eastAsia="宋体"/>
          <w:color w:val="auto"/>
          <w:highlight w:val="none"/>
        </w:rPr>
        <w:t>区。</w:t>
      </w:r>
    </w:p>
    <w:p w14:paraId="696C88AF">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第五条 项目服务期（完工期、履约时间、交货时间）</w:t>
      </w:r>
    </w:p>
    <w:p w14:paraId="24E8B49F">
      <w:pPr>
        <w:tabs>
          <w:tab w:val="left" w:pos="0"/>
        </w:tabs>
        <w:snapToGrid w:val="0"/>
        <w:spacing w:line="360" w:lineRule="auto"/>
        <w:ind w:left="-1" w:firstLine="480" w:firstLineChars="200"/>
        <w:rPr>
          <w:rFonts w:ascii="宋体" w:hAnsi="宋体" w:eastAsia="宋体"/>
          <w:color w:val="auto"/>
          <w:highlight w:val="none"/>
        </w:rPr>
      </w:pPr>
      <w:r>
        <w:rPr>
          <w:rFonts w:hint="eastAsia" w:ascii="宋体" w:hAnsi="宋体" w:eastAsia="宋体"/>
          <w:color w:val="auto"/>
          <w:highlight w:val="none"/>
        </w:rPr>
        <w:t>（具体按本项目需求与投标人承诺内容拟定）</w:t>
      </w:r>
    </w:p>
    <w:p w14:paraId="0315E360">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第六条 付款期限及方式</w:t>
      </w:r>
    </w:p>
    <w:p w14:paraId="23BCA107">
      <w:pPr>
        <w:tabs>
          <w:tab w:val="left" w:pos="0"/>
        </w:tabs>
        <w:snapToGrid w:val="0"/>
        <w:spacing w:line="360" w:lineRule="auto"/>
        <w:ind w:left="-1" w:firstLine="480" w:firstLineChars="200"/>
        <w:rPr>
          <w:rFonts w:ascii="宋体" w:hAnsi="宋体" w:eastAsia="宋体"/>
          <w:color w:val="auto"/>
          <w:highlight w:val="none"/>
        </w:rPr>
      </w:pPr>
      <w:r>
        <w:rPr>
          <w:rFonts w:hint="eastAsia" w:ascii="宋体" w:hAnsi="宋体" w:eastAsia="宋体"/>
          <w:color w:val="auto"/>
          <w:highlight w:val="none"/>
        </w:rPr>
        <w:t>（具体按本项目需求与投标人承诺内容拟定）</w:t>
      </w:r>
    </w:p>
    <w:p w14:paraId="54FFE716">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第七条 项目验收标准及方式</w:t>
      </w:r>
    </w:p>
    <w:p w14:paraId="55AD9E2B">
      <w:pPr>
        <w:tabs>
          <w:tab w:val="left" w:pos="0"/>
        </w:tabs>
        <w:snapToGrid w:val="0"/>
        <w:spacing w:line="360" w:lineRule="auto"/>
        <w:ind w:left="-1" w:firstLine="480" w:firstLineChars="200"/>
        <w:rPr>
          <w:rFonts w:ascii="宋体" w:hAnsi="宋体" w:eastAsia="宋体"/>
          <w:color w:val="auto"/>
          <w:highlight w:val="none"/>
        </w:rPr>
      </w:pPr>
      <w:r>
        <w:rPr>
          <w:rFonts w:hint="eastAsia" w:ascii="宋体" w:hAnsi="宋体" w:eastAsia="宋体"/>
          <w:color w:val="auto"/>
          <w:highlight w:val="none"/>
        </w:rPr>
        <w:t>（具体按本项目需求与投标人承诺内容拟定）</w:t>
      </w:r>
    </w:p>
    <w:p w14:paraId="093F7565">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第八条 甲方的权利和义务</w:t>
      </w:r>
    </w:p>
    <w:p w14:paraId="56EE4B40">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第九条 乙方的权利和义务</w:t>
      </w:r>
    </w:p>
    <w:p w14:paraId="19C70D8A">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第十条 违约责任与争议解决办法</w:t>
      </w:r>
    </w:p>
    <w:p w14:paraId="61010D3C">
      <w:pPr>
        <w:tabs>
          <w:tab w:val="left" w:pos="0"/>
        </w:tabs>
        <w:snapToGrid w:val="0"/>
        <w:spacing w:line="360" w:lineRule="auto"/>
        <w:ind w:firstLine="480" w:firstLineChars="200"/>
        <w:rPr>
          <w:rFonts w:ascii="宋体" w:hAnsi="宋体" w:eastAsia="宋体"/>
          <w:color w:val="auto"/>
          <w:highlight w:val="none"/>
        </w:rPr>
      </w:pPr>
      <w:r>
        <w:rPr>
          <w:rFonts w:hint="eastAsia" w:ascii="宋体" w:hAnsi="宋体" w:eastAsia="宋体"/>
          <w:color w:val="auto"/>
          <w:highlight w:val="none"/>
        </w:rPr>
        <w:t>1、合同双方之任何一方不能全面履行合同条款，均属违约。违约所造成的经济损失概由违约方承担赔偿。违约造成工期延误责任分担：甲方违约，工期相应顺延；乙方违约，工期不得顺延。</w:t>
      </w:r>
    </w:p>
    <w:p w14:paraId="4572F7E7">
      <w:pPr>
        <w:tabs>
          <w:tab w:val="left" w:pos="0"/>
        </w:tabs>
        <w:snapToGrid w:val="0"/>
        <w:spacing w:line="360" w:lineRule="auto"/>
        <w:ind w:firstLine="480" w:firstLineChars="200"/>
        <w:rPr>
          <w:rFonts w:ascii="宋体" w:hAnsi="宋体" w:eastAsia="宋体"/>
          <w:color w:val="auto"/>
          <w:highlight w:val="none"/>
        </w:rPr>
      </w:pPr>
      <w:r>
        <w:rPr>
          <w:rFonts w:hint="eastAsia" w:ascii="宋体" w:hAnsi="宋体" w:eastAsia="宋体"/>
          <w:color w:val="auto"/>
          <w:highlight w:val="none"/>
        </w:rPr>
        <w:t>2、协商或仲裁：如果发生与本合同的解释或执行中的有关争议，双方首先应通过友好协商解决，否则任何一方可将该争议提交仲裁。仲裁事项应提交深圳仲裁委员会进行裁决。</w:t>
      </w:r>
    </w:p>
    <w:p w14:paraId="2F88CEBF">
      <w:pPr>
        <w:tabs>
          <w:tab w:val="left" w:pos="0"/>
        </w:tabs>
        <w:snapToGrid w:val="0"/>
        <w:spacing w:line="360" w:lineRule="auto"/>
        <w:rPr>
          <w:rFonts w:ascii="宋体" w:hAnsi="宋体" w:eastAsia="宋体"/>
          <w:color w:val="auto"/>
          <w:highlight w:val="none"/>
        </w:rPr>
      </w:pPr>
      <w:r>
        <w:rPr>
          <w:rFonts w:hint="eastAsia" w:ascii="宋体" w:hAnsi="宋体" w:eastAsia="宋体"/>
          <w:color w:val="auto"/>
          <w:highlight w:val="none"/>
        </w:rPr>
        <w:t>……。</w:t>
      </w:r>
    </w:p>
    <w:p w14:paraId="700B8EBD">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第十一条 知识产权、保密或其他事项要求</w:t>
      </w:r>
    </w:p>
    <w:p w14:paraId="67DD7559">
      <w:pPr>
        <w:tabs>
          <w:tab w:val="left" w:pos="0"/>
        </w:tabs>
        <w:snapToGrid w:val="0"/>
        <w:spacing w:line="360" w:lineRule="auto"/>
        <w:ind w:firstLine="480" w:firstLineChars="200"/>
        <w:rPr>
          <w:rFonts w:ascii="宋体" w:hAnsi="宋体" w:eastAsia="宋体"/>
          <w:color w:val="auto"/>
          <w:highlight w:val="none"/>
        </w:rPr>
      </w:pPr>
      <w:r>
        <w:rPr>
          <w:rFonts w:hint="eastAsia" w:ascii="宋体" w:hAnsi="宋体" w:eastAsia="宋体"/>
          <w:color w:val="auto"/>
          <w:highlight w:val="none"/>
        </w:rPr>
        <w:t>1、除政府采购合同继续履行将损害国家利益和社会公共利益外，双方不得擅自变更、中止或者终止合同。</w:t>
      </w:r>
    </w:p>
    <w:p w14:paraId="59049335">
      <w:pPr>
        <w:tabs>
          <w:tab w:val="left" w:pos="0"/>
        </w:tabs>
        <w:snapToGrid w:val="0"/>
        <w:spacing w:line="360" w:lineRule="auto"/>
        <w:ind w:firstLine="480" w:firstLineChars="200"/>
        <w:rPr>
          <w:rFonts w:ascii="宋体" w:hAnsi="宋体" w:eastAsia="宋体"/>
          <w:color w:val="auto"/>
          <w:highlight w:val="none"/>
        </w:rPr>
      </w:pPr>
      <w:r>
        <w:rPr>
          <w:rFonts w:hint="eastAsia" w:ascii="宋体" w:hAnsi="宋体" w:eastAsia="宋体"/>
          <w:color w:val="auto"/>
          <w:highlight w:val="none"/>
        </w:rPr>
        <w:t>2、乙方所提供的货物或服务未侵犯知识产权，不会产生因第三方提出的包括但不限于侵犯其专利权、商标权、工业设计权等知识产权和侵犯其所有权、抵押权等物权及其他权利而引发的纠纷。如有纠纷，乙方应承担全部责任。</w:t>
      </w:r>
    </w:p>
    <w:p w14:paraId="16C53600">
      <w:pPr>
        <w:tabs>
          <w:tab w:val="left" w:pos="0"/>
        </w:tabs>
        <w:snapToGrid w:val="0"/>
        <w:spacing w:line="360" w:lineRule="auto"/>
        <w:rPr>
          <w:rFonts w:ascii="宋体" w:hAnsi="宋体" w:eastAsia="宋体"/>
          <w:color w:val="auto"/>
          <w:highlight w:val="none"/>
        </w:rPr>
      </w:pPr>
      <w:r>
        <w:rPr>
          <w:rFonts w:hint="eastAsia" w:ascii="宋体" w:hAnsi="宋体" w:eastAsia="宋体"/>
          <w:color w:val="auto"/>
          <w:highlight w:val="none"/>
        </w:rPr>
        <w:t>……。</w:t>
      </w:r>
    </w:p>
    <w:p w14:paraId="77F476C6">
      <w:pPr>
        <w:tabs>
          <w:tab w:val="left" w:pos="0"/>
        </w:tabs>
        <w:snapToGrid w:val="0"/>
        <w:spacing w:line="360" w:lineRule="auto"/>
        <w:rPr>
          <w:rFonts w:ascii="宋体" w:hAnsi="宋体" w:eastAsia="宋体"/>
          <w:b/>
          <w:color w:val="auto"/>
          <w:highlight w:val="none"/>
        </w:rPr>
      </w:pPr>
      <w:r>
        <w:rPr>
          <w:rFonts w:hint="eastAsia" w:ascii="宋体" w:hAnsi="宋体" w:eastAsia="宋体"/>
          <w:b/>
          <w:color w:val="auto"/>
          <w:highlight w:val="none"/>
        </w:rPr>
        <w:t>第十二条 附件（附录）</w:t>
      </w:r>
      <w:r>
        <w:rPr>
          <w:rFonts w:hint="eastAsia" w:ascii="宋体" w:hAnsi="宋体" w:eastAsia="宋体"/>
          <w:color w:val="auto"/>
          <w:highlight w:val="none"/>
        </w:rPr>
        <w:t>（如有，可填写，并附相关内容）</w:t>
      </w:r>
    </w:p>
    <w:p w14:paraId="52515310">
      <w:pPr>
        <w:tabs>
          <w:tab w:val="left" w:pos="0"/>
        </w:tabs>
        <w:snapToGrid w:val="0"/>
        <w:spacing w:line="360" w:lineRule="auto"/>
        <w:rPr>
          <w:rFonts w:ascii="宋体" w:hAnsi="宋体" w:eastAsia="宋体"/>
          <w:color w:val="auto"/>
          <w:highlight w:val="none"/>
        </w:rPr>
      </w:pPr>
      <w:r>
        <w:rPr>
          <w:rFonts w:hint="eastAsia" w:ascii="宋体" w:hAnsi="宋体" w:eastAsia="宋体"/>
          <w:color w:val="auto"/>
          <w:highlight w:val="none"/>
        </w:rPr>
        <w:t>……。</w:t>
      </w:r>
    </w:p>
    <w:p w14:paraId="66391142">
      <w:pPr>
        <w:snapToGrid w:val="0"/>
        <w:spacing w:line="360" w:lineRule="auto"/>
        <w:ind w:firstLine="200"/>
        <w:rPr>
          <w:rFonts w:ascii="宋体" w:hAnsi="宋体" w:eastAsia="宋体"/>
          <w:color w:val="auto"/>
          <w:highlight w:val="none"/>
        </w:rPr>
      </w:pPr>
    </w:p>
    <w:p w14:paraId="17F63586">
      <w:pPr>
        <w:snapToGrid w:val="0"/>
        <w:spacing w:line="360" w:lineRule="auto"/>
        <w:rPr>
          <w:rFonts w:ascii="宋体" w:hAnsi="宋体" w:eastAsia="宋体"/>
          <w:color w:val="auto"/>
          <w:highlight w:val="none"/>
        </w:rPr>
      </w:pPr>
      <w:r>
        <w:rPr>
          <w:rFonts w:ascii="宋体" w:hAnsi="宋体" w:eastAsia="宋体"/>
          <w:color w:val="auto"/>
          <w:highlight w:val="none"/>
        </w:rPr>
        <w:t>甲方（公章）</w:t>
      </w:r>
      <w:r>
        <w:rPr>
          <w:rFonts w:hint="eastAsia" w:ascii="宋体" w:hAnsi="宋体" w:eastAsia="宋体"/>
          <w:color w:val="auto"/>
          <w:highlight w:val="none"/>
        </w:rPr>
        <w:t xml:space="preserve">： </w:t>
      </w:r>
      <w:r>
        <w:rPr>
          <w:rFonts w:ascii="宋体" w:hAnsi="宋体" w:eastAsia="宋体"/>
          <w:color w:val="auto"/>
          <w:highlight w:val="none"/>
        </w:rPr>
        <w:t xml:space="preserve">                           乙方（公章）</w:t>
      </w:r>
      <w:r>
        <w:rPr>
          <w:rFonts w:hint="eastAsia" w:ascii="宋体" w:hAnsi="宋体" w:eastAsia="宋体"/>
          <w:color w:val="auto"/>
          <w:highlight w:val="none"/>
        </w:rPr>
        <w:t>：</w:t>
      </w:r>
    </w:p>
    <w:p w14:paraId="1EA0E5D9">
      <w:pPr>
        <w:snapToGrid w:val="0"/>
        <w:spacing w:line="360" w:lineRule="auto"/>
        <w:rPr>
          <w:rFonts w:ascii="宋体" w:hAnsi="宋体" w:eastAsia="宋体"/>
          <w:color w:val="auto"/>
          <w:highlight w:val="none"/>
        </w:rPr>
      </w:pPr>
      <w:r>
        <w:rPr>
          <w:rFonts w:ascii="宋体" w:hAnsi="宋体" w:eastAsia="宋体"/>
          <w:color w:val="auto"/>
          <w:highlight w:val="none"/>
        </w:rPr>
        <w:t>法定代表人（签章）</w:t>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法定代表人（签章）</w:t>
      </w:r>
    </w:p>
    <w:p w14:paraId="709F27E9">
      <w:pPr>
        <w:snapToGrid w:val="0"/>
        <w:spacing w:line="360" w:lineRule="auto"/>
        <w:rPr>
          <w:rFonts w:ascii="宋体" w:hAnsi="宋体" w:eastAsia="宋体"/>
          <w:color w:val="auto"/>
          <w:highlight w:val="none"/>
        </w:rPr>
      </w:pPr>
      <w:r>
        <w:rPr>
          <w:rFonts w:ascii="宋体" w:hAnsi="宋体" w:eastAsia="宋体"/>
          <w:color w:val="auto"/>
          <w:highlight w:val="none"/>
        </w:rPr>
        <w:t>或授权代表：</w:t>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或授权代表：</w:t>
      </w:r>
    </w:p>
    <w:p w14:paraId="15B136FD">
      <w:pPr>
        <w:snapToGrid w:val="0"/>
        <w:spacing w:line="360" w:lineRule="auto"/>
        <w:rPr>
          <w:rFonts w:ascii="宋体" w:hAnsi="宋体" w:eastAsia="宋体"/>
          <w:color w:val="auto"/>
          <w:highlight w:val="none"/>
        </w:rPr>
      </w:pPr>
      <w:r>
        <w:rPr>
          <w:rFonts w:hint="eastAsia" w:ascii="宋体" w:hAnsi="宋体" w:eastAsia="宋体"/>
          <w:color w:val="auto"/>
          <w:highlight w:val="none"/>
        </w:rPr>
        <w:t xml:space="preserve">日期： </w:t>
      </w:r>
      <w:r>
        <w:rPr>
          <w:rFonts w:ascii="宋体" w:hAnsi="宋体" w:eastAsia="宋体"/>
          <w:color w:val="auto"/>
          <w:highlight w:val="none"/>
        </w:rPr>
        <w:t xml:space="preserve">   年   月   日     </w:t>
      </w:r>
      <w:r>
        <w:rPr>
          <w:rFonts w:ascii="宋体" w:hAnsi="宋体" w:eastAsia="宋体"/>
          <w:color w:val="auto"/>
          <w:highlight w:val="none"/>
        </w:rPr>
        <w:tab/>
      </w:r>
      <w:r>
        <w:rPr>
          <w:rFonts w:ascii="宋体" w:hAnsi="宋体" w:eastAsia="宋体"/>
          <w:color w:val="auto"/>
          <w:highlight w:val="none"/>
        </w:rPr>
        <w:tab/>
      </w:r>
      <w:r>
        <w:rPr>
          <w:rFonts w:ascii="宋体" w:hAnsi="宋体" w:eastAsia="宋体"/>
          <w:color w:val="auto"/>
          <w:highlight w:val="none"/>
        </w:rPr>
        <w:tab/>
      </w:r>
      <w:r>
        <w:rPr>
          <w:rFonts w:hint="eastAsia" w:ascii="宋体" w:hAnsi="宋体" w:eastAsia="宋体"/>
          <w:color w:val="auto"/>
          <w:highlight w:val="none"/>
        </w:rPr>
        <w:t xml:space="preserve">日期： </w:t>
      </w:r>
      <w:r>
        <w:rPr>
          <w:rFonts w:ascii="宋体" w:hAnsi="宋体" w:eastAsia="宋体"/>
          <w:color w:val="auto"/>
          <w:highlight w:val="none"/>
        </w:rPr>
        <w:t xml:space="preserve">   年   月   日</w:t>
      </w:r>
    </w:p>
    <w:p w14:paraId="1CD896B3">
      <w:pPr>
        <w:rPr>
          <w:rFonts w:ascii="宋体" w:hAnsi="宋体"/>
          <w:color w:val="auto"/>
          <w:szCs w:val="21"/>
          <w:highlight w:val="none"/>
        </w:rPr>
      </w:pPr>
    </w:p>
    <w:p w14:paraId="3C0F9442">
      <w:pPr>
        <w:pStyle w:val="6"/>
        <w:rPr>
          <w:color w:val="auto"/>
          <w:highlight w:val="none"/>
        </w:rPr>
      </w:pPr>
    </w:p>
    <w:p w14:paraId="3E773506">
      <w:pPr>
        <w:rPr>
          <w:color w:val="auto"/>
          <w:highlight w:val="none"/>
        </w:rPr>
      </w:pPr>
    </w:p>
    <w:p w14:paraId="7BFA7E5C">
      <w:pPr>
        <w:pStyle w:val="6"/>
        <w:rPr>
          <w:color w:val="auto"/>
          <w:highlight w:val="none"/>
        </w:rPr>
      </w:pPr>
    </w:p>
    <w:p w14:paraId="2B1F7895">
      <w:pPr>
        <w:rPr>
          <w:color w:val="auto"/>
          <w:highlight w:val="none"/>
        </w:rPr>
      </w:pPr>
    </w:p>
    <w:p w14:paraId="77919B5E">
      <w:pPr>
        <w:pStyle w:val="6"/>
        <w:rPr>
          <w:color w:val="auto"/>
          <w:highlight w:val="none"/>
        </w:rPr>
      </w:pPr>
    </w:p>
    <w:p w14:paraId="3446888A">
      <w:pPr>
        <w:rPr>
          <w:color w:val="auto"/>
          <w:highlight w:val="none"/>
        </w:rPr>
      </w:pPr>
    </w:p>
    <w:p w14:paraId="2EB7ECFB">
      <w:pPr>
        <w:pStyle w:val="6"/>
        <w:rPr>
          <w:color w:val="auto"/>
          <w:highlight w:val="none"/>
        </w:rPr>
      </w:pPr>
    </w:p>
    <w:p w14:paraId="7F008D20">
      <w:pPr>
        <w:rPr>
          <w:color w:val="auto"/>
          <w:highlight w:val="none"/>
        </w:rPr>
      </w:pPr>
    </w:p>
    <w:p w14:paraId="4C186E90">
      <w:pPr>
        <w:pStyle w:val="6"/>
        <w:rPr>
          <w:color w:val="auto"/>
          <w:highlight w:val="none"/>
        </w:rPr>
      </w:pPr>
    </w:p>
    <w:p w14:paraId="1FB25C97">
      <w:pPr>
        <w:rPr>
          <w:color w:val="auto"/>
          <w:highlight w:val="none"/>
        </w:rPr>
      </w:pPr>
    </w:p>
    <w:p w14:paraId="5F5CC9DF">
      <w:pPr>
        <w:pStyle w:val="6"/>
        <w:rPr>
          <w:color w:val="auto"/>
          <w:highlight w:val="none"/>
        </w:rPr>
      </w:pPr>
    </w:p>
    <w:p w14:paraId="0C04875A">
      <w:pPr>
        <w:rPr>
          <w:color w:val="auto"/>
          <w:highlight w:val="none"/>
        </w:rPr>
      </w:pPr>
    </w:p>
    <w:p w14:paraId="50868D45">
      <w:pPr>
        <w:pStyle w:val="6"/>
        <w:rPr>
          <w:color w:val="auto"/>
          <w:highlight w:val="none"/>
        </w:rPr>
      </w:pPr>
    </w:p>
    <w:p w14:paraId="0157D9A0">
      <w:pPr>
        <w:rPr>
          <w:color w:val="auto"/>
          <w:highlight w:val="none"/>
        </w:rPr>
      </w:pPr>
    </w:p>
    <w:p w14:paraId="7296F2A6">
      <w:pPr>
        <w:rPr>
          <w:color w:val="auto"/>
          <w:highlight w:val="none"/>
        </w:rPr>
      </w:pPr>
    </w:p>
    <w:p w14:paraId="44ED3B1F">
      <w:pPr>
        <w:pStyle w:val="6"/>
        <w:rPr>
          <w:color w:val="auto"/>
          <w:highlight w:val="none"/>
        </w:rPr>
      </w:pPr>
    </w:p>
    <w:p w14:paraId="2319A870">
      <w:pPr>
        <w:pStyle w:val="5"/>
        <w:spacing w:before="120" w:beforeLines="50" w:after="120" w:afterLines="50"/>
        <w:ind w:left="562"/>
        <w:rPr>
          <w:color w:val="auto"/>
          <w:sz w:val="28"/>
          <w:szCs w:val="28"/>
          <w:highlight w:val="none"/>
        </w:rPr>
      </w:pPr>
      <w:r>
        <w:rPr>
          <w:rFonts w:hint="eastAsia"/>
          <w:color w:val="auto"/>
          <w:sz w:val="28"/>
          <w:szCs w:val="28"/>
          <w:highlight w:val="none"/>
        </w:rPr>
        <w:t>第二册  通用条款（公开招标）</w:t>
      </w:r>
    </w:p>
    <w:p w14:paraId="0E4AFC9A">
      <w:pPr>
        <w:pStyle w:val="5"/>
        <w:numPr>
          <w:ilvl w:val="0"/>
          <w:numId w:val="4"/>
        </w:numPr>
        <w:spacing w:before="120" w:beforeLines="50" w:after="120" w:afterLines="50"/>
        <w:ind w:left="562" w:hanging="562"/>
        <w:rPr>
          <w:color w:val="auto"/>
          <w:sz w:val="28"/>
          <w:szCs w:val="28"/>
          <w:highlight w:val="none"/>
        </w:rPr>
      </w:pPr>
      <w:bookmarkStart w:id="44" w:name="_Hlk72399513"/>
      <w:r>
        <w:rPr>
          <w:rFonts w:hint="eastAsia"/>
          <w:color w:val="auto"/>
          <w:sz w:val="28"/>
          <w:szCs w:val="28"/>
          <w:highlight w:val="none"/>
        </w:rPr>
        <w:t>总则</w:t>
      </w:r>
    </w:p>
    <w:bookmarkEnd w:id="44"/>
    <w:p w14:paraId="47621AE4">
      <w:pPr>
        <w:rPr>
          <w:rFonts w:ascii="黑体" w:hAnsi="宋体" w:eastAsia="黑体"/>
          <w:color w:val="auto"/>
          <w:highlight w:val="none"/>
        </w:rPr>
      </w:pPr>
      <w:r>
        <w:rPr>
          <w:rFonts w:hint="eastAsia" w:ascii="黑体" w:hAnsi="宋体" w:eastAsia="黑体"/>
          <w:color w:val="auto"/>
          <w:highlight w:val="none"/>
        </w:rPr>
        <w:t>1. 通用条款说明</w:t>
      </w:r>
    </w:p>
    <w:p w14:paraId="1E81BA5B">
      <w:pPr>
        <w:ind w:firstLine="470" w:firstLineChars="196"/>
        <w:rPr>
          <w:rFonts w:ascii="宋体" w:hAnsi="宋体"/>
          <w:color w:val="auto"/>
          <w:szCs w:val="21"/>
          <w:highlight w:val="none"/>
        </w:rPr>
      </w:pPr>
      <w:r>
        <w:rPr>
          <w:rFonts w:hint="eastAsia" w:ascii="宋体" w:hAnsi="宋体"/>
          <w:color w:val="auto"/>
          <w:szCs w:val="21"/>
          <w:highlight w:val="none"/>
        </w:rPr>
        <w:t>1.1</w:t>
      </w:r>
      <w:bookmarkStart w:id="45" w:name="_Hlk72399729"/>
      <w:r>
        <w:rPr>
          <w:rFonts w:hint="eastAsia" w:ascii="宋体" w:hAnsi="宋体"/>
          <w:color w:val="auto"/>
          <w:szCs w:val="21"/>
          <w:highlight w:val="none"/>
        </w:rPr>
        <w:t>采购机构可以对通用条款的内容进行补充。</w:t>
      </w:r>
      <w:bookmarkEnd w:id="45"/>
    </w:p>
    <w:p w14:paraId="02773170">
      <w:pPr>
        <w:ind w:firstLine="470" w:firstLineChars="196"/>
        <w:rPr>
          <w:rFonts w:ascii="宋体" w:hAnsi="宋体"/>
          <w:color w:val="auto"/>
          <w:szCs w:val="21"/>
          <w:highlight w:val="none"/>
        </w:rPr>
      </w:pPr>
      <w:r>
        <w:rPr>
          <w:rFonts w:hint="eastAsia" w:ascii="宋体" w:hAnsi="宋体"/>
          <w:color w:val="auto"/>
          <w:szCs w:val="21"/>
          <w:highlight w:val="none"/>
        </w:rPr>
        <w:t>1.2招标文件分为第一册“专用条款”和第二册“通用条款”。</w:t>
      </w:r>
    </w:p>
    <w:p w14:paraId="5413C8DA">
      <w:pPr>
        <w:ind w:firstLine="470" w:firstLineChars="196"/>
        <w:rPr>
          <w:rFonts w:ascii="宋体" w:hAnsi="宋体"/>
          <w:color w:val="auto"/>
          <w:szCs w:val="21"/>
          <w:highlight w:val="none"/>
        </w:rPr>
      </w:pPr>
      <w:r>
        <w:rPr>
          <w:rFonts w:hint="eastAsia" w:ascii="宋体" w:hAnsi="宋体"/>
          <w:color w:val="auto"/>
          <w:szCs w:val="21"/>
          <w:highlight w:val="none"/>
        </w:rPr>
        <w:t>1.3“专用条款”是对本次采购项目的具体要求，包含招标公告、对通用条款的补充内容及其他关键信息、用户需求书、投标文件格式及附件、合同条款及格式等内容。</w:t>
      </w:r>
    </w:p>
    <w:p w14:paraId="11BE61BC">
      <w:pPr>
        <w:ind w:firstLine="470" w:firstLineChars="196"/>
        <w:rPr>
          <w:rFonts w:ascii="宋体" w:hAnsi="宋体"/>
          <w:color w:val="auto"/>
          <w:szCs w:val="21"/>
          <w:highlight w:val="none"/>
        </w:rPr>
      </w:pPr>
      <w:r>
        <w:rPr>
          <w:rFonts w:hint="eastAsia" w:ascii="宋体" w:hAnsi="宋体"/>
          <w:color w:val="auto"/>
          <w:szCs w:val="21"/>
          <w:highlight w:val="none"/>
        </w:rPr>
        <w:t>1.4“通用条款”是适用于政府采购公开招标项目的基础性条款，具有普遍性和通用性。</w:t>
      </w:r>
    </w:p>
    <w:p w14:paraId="74EA31F6">
      <w:pPr>
        <w:ind w:firstLine="470" w:firstLineChars="196"/>
        <w:rPr>
          <w:rFonts w:ascii="宋体" w:hAnsi="宋体"/>
          <w:color w:val="auto"/>
          <w:szCs w:val="21"/>
          <w:highlight w:val="none"/>
        </w:rPr>
      </w:pPr>
      <w:r>
        <w:rPr>
          <w:rFonts w:hint="eastAsia" w:ascii="宋体" w:hAnsi="宋体"/>
          <w:color w:val="auto"/>
          <w:szCs w:val="21"/>
          <w:highlight w:val="none"/>
        </w:rPr>
        <w:t>1.5 “专用条款”和“通用条款”表述不一致或有冲突时，以“专用条款”为准。</w:t>
      </w:r>
    </w:p>
    <w:p w14:paraId="6F5CFE52">
      <w:pPr>
        <w:rPr>
          <w:rFonts w:ascii="黑体" w:hAnsi="宋体" w:eastAsia="黑体"/>
          <w:color w:val="auto"/>
          <w:highlight w:val="none"/>
        </w:rPr>
      </w:pPr>
      <w:r>
        <w:rPr>
          <w:rFonts w:hint="eastAsia" w:ascii="黑体" w:hAnsi="宋体" w:eastAsia="黑体"/>
          <w:color w:val="auto"/>
          <w:highlight w:val="none"/>
        </w:rPr>
        <w:t>2</w:t>
      </w:r>
      <w:r>
        <w:rPr>
          <w:rFonts w:ascii="黑体" w:hAnsi="宋体" w:eastAsia="黑体"/>
          <w:color w:val="auto"/>
          <w:highlight w:val="none"/>
        </w:rPr>
        <w:t>．</w:t>
      </w:r>
      <w:r>
        <w:rPr>
          <w:rFonts w:hint="eastAsia" w:ascii="黑体" w:hAnsi="宋体" w:eastAsia="黑体"/>
          <w:color w:val="auto"/>
          <w:highlight w:val="none"/>
        </w:rPr>
        <w:t>招标说明</w:t>
      </w:r>
    </w:p>
    <w:p w14:paraId="455AE7F2">
      <w:pPr>
        <w:ind w:firstLine="470" w:firstLineChars="196"/>
        <w:rPr>
          <w:rFonts w:ascii="宋体" w:hAnsi="宋体"/>
          <w:color w:val="auto"/>
          <w:szCs w:val="21"/>
          <w:highlight w:val="none"/>
        </w:rPr>
      </w:pPr>
      <w:r>
        <w:rPr>
          <w:rFonts w:hint="eastAsia" w:ascii="宋体" w:hAnsi="宋体"/>
          <w:color w:val="auto"/>
          <w:szCs w:val="21"/>
          <w:highlight w:val="none"/>
        </w:rPr>
        <w:t>本项目按照《深圳经济特区政府采购条例》、《深圳经济特区政府采购条例实施细则》及政府采购其他法律法规，通过公开招标方式确定中标供应商。</w:t>
      </w:r>
    </w:p>
    <w:p w14:paraId="10C668C5">
      <w:pPr>
        <w:rPr>
          <w:rFonts w:ascii="黑体" w:hAnsi="宋体" w:eastAsia="黑体"/>
          <w:color w:val="auto"/>
          <w:highlight w:val="none"/>
        </w:rPr>
      </w:pPr>
      <w:r>
        <w:rPr>
          <w:rFonts w:hint="eastAsia" w:ascii="黑体" w:hAnsi="宋体" w:eastAsia="黑体"/>
          <w:color w:val="auto"/>
          <w:highlight w:val="none"/>
        </w:rPr>
        <w:t>3．定义</w:t>
      </w:r>
    </w:p>
    <w:p w14:paraId="707BD4D1">
      <w:pPr>
        <w:ind w:firstLine="480" w:firstLineChars="200"/>
        <w:rPr>
          <w:rFonts w:ascii="宋体" w:hAnsi="宋体"/>
          <w:color w:val="auto"/>
          <w:szCs w:val="21"/>
          <w:highlight w:val="none"/>
        </w:rPr>
      </w:pPr>
      <w:r>
        <w:rPr>
          <w:rFonts w:ascii="宋体" w:hAnsi="宋体"/>
          <w:color w:val="auto"/>
          <w:szCs w:val="21"/>
          <w:highlight w:val="none"/>
        </w:rPr>
        <w:t>招标文件中下列术语应解释为：</w:t>
      </w:r>
    </w:p>
    <w:p w14:paraId="63890F53">
      <w:pPr>
        <w:ind w:firstLine="470" w:firstLineChars="196"/>
        <w:rPr>
          <w:rFonts w:ascii="宋体" w:hAnsi="宋体"/>
          <w:color w:val="auto"/>
          <w:szCs w:val="21"/>
          <w:highlight w:val="none"/>
        </w:rPr>
      </w:pPr>
      <w:r>
        <w:rPr>
          <w:rFonts w:hint="eastAsia" w:ascii="宋体" w:hAnsi="宋体"/>
          <w:color w:val="auto"/>
          <w:szCs w:val="21"/>
          <w:highlight w:val="none"/>
        </w:rPr>
        <w:t>3.</w:t>
      </w:r>
      <w:r>
        <w:rPr>
          <w:rFonts w:ascii="宋体" w:hAnsi="宋体"/>
          <w:color w:val="auto"/>
          <w:szCs w:val="21"/>
          <w:highlight w:val="none"/>
        </w:rPr>
        <w:t>1</w:t>
      </w:r>
      <w:r>
        <w:rPr>
          <w:rFonts w:hint="eastAsia" w:ascii="宋体" w:hAnsi="宋体"/>
          <w:color w:val="auto"/>
          <w:szCs w:val="21"/>
          <w:highlight w:val="none"/>
        </w:rPr>
        <w:t>“采购人”：指利用财政性资金依法进行政府采购的国家机关、事业单位、团体组织；</w:t>
      </w:r>
    </w:p>
    <w:p w14:paraId="26C588BB">
      <w:pPr>
        <w:ind w:firstLine="470" w:firstLineChars="196"/>
        <w:rPr>
          <w:rFonts w:ascii="宋体" w:hAnsi="宋体"/>
          <w:color w:val="auto"/>
          <w:szCs w:val="21"/>
          <w:highlight w:val="none"/>
        </w:rPr>
      </w:pPr>
      <w:r>
        <w:rPr>
          <w:rFonts w:hint="eastAsia" w:ascii="宋体" w:hAnsi="宋体"/>
          <w:color w:val="auto"/>
          <w:szCs w:val="21"/>
          <w:highlight w:val="none"/>
        </w:rPr>
        <w:t>3.2 “</w:t>
      </w:r>
      <w:r>
        <w:rPr>
          <w:rFonts w:hint="eastAsia" w:ascii="宋体" w:hAnsi="宋体" w:eastAsia="宋体"/>
          <w:color w:val="auto"/>
          <w:szCs w:val="21"/>
          <w:highlight w:val="none"/>
        </w:rPr>
        <w:t>招标机构</w:t>
      </w:r>
      <w:r>
        <w:rPr>
          <w:rFonts w:hint="eastAsia" w:ascii="宋体" w:hAnsi="宋体"/>
          <w:color w:val="auto"/>
          <w:szCs w:val="21"/>
          <w:highlight w:val="none"/>
        </w:rPr>
        <w:t>”系指根据采购人的委托，代理政府采购事宜的机构，在此特指拥有采购代理资格的</w:t>
      </w:r>
      <w:r>
        <w:rPr>
          <w:rFonts w:hint="eastAsia" w:ascii="宋体" w:hAnsi="宋体"/>
          <w:b/>
          <w:bCs/>
          <w:color w:val="auto"/>
          <w:szCs w:val="21"/>
          <w:highlight w:val="none"/>
        </w:rPr>
        <w:t>友和保险经纪有限公司</w:t>
      </w:r>
      <w:r>
        <w:rPr>
          <w:rFonts w:hint="eastAsia" w:ascii="宋体" w:hAnsi="宋体"/>
          <w:color w:val="auto"/>
          <w:szCs w:val="21"/>
          <w:highlight w:val="none"/>
        </w:rPr>
        <w:t>；</w:t>
      </w:r>
    </w:p>
    <w:p w14:paraId="11D2CFD7">
      <w:pPr>
        <w:ind w:firstLine="470" w:firstLineChars="196"/>
        <w:rPr>
          <w:rFonts w:ascii="宋体" w:hAnsi="宋体"/>
          <w:color w:val="auto"/>
          <w:szCs w:val="21"/>
          <w:highlight w:val="none"/>
        </w:rPr>
      </w:pPr>
      <w:r>
        <w:rPr>
          <w:rFonts w:hint="eastAsia" w:ascii="宋体" w:hAnsi="宋体"/>
          <w:color w:val="auto"/>
          <w:szCs w:val="21"/>
          <w:highlight w:val="none"/>
        </w:rPr>
        <w:t>3.3“投标人”，即供应商，指参加投标竞争并愿意按照招标文件要求向采购人提供货物、工程或者服务的依法成立的法人、其他组织或者自然人；</w:t>
      </w:r>
    </w:p>
    <w:p w14:paraId="163E450E">
      <w:pPr>
        <w:ind w:firstLine="470" w:firstLineChars="196"/>
        <w:rPr>
          <w:rFonts w:ascii="宋体" w:hAnsi="宋体"/>
          <w:color w:val="auto"/>
          <w:szCs w:val="21"/>
          <w:highlight w:val="none"/>
        </w:rPr>
      </w:pPr>
      <w:r>
        <w:rPr>
          <w:rFonts w:hint="eastAsia" w:ascii="宋体" w:hAnsi="宋体"/>
          <w:color w:val="auto"/>
          <w:szCs w:val="21"/>
          <w:highlight w:val="none"/>
        </w:rPr>
        <w:t>3.4“评审委员会”是依据《深圳经济特区政府采购条例》、《深圳经济特区政府采购条例实施细则》等有关规定组建的专门负责本次招标其评审工作的临时性机构；</w:t>
      </w:r>
    </w:p>
    <w:p w14:paraId="6D5FD09F">
      <w:pPr>
        <w:ind w:firstLine="470" w:firstLineChars="196"/>
        <w:rPr>
          <w:rFonts w:ascii="宋体" w:hAnsi="宋体"/>
          <w:color w:val="auto"/>
          <w:szCs w:val="21"/>
          <w:highlight w:val="none"/>
        </w:rPr>
      </w:pPr>
      <w:r>
        <w:rPr>
          <w:rFonts w:hint="eastAsia" w:ascii="宋体" w:hAnsi="宋体"/>
          <w:color w:val="auto"/>
          <w:szCs w:val="21"/>
          <w:highlight w:val="none"/>
        </w:rPr>
        <w:t>3.5“日期”</w:t>
      </w:r>
      <w:r>
        <w:rPr>
          <w:rFonts w:ascii="宋体" w:hAnsi="宋体"/>
          <w:color w:val="auto"/>
          <w:szCs w:val="21"/>
          <w:highlight w:val="none"/>
        </w:rPr>
        <w:t>指</w:t>
      </w:r>
      <w:r>
        <w:rPr>
          <w:rFonts w:hint="eastAsia" w:ascii="宋体" w:hAnsi="宋体"/>
          <w:color w:val="auto"/>
          <w:szCs w:val="21"/>
          <w:highlight w:val="none"/>
        </w:rPr>
        <w:t>公历日；</w:t>
      </w:r>
    </w:p>
    <w:p w14:paraId="431FF748">
      <w:pPr>
        <w:ind w:firstLine="470" w:firstLineChars="196"/>
        <w:rPr>
          <w:rFonts w:ascii="宋体" w:hAnsi="宋体"/>
          <w:color w:val="auto"/>
          <w:szCs w:val="21"/>
          <w:highlight w:val="none"/>
        </w:rPr>
      </w:pPr>
      <w:r>
        <w:rPr>
          <w:rFonts w:hint="eastAsia" w:ascii="宋体" w:hAnsi="宋体"/>
          <w:color w:val="auto"/>
          <w:szCs w:val="21"/>
          <w:highlight w:val="none"/>
        </w:rPr>
        <w:t>3.6“合同”指由本次招标所产生的合同或合约文件；</w:t>
      </w:r>
    </w:p>
    <w:p w14:paraId="1FA2C85F">
      <w:pPr>
        <w:ind w:firstLine="470" w:firstLineChars="196"/>
        <w:rPr>
          <w:rFonts w:ascii="宋体" w:hAnsi="宋体"/>
          <w:color w:val="auto"/>
          <w:szCs w:val="21"/>
          <w:highlight w:val="none"/>
        </w:rPr>
      </w:pPr>
      <w:r>
        <w:rPr>
          <w:rFonts w:hint="eastAsia" w:ascii="宋体" w:hAnsi="宋体"/>
          <w:color w:val="auto"/>
          <w:szCs w:val="21"/>
          <w:highlight w:val="none"/>
        </w:rPr>
        <w:t>3.7“电子投标文件”指利用</w:t>
      </w:r>
      <w:r>
        <w:rPr>
          <w:rFonts w:hint="eastAsia" w:ascii="宋体" w:hAnsi="宋体"/>
          <w:b/>
          <w:bCs/>
          <w:color w:val="auto"/>
          <w:szCs w:val="21"/>
          <w:highlight w:val="none"/>
        </w:rPr>
        <w:t>深圳公共资源交易中心（深圳交易集团有限公司政府采购业务分公司）</w:t>
      </w:r>
      <w:r>
        <w:rPr>
          <w:rFonts w:hint="eastAsia" w:ascii="宋体" w:hAnsi="宋体"/>
          <w:color w:val="auto"/>
          <w:szCs w:val="21"/>
          <w:highlight w:val="none"/>
        </w:rPr>
        <w:t>网站提供的</w:t>
      </w:r>
      <w:r>
        <w:rPr>
          <w:rFonts w:hint="eastAsia" w:ascii="宋体" w:hAnsi="宋体"/>
          <w:color w:val="auto"/>
          <w:highlight w:val="none"/>
        </w:rPr>
        <w:t>深圳智慧采购平台投标文件制作专用软件（以下简称：投标文件制作软件）制作并</w:t>
      </w:r>
      <w:r>
        <w:rPr>
          <w:rFonts w:hint="eastAsia" w:ascii="宋体" w:hAnsi="宋体"/>
          <w:color w:val="auto"/>
          <w:szCs w:val="21"/>
          <w:highlight w:val="none"/>
        </w:rPr>
        <w:t>加密的投标文件,适用于网上投标；（投标文件制作软件可从</w:t>
      </w:r>
      <w:r>
        <w:rPr>
          <w:rFonts w:hint="eastAsia"/>
          <w:color w:val="auto"/>
          <w:highlight w:val="none"/>
        </w:rPr>
        <w:t>“</w:t>
      </w:r>
      <w:r>
        <w:rPr>
          <w:rFonts w:hint="eastAsia" w:ascii="宋体" w:hAnsi="宋体"/>
          <w:color w:val="auto"/>
          <w:highlight w:val="none"/>
        </w:rPr>
        <w:t>下载地址：http://zfcg.szggzy.com:8081/cgxy/013002/20210923/173e0b2c-7a4c-4246-a0c7-e0ea75d84dd6.html</w:t>
      </w:r>
      <w:r>
        <w:rPr>
          <w:rFonts w:hint="eastAsia"/>
          <w:color w:val="auto"/>
          <w:highlight w:val="none"/>
        </w:rPr>
        <w:t>”</w:t>
      </w:r>
      <w:r>
        <w:rPr>
          <w:rFonts w:hint="eastAsia" w:ascii="宋体" w:hAnsi="宋体"/>
          <w:color w:val="auto"/>
          <w:szCs w:val="21"/>
          <w:highlight w:val="none"/>
        </w:rPr>
        <w:t>下载）；</w:t>
      </w:r>
    </w:p>
    <w:p w14:paraId="5E371972">
      <w:pPr>
        <w:ind w:firstLine="470" w:firstLineChars="196"/>
        <w:rPr>
          <w:rFonts w:ascii="宋体" w:hAnsi="宋体"/>
          <w:color w:val="auto"/>
          <w:szCs w:val="21"/>
          <w:highlight w:val="none"/>
        </w:rPr>
      </w:pPr>
      <w:r>
        <w:rPr>
          <w:rFonts w:hint="eastAsia" w:ascii="宋体" w:hAnsi="宋体"/>
          <w:color w:val="auto"/>
          <w:szCs w:val="21"/>
          <w:highlight w:val="none"/>
        </w:rPr>
        <w:t>3.8“网上投标”指通过</w:t>
      </w:r>
      <w:r>
        <w:rPr>
          <w:rFonts w:hint="eastAsia" w:ascii="宋体" w:hAnsi="宋体"/>
          <w:b/>
          <w:bCs/>
          <w:color w:val="auto"/>
          <w:szCs w:val="21"/>
          <w:highlight w:val="none"/>
        </w:rPr>
        <w:t>深圳公共资源交易中心（深圳交易集团有限公司政府采购业务分公司）</w:t>
      </w:r>
      <w:r>
        <w:rPr>
          <w:rFonts w:hint="eastAsia" w:ascii="宋体" w:hAnsi="宋体"/>
          <w:color w:val="auto"/>
          <w:szCs w:val="21"/>
          <w:highlight w:val="none"/>
        </w:rPr>
        <w:t>网站上传电子投标文件；</w:t>
      </w:r>
    </w:p>
    <w:p w14:paraId="52CA99EB">
      <w:pPr>
        <w:ind w:firstLine="470" w:firstLineChars="196"/>
        <w:rPr>
          <w:rFonts w:ascii="宋体" w:hAnsi="宋体"/>
          <w:color w:val="auto"/>
          <w:szCs w:val="21"/>
          <w:highlight w:val="none"/>
        </w:rPr>
      </w:pPr>
      <w:r>
        <w:rPr>
          <w:rFonts w:hint="eastAsia" w:ascii="宋体" w:hAnsi="宋体"/>
          <w:color w:val="auto"/>
          <w:szCs w:val="21"/>
          <w:highlight w:val="none"/>
        </w:rPr>
        <w:t>3.9招标文件中的标题或题名仅起引导作用，而不应视为对招标文件内容的理解和解释。</w:t>
      </w:r>
    </w:p>
    <w:p w14:paraId="3C0FBA74">
      <w:pPr>
        <w:rPr>
          <w:rFonts w:ascii="黑体" w:hAnsi="宋体" w:eastAsia="黑体"/>
          <w:color w:val="auto"/>
          <w:highlight w:val="none"/>
        </w:rPr>
      </w:pPr>
      <w:r>
        <w:rPr>
          <w:rFonts w:hint="eastAsia" w:ascii="黑体" w:hAnsi="宋体" w:eastAsia="黑体"/>
          <w:color w:val="auto"/>
          <w:highlight w:val="none"/>
        </w:rPr>
        <w:t xml:space="preserve">4. </w:t>
      </w:r>
      <w:bookmarkStart w:id="46" w:name="_Hlk72398643"/>
      <w:r>
        <w:rPr>
          <w:rFonts w:hint="eastAsia" w:ascii="黑体" w:hAnsi="宋体" w:eastAsia="黑体"/>
          <w:color w:val="auto"/>
          <w:highlight w:val="none"/>
        </w:rPr>
        <w:t>政府采购供应商责任</w:t>
      </w:r>
    </w:p>
    <w:p w14:paraId="3348902C">
      <w:pPr>
        <w:ind w:firstLine="470" w:firstLineChars="196"/>
        <w:rPr>
          <w:rFonts w:ascii="宋体" w:hAnsi="宋体"/>
          <w:color w:val="auto"/>
          <w:szCs w:val="21"/>
          <w:highlight w:val="none"/>
        </w:rPr>
      </w:pPr>
      <w:r>
        <w:rPr>
          <w:rFonts w:hint="eastAsia" w:ascii="宋体" w:hAnsi="宋体"/>
          <w:color w:val="auto"/>
          <w:szCs w:val="21"/>
          <w:highlight w:val="none"/>
        </w:rPr>
        <w:t>4.1欢迎诚信、有实力和有社会责任心的供应商参与政府采购事业。</w:t>
      </w:r>
    </w:p>
    <w:p w14:paraId="18C668F9">
      <w:pPr>
        <w:ind w:firstLine="470" w:firstLineChars="196"/>
        <w:rPr>
          <w:rFonts w:ascii="宋体" w:hAnsi="宋体"/>
          <w:color w:val="auto"/>
          <w:szCs w:val="21"/>
          <w:highlight w:val="none"/>
        </w:rPr>
      </w:pPr>
      <w:r>
        <w:rPr>
          <w:rFonts w:hint="eastAsia" w:ascii="宋体" w:hAnsi="宋体"/>
          <w:color w:val="auto"/>
          <w:szCs w:val="21"/>
          <w:highlight w:val="none"/>
        </w:rPr>
        <w:t>4.2投标人应当遵循公平竞争的原则，不得恶意串通，不得妨碍其他投标人的竞争行为，不得损害采购人或者其他投标人的合法权益。如违反上述要求，经核实后，供应商的投标无效。</w:t>
      </w:r>
    </w:p>
    <w:p w14:paraId="386850E0">
      <w:pPr>
        <w:rPr>
          <w:rFonts w:ascii="黑体" w:hAnsi="宋体" w:eastAsia="黑体"/>
          <w:color w:val="auto"/>
          <w:highlight w:val="none"/>
        </w:rPr>
      </w:pPr>
      <w:r>
        <w:rPr>
          <w:rFonts w:hint="eastAsia" w:ascii="黑体" w:hAnsi="宋体" w:eastAsia="黑体"/>
          <w:color w:val="auto"/>
          <w:highlight w:val="none"/>
        </w:rPr>
        <w:t>5．投标人参加政府采购的条件</w:t>
      </w:r>
    </w:p>
    <w:p w14:paraId="3BC75BA1">
      <w:pPr>
        <w:ind w:firstLine="470" w:firstLineChars="196"/>
        <w:rPr>
          <w:rFonts w:ascii="宋体" w:hAnsi="宋体"/>
          <w:color w:val="auto"/>
          <w:szCs w:val="21"/>
          <w:highlight w:val="none"/>
        </w:rPr>
      </w:pPr>
      <w:r>
        <w:rPr>
          <w:rFonts w:hint="eastAsia" w:ascii="宋体" w:hAnsi="宋体"/>
          <w:color w:val="auto"/>
          <w:szCs w:val="21"/>
          <w:highlight w:val="none"/>
        </w:rPr>
        <w:t>5.1投标人应在投标前到</w:t>
      </w:r>
      <w:r>
        <w:rPr>
          <w:rFonts w:hint="eastAsia" w:ascii="宋体" w:hAnsi="宋体"/>
          <w:b/>
          <w:bCs/>
          <w:color w:val="auto"/>
          <w:szCs w:val="21"/>
          <w:highlight w:val="none"/>
        </w:rPr>
        <w:t>深圳公共资源交易中心（具体在深圳交易集团有限公司政府采购业务分公司进行办理）</w:t>
      </w:r>
      <w:r>
        <w:rPr>
          <w:rFonts w:hint="eastAsia" w:ascii="宋体" w:hAnsi="宋体"/>
          <w:color w:val="auto"/>
          <w:szCs w:val="21"/>
          <w:highlight w:val="none"/>
        </w:rPr>
        <w:t>进行注册并办理电子密钥。《</w:t>
      </w:r>
      <w:r>
        <w:rPr>
          <w:color w:val="auto"/>
          <w:highlight w:val="none"/>
        </w:rPr>
        <w:fldChar w:fldCharType="begin"/>
      </w:r>
      <w:r>
        <w:rPr>
          <w:color w:val="auto"/>
          <w:highlight w:val="none"/>
        </w:rPr>
        <w:instrText xml:space="preserve"> HYPERLINK "http://www.szzfcg.cn/viewer.do?id=2455258" \t "documentViewer2455258" </w:instrText>
      </w:r>
      <w:r>
        <w:rPr>
          <w:color w:val="auto"/>
          <w:highlight w:val="none"/>
        </w:rPr>
        <w:fldChar w:fldCharType="separate"/>
      </w:r>
      <w:r>
        <w:rPr>
          <w:rFonts w:ascii="宋体" w:hAnsi="宋体"/>
          <w:color w:val="auto"/>
          <w:szCs w:val="21"/>
          <w:highlight w:val="none"/>
        </w:rPr>
        <w:t>供应商注册及电子密钥新申请指引</w:t>
      </w:r>
      <w:r>
        <w:rPr>
          <w:rFonts w:ascii="宋体" w:hAnsi="宋体"/>
          <w:color w:val="auto"/>
          <w:szCs w:val="21"/>
          <w:highlight w:val="none"/>
        </w:rPr>
        <w:fldChar w:fldCharType="end"/>
      </w:r>
      <w:r>
        <w:rPr>
          <w:rFonts w:hint="eastAsia" w:ascii="宋体" w:hAnsi="宋体"/>
          <w:color w:val="auto"/>
          <w:szCs w:val="21"/>
          <w:highlight w:val="none"/>
        </w:rPr>
        <w:t>》详见http://zfcg.szggzy.com:8081/。</w:t>
      </w:r>
    </w:p>
    <w:p w14:paraId="6428F117">
      <w:pPr>
        <w:ind w:firstLine="470" w:firstLineChars="196"/>
        <w:rPr>
          <w:rFonts w:ascii="宋体" w:hAnsi="宋体"/>
          <w:color w:val="auto"/>
          <w:szCs w:val="21"/>
          <w:highlight w:val="none"/>
        </w:rPr>
      </w:pPr>
      <w:r>
        <w:rPr>
          <w:rFonts w:hint="eastAsia" w:ascii="宋体" w:hAnsi="宋体"/>
          <w:color w:val="auto"/>
          <w:szCs w:val="21"/>
          <w:highlight w:val="none"/>
        </w:rPr>
        <w:t>5.2投标人资格要求</w:t>
      </w:r>
    </w:p>
    <w:p w14:paraId="76D95DDF">
      <w:pPr>
        <w:ind w:firstLine="470" w:firstLineChars="196"/>
        <w:rPr>
          <w:rFonts w:ascii="宋体" w:hAnsi="宋体"/>
          <w:color w:val="auto"/>
          <w:szCs w:val="21"/>
          <w:highlight w:val="none"/>
        </w:rPr>
      </w:pPr>
      <w:r>
        <w:rPr>
          <w:rFonts w:hint="eastAsia" w:ascii="宋体" w:hAnsi="宋体"/>
          <w:color w:val="auto"/>
          <w:szCs w:val="21"/>
          <w:highlight w:val="none"/>
        </w:rPr>
        <w:t>参加本项目的投标人应具备的资格条件详见本项目招标公告中 “投标人资格要求”（即申请人的资格要求）的内容。</w:t>
      </w:r>
    </w:p>
    <w:p w14:paraId="2964571A">
      <w:pPr>
        <w:ind w:firstLine="470" w:firstLineChars="196"/>
        <w:rPr>
          <w:rFonts w:ascii="宋体" w:hAnsi="宋体"/>
          <w:color w:val="auto"/>
          <w:szCs w:val="21"/>
          <w:highlight w:val="none"/>
        </w:rPr>
      </w:pPr>
      <w:r>
        <w:rPr>
          <w:rFonts w:hint="eastAsia" w:ascii="宋体" w:hAnsi="宋体"/>
          <w:color w:val="auto"/>
          <w:szCs w:val="21"/>
          <w:highlight w:val="none"/>
        </w:rPr>
        <w:t>5.3联合体投标</w:t>
      </w:r>
    </w:p>
    <w:p w14:paraId="0B3294D4">
      <w:pPr>
        <w:ind w:firstLine="470" w:firstLineChars="196"/>
        <w:rPr>
          <w:rFonts w:ascii="宋体" w:hAnsi="宋体"/>
          <w:color w:val="auto"/>
          <w:szCs w:val="21"/>
          <w:highlight w:val="none"/>
        </w:rPr>
      </w:pPr>
      <w:r>
        <w:rPr>
          <w:rFonts w:hint="eastAsia" w:ascii="宋体" w:hAnsi="宋体"/>
          <w:color w:val="auto"/>
          <w:szCs w:val="21"/>
          <w:highlight w:val="none"/>
        </w:rPr>
        <w:t>5.3.1以下有关联合体投标的条款仅适用于允许投标人组成联合体投标的项目。</w:t>
      </w:r>
    </w:p>
    <w:p w14:paraId="17603BEB">
      <w:pPr>
        <w:ind w:firstLine="470" w:firstLineChars="196"/>
        <w:rPr>
          <w:rFonts w:ascii="宋体" w:hAnsi="宋体"/>
          <w:color w:val="auto"/>
          <w:szCs w:val="21"/>
          <w:highlight w:val="none"/>
        </w:rPr>
      </w:pPr>
      <w:r>
        <w:rPr>
          <w:rFonts w:hint="eastAsia" w:ascii="宋体" w:hAnsi="宋体"/>
          <w:color w:val="auto"/>
          <w:szCs w:val="21"/>
          <w:highlight w:val="none"/>
        </w:rPr>
        <w:t>5.3.2由两个或两个以上的自然人、法人或者其他组织可以组成一个联合体，以一个供应商的身份共同投标时，应符合以下原则：</w:t>
      </w:r>
    </w:p>
    <w:p w14:paraId="3029EB30">
      <w:pPr>
        <w:ind w:firstLine="480" w:firstLineChars="200"/>
        <w:rPr>
          <w:rFonts w:ascii="宋体" w:hAnsi="宋体"/>
          <w:color w:val="auto"/>
          <w:highlight w:val="none"/>
        </w:rPr>
      </w:pPr>
      <w:r>
        <w:rPr>
          <w:rFonts w:hint="eastAsia" w:ascii="宋体" w:hAnsi="宋体"/>
          <w:color w:val="auto"/>
          <w:highlight w:val="none"/>
        </w:rPr>
        <w:t>（1）投标联合体各方参加政府采购活动应当具备下列条件：</w:t>
      </w:r>
    </w:p>
    <w:p w14:paraId="350CFF86">
      <w:pPr>
        <w:ind w:left="480" w:leftChars="200" w:firstLine="470" w:firstLineChars="196"/>
        <w:rPr>
          <w:rFonts w:ascii="宋体" w:hAnsi="宋体"/>
          <w:color w:val="auto"/>
          <w:highlight w:val="none"/>
        </w:rPr>
      </w:pPr>
      <w:r>
        <w:rPr>
          <w:rFonts w:hint="eastAsia" w:ascii="宋体" w:hAnsi="宋体"/>
          <w:color w:val="auto"/>
          <w:highlight w:val="none"/>
        </w:rPr>
        <w:t>1、具有独立承担民事责任的能力；</w:t>
      </w:r>
    </w:p>
    <w:p w14:paraId="7518322E">
      <w:pPr>
        <w:ind w:left="480" w:leftChars="200" w:firstLine="470" w:firstLineChars="196"/>
        <w:rPr>
          <w:rFonts w:ascii="宋体" w:hAnsi="宋体"/>
          <w:color w:val="auto"/>
          <w:highlight w:val="none"/>
        </w:rPr>
      </w:pPr>
      <w:r>
        <w:rPr>
          <w:rFonts w:hint="eastAsia" w:ascii="宋体" w:hAnsi="宋体"/>
          <w:color w:val="auto"/>
          <w:highlight w:val="none"/>
        </w:rPr>
        <w:t>2、有良好的商业信誉和健全的财务会计制度；</w:t>
      </w:r>
    </w:p>
    <w:p w14:paraId="21087922">
      <w:pPr>
        <w:ind w:left="480" w:leftChars="200" w:firstLine="470" w:firstLineChars="196"/>
        <w:rPr>
          <w:rFonts w:ascii="宋体" w:hAnsi="宋体"/>
          <w:color w:val="auto"/>
          <w:highlight w:val="none"/>
        </w:rPr>
      </w:pPr>
      <w:r>
        <w:rPr>
          <w:rFonts w:hint="eastAsia" w:ascii="宋体" w:hAnsi="宋体"/>
          <w:color w:val="auto"/>
          <w:highlight w:val="none"/>
        </w:rPr>
        <w:t>3、具有履行合同所必需的设备和专业技术能力；</w:t>
      </w:r>
    </w:p>
    <w:p w14:paraId="5DE58BC4">
      <w:pPr>
        <w:ind w:left="480" w:leftChars="200" w:firstLine="470" w:firstLineChars="196"/>
        <w:rPr>
          <w:rFonts w:ascii="宋体" w:hAnsi="宋体"/>
          <w:color w:val="auto"/>
          <w:highlight w:val="none"/>
        </w:rPr>
      </w:pPr>
      <w:r>
        <w:rPr>
          <w:rFonts w:hint="eastAsia" w:ascii="宋体" w:hAnsi="宋体"/>
          <w:color w:val="auto"/>
          <w:highlight w:val="none"/>
        </w:rPr>
        <w:t>4、有依法缴纳税收和社会保障资金的良好记录；</w:t>
      </w:r>
    </w:p>
    <w:p w14:paraId="2CE5FFF5">
      <w:pPr>
        <w:ind w:left="480" w:leftChars="200" w:firstLine="470" w:firstLineChars="196"/>
        <w:rPr>
          <w:rFonts w:ascii="宋体" w:hAnsi="宋体"/>
          <w:color w:val="auto"/>
          <w:highlight w:val="none"/>
        </w:rPr>
      </w:pPr>
      <w:r>
        <w:rPr>
          <w:rFonts w:hint="eastAsia" w:ascii="宋体" w:hAnsi="宋体"/>
          <w:color w:val="auto"/>
          <w:highlight w:val="none"/>
        </w:rPr>
        <w:t>5、参加政府采购活动前三年内，在经营活动中没有重大违法记录；</w:t>
      </w:r>
    </w:p>
    <w:p w14:paraId="6D72F0A2">
      <w:pPr>
        <w:ind w:left="480" w:leftChars="200" w:firstLine="470" w:firstLineChars="196"/>
        <w:rPr>
          <w:rFonts w:ascii="宋体" w:hAnsi="宋体"/>
          <w:color w:val="auto"/>
          <w:highlight w:val="none"/>
        </w:rPr>
      </w:pPr>
      <w:r>
        <w:rPr>
          <w:rFonts w:hint="eastAsia" w:ascii="宋体" w:hAnsi="宋体"/>
          <w:color w:val="auto"/>
          <w:highlight w:val="none"/>
        </w:rPr>
        <w:t>6、法律、行政法规规定的其他条件。</w:t>
      </w:r>
    </w:p>
    <w:p w14:paraId="2DD5822D">
      <w:pPr>
        <w:ind w:firstLine="480" w:firstLineChars="200"/>
        <w:rPr>
          <w:rFonts w:ascii="宋体" w:hAnsi="宋体"/>
          <w:color w:val="auto"/>
          <w:highlight w:val="none"/>
        </w:rPr>
      </w:pPr>
      <w:r>
        <w:rPr>
          <w:rFonts w:hint="eastAsia" w:ascii="宋体" w:hAnsi="宋体"/>
          <w:color w:val="auto"/>
          <w:highlight w:val="none"/>
        </w:rPr>
        <w:t>（2）在投标截止前，投标联合体各方均应注册成</w:t>
      </w:r>
      <w:r>
        <w:rPr>
          <w:rFonts w:hint="eastAsia" w:ascii="宋体" w:hAnsi="宋体" w:eastAsia="宋体"/>
          <w:color w:val="auto"/>
          <w:highlight w:val="none"/>
          <w:lang w:eastAsia="zh-CN"/>
        </w:rPr>
        <w:t>政府采购</w:t>
      </w:r>
      <w:r>
        <w:rPr>
          <w:rFonts w:hint="eastAsia" w:ascii="宋体" w:hAnsi="宋体"/>
          <w:color w:val="auto"/>
          <w:highlight w:val="none"/>
        </w:rPr>
        <w:t>供应商；</w:t>
      </w:r>
    </w:p>
    <w:p w14:paraId="62DF5B61">
      <w:pPr>
        <w:ind w:firstLine="470" w:firstLineChars="196"/>
        <w:rPr>
          <w:rFonts w:ascii="宋体" w:hAnsi="宋体" w:eastAsia="宋体"/>
          <w:color w:val="auto"/>
          <w:highlight w:val="none"/>
        </w:rPr>
      </w:pPr>
      <w:r>
        <w:rPr>
          <w:rFonts w:hint="eastAsia" w:ascii="宋体" w:hAnsi="宋体" w:eastAsia="宋体"/>
          <w:color w:val="auto"/>
          <w:highlight w:val="none"/>
        </w:rPr>
        <w:t>（3）联合体中有同类资质的供应商按照联合体分工承担相同工作的，应当按照资质等级较低的供应商确定资质等级；</w:t>
      </w:r>
    </w:p>
    <w:p w14:paraId="5EF20CE9">
      <w:pPr>
        <w:ind w:firstLine="470" w:firstLineChars="196"/>
        <w:rPr>
          <w:rFonts w:ascii="宋体" w:hAnsi="宋体" w:eastAsia="宋体"/>
          <w:color w:val="auto"/>
          <w:highlight w:val="none"/>
        </w:rPr>
      </w:pPr>
      <w:r>
        <w:rPr>
          <w:rFonts w:hint="eastAsia" w:ascii="宋体" w:hAnsi="宋体" w:eastAsia="宋体"/>
          <w:color w:val="auto"/>
          <w:highlight w:val="none"/>
        </w:rPr>
        <w:t>（4）是否允许联合体参加投标，应当由采购人和采购代理机构根据项目的实际情况和潜在供应商的数量自主决定，如果决定接受联合体投标则应当在招标公告中明示；</w:t>
      </w:r>
    </w:p>
    <w:p w14:paraId="3FDB1809">
      <w:pPr>
        <w:ind w:firstLine="470" w:firstLineChars="196"/>
        <w:rPr>
          <w:rFonts w:ascii="宋体" w:hAnsi="宋体" w:eastAsia="宋体"/>
          <w:color w:val="auto"/>
          <w:highlight w:val="none"/>
        </w:rPr>
      </w:pPr>
      <w:r>
        <w:rPr>
          <w:rFonts w:hint="eastAsia" w:ascii="宋体" w:hAnsi="宋体" w:eastAsia="宋体"/>
          <w:color w:val="auto"/>
          <w:highlight w:val="none"/>
        </w:rPr>
        <w:t>（5）投标人的投标文件及中标后签署的合同协议对联合体各方均具法律约束力；</w:t>
      </w:r>
    </w:p>
    <w:p w14:paraId="559712EF">
      <w:pPr>
        <w:ind w:firstLine="470" w:firstLineChars="196"/>
        <w:rPr>
          <w:rFonts w:ascii="宋体" w:hAnsi="宋体"/>
          <w:color w:val="auto"/>
          <w:highlight w:val="none"/>
        </w:rPr>
      </w:pPr>
      <w:r>
        <w:rPr>
          <w:rFonts w:hint="eastAsia" w:ascii="宋体" w:hAnsi="宋体"/>
          <w:color w:val="auto"/>
          <w:highlight w:val="none"/>
        </w:rPr>
        <w:t>（6）联合体各方应当签订联合体投标协议，明确约定各方拟承担的工作和责任，并将该协议随投标文件一并递交给</w:t>
      </w:r>
      <w:r>
        <w:rPr>
          <w:rFonts w:hint="eastAsia" w:ascii="宋体" w:hAnsi="宋体" w:eastAsia="宋体"/>
          <w:color w:val="auto"/>
          <w:highlight w:val="none"/>
        </w:rPr>
        <w:t>招标机构</w:t>
      </w:r>
      <w:r>
        <w:rPr>
          <w:rFonts w:hint="eastAsia" w:ascii="宋体" w:hAnsi="宋体"/>
          <w:color w:val="auto"/>
          <w:highlight w:val="none"/>
        </w:rPr>
        <w:t>；</w:t>
      </w:r>
    </w:p>
    <w:p w14:paraId="07415177">
      <w:pPr>
        <w:ind w:firstLine="470" w:firstLineChars="196"/>
        <w:rPr>
          <w:rFonts w:ascii="宋体" w:hAnsi="宋体"/>
          <w:color w:val="auto"/>
          <w:highlight w:val="none"/>
        </w:rPr>
      </w:pPr>
      <w:r>
        <w:rPr>
          <w:rFonts w:hint="eastAsia" w:ascii="宋体" w:hAnsi="宋体"/>
          <w:color w:val="auto"/>
          <w:highlight w:val="none"/>
        </w:rPr>
        <w:t>（7）联合体中标后，联合体各方应当共同与采购人签订合同，就中标项目向采购人承担连带责任；</w:t>
      </w:r>
    </w:p>
    <w:p w14:paraId="72FBCD56">
      <w:pPr>
        <w:ind w:firstLine="470" w:firstLineChars="196"/>
        <w:rPr>
          <w:rFonts w:ascii="宋体" w:hAnsi="宋体"/>
          <w:color w:val="auto"/>
          <w:highlight w:val="none"/>
        </w:rPr>
      </w:pPr>
      <w:r>
        <w:rPr>
          <w:rFonts w:hint="eastAsia" w:ascii="宋体" w:hAnsi="宋体"/>
          <w:color w:val="auto"/>
          <w:highlight w:val="none"/>
        </w:rPr>
        <w:t>（8）以联合体形式参加政府采购活动的，联合体各方不得再单独参加或者与其他供应商另外组成联合体参加同一合同项下的政府采购活动，出现上述情况者，其投标和与此有关联合体、总包单位的投标将被拒绝；</w:t>
      </w:r>
    </w:p>
    <w:p w14:paraId="6F67D5F3">
      <w:pPr>
        <w:ind w:firstLine="470" w:firstLineChars="196"/>
        <w:rPr>
          <w:rFonts w:ascii="宋体" w:hAnsi="宋体"/>
          <w:color w:val="auto"/>
          <w:szCs w:val="21"/>
          <w:highlight w:val="none"/>
        </w:rPr>
      </w:pPr>
      <w:r>
        <w:rPr>
          <w:rFonts w:hint="eastAsia" w:ascii="宋体" w:hAnsi="宋体"/>
          <w:color w:val="auto"/>
          <w:highlight w:val="none"/>
        </w:rPr>
        <w:t>（9）本通用条款中“投标人”一词亦指联合体各方，专用条款另有规定或说明的除外。</w:t>
      </w:r>
    </w:p>
    <w:p w14:paraId="0945C553">
      <w:pPr>
        <w:rPr>
          <w:rFonts w:ascii="黑体" w:hAnsi="宋体" w:eastAsia="黑体"/>
          <w:color w:val="auto"/>
          <w:highlight w:val="none"/>
        </w:rPr>
      </w:pPr>
      <w:r>
        <w:rPr>
          <w:rFonts w:hint="eastAsia" w:ascii="黑体" w:hAnsi="宋体" w:eastAsia="黑体"/>
          <w:color w:val="auto"/>
          <w:highlight w:val="none"/>
        </w:rPr>
        <w:t>6．政策导向</w:t>
      </w:r>
    </w:p>
    <w:p w14:paraId="6FD9256F">
      <w:pPr>
        <w:ind w:firstLine="470" w:firstLineChars="196"/>
        <w:rPr>
          <w:rFonts w:ascii="宋体" w:hAnsi="宋体"/>
          <w:color w:val="auto"/>
          <w:highlight w:val="none"/>
        </w:rPr>
      </w:pPr>
      <w:r>
        <w:rPr>
          <w:rFonts w:hint="eastAsia" w:ascii="宋体" w:hAnsi="宋体"/>
          <w:color w:val="auto"/>
          <w:highlight w:val="none"/>
        </w:rPr>
        <w:t>6.1政府采购扶持贫困地区、中小企业、监狱企业和残疾人福利性单位发展，支持节能减排、环境保护。</w:t>
      </w:r>
    </w:p>
    <w:p w14:paraId="18A37C77">
      <w:pPr>
        <w:ind w:firstLine="405"/>
        <w:rPr>
          <w:color w:val="auto"/>
          <w:highlight w:val="none"/>
          <w:shd w:val="clear" w:color="auto" w:fill="FFFFFF"/>
        </w:rPr>
      </w:pPr>
      <w:r>
        <w:rPr>
          <w:rFonts w:hint="eastAsia" w:ascii="宋体" w:hAnsi="宋体"/>
          <w:color w:val="auto"/>
          <w:highlight w:val="none"/>
        </w:rPr>
        <w:t>6.2本项目落实深圳市政府采购供应商诚信管理政策要求。</w:t>
      </w:r>
    </w:p>
    <w:p w14:paraId="566953B9">
      <w:pPr>
        <w:rPr>
          <w:rFonts w:ascii="黑体" w:hAnsi="宋体" w:eastAsia="黑体"/>
          <w:color w:val="auto"/>
          <w:highlight w:val="none"/>
        </w:rPr>
      </w:pPr>
      <w:r>
        <w:rPr>
          <w:rFonts w:hint="eastAsia" w:ascii="黑体" w:hAnsi="宋体" w:eastAsia="黑体"/>
          <w:color w:val="auto"/>
          <w:highlight w:val="none"/>
        </w:rPr>
        <w:t>7. 本项目若涉及采购货物，则合格的货物及相应服务应满足以下要求：</w:t>
      </w:r>
    </w:p>
    <w:p w14:paraId="0D4DE617">
      <w:pPr>
        <w:ind w:firstLine="470" w:firstLineChars="196"/>
        <w:rPr>
          <w:rFonts w:ascii="宋体" w:hAnsi="宋体"/>
          <w:color w:val="auto"/>
          <w:highlight w:val="none"/>
        </w:rPr>
      </w:pPr>
      <w:r>
        <w:rPr>
          <w:rFonts w:hint="eastAsia" w:ascii="宋体" w:hAnsi="宋体"/>
          <w:color w:val="auto"/>
          <w:highlight w:val="none"/>
        </w:rPr>
        <w:t>7</w:t>
      </w:r>
      <w:r>
        <w:rPr>
          <w:rFonts w:ascii="宋体" w:hAnsi="宋体"/>
          <w:color w:val="auto"/>
          <w:highlight w:val="none"/>
        </w:rPr>
        <w:t>.1</w:t>
      </w:r>
      <w:r>
        <w:rPr>
          <w:rFonts w:hint="eastAsia" w:ascii="宋体" w:hAnsi="宋体"/>
          <w:color w:val="auto"/>
          <w:highlight w:val="none"/>
        </w:rPr>
        <w:t>必须是全新、未使用过的原装合格正品（包括零部件），如安装或配置了软件的，须为正版软件。</w:t>
      </w:r>
    </w:p>
    <w:p w14:paraId="31935D19">
      <w:pPr>
        <w:ind w:firstLine="470" w:firstLineChars="196"/>
        <w:rPr>
          <w:rFonts w:ascii="宋体" w:hAnsi="宋体"/>
          <w:color w:val="auto"/>
          <w:highlight w:val="none"/>
        </w:rPr>
      </w:pPr>
      <w:r>
        <w:rPr>
          <w:rFonts w:hint="eastAsia" w:ascii="宋体" w:hAnsi="宋体"/>
          <w:color w:val="auto"/>
          <w:highlight w:val="none"/>
        </w:rPr>
        <w:t>7.2国产的货物及其有关服务必须符合中华人民共和国的设计、制造生产标准及行业标准。招标公告有其他要求的，亦应符合其要求。</w:t>
      </w:r>
    </w:p>
    <w:p w14:paraId="5B1CBB26">
      <w:pPr>
        <w:ind w:firstLine="470" w:firstLineChars="196"/>
        <w:rPr>
          <w:rFonts w:ascii="宋体" w:hAnsi="宋体"/>
          <w:color w:val="auto"/>
          <w:highlight w:val="none"/>
        </w:rPr>
      </w:pPr>
      <w:r>
        <w:rPr>
          <w:rFonts w:hint="eastAsia" w:ascii="宋体" w:hAnsi="宋体"/>
          <w:color w:val="auto"/>
          <w:highlight w:val="none"/>
        </w:rPr>
        <w:t>7</w:t>
      </w:r>
      <w:r>
        <w:rPr>
          <w:rFonts w:ascii="宋体" w:hAnsi="宋体"/>
          <w:color w:val="auto"/>
          <w:highlight w:val="none"/>
        </w:rPr>
        <w:t>.</w:t>
      </w:r>
      <w:r>
        <w:rPr>
          <w:rFonts w:hint="eastAsia" w:ascii="宋体" w:hAnsi="宋体"/>
          <w:color w:val="auto"/>
          <w:highlight w:val="none"/>
        </w:rPr>
        <w:t>3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14:paraId="75B33DF7">
      <w:pPr>
        <w:ind w:firstLine="470" w:firstLineChars="196"/>
        <w:rPr>
          <w:rFonts w:ascii="宋体" w:hAnsi="宋体"/>
          <w:color w:val="auto"/>
          <w:highlight w:val="none"/>
        </w:rPr>
      </w:pPr>
      <w:r>
        <w:rPr>
          <w:rFonts w:hint="eastAsia" w:ascii="宋体" w:hAnsi="宋体"/>
          <w:color w:val="auto"/>
          <w:highlight w:val="none"/>
        </w:rPr>
        <w:t>7</w:t>
      </w:r>
      <w:r>
        <w:rPr>
          <w:rFonts w:ascii="宋体" w:hAnsi="宋体"/>
          <w:color w:val="auto"/>
          <w:highlight w:val="none"/>
        </w:rPr>
        <w:t>.</w:t>
      </w:r>
      <w:r>
        <w:rPr>
          <w:rFonts w:hint="eastAsia" w:ascii="宋体" w:hAnsi="宋体"/>
          <w:color w:val="auto"/>
          <w:highlight w:val="none"/>
        </w:rPr>
        <w:t>4投标人</w:t>
      </w:r>
      <w:bookmarkStart w:id="47" w:name="_Hlk72152753"/>
      <w:r>
        <w:rPr>
          <w:rFonts w:hint="eastAsia" w:ascii="宋体" w:hAnsi="宋体"/>
          <w:color w:val="auto"/>
          <w:highlight w:val="none"/>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47"/>
    </w:p>
    <w:p w14:paraId="40B25630">
      <w:pPr>
        <w:ind w:firstLine="470" w:firstLineChars="196"/>
        <w:rPr>
          <w:rFonts w:ascii="宋体" w:hAnsi="宋体"/>
          <w:color w:val="auto"/>
          <w:highlight w:val="none"/>
        </w:rPr>
      </w:pPr>
      <w:r>
        <w:rPr>
          <w:rFonts w:hint="eastAsia" w:ascii="宋体" w:hAnsi="宋体"/>
          <w:color w:val="auto"/>
          <w:highlight w:val="none"/>
        </w:rPr>
        <w:t>7.5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14:paraId="467E30CC">
      <w:pPr>
        <w:ind w:firstLine="470" w:firstLineChars="196"/>
        <w:rPr>
          <w:rFonts w:ascii="宋体" w:hAnsi="宋体"/>
          <w:color w:val="auto"/>
          <w:highlight w:val="none"/>
        </w:rPr>
      </w:pPr>
      <w:r>
        <w:rPr>
          <w:rFonts w:hint="eastAsia" w:ascii="宋体" w:hAnsi="宋体"/>
          <w:color w:val="auto"/>
          <w:highlight w:val="none"/>
        </w:rPr>
        <w:t>7.6工期要求：投标人在投标时对其所投项目应提交交货进度、交货计划等，在合同规定的时间内完成项目实施工作。</w:t>
      </w:r>
    </w:p>
    <w:p w14:paraId="579203B2">
      <w:pPr>
        <w:ind w:firstLine="470" w:firstLineChars="196"/>
        <w:rPr>
          <w:rFonts w:ascii="宋体" w:hAnsi="宋体"/>
          <w:color w:val="auto"/>
          <w:highlight w:val="none"/>
        </w:rPr>
      </w:pPr>
      <w:r>
        <w:rPr>
          <w:rFonts w:hint="eastAsia" w:ascii="宋体" w:hAnsi="宋体"/>
          <w:color w:val="auto"/>
          <w:highlight w:val="none"/>
        </w:rPr>
        <w:t>7.7投标人必须承担的设备运输、安装调试、验收检测和提供设备操作说明书、图纸等其他相关及类似的义务。</w:t>
      </w:r>
    </w:p>
    <w:p w14:paraId="0F149332">
      <w:pPr>
        <w:rPr>
          <w:rFonts w:ascii="黑体" w:hAnsi="宋体" w:eastAsia="黑体"/>
          <w:color w:val="auto"/>
          <w:highlight w:val="none"/>
        </w:rPr>
      </w:pPr>
      <w:r>
        <w:rPr>
          <w:rFonts w:hint="eastAsia" w:ascii="黑体" w:hAnsi="宋体" w:eastAsia="黑体"/>
          <w:color w:val="auto"/>
          <w:highlight w:val="none"/>
        </w:rPr>
        <w:t>8．投标费用</w:t>
      </w:r>
    </w:p>
    <w:p w14:paraId="003B6078">
      <w:pPr>
        <w:ind w:firstLine="470" w:firstLineChars="196"/>
        <w:rPr>
          <w:rFonts w:ascii="宋体" w:hAnsi="宋体"/>
          <w:color w:val="auto"/>
          <w:szCs w:val="21"/>
          <w:highlight w:val="none"/>
        </w:rPr>
      </w:pPr>
      <w:r>
        <w:rPr>
          <w:rFonts w:hint="eastAsia" w:ascii="宋体" w:hAnsi="宋体"/>
          <w:color w:val="auto"/>
          <w:szCs w:val="21"/>
          <w:highlight w:val="none"/>
        </w:rPr>
        <w:t>不论投标结果如何，投标人应承担其编制投标文件与递交投标文件所涉及的一切费用。</w:t>
      </w:r>
    </w:p>
    <w:p w14:paraId="34E42AA5">
      <w:pPr>
        <w:rPr>
          <w:rFonts w:ascii="黑体" w:hAnsi="宋体" w:eastAsia="黑体"/>
          <w:color w:val="auto"/>
          <w:highlight w:val="none"/>
        </w:rPr>
      </w:pPr>
      <w:r>
        <w:rPr>
          <w:rFonts w:hint="eastAsia" w:ascii="黑体" w:hAnsi="宋体" w:eastAsia="黑体"/>
          <w:color w:val="auto"/>
          <w:highlight w:val="none"/>
        </w:rPr>
        <w:t>9．踏勘现场</w:t>
      </w:r>
    </w:p>
    <w:p w14:paraId="4CBDAC95">
      <w:pPr>
        <w:ind w:firstLine="470" w:firstLineChars="196"/>
        <w:rPr>
          <w:rFonts w:ascii="宋体" w:hAnsi="宋体"/>
          <w:color w:val="auto"/>
          <w:szCs w:val="21"/>
          <w:highlight w:val="none"/>
        </w:rPr>
      </w:pPr>
      <w:r>
        <w:rPr>
          <w:rFonts w:hint="eastAsia" w:ascii="宋体" w:hAnsi="宋体"/>
          <w:color w:val="auto"/>
          <w:szCs w:val="21"/>
          <w:highlight w:val="none"/>
        </w:rPr>
        <w:t>9.1如有需要（详见专用条款），采购人或</w:t>
      </w:r>
      <w:r>
        <w:rPr>
          <w:rFonts w:hint="eastAsia" w:ascii="宋体" w:hAnsi="宋体" w:eastAsia="宋体"/>
          <w:color w:val="auto"/>
          <w:szCs w:val="21"/>
          <w:highlight w:val="none"/>
        </w:rPr>
        <w:t>招标机构</w:t>
      </w:r>
      <w:r>
        <w:rPr>
          <w:rFonts w:hint="eastAsia" w:ascii="宋体" w:hAnsi="宋体"/>
          <w:color w:val="auto"/>
          <w:szCs w:val="21"/>
          <w:highlight w:val="none"/>
        </w:rPr>
        <w:t>将组织投标人对项目现场及周围环境进行踏勘，以便投标人获取有关编制投标文件和签署合同所需的资料。踏勘现场所发生的费用由投标人自行承担。投标人应按招标文件所约定的时间、地点踏勘现场。</w:t>
      </w:r>
    </w:p>
    <w:p w14:paraId="79D90124">
      <w:pPr>
        <w:ind w:firstLine="470" w:firstLineChars="196"/>
        <w:rPr>
          <w:rFonts w:ascii="宋体" w:hAnsi="宋体"/>
          <w:color w:val="auto"/>
          <w:highlight w:val="none"/>
        </w:rPr>
      </w:pPr>
      <w:r>
        <w:rPr>
          <w:rFonts w:hint="eastAsia" w:ascii="宋体" w:hAnsi="宋体"/>
          <w:color w:val="auto"/>
          <w:highlight w:val="none"/>
        </w:rPr>
        <w:t>9.2投标人及其人员经过采购人的允许，可以进入采购人的项目现场踏勘。若招标文件要求投标人于统一时间地点踏勘现场的，投标人应当按时前往。</w:t>
      </w:r>
    </w:p>
    <w:p w14:paraId="779768BB">
      <w:pPr>
        <w:ind w:firstLine="470" w:firstLineChars="196"/>
        <w:rPr>
          <w:rFonts w:ascii="宋体" w:hAnsi="宋体"/>
          <w:color w:val="auto"/>
          <w:highlight w:val="none"/>
        </w:rPr>
      </w:pPr>
      <w:r>
        <w:rPr>
          <w:rFonts w:hint="eastAsia" w:ascii="宋体" w:hAnsi="宋体"/>
          <w:color w:val="auto"/>
          <w:highlight w:val="none"/>
        </w:rPr>
        <w:t>9.3采购人应当通过</w:t>
      </w:r>
      <w:r>
        <w:rPr>
          <w:rFonts w:hint="eastAsia" w:ascii="宋体" w:hAnsi="宋体" w:eastAsia="宋体"/>
          <w:color w:val="auto"/>
          <w:highlight w:val="none"/>
        </w:rPr>
        <w:t>招标机构</w:t>
      </w:r>
      <w:r>
        <w:rPr>
          <w:rFonts w:hint="eastAsia" w:ascii="宋体" w:hAnsi="宋体"/>
          <w:color w:val="auto"/>
          <w:highlight w:val="none"/>
        </w:rPr>
        <w:t>向投标人提供有关现场的书面资料和数据。</w:t>
      </w:r>
    </w:p>
    <w:p w14:paraId="69A41BBF">
      <w:pPr>
        <w:ind w:firstLine="470" w:firstLineChars="196"/>
        <w:rPr>
          <w:rFonts w:ascii="宋体" w:hAnsi="宋体"/>
          <w:color w:val="auto"/>
          <w:highlight w:val="none"/>
        </w:rPr>
      </w:pPr>
      <w:r>
        <w:rPr>
          <w:rFonts w:hint="eastAsia" w:ascii="宋体" w:hAnsi="宋体"/>
          <w:color w:val="auto"/>
          <w:highlight w:val="none"/>
        </w:rPr>
        <w:t>9.4任何人或任何组织在踏勘现场时向投标人提供的任何书面资料或口头承诺，未经</w:t>
      </w:r>
      <w:r>
        <w:rPr>
          <w:rFonts w:hint="eastAsia" w:ascii="宋体" w:hAnsi="宋体" w:eastAsia="宋体"/>
          <w:color w:val="auto"/>
          <w:highlight w:val="none"/>
        </w:rPr>
        <w:t>招标机构</w:t>
      </w:r>
      <w:r>
        <w:rPr>
          <w:rFonts w:hint="eastAsia" w:ascii="宋体" w:hAnsi="宋体"/>
          <w:color w:val="auto"/>
          <w:highlight w:val="none"/>
        </w:rPr>
        <w:t>在网上发布或书面通知，均作无效处理。</w:t>
      </w:r>
    </w:p>
    <w:p w14:paraId="18F2D631">
      <w:pPr>
        <w:ind w:firstLine="470" w:firstLineChars="196"/>
        <w:rPr>
          <w:rFonts w:ascii="宋体" w:hAnsi="宋体"/>
          <w:color w:val="auto"/>
          <w:highlight w:val="none"/>
        </w:rPr>
      </w:pPr>
      <w:r>
        <w:rPr>
          <w:rFonts w:ascii="宋体" w:hAnsi="宋体"/>
          <w:color w:val="auto"/>
          <w:szCs w:val="21"/>
          <w:highlight w:val="none"/>
        </w:rPr>
        <w:t>9</w:t>
      </w:r>
      <w:r>
        <w:rPr>
          <w:rFonts w:hint="eastAsia" w:ascii="宋体" w:hAnsi="宋体"/>
          <w:color w:val="auto"/>
          <w:szCs w:val="21"/>
          <w:highlight w:val="none"/>
        </w:rPr>
        <w:t>.</w:t>
      </w:r>
      <w:r>
        <w:rPr>
          <w:rFonts w:ascii="宋体" w:hAnsi="宋体"/>
          <w:color w:val="auto"/>
          <w:szCs w:val="21"/>
          <w:highlight w:val="none"/>
        </w:rPr>
        <w:t>5</w:t>
      </w:r>
      <w:r>
        <w:rPr>
          <w:rFonts w:hint="eastAsia" w:ascii="宋体" w:hAnsi="宋体"/>
          <w:color w:val="auto"/>
          <w:szCs w:val="21"/>
          <w:highlight w:val="none"/>
        </w:rPr>
        <w:t>未参与踏勘现场不作为否定投标人资格的理由。</w:t>
      </w:r>
    </w:p>
    <w:p w14:paraId="4100BE35">
      <w:pPr>
        <w:rPr>
          <w:rFonts w:ascii="宋体" w:hAnsi="宋体"/>
          <w:color w:val="auto"/>
          <w:szCs w:val="21"/>
          <w:highlight w:val="none"/>
        </w:rPr>
      </w:pPr>
      <w:r>
        <w:rPr>
          <w:rFonts w:hint="eastAsia" w:ascii="黑体" w:hAnsi="宋体" w:eastAsia="黑体"/>
          <w:color w:val="auto"/>
          <w:highlight w:val="none"/>
        </w:rPr>
        <w:t>1</w:t>
      </w:r>
      <w:r>
        <w:rPr>
          <w:rFonts w:ascii="黑体" w:hAnsi="宋体" w:eastAsia="黑体"/>
          <w:color w:val="auto"/>
          <w:highlight w:val="none"/>
        </w:rPr>
        <w:t>0</w:t>
      </w:r>
      <w:r>
        <w:rPr>
          <w:rFonts w:hint="eastAsia" w:ascii="黑体" w:hAnsi="宋体" w:eastAsia="黑体"/>
          <w:color w:val="auto"/>
          <w:highlight w:val="none"/>
        </w:rPr>
        <w:t>．标前会议</w:t>
      </w:r>
    </w:p>
    <w:p w14:paraId="0D9AC80C">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0</w:t>
      </w:r>
      <w:r>
        <w:rPr>
          <w:rFonts w:hint="eastAsia" w:ascii="宋体" w:hAnsi="宋体"/>
          <w:color w:val="auto"/>
          <w:szCs w:val="21"/>
          <w:highlight w:val="none"/>
        </w:rPr>
        <w:t>.</w:t>
      </w:r>
      <w:r>
        <w:rPr>
          <w:rFonts w:ascii="宋体" w:hAnsi="宋体"/>
          <w:color w:val="auto"/>
          <w:szCs w:val="21"/>
          <w:highlight w:val="none"/>
        </w:rPr>
        <w:t>1</w:t>
      </w:r>
      <w:r>
        <w:rPr>
          <w:rFonts w:hint="eastAsia" w:ascii="宋体" w:hAnsi="宋体"/>
          <w:color w:val="auto"/>
          <w:szCs w:val="21"/>
          <w:highlight w:val="none"/>
        </w:rPr>
        <w:t>如采购人或</w:t>
      </w:r>
      <w:r>
        <w:rPr>
          <w:rFonts w:hint="eastAsia" w:ascii="宋体" w:hAnsi="宋体" w:eastAsia="宋体"/>
          <w:color w:val="auto"/>
          <w:szCs w:val="21"/>
          <w:highlight w:val="none"/>
        </w:rPr>
        <w:t>招标机构</w:t>
      </w:r>
      <w:r>
        <w:rPr>
          <w:rFonts w:hint="eastAsia" w:ascii="宋体" w:hAnsi="宋体"/>
          <w:color w:val="auto"/>
          <w:szCs w:val="21"/>
          <w:highlight w:val="none"/>
        </w:rPr>
        <w:t>认为有必要组织标前会议，投标人应按照招标文件规定的时间或</w:t>
      </w:r>
      <w:r>
        <w:rPr>
          <w:rFonts w:hint="eastAsia" w:ascii="宋体" w:hAnsi="宋体" w:eastAsia="宋体"/>
          <w:color w:val="auto"/>
          <w:szCs w:val="21"/>
          <w:highlight w:val="none"/>
        </w:rPr>
        <w:t>招标机构</w:t>
      </w:r>
      <w:r>
        <w:rPr>
          <w:rFonts w:hint="eastAsia" w:ascii="宋体" w:hAnsi="宋体"/>
          <w:color w:val="auto"/>
          <w:szCs w:val="21"/>
          <w:highlight w:val="none"/>
        </w:rPr>
        <w:t>另行书面通知（包括</w:t>
      </w:r>
      <w:r>
        <w:rPr>
          <w:rFonts w:hint="eastAsia" w:ascii="宋体" w:hAnsi="宋体" w:eastAsia="宋体"/>
          <w:color w:val="auto"/>
          <w:szCs w:val="21"/>
          <w:highlight w:val="none"/>
        </w:rPr>
        <w:t>招标机构</w:t>
      </w:r>
      <w:r>
        <w:rPr>
          <w:rFonts w:hint="eastAsia" w:ascii="宋体" w:hAnsi="宋体"/>
          <w:color w:val="auto"/>
          <w:szCs w:val="21"/>
          <w:highlight w:val="none"/>
        </w:rPr>
        <w:t>网站发布方式，如更正公告等）的时间和地点，参与标前会议。</w:t>
      </w:r>
    </w:p>
    <w:p w14:paraId="446920E7">
      <w:pPr>
        <w:ind w:firstLine="470" w:firstLineChars="196"/>
        <w:rPr>
          <w:rFonts w:ascii="宋体" w:hAnsi="宋体"/>
          <w:color w:val="auto"/>
          <w:szCs w:val="21"/>
          <w:highlight w:val="none"/>
        </w:rPr>
      </w:pPr>
      <w:r>
        <w:rPr>
          <w:rFonts w:ascii="宋体" w:hAnsi="宋体"/>
          <w:color w:val="auto"/>
          <w:highlight w:val="none"/>
        </w:rPr>
        <w:t>10</w:t>
      </w:r>
      <w:r>
        <w:rPr>
          <w:rFonts w:hint="eastAsia" w:ascii="宋体" w:hAnsi="宋体"/>
          <w:color w:val="auto"/>
          <w:highlight w:val="none"/>
        </w:rPr>
        <w:t>.</w:t>
      </w:r>
      <w:r>
        <w:rPr>
          <w:rFonts w:ascii="宋体" w:hAnsi="宋体"/>
          <w:color w:val="auto"/>
          <w:highlight w:val="none"/>
        </w:rPr>
        <w:t>2</w:t>
      </w:r>
      <w:r>
        <w:rPr>
          <w:rFonts w:hint="eastAsia" w:ascii="宋体" w:hAnsi="宋体"/>
          <w:color w:val="auto"/>
          <w:highlight w:val="none"/>
        </w:rPr>
        <w:t>任何人或任何组织在标前会议时向投标人提供的任何书面资料或口头承诺，未经</w:t>
      </w:r>
      <w:r>
        <w:rPr>
          <w:rFonts w:hint="eastAsia" w:ascii="宋体" w:hAnsi="宋体" w:eastAsia="宋体"/>
          <w:color w:val="auto"/>
          <w:highlight w:val="none"/>
        </w:rPr>
        <w:t>招标机构</w:t>
      </w:r>
      <w:r>
        <w:rPr>
          <w:rFonts w:hint="eastAsia" w:ascii="宋体" w:hAnsi="宋体"/>
          <w:color w:val="auto"/>
          <w:highlight w:val="none"/>
        </w:rPr>
        <w:t>在网上发布或书面通知，均作无效处理。</w:t>
      </w:r>
    </w:p>
    <w:p w14:paraId="2514D5B8">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0</w:t>
      </w:r>
      <w:r>
        <w:rPr>
          <w:rFonts w:hint="eastAsia" w:ascii="宋体" w:hAnsi="宋体"/>
          <w:color w:val="auto"/>
          <w:szCs w:val="21"/>
          <w:highlight w:val="none"/>
        </w:rPr>
        <w:t>.</w:t>
      </w:r>
      <w:r>
        <w:rPr>
          <w:rFonts w:ascii="宋体" w:hAnsi="宋体"/>
          <w:color w:val="auto"/>
          <w:szCs w:val="21"/>
          <w:highlight w:val="none"/>
        </w:rPr>
        <w:t>3</w:t>
      </w:r>
      <w:r>
        <w:rPr>
          <w:rFonts w:hint="eastAsia" w:ascii="宋体" w:hAnsi="宋体"/>
          <w:color w:val="auto"/>
          <w:szCs w:val="21"/>
          <w:highlight w:val="none"/>
        </w:rPr>
        <w:t>未参与标前会议不作为否定投标人资格的理由。</w:t>
      </w:r>
    </w:p>
    <w:p w14:paraId="4427E3D1">
      <w:pPr>
        <w:pStyle w:val="6"/>
        <w:rPr>
          <w:color w:val="auto"/>
          <w:highlight w:val="none"/>
        </w:rPr>
      </w:pPr>
    </w:p>
    <w:p w14:paraId="24A2E8A5">
      <w:pPr>
        <w:rPr>
          <w:color w:val="auto"/>
          <w:highlight w:val="none"/>
        </w:rPr>
      </w:pPr>
    </w:p>
    <w:bookmarkEnd w:id="46"/>
    <w:p w14:paraId="0FB5836A">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招标文件</w:t>
      </w:r>
    </w:p>
    <w:p w14:paraId="68F9D9A6">
      <w:pPr>
        <w:rPr>
          <w:rFonts w:ascii="黑体" w:hAnsi="宋体" w:eastAsia="黑体"/>
          <w:color w:val="auto"/>
          <w:highlight w:val="none"/>
        </w:rPr>
      </w:pPr>
      <w:r>
        <w:rPr>
          <w:rFonts w:hint="eastAsia" w:ascii="黑体" w:hAnsi="宋体" w:eastAsia="黑体"/>
          <w:color w:val="auto"/>
          <w:highlight w:val="none"/>
        </w:rPr>
        <w:t>1</w:t>
      </w:r>
      <w:r>
        <w:rPr>
          <w:rFonts w:ascii="黑体" w:hAnsi="宋体" w:eastAsia="黑体"/>
          <w:color w:val="auto"/>
          <w:highlight w:val="none"/>
        </w:rPr>
        <w:t>1</w:t>
      </w:r>
      <w:r>
        <w:rPr>
          <w:rFonts w:hint="eastAsia" w:ascii="黑体" w:hAnsi="宋体" w:eastAsia="黑体"/>
          <w:color w:val="auto"/>
          <w:highlight w:val="none"/>
        </w:rPr>
        <w:t>．</w:t>
      </w:r>
      <w:bookmarkStart w:id="48" w:name="_Hlk72399819"/>
      <w:r>
        <w:rPr>
          <w:rFonts w:hint="eastAsia" w:ascii="黑体" w:hAnsi="宋体" w:eastAsia="黑体"/>
          <w:color w:val="auto"/>
          <w:highlight w:val="none"/>
        </w:rPr>
        <w:t>招标文件的编制与组成</w:t>
      </w:r>
    </w:p>
    <w:p w14:paraId="6C067E74">
      <w:pPr>
        <w:snapToGrid w:val="0"/>
        <w:ind w:firstLine="480" w:firstLineChars="200"/>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1</w:t>
      </w:r>
      <w:r>
        <w:rPr>
          <w:rFonts w:hint="eastAsia" w:ascii="宋体" w:hAnsi="宋体"/>
          <w:color w:val="auto"/>
          <w:szCs w:val="21"/>
          <w:highlight w:val="none"/>
        </w:rPr>
        <w:t>.1招标文件除以下内容外，</w:t>
      </w:r>
      <w:r>
        <w:rPr>
          <w:rFonts w:hint="eastAsia" w:ascii="宋体" w:hAnsi="宋体" w:eastAsia="宋体"/>
          <w:color w:val="auto"/>
          <w:szCs w:val="21"/>
          <w:highlight w:val="none"/>
        </w:rPr>
        <w:t>招标机构</w:t>
      </w:r>
      <w:r>
        <w:rPr>
          <w:rFonts w:hint="eastAsia" w:ascii="宋体" w:hAnsi="宋体"/>
          <w:color w:val="auto"/>
          <w:szCs w:val="21"/>
          <w:highlight w:val="none"/>
        </w:rPr>
        <w:t>在招标期间发出的澄清或修改等相关公告或通知内容，均是招标文件的组成部分，对投标人起约束作用；</w:t>
      </w:r>
    </w:p>
    <w:p w14:paraId="44B7988F">
      <w:pPr>
        <w:ind w:firstLine="470" w:firstLineChars="196"/>
        <w:rPr>
          <w:rFonts w:ascii="宋体" w:hAnsi="宋体"/>
          <w:color w:val="auto"/>
          <w:szCs w:val="21"/>
          <w:highlight w:val="none"/>
        </w:rPr>
      </w:pPr>
      <w:r>
        <w:rPr>
          <w:rFonts w:hint="eastAsia" w:ascii="宋体" w:hAnsi="宋体"/>
          <w:color w:val="auto"/>
          <w:szCs w:val="21"/>
          <w:highlight w:val="none"/>
        </w:rPr>
        <w:t>招标文件包括下列内容：</w:t>
      </w:r>
    </w:p>
    <w:p w14:paraId="6F63FAF9">
      <w:pPr>
        <w:ind w:left="480" w:leftChars="200" w:firstLine="471" w:firstLineChars="196"/>
        <w:rPr>
          <w:rFonts w:ascii="宋体" w:hAnsi="宋体"/>
          <w:b/>
          <w:color w:val="auto"/>
          <w:szCs w:val="21"/>
          <w:highlight w:val="none"/>
        </w:rPr>
      </w:pPr>
      <w:r>
        <w:rPr>
          <w:rFonts w:hint="eastAsia" w:ascii="宋体" w:hAnsi="宋体"/>
          <w:b/>
          <w:color w:val="auto"/>
          <w:szCs w:val="21"/>
          <w:highlight w:val="none"/>
        </w:rPr>
        <w:t>第一册  专用条款</w:t>
      </w:r>
    </w:p>
    <w:p w14:paraId="2E5151D5">
      <w:pPr>
        <w:ind w:left="1234" w:leftChars="514"/>
        <w:rPr>
          <w:rFonts w:ascii="宋体" w:hAnsi="宋体"/>
          <w:b/>
          <w:color w:val="auto"/>
          <w:szCs w:val="21"/>
          <w:highlight w:val="none"/>
        </w:rPr>
      </w:pPr>
      <w:r>
        <w:rPr>
          <w:rFonts w:hint="eastAsia" w:ascii="宋体" w:hAnsi="宋体"/>
          <w:b/>
          <w:color w:val="auto"/>
          <w:szCs w:val="21"/>
          <w:highlight w:val="none"/>
        </w:rPr>
        <w:t>关键信息</w:t>
      </w:r>
    </w:p>
    <w:p w14:paraId="5932BDBA">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第一章  招标公告</w:t>
      </w:r>
    </w:p>
    <w:p w14:paraId="5270DB43">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第二章  对通用条款的补充内容及其他关键信息</w:t>
      </w:r>
    </w:p>
    <w:p w14:paraId="1A89ED99">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第三章  用户需求书</w:t>
      </w:r>
    </w:p>
    <w:p w14:paraId="064FF7B2">
      <w:pPr>
        <w:ind w:left="720" w:leftChars="300" w:firstLine="470" w:firstLineChars="196"/>
        <w:rPr>
          <w:rFonts w:ascii="宋体" w:hAnsi="宋体"/>
          <w:color w:val="auto"/>
          <w:szCs w:val="21"/>
          <w:highlight w:val="none"/>
        </w:rPr>
      </w:pPr>
      <w:r>
        <w:rPr>
          <w:rFonts w:hint="eastAsia"/>
          <w:color w:val="auto"/>
          <w:highlight w:val="none"/>
        </w:rPr>
        <w:t>第四章 投标文件格式及附件</w:t>
      </w:r>
    </w:p>
    <w:p w14:paraId="0A3C97AA">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第五章  合同条款及格式</w:t>
      </w:r>
    </w:p>
    <w:p w14:paraId="296B2E4D">
      <w:pPr>
        <w:ind w:left="480" w:leftChars="200" w:firstLine="471" w:firstLineChars="196"/>
        <w:rPr>
          <w:rFonts w:ascii="宋体" w:hAnsi="宋体"/>
          <w:b/>
          <w:color w:val="auto"/>
          <w:szCs w:val="21"/>
          <w:highlight w:val="none"/>
        </w:rPr>
      </w:pPr>
      <w:r>
        <w:rPr>
          <w:rFonts w:hint="eastAsia" w:ascii="宋体" w:hAnsi="宋体"/>
          <w:b/>
          <w:color w:val="auto"/>
          <w:szCs w:val="21"/>
          <w:highlight w:val="none"/>
        </w:rPr>
        <w:t>第二册  通用条款</w:t>
      </w:r>
    </w:p>
    <w:p w14:paraId="50C7FB47">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第一章  总则</w:t>
      </w:r>
    </w:p>
    <w:p w14:paraId="5877B0C4">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第二章  招标文件</w:t>
      </w:r>
    </w:p>
    <w:p w14:paraId="71AEFAFE">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第三章  投标文件的编制</w:t>
      </w:r>
    </w:p>
    <w:p w14:paraId="0BF1AB8C">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第四章  投标文件的递交</w:t>
      </w:r>
    </w:p>
    <w:p w14:paraId="607DCF3C">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第五章  开标</w:t>
      </w:r>
    </w:p>
    <w:p w14:paraId="1A6FDAB2">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第六章  评审要求</w:t>
      </w:r>
    </w:p>
    <w:p w14:paraId="3A1000A6">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第七章  评审程序及评审方法</w:t>
      </w:r>
    </w:p>
    <w:p w14:paraId="1BAEC4F4">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第八章  定标及公示</w:t>
      </w:r>
    </w:p>
    <w:p w14:paraId="44C462B3">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第九章  公开招标失败的后续处理</w:t>
      </w:r>
    </w:p>
    <w:p w14:paraId="1D010666">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第十章  合同的授予与备案</w:t>
      </w:r>
    </w:p>
    <w:p w14:paraId="37B17CA8">
      <w:pPr>
        <w:ind w:left="720" w:leftChars="300" w:firstLine="470" w:firstLineChars="196"/>
        <w:rPr>
          <w:rFonts w:ascii="宋体" w:hAnsi="宋体"/>
          <w:color w:val="auto"/>
          <w:szCs w:val="21"/>
          <w:highlight w:val="none"/>
        </w:rPr>
      </w:pPr>
      <w:r>
        <w:rPr>
          <w:rFonts w:hint="eastAsia" w:ascii="宋体" w:hAnsi="宋体"/>
          <w:color w:val="auto"/>
          <w:szCs w:val="21"/>
          <w:highlight w:val="none"/>
        </w:rPr>
        <w:t>第十一章  质疑处理</w:t>
      </w:r>
    </w:p>
    <w:p w14:paraId="480E09AE">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1</w:t>
      </w:r>
      <w:r>
        <w:rPr>
          <w:rFonts w:hint="eastAsia" w:ascii="宋体" w:hAnsi="宋体"/>
          <w:color w:val="auto"/>
          <w:szCs w:val="21"/>
          <w:highlight w:val="none"/>
        </w:rPr>
        <w:t>.2投标人下载招标文件后，应仔细检查招标文件的所有内容，如有疑问应在答疑截止时间之前向</w:t>
      </w:r>
      <w:r>
        <w:rPr>
          <w:rFonts w:hint="eastAsia" w:ascii="宋体" w:hAnsi="宋体" w:eastAsia="宋体"/>
          <w:color w:val="auto"/>
          <w:szCs w:val="21"/>
          <w:highlight w:val="none"/>
        </w:rPr>
        <w:t>招标机构</w:t>
      </w:r>
      <w:r>
        <w:rPr>
          <w:rFonts w:hint="eastAsia" w:ascii="宋体" w:hAnsi="宋体"/>
          <w:color w:val="auto"/>
          <w:szCs w:val="21"/>
          <w:highlight w:val="none"/>
        </w:rPr>
        <w:t>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14:paraId="57B8E568">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1</w:t>
      </w:r>
      <w:r>
        <w:rPr>
          <w:rFonts w:hint="eastAsia" w:ascii="宋体" w:hAnsi="宋体"/>
          <w:color w:val="auto"/>
          <w:szCs w:val="21"/>
          <w:highlight w:val="none"/>
        </w:rPr>
        <w:t>.3</w:t>
      </w:r>
      <w:r>
        <w:rPr>
          <w:rFonts w:hint="eastAsia" w:ascii="宋体" w:hAnsi="宋体"/>
          <w:color w:val="auto"/>
          <w:highlight w:val="none"/>
        </w:rPr>
        <w:t>任何人或任何组织向投标人提交的任何书面或口头资料，未经</w:t>
      </w:r>
      <w:r>
        <w:rPr>
          <w:rFonts w:hint="eastAsia" w:ascii="宋体" w:hAnsi="宋体" w:eastAsia="宋体"/>
          <w:color w:val="auto"/>
          <w:highlight w:val="none"/>
        </w:rPr>
        <w:t>招标机构</w:t>
      </w:r>
      <w:r>
        <w:rPr>
          <w:rFonts w:hint="eastAsia" w:ascii="宋体" w:hAnsi="宋体"/>
          <w:color w:val="auto"/>
          <w:highlight w:val="none"/>
        </w:rPr>
        <w:t>在网上发布或书面通知，均作无效处理，不得作为招标文件的组成部分。</w:t>
      </w:r>
      <w:r>
        <w:rPr>
          <w:rFonts w:hint="eastAsia" w:ascii="宋体" w:hAnsi="宋体" w:eastAsia="宋体"/>
          <w:color w:val="auto"/>
          <w:highlight w:val="none"/>
        </w:rPr>
        <w:t>招标机构</w:t>
      </w:r>
      <w:r>
        <w:rPr>
          <w:rFonts w:hint="eastAsia" w:ascii="宋体" w:hAnsi="宋体"/>
          <w:color w:val="auto"/>
          <w:highlight w:val="none"/>
        </w:rPr>
        <w:t>对投标人由此而做出的推论、理解和结论概不负责。</w:t>
      </w:r>
    </w:p>
    <w:p w14:paraId="0792BC97">
      <w:pPr>
        <w:rPr>
          <w:rFonts w:ascii="黑体" w:hAnsi="宋体" w:eastAsia="黑体"/>
          <w:color w:val="auto"/>
          <w:highlight w:val="none"/>
        </w:rPr>
      </w:pPr>
      <w:r>
        <w:rPr>
          <w:rFonts w:hint="eastAsia" w:ascii="黑体" w:hAnsi="宋体" w:eastAsia="黑体"/>
          <w:color w:val="auto"/>
          <w:highlight w:val="none"/>
        </w:rPr>
        <w:t>1</w:t>
      </w:r>
      <w:r>
        <w:rPr>
          <w:rFonts w:ascii="黑体" w:hAnsi="宋体" w:eastAsia="黑体"/>
          <w:color w:val="auto"/>
          <w:highlight w:val="none"/>
        </w:rPr>
        <w:t>2</w:t>
      </w:r>
      <w:r>
        <w:rPr>
          <w:rFonts w:hint="eastAsia" w:ascii="黑体" w:hAnsi="宋体" w:eastAsia="黑体"/>
          <w:color w:val="auto"/>
          <w:highlight w:val="none"/>
        </w:rPr>
        <w:t>．招标文件的澄清</w:t>
      </w:r>
    </w:p>
    <w:p w14:paraId="4B09D251">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2</w:t>
      </w:r>
      <w:r>
        <w:rPr>
          <w:rFonts w:hint="eastAsia" w:ascii="宋体" w:hAnsi="宋体"/>
          <w:color w:val="auto"/>
          <w:szCs w:val="21"/>
          <w:highlight w:val="none"/>
        </w:rPr>
        <w:t>.1招标文件澄清的目的是澄清、解答投标人在查阅招标文件后或现场踏勘中可能提出的与投标有关的疑问或询问。</w:t>
      </w:r>
    </w:p>
    <w:p w14:paraId="6D49D12F">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2</w:t>
      </w:r>
      <w:r>
        <w:rPr>
          <w:rFonts w:hint="eastAsia" w:ascii="宋体" w:hAnsi="宋体"/>
          <w:color w:val="auto"/>
          <w:szCs w:val="21"/>
          <w:highlight w:val="none"/>
        </w:rPr>
        <w:t>.2投标人如对招标文件内容有疑问，应当在招标公告规定的澄清（提问）截止时间前以网上提问的形式通过网上政府采购系统提交</w:t>
      </w:r>
      <w:r>
        <w:rPr>
          <w:rFonts w:hint="eastAsia" w:ascii="宋体" w:hAnsi="宋体" w:eastAsia="宋体"/>
          <w:color w:val="auto"/>
          <w:szCs w:val="21"/>
          <w:highlight w:val="none"/>
        </w:rPr>
        <w:t>招标机构</w:t>
      </w:r>
      <w:r>
        <w:rPr>
          <w:rFonts w:hint="eastAsia" w:ascii="宋体" w:hAnsi="宋体"/>
          <w:color w:val="auto"/>
          <w:szCs w:val="21"/>
          <w:highlight w:val="none"/>
        </w:rPr>
        <w:t>。</w:t>
      </w:r>
    </w:p>
    <w:p w14:paraId="4504C267">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2</w:t>
      </w:r>
      <w:r>
        <w:rPr>
          <w:rFonts w:hint="eastAsia" w:ascii="宋体" w:hAnsi="宋体"/>
          <w:color w:val="auto"/>
          <w:szCs w:val="21"/>
          <w:highlight w:val="none"/>
        </w:rPr>
        <w:t>.3不论是招标机构根据需要主动对招标文件进行必要的澄清或是根据投标人的要求对招标文件做出澄清，招标机构都将在投标截止日期前以书面形式（包括招标机构网站发布方式）答复或发送给所有投标人。答复内容是招标文件的组成部分，对投标人起约束作用，其有效性按照本通用条款第1</w:t>
      </w:r>
      <w:r>
        <w:rPr>
          <w:rFonts w:ascii="宋体" w:hAnsi="宋体"/>
          <w:color w:val="auto"/>
          <w:szCs w:val="21"/>
          <w:highlight w:val="none"/>
        </w:rPr>
        <w:t>3.3</w:t>
      </w:r>
      <w:r>
        <w:rPr>
          <w:rFonts w:hint="eastAsia" w:ascii="宋体" w:hAnsi="宋体"/>
          <w:color w:val="auto"/>
          <w:szCs w:val="21"/>
          <w:highlight w:val="none"/>
        </w:rPr>
        <w:t>、1</w:t>
      </w:r>
      <w:r>
        <w:rPr>
          <w:rFonts w:ascii="宋体" w:hAnsi="宋体"/>
          <w:color w:val="auto"/>
          <w:szCs w:val="21"/>
          <w:highlight w:val="none"/>
        </w:rPr>
        <w:t>3.4</w:t>
      </w:r>
      <w:r>
        <w:rPr>
          <w:rFonts w:hint="eastAsia" w:ascii="宋体" w:hAnsi="宋体"/>
          <w:color w:val="auto"/>
          <w:szCs w:val="21"/>
          <w:highlight w:val="none"/>
        </w:rPr>
        <w:t>款规定执行。</w:t>
      </w:r>
    </w:p>
    <w:p w14:paraId="3DCD620C">
      <w:pPr>
        <w:rPr>
          <w:rFonts w:ascii="黑体" w:hAnsi="宋体" w:eastAsia="黑体"/>
          <w:color w:val="auto"/>
          <w:highlight w:val="none"/>
        </w:rPr>
      </w:pPr>
      <w:r>
        <w:rPr>
          <w:rFonts w:ascii="黑体" w:hAnsi="宋体" w:eastAsia="黑体"/>
          <w:color w:val="auto"/>
          <w:highlight w:val="none"/>
        </w:rPr>
        <w:t>1</w:t>
      </w:r>
      <w:r>
        <w:rPr>
          <w:rFonts w:hint="eastAsia" w:ascii="黑体" w:hAnsi="宋体" w:eastAsia="黑体"/>
          <w:color w:val="auto"/>
          <w:highlight w:val="none"/>
        </w:rPr>
        <w:t>3．招标文件的修改</w:t>
      </w:r>
    </w:p>
    <w:p w14:paraId="456F806B">
      <w:pPr>
        <w:ind w:firstLine="470" w:firstLineChars="196"/>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3.1招标文件发出后，在投标截止日期前任何时候，确需要变更招标文件内容的，招标机构可主动或在解答投标人提出的澄清问题时对招标文件进行修改。</w:t>
      </w:r>
    </w:p>
    <w:p w14:paraId="461AD929">
      <w:pPr>
        <w:ind w:firstLine="470" w:firstLineChars="196"/>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3.2招标文件的修改以书面形式（包括招标机构网站发布方式，如更正公告等）发送给所有投标人，招标文件的修改内容作为招标文件的组成部分，并具有约束力。</w:t>
      </w:r>
    </w:p>
    <w:p w14:paraId="59FA99E6">
      <w:pPr>
        <w:ind w:firstLine="470" w:firstLineChars="196"/>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3.3招标文件、招标文件澄清答复内容、招标文件修改补充内容均以书面形式（包括招标机构网站公开发布方式，如更正公告等）明确的内容为准。当招标文件、修改补充通知、招标文件澄清答复内容相互矛盾时，以最后发出的内容为准。</w:t>
      </w:r>
    </w:p>
    <w:p w14:paraId="349E9C18">
      <w:pPr>
        <w:ind w:firstLine="470" w:firstLineChars="196"/>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3.4招标机构保证招标文件澄清答复内容和招标文件修改补充内容在投标截止时间前以书面形式（包括招标机构网站发布方式，如更正公告等）发送给所有投标人。为使投标人在编制投标文件时有充分时间对招标文件的修改部分进行研究，招标机构可以酌情延长递交投标文件的截止日期。</w:t>
      </w:r>
      <w:bookmarkEnd w:id="48"/>
    </w:p>
    <w:p w14:paraId="35042EC1">
      <w:pPr>
        <w:pStyle w:val="6"/>
        <w:rPr>
          <w:color w:val="auto"/>
          <w:highlight w:val="none"/>
        </w:rPr>
      </w:pPr>
    </w:p>
    <w:p w14:paraId="37314136">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投标文件的编制</w:t>
      </w:r>
    </w:p>
    <w:p w14:paraId="294531F6">
      <w:pPr>
        <w:rPr>
          <w:rFonts w:ascii="黑体" w:hAnsi="宋体" w:eastAsia="黑体"/>
          <w:color w:val="auto"/>
          <w:highlight w:val="none"/>
        </w:rPr>
      </w:pPr>
      <w:r>
        <w:rPr>
          <w:rFonts w:hint="eastAsia" w:ascii="黑体" w:hAnsi="宋体" w:eastAsia="黑体"/>
          <w:color w:val="auto"/>
          <w:highlight w:val="none"/>
        </w:rPr>
        <w:t>14．</w:t>
      </w:r>
      <w:bookmarkStart w:id="49" w:name="_Hlk72400236"/>
      <w:r>
        <w:rPr>
          <w:rFonts w:hint="eastAsia" w:ascii="黑体" w:hAnsi="宋体" w:eastAsia="黑体"/>
          <w:color w:val="auto"/>
          <w:highlight w:val="none"/>
        </w:rPr>
        <w:t>投标文件的语言及度量单位</w:t>
      </w:r>
    </w:p>
    <w:p w14:paraId="749ABCAD">
      <w:pPr>
        <w:ind w:firstLine="470" w:firstLineChars="196"/>
        <w:rPr>
          <w:rFonts w:ascii="宋体" w:hAnsi="宋体"/>
          <w:color w:val="auto"/>
          <w:szCs w:val="21"/>
          <w:highlight w:val="none"/>
        </w:rPr>
      </w:pPr>
      <w:r>
        <w:rPr>
          <w:rFonts w:hint="eastAsia" w:ascii="宋体" w:hAnsi="宋体"/>
          <w:color w:val="auto"/>
          <w:szCs w:val="21"/>
          <w:highlight w:val="none"/>
        </w:rPr>
        <w:t>14.1投标人与招标机构之间与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14:paraId="50447001">
      <w:pPr>
        <w:ind w:firstLine="470" w:firstLineChars="196"/>
        <w:rPr>
          <w:rFonts w:ascii="宋体" w:hAnsi="宋体"/>
          <w:color w:val="auto"/>
          <w:szCs w:val="21"/>
          <w:highlight w:val="none"/>
        </w:rPr>
      </w:pPr>
      <w:r>
        <w:rPr>
          <w:rFonts w:hint="eastAsia" w:ascii="宋体" w:hAnsi="宋体"/>
          <w:color w:val="auto"/>
          <w:szCs w:val="21"/>
          <w:highlight w:val="none"/>
        </w:rPr>
        <w:t>14.2除技术规范另有规定外，投标文件使用的度量单位，均采用中华人民共和国法定计量单位。</w:t>
      </w:r>
    </w:p>
    <w:bookmarkEnd w:id="49"/>
    <w:p w14:paraId="429A4576">
      <w:pPr>
        <w:rPr>
          <w:rFonts w:ascii="黑体" w:hAnsi="宋体" w:eastAsia="黑体"/>
          <w:color w:val="auto"/>
          <w:highlight w:val="none"/>
        </w:rPr>
      </w:pPr>
      <w:r>
        <w:rPr>
          <w:rFonts w:hint="eastAsia" w:ascii="黑体" w:hAnsi="宋体" w:eastAsia="黑体"/>
          <w:color w:val="auto"/>
          <w:highlight w:val="none"/>
        </w:rPr>
        <w:t>15．</w:t>
      </w:r>
      <w:bookmarkStart w:id="50" w:name="_Hlk72401567"/>
      <w:r>
        <w:rPr>
          <w:rFonts w:hint="eastAsia" w:ascii="黑体" w:hAnsi="宋体" w:eastAsia="黑体"/>
          <w:color w:val="auto"/>
          <w:highlight w:val="none"/>
        </w:rPr>
        <w:t>投标文件的组成</w:t>
      </w:r>
    </w:p>
    <w:p w14:paraId="0BA90398">
      <w:pPr>
        <w:ind w:firstLine="470" w:firstLineChars="196"/>
        <w:rPr>
          <w:rFonts w:ascii="宋体" w:hAnsi="宋体"/>
          <w:color w:val="auto"/>
          <w:szCs w:val="21"/>
          <w:highlight w:val="none"/>
        </w:rPr>
      </w:pPr>
      <w:r>
        <w:rPr>
          <w:rFonts w:hint="eastAsia" w:ascii="宋体" w:hAnsi="宋体"/>
          <w:color w:val="auto"/>
          <w:szCs w:val="21"/>
          <w:highlight w:val="none"/>
        </w:rPr>
        <w:t>具体内容在招标文件专用条款中进行规定。</w:t>
      </w:r>
    </w:p>
    <w:p w14:paraId="240B5D44">
      <w:pPr>
        <w:rPr>
          <w:rFonts w:ascii="黑体" w:hAnsi="宋体" w:eastAsia="黑体"/>
          <w:color w:val="auto"/>
          <w:highlight w:val="none"/>
        </w:rPr>
      </w:pPr>
      <w:r>
        <w:rPr>
          <w:rFonts w:ascii="黑体" w:hAnsi="宋体" w:eastAsia="黑体"/>
          <w:color w:val="auto"/>
          <w:highlight w:val="none"/>
        </w:rPr>
        <w:t>16．投标文件格式</w:t>
      </w:r>
    </w:p>
    <w:p w14:paraId="48BF9920">
      <w:pPr>
        <w:ind w:firstLine="470" w:firstLineChars="196"/>
        <w:rPr>
          <w:rFonts w:ascii="宋体" w:hAnsi="宋体"/>
          <w:color w:val="auto"/>
          <w:szCs w:val="21"/>
          <w:highlight w:val="none"/>
        </w:rPr>
      </w:pPr>
      <w:r>
        <w:rPr>
          <w:rFonts w:hint="eastAsia" w:ascii="宋体" w:hAnsi="宋体"/>
          <w:color w:val="auto"/>
          <w:szCs w:val="21"/>
          <w:highlight w:val="none"/>
        </w:rPr>
        <w:t>投标文件包括本通用条款第</w:t>
      </w:r>
      <w:r>
        <w:rPr>
          <w:rFonts w:ascii="宋体" w:hAnsi="宋体"/>
          <w:color w:val="auto"/>
          <w:szCs w:val="21"/>
          <w:highlight w:val="none"/>
        </w:rPr>
        <w:t>15条中规定的内容。如招标文件提供了投标文件格式，则</w:t>
      </w:r>
      <w:r>
        <w:rPr>
          <w:rFonts w:hint="eastAsia" w:ascii="宋体" w:hAnsi="宋体"/>
          <w:b/>
          <w:bCs/>
          <w:color w:val="auto"/>
          <w:szCs w:val="21"/>
          <w:highlight w:val="none"/>
        </w:rPr>
        <w:t>投标人提交的投标文件应毫无例外地使用招标文件所提供的相应格式</w:t>
      </w:r>
      <w:r>
        <w:rPr>
          <w:rFonts w:hint="eastAsia" w:ascii="宋体" w:hAnsi="宋体"/>
          <w:color w:val="auto"/>
          <w:szCs w:val="21"/>
          <w:highlight w:val="none"/>
        </w:rPr>
        <w:t>（表格均可按同样格式扩展）。</w:t>
      </w:r>
    </w:p>
    <w:p w14:paraId="5E2BE391">
      <w:pPr>
        <w:rPr>
          <w:rFonts w:ascii="黑体" w:hAnsi="宋体" w:eastAsia="黑体"/>
          <w:color w:val="auto"/>
          <w:highlight w:val="none"/>
        </w:rPr>
      </w:pPr>
      <w:r>
        <w:rPr>
          <w:rFonts w:hint="eastAsia" w:ascii="黑体" w:hAnsi="宋体" w:eastAsia="黑体"/>
          <w:color w:val="auto"/>
          <w:highlight w:val="none"/>
        </w:rPr>
        <w:t>17．投标货币</w:t>
      </w:r>
    </w:p>
    <w:p w14:paraId="10633E46">
      <w:pPr>
        <w:ind w:firstLine="470" w:firstLineChars="196"/>
        <w:rPr>
          <w:rFonts w:ascii="宋体" w:hAnsi="宋体"/>
          <w:color w:val="auto"/>
          <w:szCs w:val="21"/>
          <w:highlight w:val="none"/>
        </w:rPr>
      </w:pPr>
      <w:r>
        <w:rPr>
          <w:rFonts w:hint="eastAsia" w:ascii="宋体" w:hAnsi="宋体"/>
          <w:color w:val="auto"/>
          <w:szCs w:val="21"/>
          <w:highlight w:val="none"/>
        </w:rPr>
        <w:t>本项目的投标报价应以人民币计。</w:t>
      </w:r>
    </w:p>
    <w:bookmarkEnd w:id="50"/>
    <w:p w14:paraId="74F617EB">
      <w:pPr>
        <w:rPr>
          <w:rFonts w:ascii="黑体" w:hAnsi="宋体" w:eastAsia="黑体"/>
          <w:color w:val="auto"/>
          <w:highlight w:val="none"/>
        </w:rPr>
      </w:pPr>
      <w:r>
        <w:rPr>
          <w:rFonts w:hint="eastAsia" w:ascii="黑体" w:hAnsi="宋体" w:eastAsia="黑体"/>
          <w:color w:val="auto"/>
          <w:highlight w:val="none"/>
        </w:rPr>
        <w:t>18．</w:t>
      </w:r>
      <w:bookmarkStart w:id="51" w:name="_Hlk72401735"/>
      <w:r>
        <w:rPr>
          <w:rFonts w:hint="eastAsia" w:ascii="黑体" w:hAnsi="宋体" w:eastAsia="黑体"/>
          <w:color w:val="auto"/>
          <w:highlight w:val="none"/>
        </w:rPr>
        <w:t>证明投标文件投标技术方案的合格性和符合招标文件规定的文件要求</w:t>
      </w:r>
    </w:p>
    <w:p w14:paraId="1F49DCD7">
      <w:pPr>
        <w:ind w:firstLine="470" w:firstLineChars="196"/>
        <w:rPr>
          <w:rFonts w:ascii="宋体" w:hAnsi="宋体"/>
          <w:color w:val="auto"/>
          <w:szCs w:val="21"/>
          <w:highlight w:val="none"/>
        </w:rPr>
      </w:pPr>
      <w:r>
        <w:rPr>
          <w:rFonts w:hint="eastAsia" w:ascii="宋体" w:hAnsi="宋体"/>
          <w:color w:val="auto"/>
          <w:szCs w:val="21"/>
          <w:highlight w:val="none"/>
        </w:rPr>
        <w:t>18</w:t>
      </w:r>
      <w:r>
        <w:rPr>
          <w:rFonts w:ascii="宋体" w:hAnsi="宋体"/>
          <w:color w:val="auto"/>
          <w:szCs w:val="21"/>
          <w:highlight w:val="none"/>
        </w:rPr>
        <w:t>.1</w:t>
      </w:r>
      <w:r>
        <w:rPr>
          <w:rFonts w:hint="eastAsia" w:ascii="宋体" w:hAnsi="宋体"/>
          <w:color w:val="auto"/>
          <w:szCs w:val="21"/>
          <w:highlight w:val="none"/>
        </w:rPr>
        <w:t>投标人应提交证明文件，证明其投标技术方案项下的货物和服务的合格性符合招标文件规定。该投标技术方案及其证明文件均作为投标文件组成部分。</w:t>
      </w:r>
    </w:p>
    <w:p w14:paraId="1662FEA2">
      <w:pPr>
        <w:ind w:firstLine="470" w:firstLineChars="196"/>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8</w:t>
      </w:r>
      <w:r>
        <w:rPr>
          <w:rFonts w:ascii="宋体" w:hAnsi="宋体"/>
          <w:color w:val="auto"/>
          <w:szCs w:val="21"/>
          <w:highlight w:val="none"/>
        </w:rPr>
        <w:t>.2</w:t>
      </w:r>
      <w:r>
        <w:rPr>
          <w:rFonts w:hint="eastAsia" w:ascii="宋体" w:hAnsi="宋体"/>
          <w:color w:val="auto"/>
          <w:szCs w:val="21"/>
          <w:highlight w:val="none"/>
        </w:rPr>
        <w:t>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14:paraId="2E04DDCE">
      <w:pPr>
        <w:ind w:firstLine="470" w:firstLineChars="196"/>
        <w:rPr>
          <w:rFonts w:ascii="宋体" w:hAnsi="宋体"/>
          <w:color w:val="auto"/>
          <w:szCs w:val="21"/>
          <w:highlight w:val="none"/>
        </w:rPr>
      </w:pPr>
      <w:r>
        <w:rPr>
          <w:rFonts w:hint="eastAsia" w:ascii="宋体" w:hAnsi="宋体"/>
          <w:color w:val="auto"/>
          <w:szCs w:val="21"/>
          <w:highlight w:val="none"/>
        </w:rPr>
        <w:t>18.2.1主要技术指标和性能的详细说明。</w:t>
      </w:r>
    </w:p>
    <w:p w14:paraId="1945BA47">
      <w:pPr>
        <w:ind w:firstLine="470" w:firstLineChars="196"/>
        <w:rPr>
          <w:rFonts w:ascii="宋体" w:hAnsi="宋体"/>
          <w:color w:val="auto"/>
          <w:szCs w:val="21"/>
          <w:highlight w:val="none"/>
        </w:rPr>
      </w:pPr>
      <w:r>
        <w:rPr>
          <w:rFonts w:hint="eastAsia" w:ascii="宋体" w:hAnsi="宋体"/>
          <w:color w:val="auto"/>
          <w:szCs w:val="21"/>
          <w:highlight w:val="none"/>
        </w:rPr>
        <w:t>18.2.</w:t>
      </w:r>
      <w:r>
        <w:rPr>
          <w:rFonts w:ascii="宋体" w:hAnsi="宋体"/>
          <w:color w:val="auto"/>
          <w:szCs w:val="21"/>
          <w:highlight w:val="none"/>
        </w:rPr>
        <w:t>2</w:t>
      </w:r>
      <w:r>
        <w:rPr>
          <w:rFonts w:hint="eastAsia" w:ascii="宋体" w:hAnsi="宋体"/>
          <w:color w:val="auto"/>
          <w:szCs w:val="21"/>
          <w:highlight w:val="none"/>
        </w:rPr>
        <w:t>投标产品从采购人开始使用至招标文件中规定的周期内正常、连续地使用所必须的备件和专用工具清单，包括备件和专用工具的货源及现行价格。</w:t>
      </w:r>
    </w:p>
    <w:p w14:paraId="01514751">
      <w:pPr>
        <w:ind w:firstLine="470" w:firstLineChars="196"/>
        <w:rPr>
          <w:rFonts w:ascii="宋体" w:hAnsi="宋体"/>
          <w:color w:val="auto"/>
          <w:szCs w:val="21"/>
          <w:highlight w:val="none"/>
        </w:rPr>
      </w:pPr>
      <w:r>
        <w:rPr>
          <w:rFonts w:hint="eastAsia" w:ascii="宋体" w:hAnsi="宋体"/>
          <w:color w:val="auto"/>
          <w:szCs w:val="21"/>
          <w:highlight w:val="none"/>
        </w:rPr>
        <w:t>18.2.</w:t>
      </w:r>
      <w:r>
        <w:rPr>
          <w:rFonts w:ascii="宋体" w:hAnsi="宋体"/>
          <w:color w:val="auto"/>
          <w:szCs w:val="21"/>
          <w:highlight w:val="none"/>
        </w:rPr>
        <w:t>3</w:t>
      </w:r>
      <w:r>
        <w:rPr>
          <w:rFonts w:hint="eastAsia" w:ascii="宋体" w:hAnsi="宋体"/>
          <w:color w:val="auto"/>
          <w:szCs w:val="21"/>
          <w:highlight w:val="none"/>
        </w:rPr>
        <w:t>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14:paraId="1DE4F886">
      <w:pPr>
        <w:ind w:firstLine="470" w:firstLineChars="196"/>
        <w:rPr>
          <w:rFonts w:ascii="宋体" w:hAnsi="宋体"/>
          <w:color w:val="auto"/>
          <w:szCs w:val="21"/>
          <w:highlight w:val="none"/>
        </w:rPr>
      </w:pPr>
      <w:r>
        <w:rPr>
          <w:rFonts w:hint="eastAsia" w:ascii="宋体" w:hAnsi="宋体"/>
          <w:color w:val="auto"/>
          <w:szCs w:val="21"/>
          <w:highlight w:val="none"/>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color w:val="auto"/>
          <w:highlight w:val="none"/>
        </w:rPr>
        <w:t>清晰度要求能够使用电脑阅读、识别和判断</w:t>
      </w:r>
      <w:r>
        <w:rPr>
          <w:rFonts w:hint="eastAsia" w:ascii="宋体" w:hAnsi="宋体"/>
          <w:color w:val="auto"/>
          <w:szCs w:val="21"/>
          <w:highlight w:val="none"/>
        </w:rPr>
        <w:t>；</w:t>
      </w:r>
    </w:p>
    <w:p w14:paraId="7B62C174">
      <w:pPr>
        <w:ind w:firstLine="470" w:firstLineChars="196"/>
        <w:rPr>
          <w:rFonts w:ascii="宋体" w:hAnsi="宋体"/>
          <w:color w:val="auto"/>
          <w:szCs w:val="21"/>
          <w:highlight w:val="none"/>
        </w:rPr>
      </w:pPr>
      <w:r>
        <w:rPr>
          <w:rFonts w:hint="eastAsia" w:ascii="宋体" w:hAnsi="宋体"/>
          <w:color w:val="auto"/>
          <w:szCs w:val="21"/>
          <w:highlight w:val="none"/>
        </w:rPr>
        <w:t>18.2.5我国政府机构出具的产品检验和核准证件应为证件正面、背面和附件标注的全部具体内容；产品检验和核准证件的尺寸和清晰度应该能够在电脑上被阅读、识别和判断，提供原件扫描件。</w:t>
      </w:r>
    </w:p>
    <w:p w14:paraId="0C80F461">
      <w:pPr>
        <w:ind w:firstLine="470" w:firstLineChars="196"/>
        <w:rPr>
          <w:rFonts w:ascii="宋体" w:hAnsi="宋体"/>
          <w:color w:val="auto"/>
          <w:szCs w:val="21"/>
          <w:highlight w:val="none"/>
        </w:rPr>
      </w:pPr>
      <w:r>
        <w:rPr>
          <w:rFonts w:hint="eastAsia" w:ascii="宋体" w:hAnsi="宋体"/>
          <w:color w:val="auto"/>
          <w:szCs w:val="21"/>
          <w:highlight w:val="none"/>
        </w:rPr>
        <w:t>18.3相关资料不符合18.2款要求的，评审委员会有权认定为投标技术方案不合格响应，其相关分数予以扣减或作投标无效处理。</w:t>
      </w:r>
    </w:p>
    <w:p w14:paraId="6E7636BC">
      <w:pPr>
        <w:ind w:firstLine="470" w:firstLineChars="196"/>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8</w:t>
      </w:r>
      <w:r>
        <w:rPr>
          <w:rFonts w:ascii="宋体" w:hAnsi="宋体"/>
          <w:color w:val="auto"/>
          <w:szCs w:val="21"/>
          <w:highlight w:val="none"/>
        </w:rPr>
        <w:t>.</w:t>
      </w:r>
      <w:r>
        <w:rPr>
          <w:rFonts w:hint="eastAsia" w:ascii="宋体" w:hAnsi="宋体"/>
          <w:color w:val="auto"/>
          <w:szCs w:val="21"/>
          <w:highlight w:val="none"/>
        </w:rPr>
        <w:t>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color w:val="auto"/>
          <w:highlight w:val="none"/>
        </w:rPr>
        <w:t>满足要求</w:t>
      </w:r>
      <w:r>
        <w:rPr>
          <w:rFonts w:hint="eastAsia" w:ascii="宋体" w:hAnsi="宋体"/>
          <w:color w:val="auto"/>
          <w:szCs w:val="21"/>
          <w:highlight w:val="none"/>
        </w:rPr>
        <w:t>，由评审委员会来评判。</w:t>
      </w:r>
    </w:p>
    <w:p w14:paraId="7B712162">
      <w:pPr>
        <w:ind w:firstLine="470" w:firstLineChars="196"/>
        <w:rPr>
          <w:rFonts w:ascii="宋体" w:hAnsi="宋体"/>
          <w:color w:val="auto"/>
          <w:szCs w:val="21"/>
          <w:highlight w:val="none"/>
        </w:rPr>
      </w:pPr>
      <w:r>
        <w:rPr>
          <w:rFonts w:hint="eastAsia" w:ascii="宋体" w:hAnsi="宋体"/>
          <w:color w:val="auto"/>
          <w:szCs w:val="21"/>
          <w:highlight w:val="none"/>
        </w:rPr>
        <w:t>18.5除非另有规定或说明，投标人对同一项目投标时，不得同时提供两套或两套以上的投标方案。</w:t>
      </w:r>
    </w:p>
    <w:bookmarkEnd w:id="51"/>
    <w:p w14:paraId="053D384E">
      <w:pPr>
        <w:rPr>
          <w:rFonts w:ascii="黑体" w:hAnsi="宋体" w:eastAsia="黑体"/>
          <w:color w:val="auto"/>
          <w:highlight w:val="none"/>
        </w:rPr>
      </w:pPr>
      <w:r>
        <w:rPr>
          <w:rFonts w:hint="eastAsia" w:ascii="黑体" w:hAnsi="宋体" w:eastAsia="黑体"/>
          <w:color w:val="auto"/>
          <w:highlight w:val="none"/>
        </w:rPr>
        <w:t>19．</w:t>
      </w:r>
      <w:bookmarkStart w:id="52" w:name="_Hlk72402034"/>
      <w:r>
        <w:rPr>
          <w:rFonts w:hint="eastAsia" w:ascii="黑体" w:hAnsi="宋体" w:eastAsia="黑体"/>
          <w:color w:val="auto"/>
          <w:highlight w:val="none"/>
        </w:rPr>
        <w:t>投标文件其他证明文件的要求</w:t>
      </w:r>
    </w:p>
    <w:p w14:paraId="695B747F">
      <w:pPr>
        <w:rPr>
          <w:rFonts w:ascii="宋体" w:hAnsi="宋体"/>
          <w:color w:val="auto"/>
          <w:szCs w:val="21"/>
          <w:highlight w:val="none"/>
        </w:rPr>
      </w:pPr>
      <w:r>
        <w:rPr>
          <w:rFonts w:hint="eastAsia" w:ascii="宋体" w:hAnsi="宋体"/>
          <w:color w:val="auto"/>
          <w:szCs w:val="21"/>
          <w:highlight w:val="none"/>
        </w:rPr>
        <w:t>19.1采用综合评分法的项目，对项目招标文件《评标信息》评分项中涉及的相关业绩、社保情况等内容以及《资格性审查表》和《符合性审查表》中涉及的证明材料，投标人应提供相关部门出具的证明材料扫描件或照片，原件备查。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53" w:name="_Hlk71407299"/>
    </w:p>
    <w:bookmarkEnd w:id="53"/>
    <w:p w14:paraId="22E4A580">
      <w:pPr>
        <w:ind w:firstLine="470" w:firstLineChars="196"/>
        <w:rPr>
          <w:rFonts w:ascii="宋体" w:hAnsi="宋体"/>
          <w:color w:val="auto"/>
          <w:szCs w:val="21"/>
          <w:highlight w:val="none"/>
        </w:rPr>
      </w:pPr>
      <w:r>
        <w:rPr>
          <w:rFonts w:hint="eastAsia" w:ascii="宋体" w:hAnsi="宋体"/>
          <w:color w:val="auto"/>
          <w:szCs w:val="21"/>
          <w:highlight w:val="none"/>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14:paraId="6516DDD2">
      <w:pPr>
        <w:rPr>
          <w:rFonts w:ascii="黑体" w:hAnsi="宋体" w:eastAsia="黑体"/>
          <w:color w:val="auto"/>
          <w:highlight w:val="none"/>
        </w:rPr>
      </w:pPr>
      <w:r>
        <w:rPr>
          <w:rFonts w:hint="eastAsia" w:ascii="黑体" w:hAnsi="宋体" w:eastAsia="黑体"/>
          <w:color w:val="auto"/>
          <w:highlight w:val="none"/>
        </w:rPr>
        <w:t>20．投标有效期</w:t>
      </w:r>
    </w:p>
    <w:bookmarkEnd w:id="52"/>
    <w:p w14:paraId="3E89A990">
      <w:pPr>
        <w:ind w:firstLine="470" w:firstLineChars="196"/>
        <w:rPr>
          <w:rFonts w:ascii="宋体" w:hAnsi="宋体"/>
          <w:color w:val="auto"/>
          <w:szCs w:val="21"/>
          <w:highlight w:val="none"/>
        </w:rPr>
      </w:pPr>
      <w:bookmarkStart w:id="54" w:name="_Hlk72402214"/>
      <w:r>
        <w:rPr>
          <w:rFonts w:hint="eastAsia" w:ascii="宋体" w:hAnsi="宋体"/>
          <w:color w:val="auto"/>
          <w:szCs w:val="21"/>
          <w:highlight w:val="none"/>
        </w:rPr>
        <w:t>20.1投标有效期为从投标截止之日算起的日历天数。在此期限内，所有投标文件均保持有效。</w:t>
      </w:r>
    </w:p>
    <w:p w14:paraId="110E3CE6">
      <w:pPr>
        <w:ind w:firstLine="470" w:firstLineChars="196"/>
        <w:rPr>
          <w:rFonts w:ascii="宋体" w:hAnsi="宋体"/>
          <w:color w:val="auto"/>
          <w:szCs w:val="21"/>
          <w:highlight w:val="none"/>
        </w:rPr>
      </w:pPr>
      <w:r>
        <w:rPr>
          <w:rFonts w:hint="eastAsia" w:ascii="宋体" w:hAnsi="宋体"/>
          <w:color w:val="auto"/>
          <w:szCs w:val="21"/>
          <w:highlight w:val="none"/>
        </w:rPr>
        <w:t>20.2 在特殊情况下，</w:t>
      </w:r>
      <w:r>
        <w:rPr>
          <w:rFonts w:hint="eastAsia" w:ascii="宋体" w:hAnsi="宋体" w:eastAsia="宋体"/>
          <w:color w:val="auto"/>
          <w:szCs w:val="21"/>
          <w:highlight w:val="none"/>
        </w:rPr>
        <w:t>招标机构</w:t>
      </w:r>
      <w:r>
        <w:rPr>
          <w:rFonts w:hint="eastAsia" w:ascii="宋体" w:hAnsi="宋体"/>
          <w:color w:val="auto"/>
          <w:szCs w:val="21"/>
          <w:highlight w:val="none"/>
        </w:rPr>
        <w:t>在原定的投标有效期满之前，</w:t>
      </w:r>
      <w:r>
        <w:rPr>
          <w:rFonts w:hint="eastAsia" w:ascii="宋体" w:hAnsi="宋体" w:eastAsia="宋体"/>
          <w:color w:val="auto"/>
          <w:szCs w:val="21"/>
          <w:highlight w:val="none"/>
        </w:rPr>
        <w:t>招标机构</w:t>
      </w:r>
      <w:r>
        <w:rPr>
          <w:rFonts w:hint="eastAsia" w:ascii="宋体" w:hAnsi="宋体"/>
          <w:color w:val="auto"/>
          <w:szCs w:val="21"/>
          <w:highlight w:val="none"/>
        </w:rPr>
        <w:t>可以根据需要以书面形式（包括</w:t>
      </w:r>
      <w:r>
        <w:rPr>
          <w:rFonts w:hint="eastAsia" w:ascii="宋体" w:hAnsi="宋体" w:eastAsia="宋体"/>
          <w:color w:val="auto"/>
          <w:szCs w:val="21"/>
          <w:highlight w:val="none"/>
        </w:rPr>
        <w:t>招标机构</w:t>
      </w:r>
      <w:r>
        <w:rPr>
          <w:rFonts w:hint="eastAsia" w:ascii="宋体" w:hAnsi="宋体"/>
          <w:color w:val="auto"/>
          <w:szCs w:val="21"/>
          <w:highlight w:val="none"/>
        </w:rPr>
        <w:t>网站公开发布方式）向投标人提出延长投标有效期的要求，对此要求投标人须以书面形式予以答复，投标人可以拒绝</w:t>
      </w:r>
      <w:r>
        <w:rPr>
          <w:rFonts w:hint="eastAsia" w:ascii="宋体" w:hAnsi="宋体" w:eastAsia="宋体"/>
          <w:color w:val="auto"/>
          <w:szCs w:val="21"/>
          <w:highlight w:val="none"/>
        </w:rPr>
        <w:t>招标机构</w:t>
      </w:r>
      <w:r>
        <w:rPr>
          <w:rFonts w:hint="eastAsia" w:ascii="宋体" w:hAnsi="宋体"/>
          <w:color w:val="auto"/>
          <w:szCs w:val="21"/>
          <w:highlight w:val="none"/>
        </w:rPr>
        <w:t>此项要求，其投标在原投标有效期满后不再有效。同意延长投标有效期的投标人不能要求也不允许修改其投标文件。</w:t>
      </w:r>
    </w:p>
    <w:p w14:paraId="5D6C61C7">
      <w:pPr>
        <w:ind w:firstLine="470" w:firstLineChars="196"/>
        <w:rPr>
          <w:rFonts w:ascii="宋体" w:hAnsi="宋体"/>
          <w:color w:val="auto"/>
          <w:szCs w:val="21"/>
          <w:highlight w:val="none"/>
        </w:rPr>
      </w:pPr>
      <w:r>
        <w:rPr>
          <w:rFonts w:hint="eastAsia" w:ascii="宋体" w:hAnsi="宋体"/>
          <w:color w:val="auto"/>
          <w:szCs w:val="21"/>
          <w:highlight w:val="none"/>
        </w:rPr>
        <w:t>20</w:t>
      </w:r>
      <w:r>
        <w:rPr>
          <w:rFonts w:ascii="宋体" w:hAnsi="宋体"/>
          <w:color w:val="auto"/>
          <w:szCs w:val="21"/>
          <w:highlight w:val="none"/>
        </w:rPr>
        <w:t>.3</w:t>
      </w:r>
      <w:r>
        <w:rPr>
          <w:rFonts w:hint="eastAsia" w:ascii="宋体" w:hAnsi="宋体"/>
          <w:color w:val="auto"/>
          <w:szCs w:val="21"/>
          <w:highlight w:val="none"/>
        </w:rPr>
        <w:t>中标供应商的投标文件有效期，截止于完成本招标文件规定的全部项目内容，并通过竣工验收及保修期结束。</w:t>
      </w:r>
    </w:p>
    <w:bookmarkEnd w:id="54"/>
    <w:p w14:paraId="59739157">
      <w:pPr>
        <w:rPr>
          <w:rFonts w:ascii="黑体" w:hAnsi="宋体" w:eastAsia="黑体"/>
          <w:color w:val="auto"/>
          <w:highlight w:val="none"/>
        </w:rPr>
      </w:pPr>
      <w:r>
        <w:rPr>
          <w:rFonts w:hint="eastAsia" w:ascii="黑体" w:hAnsi="宋体" w:eastAsia="黑体"/>
          <w:color w:val="auto"/>
          <w:highlight w:val="none"/>
        </w:rPr>
        <w:t>21．</w:t>
      </w:r>
      <w:bookmarkStart w:id="55" w:name="_Hlk72402325"/>
      <w:r>
        <w:rPr>
          <w:rFonts w:hint="eastAsia" w:ascii="黑体" w:hAnsi="宋体" w:eastAsia="黑体"/>
          <w:color w:val="auto"/>
          <w:highlight w:val="none"/>
        </w:rPr>
        <w:t xml:space="preserve">关于投标保证金 </w:t>
      </w:r>
    </w:p>
    <w:p w14:paraId="02CB8EA8">
      <w:pPr>
        <w:rPr>
          <w:rFonts w:ascii="宋体" w:hAnsi="宋体" w:eastAsia="宋体"/>
          <w:color w:val="auto"/>
          <w:szCs w:val="21"/>
          <w:highlight w:val="none"/>
        </w:rPr>
      </w:pPr>
      <w:r>
        <w:rPr>
          <w:rFonts w:hint="eastAsia" w:ascii="宋体" w:hAnsi="宋体"/>
          <w:color w:val="auto"/>
          <w:szCs w:val="21"/>
          <w:highlight w:val="none"/>
        </w:rPr>
        <w:t xml:space="preserve">  </w:t>
      </w:r>
      <w:r>
        <w:rPr>
          <w:rFonts w:hint="eastAsia" w:ascii="宋体" w:hAnsi="宋体" w:eastAsia="宋体"/>
          <w:color w:val="auto"/>
          <w:szCs w:val="21"/>
          <w:highlight w:val="none"/>
        </w:rPr>
        <w:t xml:space="preserve"> 21.1 </w:t>
      </w:r>
      <w:r>
        <w:rPr>
          <w:rFonts w:hint="eastAsia" w:ascii="宋体" w:hAnsi="宋体" w:eastAsia="宋体"/>
          <w:color w:val="auto"/>
          <w:highlight w:val="none"/>
        </w:rPr>
        <w:t>根据《深圳市财政局关于明确政府采购保证金管理工作的通知》（深财购</w:t>
      </w:r>
      <w:r>
        <w:rPr>
          <w:rFonts w:ascii="宋体" w:hAnsi="宋体" w:eastAsia="宋体"/>
          <w:color w:val="auto"/>
          <w:highlight w:val="none"/>
        </w:rPr>
        <w:t>[2019]42</w:t>
      </w:r>
      <w:r>
        <w:rPr>
          <w:rFonts w:hint="eastAsia" w:ascii="宋体" w:hAnsi="宋体" w:eastAsia="宋体"/>
          <w:color w:val="auto"/>
          <w:highlight w:val="none"/>
        </w:rPr>
        <w:t>号）文的规定，本项目不收取投标保证金。</w:t>
      </w:r>
    </w:p>
    <w:p w14:paraId="513923B6">
      <w:pPr>
        <w:rPr>
          <w:rFonts w:ascii="黑体" w:hAnsi="宋体" w:eastAsia="黑体"/>
          <w:color w:val="auto"/>
          <w:highlight w:val="none"/>
        </w:rPr>
      </w:pPr>
      <w:r>
        <w:rPr>
          <w:rFonts w:hint="eastAsia" w:ascii="黑体" w:hAnsi="宋体" w:eastAsia="黑体"/>
          <w:color w:val="auto"/>
          <w:highlight w:val="none"/>
        </w:rPr>
        <w:t>22．投标人的替代方案</w:t>
      </w:r>
    </w:p>
    <w:p w14:paraId="5D2DF16E">
      <w:pPr>
        <w:ind w:firstLine="470" w:firstLineChars="196"/>
        <w:rPr>
          <w:rFonts w:ascii="宋体" w:hAnsi="宋体"/>
          <w:color w:val="auto"/>
          <w:szCs w:val="21"/>
          <w:highlight w:val="none"/>
        </w:rPr>
      </w:pPr>
      <w:r>
        <w:rPr>
          <w:rFonts w:hint="eastAsia" w:ascii="宋体" w:hAnsi="宋体"/>
          <w:color w:val="auto"/>
          <w:szCs w:val="21"/>
          <w:highlight w:val="none"/>
        </w:rPr>
        <w:t>22.1投标人所提交的投标文件应完全满足招标文件（包括图纸和技术规范所示的基本技术设计）的要求。除非项目明确允许投标人提交替代方案，否则投标人有关替代方案的条款将初审不通过，作投标无效处理。</w:t>
      </w:r>
    </w:p>
    <w:p w14:paraId="477B28D9">
      <w:pPr>
        <w:ind w:firstLine="480" w:firstLineChars="200"/>
        <w:rPr>
          <w:rFonts w:ascii="宋体" w:hAnsi="宋体" w:eastAsia="宋体"/>
          <w:color w:val="auto"/>
          <w:szCs w:val="21"/>
          <w:highlight w:val="none"/>
        </w:rPr>
      </w:pPr>
      <w:r>
        <w:rPr>
          <w:rFonts w:hint="eastAsia" w:ascii="宋体" w:hAnsi="宋体" w:eastAsia="宋体"/>
          <w:color w:val="auto"/>
          <w:szCs w:val="21"/>
          <w:highlight w:val="none"/>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bookmarkEnd w:id="55"/>
    <w:p w14:paraId="766DF2FC">
      <w:pPr>
        <w:rPr>
          <w:rFonts w:ascii="黑体" w:hAnsi="宋体" w:eastAsia="黑体"/>
          <w:color w:val="auto"/>
          <w:highlight w:val="none"/>
        </w:rPr>
      </w:pPr>
      <w:r>
        <w:rPr>
          <w:rFonts w:hint="eastAsia" w:ascii="黑体" w:hAnsi="宋体" w:eastAsia="黑体"/>
          <w:color w:val="auto"/>
          <w:highlight w:val="none"/>
        </w:rPr>
        <w:t>23．</w:t>
      </w:r>
      <w:bookmarkStart w:id="56" w:name="_Hlk72402860"/>
      <w:r>
        <w:rPr>
          <w:rFonts w:ascii="黑体" w:hAnsi="宋体" w:eastAsia="黑体"/>
          <w:color w:val="auto"/>
          <w:highlight w:val="none"/>
        </w:rPr>
        <w:t>投标文件的</w:t>
      </w:r>
      <w:r>
        <w:rPr>
          <w:rFonts w:hint="eastAsia" w:ascii="黑体" w:hAnsi="宋体" w:eastAsia="黑体"/>
          <w:color w:val="auto"/>
          <w:highlight w:val="none"/>
        </w:rPr>
        <w:t>制作</w:t>
      </w:r>
      <w:r>
        <w:rPr>
          <w:rFonts w:ascii="黑体" w:hAnsi="宋体" w:eastAsia="黑体"/>
          <w:color w:val="auto"/>
          <w:highlight w:val="none"/>
        </w:rPr>
        <w:t>要求</w:t>
      </w:r>
    </w:p>
    <w:p w14:paraId="7378BA1A">
      <w:pPr>
        <w:ind w:firstLine="470" w:firstLineChars="196"/>
        <w:rPr>
          <w:rFonts w:ascii="宋体" w:hAnsi="宋体"/>
          <w:color w:val="auto"/>
          <w:highlight w:val="none"/>
        </w:rPr>
      </w:pPr>
      <w:r>
        <w:rPr>
          <w:rFonts w:hint="eastAsia" w:ascii="宋体" w:hAnsi="宋体"/>
          <w:color w:val="auto"/>
          <w:highlight w:val="none"/>
        </w:rPr>
        <w:t>23.1投标人应准备所投项目的电子投标文件一份。此电子投标文件须由投标人根据</w:t>
      </w:r>
      <w:r>
        <w:rPr>
          <w:rFonts w:hint="eastAsia" w:ascii="宋体" w:hAnsi="宋体" w:eastAsia="宋体"/>
          <w:color w:val="auto"/>
          <w:highlight w:val="none"/>
        </w:rPr>
        <w:t>招标机构</w:t>
      </w:r>
      <w:r>
        <w:rPr>
          <w:rFonts w:hint="eastAsia" w:ascii="宋体" w:hAnsi="宋体"/>
          <w:color w:val="auto"/>
          <w:highlight w:val="none"/>
        </w:rPr>
        <w:t>提供的后缀名为.szczf的电子招标文件，下载并使用相应的深圳智慧采购平台投标文件制作专用软件打开招标文件（.szczf格式）【下载地址：http://zfcg.szggzy.com:8081/cgxy/013002/20210923/173e0b2c-7a4c-4246-a0c7-e0ea75d84dd6.html】。</w:t>
      </w:r>
    </w:p>
    <w:p w14:paraId="72018FF4">
      <w:pPr>
        <w:ind w:firstLine="470" w:firstLineChars="196"/>
        <w:rPr>
          <w:rFonts w:ascii="宋体" w:hAnsi="宋体"/>
          <w:color w:val="auto"/>
          <w:highlight w:val="none"/>
        </w:rPr>
      </w:pPr>
      <w:r>
        <w:rPr>
          <w:rFonts w:hint="eastAsia" w:ascii="宋体" w:hAnsi="宋体"/>
          <w:color w:val="auto"/>
          <w:highlight w:val="none"/>
        </w:rPr>
        <w:t>23.2投标人在使用《投标文件制作软件》编制投标书时须注意：</w:t>
      </w:r>
    </w:p>
    <w:p w14:paraId="1DFF1F2C">
      <w:pPr>
        <w:ind w:firstLine="470" w:firstLineChars="196"/>
        <w:rPr>
          <w:rFonts w:ascii="宋体" w:hAnsi="宋体"/>
          <w:color w:val="auto"/>
          <w:highlight w:val="none"/>
        </w:rPr>
      </w:pPr>
      <w:r>
        <w:rPr>
          <w:rFonts w:hint="eastAsia" w:ascii="宋体" w:hAnsi="宋体"/>
          <w:color w:val="auto"/>
          <w:highlight w:val="none"/>
        </w:rPr>
        <w:t>23.2.1导入《投标文件制作软件》的招标文件项目编号、包号应与以此制作的投标文件项目编号、包号一致。例如，不能将甲项目A包的招标书导入《投标文件制作软件》，制作乙项目B包的投标书。</w:t>
      </w:r>
    </w:p>
    <w:p w14:paraId="4ADE0C33">
      <w:pPr>
        <w:ind w:firstLine="470" w:firstLineChars="196"/>
        <w:rPr>
          <w:rFonts w:ascii="宋体" w:hAnsi="宋体"/>
          <w:color w:val="auto"/>
          <w:highlight w:val="none"/>
        </w:rPr>
      </w:pPr>
      <w:r>
        <w:rPr>
          <w:rFonts w:hint="eastAsia" w:ascii="宋体" w:hAnsi="宋体"/>
          <w:color w:val="auto"/>
          <w:highlight w:val="none"/>
        </w:rPr>
        <w:t>23.2.2不能用非本公司的电子密钥加密本公司的投标文件，或者用其它公司的登录用户上传本公司的投标文件。</w:t>
      </w:r>
    </w:p>
    <w:p w14:paraId="17822245">
      <w:pPr>
        <w:ind w:firstLine="470" w:firstLineChars="196"/>
        <w:rPr>
          <w:rFonts w:ascii="宋体" w:hAnsi="宋体"/>
          <w:color w:val="auto"/>
          <w:highlight w:val="none"/>
        </w:rPr>
      </w:pPr>
      <w:r>
        <w:rPr>
          <w:rFonts w:hint="eastAsia" w:ascii="宋体" w:hAnsi="宋体"/>
          <w:color w:val="auto"/>
          <w:highlight w:val="none"/>
        </w:rPr>
        <w:t>23.2.3要求用《投标文件制作软件》编制投标书的包，不能用其它方式编制投标书。编制投标文件时，电脑须连通互联网。</w:t>
      </w:r>
    </w:p>
    <w:p w14:paraId="582F646D">
      <w:pPr>
        <w:ind w:firstLine="470" w:firstLineChars="196"/>
        <w:rPr>
          <w:rFonts w:ascii="宋体" w:hAnsi="宋体"/>
          <w:color w:val="auto"/>
          <w:highlight w:val="none"/>
        </w:rPr>
      </w:pPr>
      <w:r>
        <w:rPr>
          <w:rFonts w:hint="eastAsia" w:ascii="宋体" w:hAnsi="宋体"/>
          <w:color w:val="auto"/>
          <w:highlight w:val="none"/>
        </w:rPr>
        <w:t>23.2.4投标文件不能带病毒。招标机构将用专业杀毒软件对投标文件进行病毒检测，如果这两种软件均报告发现病毒，则招标机构认为该投标文件带病毒。</w:t>
      </w:r>
    </w:p>
    <w:p w14:paraId="5126085D">
      <w:pPr>
        <w:ind w:firstLine="470" w:firstLineChars="196"/>
        <w:rPr>
          <w:rFonts w:ascii="宋体" w:hAnsi="宋体"/>
          <w:color w:val="auto"/>
          <w:highlight w:val="none"/>
        </w:rPr>
      </w:pPr>
      <w:r>
        <w:rPr>
          <w:rFonts w:hint="eastAsia" w:ascii="宋体" w:hAnsi="宋体"/>
          <w:color w:val="auto"/>
          <w:highlight w:val="none"/>
        </w:rPr>
        <w:t>23.2.5完整填写“投标关键信息”，如下图所示：</w:t>
      </w:r>
    </w:p>
    <w:p w14:paraId="18083FD8">
      <w:pPr>
        <w:ind w:firstLine="470" w:firstLineChars="196"/>
        <w:rPr>
          <w:rFonts w:ascii="宋体" w:hAnsi="宋体"/>
          <w:color w:val="auto"/>
          <w:highlight w:val="none"/>
        </w:rPr>
      </w:pPr>
      <w:r>
        <w:rPr>
          <w:rFonts w:ascii="宋体" w:hAnsi="宋体"/>
          <w:color w:val="auto"/>
          <w:highlight w:val="none"/>
        </w:rPr>
        <w:drawing>
          <wp:inline distT="0" distB="0" distL="0" distR="0">
            <wp:extent cx="5278755" cy="2721610"/>
            <wp:effectExtent l="0" t="0" r="0" b="2540"/>
            <wp:docPr id="9" name="图片 9"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形用户界面, 应用程序&#10;&#10;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8755" cy="2721610"/>
                    </a:xfrm>
                    <a:prstGeom prst="rect">
                      <a:avLst/>
                    </a:prstGeom>
                    <a:noFill/>
                    <a:ln>
                      <a:noFill/>
                    </a:ln>
                  </pic:spPr>
                </pic:pic>
              </a:graphicData>
            </a:graphic>
          </wp:inline>
        </w:drawing>
      </w:r>
    </w:p>
    <w:p w14:paraId="567CAAFD">
      <w:pPr>
        <w:ind w:firstLine="471" w:firstLineChars="196"/>
        <w:rPr>
          <w:rFonts w:ascii="宋体" w:hAnsi="宋体"/>
          <w:b/>
          <w:color w:val="auto"/>
          <w:highlight w:val="none"/>
        </w:rPr>
      </w:pPr>
      <w:r>
        <w:rPr>
          <w:rFonts w:hint="eastAsia" w:ascii="宋体" w:hAnsi="宋体"/>
          <w:b/>
          <w:color w:val="auto"/>
          <w:highlight w:val="none"/>
        </w:rPr>
        <w:t>备注：上述“开标一览表”中的“投标总价”将作为价格分计算依据；其它信息仅是对投标文件相关内容的概括性表述，不作为评审依据。</w:t>
      </w:r>
    </w:p>
    <w:p w14:paraId="4E314A51">
      <w:pPr>
        <w:ind w:firstLine="470" w:firstLineChars="196"/>
        <w:rPr>
          <w:rFonts w:ascii="宋体" w:hAnsi="宋体"/>
          <w:color w:val="auto"/>
          <w:highlight w:val="none"/>
        </w:rPr>
      </w:pPr>
      <w:r>
        <w:rPr>
          <w:rFonts w:hint="eastAsia" w:ascii="宋体" w:hAnsi="宋体"/>
          <w:color w:val="auto"/>
          <w:highlight w:val="none"/>
        </w:rPr>
        <w:t>23.2.6投标人在编辑投标文件时，</w:t>
      </w:r>
      <w:r>
        <w:rPr>
          <w:rFonts w:hint="eastAsia" w:ascii="宋体" w:hAnsi="宋体"/>
          <w:b/>
          <w:color w:val="auto"/>
          <w:highlight w:val="none"/>
        </w:rPr>
        <w:t>在投标文件目录中属于本节点内容的必须在本节点中填写，填写到其他节点或附件，</w:t>
      </w:r>
      <w:r>
        <w:rPr>
          <w:rFonts w:hint="eastAsia" w:ascii="宋体" w:hAnsi="宋体"/>
          <w:color w:val="auto"/>
          <w:highlight w:val="none"/>
        </w:rPr>
        <w:t>一切后果由供应商自行承担。</w:t>
      </w:r>
    </w:p>
    <w:p w14:paraId="78A4ABA0">
      <w:pPr>
        <w:ind w:firstLine="470" w:firstLineChars="196"/>
        <w:rPr>
          <w:rFonts w:ascii="宋体" w:hAnsi="宋体"/>
          <w:color w:val="auto"/>
          <w:highlight w:val="none"/>
        </w:rPr>
      </w:pPr>
      <w:r>
        <w:rPr>
          <w:rFonts w:hint="eastAsia" w:ascii="宋体" w:hAnsi="宋体"/>
          <w:color w:val="auto"/>
          <w:highlight w:val="none"/>
        </w:rPr>
        <w:t>23.2.7投标文件编写完成后，</w:t>
      </w:r>
      <w:r>
        <w:rPr>
          <w:rFonts w:hint="eastAsia" w:ascii="宋体" w:hAnsi="宋体"/>
          <w:b/>
          <w:color w:val="auto"/>
          <w:highlight w:val="none"/>
        </w:rPr>
        <w:t>必须用属于投标人的电子密钥进行加密，否则视同未盖公章，将导致投标文件无效。</w:t>
      </w:r>
    </w:p>
    <w:p w14:paraId="0805B7DD">
      <w:pPr>
        <w:ind w:firstLine="470" w:firstLineChars="196"/>
        <w:rPr>
          <w:rFonts w:ascii="宋体" w:hAnsi="宋体"/>
          <w:color w:val="auto"/>
          <w:highlight w:val="none"/>
        </w:rPr>
      </w:pPr>
      <w:r>
        <w:rPr>
          <w:rFonts w:hint="eastAsia" w:ascii="宋体" w:hAnsi="宋体"/>
          <w:color w:val="auto"/>
          <w:highlight w:val="none"/>
        </w:rPr>
        <w:t>23.2.8招标机构不接受投标截止时间后递交的纸质、电子、传真等所有形式的投标文件。由于对网上政府采购系统操作不熟悉或自身电脑、网络等原因导致不能在投标截止时间之前上传投标文件，招标机构概不负责。建议于开标前一个工作日完成投标文件的制作与上传，如上传确有困难，请及时咨询。</w:t>
      </w:r>
    </w:p>
    <w:p w14:paraId="036544C0">
      <w:pPr>
        <w:ind w:firstLine="470" w:firstLineChars="196"/>
        <w:rPr>
          <w:rFonts w:ascii="宋体" w:hAnsi="宋体"/>
          <w:color w:val="auto"/>
          <w:highlight w:val="none"/>
        </w:rPr>
      </w:pPr>
      <w:r>
        <w:rPr>
          <w:rFonts w:hint="eastAsia" w:ascii="宋体" w:hAnsi="宋体"/>
          <w:color w:val="auto"/>
          <w:highlight w:val="none"/>
        </w:rPr>
        <w:t>23.2.9如果开标时出现网络故障、技术故障，影响了政府采购活动，招标机构有权采取措施如延期、接受无法从网上上传的投标书等，以保障政府采购活动的公开、公平和公正。</w:t>
      </w:r>
    </w:p>
    <w:p w14:paraId="102EFEB8">
      <w:pPr>
        <w:ind w:firstLine="470" w:firstLineChars="196"/>
        <w:rPr>
          <w:rFonts w:ascii="宋体" w:hAnsi="宋体"/>
          <w:color w:val="auto"/>
          <w:highlight w:val="none"/>
        </w:rPr>
      </w:pPr>
      <w:r>
        <w:rPr>
          <w:rFonts w:hint="eastAsia" w:ascii="宋体" w:hAnsi="宋体"/>
          <w:color w:val="auto"/>
          <w:highlight w:val="none"/>
        </w:rPr>
        <w:t>23.3电报、电话、传真形式的投标概不接受。</w:t>
      </w:r>
    </w:p>
    <w:p w14:paraId="1542478A">
      <w:pPr>
        <w:ind w:firstLine="471" w:firstLineChars="196"/>
        <w:rPr>
          <w:rFonts w:ascii="宋体" w:hAnsi="宋体"/>
          <w:b/>
          <w:color w:val="auto"/>
          <w:highlight w:val="none"/>
        </w:rPr>
      </w:pPr>
      <w:r>
        <w:rPr>
          <w:rFonts w:hint="eastAsia" w:ascii="宋体" w:hAnsi="宋体"/>
          <w:b/>
          <w:color w:val="auto"/>
          <w:highlight w:val="none"/>
        </w:rPr>
        <w:t>23.4经投标人电子密钥加密的投标文件无须盖章或签字，</w:t>
      </w:r>
      <w:r>
        <w:rPr>
          <w:rFonts w:hint="eastAsia" w:ascii="宋体" w:hAnsi="宋体"/>
          <w:color w:val="auto"/>
          <w:highlight w:val="none"/>
        </w:rPr>
        <w:t>专用条款另有要求的除外。</w:t>
      </w:r>
    </w:p>
    <w:p w14:paraId="371DDF47">
      <w:pPr>
        <w:ind w:firstLine="471" w:firstLineChars="196"/>
        <w:rPr>
          <w:rFonts w:ascii="宋体" w:hAnsi="宋体"/>
          <w:color w:val="auto"/>
          <w:highlight w:val="none"/>
        </w:rPr>
      </w:pPr>
      <w:r>
        <w:rPr>
          <w:rFonts w:hint="eastAsia" w:ascii="宋体" w:hAnsi="宋体"/>
          <w:b/>
          <w:color w:val="auto"/>
          <w:highlight w:val="none"/>
        </w:rPr>
        <w:t>23.5</w:t>
      </w:r>
      <w:r>
        <w:rPr>
          <w:rFonts w:hint="eastAsia" w:ascii="宋体" w:hAnsi="宋体"/>
          <w:color w:val="auto"/>
          <w:highlight w:val="none"/>
        </w:rPr>
        <w:t xml:space="preserve"> 各类资格（资质）文件提供扫描件，专用条款另有要求的除外。</w:t>
      </w:r>
      <w:bookmarkEnd w:id="56"/>
    </w:p>
    <w:p w14:paraId="1547CC2C">
      <w:pPr>
        <w:pStyle w:val="6"/>
        <w:rPr>
          <w:color w:val="auto"/>
          <w:highlight w:val="none"/>
        </w:rPr>
      </w:pPr>
    </w:p>
    <w:p w14:paraId="7B31BF34">
      <w:pPr>
        <w:rPr>
          <w:color w:val="auto"/>
          <w:highlight w:val="none"/>
        </w:rPr>
      </w:pPr>
    </w:p>
    <w:p w14:paraId="6D6CF82B">
      <w:pPr>
        <w:pStyle w:val="6"/>
        <w:rPr>
          <w:color w:val="auto"/>
          <w:highlight w:val="none"/>
        </w:rPr>
      </w:pPr>
    </w:p>
    <w:p w14:paraId="045FDCF3">
      <w:pPr>
        <w:rPr>
          <w:color w:val="auto"/>
          <w:highlight w:val="none"/>
        </w:rPr>
      </w:pPr>
    </w:p>
    <w:p w14:paraId="557EA2AB">
      <w:pPr>
        <w:pStyle w:val="6"/>
        <w:rPr>
          <w:color w:val="auto"/>
          <w:highlight w:val="none"/>
        </w:rPr>
      </w:pPr>
    </w:p>
    <w:p w14:paraId="73B6B52F">
      <w:pPr>
        <w:rPr>
          <w:color w:val="auto"/>
          <w:highlight w:val="none"/>
        </w:rPr>
      </w:pPr>
    </w:p>
    <w:p w14:paraId="089F94CE">
      <w:pPr>
        <w:pStyle w:val="6"/>
        <w:rPr>
          <w:color w:val="auto"/>
          <w:highlight w:val="none"/>
        </w:rPr>
      </w:pPr>
    </w:p>
    <w:p w14:paraId="53C56799">
      <w:pPr>
        <w:rPr>
          <w:color w:val="auto"/>
          <w:highlight w:val="none"/>
        </w:rPr>
      </w:pPr>
    </w:p>
    <w:p w14:paraId="05FEDA8A">
      <w:pPr>
        <w:pStyle w:val="6"/>
        <w:rPr>
          <w:color w:val="auto"/>
          <w:highlight w:val="none"/>
        </w:rPr>
      </w:pPr>
    </w:p>
    <w:p w14:paraId="1DBB18F5">
      <w:pPr>
        <w:rPr>
          <w:color w:val="auto"/>
          <w:highlight w:val="none"/>
        </w:rPr>
      </w:pPr>
    </w:p>
    <w:p w14:paraId="2AABB530">
      <w:pPr>
        <w:pStyle w:val="6"/>
        <w:rPr>
          <w:color w:val="auto"/>
          <w:highlight w:val="none"/>
        </w:rPr>
      </w:pPr>
    </w:p>
    <w:p w14:paraId="62FEAC79">
      <w:pPr>
        <w:rPr>
          <w:color w:val="auto"/>
          <w:highlight w:val="none"/>
        </w:rPr>
      </w:pPr>
    </w:p>
    <w:p w14:paraId="35F22F56">
      <w:pPr>
        <w:pStyle w:val="6"/>
        <w:rPr>
          <w:color w:val="auto"/>
          <w:highlight w:val="none"/>
        </w:rPr>
      </w:pPr>
    </w:p>
    <w:p w14:paraId="3121B88B">
      <w:pPr>
        <w:pStyle w:val="6"/>
        <w:rPr>
          <w:color w:val="auto"/>
          <w:highlight w:val="none"/>
        </w:rPr>
      </w:pPr>
    </w:p>
    <w:p w14:paraId="6FD961A2">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投标文件的递交</w:t>
      </w:r>
      <w:bookmarkStart w:id="57" w:name="_Hlk72405459"/>
    </w:p>
    <w:p w14:paraId="620D4F18">
      <w:pPr>
        <w:rPr>
          <w:rFonts w:ascii="黑体" w:hAnsi="宋体" w:eastAsia="黑体"/>
          <w:color w:val="auto"/>
          <w:highlight w:val="none"/>
        </w:rPr>
      </w:pPr>
      <w:r>
        <w:rPr>
          <w:rFonts w:hint="eastAsia" w:ascii="黑体" w:hAnsi="宋体" w:eastAsia="黑体"/>
          <w:color w:val="auto"/>
          <w:highlight w:val="none"/>
        </w:rPr>
        <w:t>24．投标书的保密</w:t>
      </w:r>
    </w:p>
    <w:p w14:paraId="31B39A69">
      <w:pPr>
        <w:ind w:firstLine="470" w:firstLineChars="196"/>
        <w:rPr>
          <w:rFonts w:ascii="宋体" w:hAnsi="宋体"/>
          <w:color w:val="auto"/>
          <w:highlight w:val="none"/>
        </w:rPr>
      </w:pPr>
      <w:r>
        <w:rPr>
          <w:rFonts w:hint="eastAsia" w:ascii="宋体" w:hAnsi="宋体"/>
          <w:color w:val="auto"/>
          <w:highlight w:val="none"/>
        </w:rPr>
        <w:t>24.1在投标文件制作完成后，在投标文件制作软件点击【生成标书】按钮进入【填写开标一览表界面】界面，在该界面填写完开标一览表信息后点击【确定】，进入投标文件生成环节。投标文件制作软件会在投标文件生成过程中，提示用户输入密码，输入密码后对标文件自动进行加密，此加密程序确保投标文件在到达开标时间后才能解密查看。在加密过程中，请按照软件提示进行操作。加密操作界面如下图所示：</w:t>
      </w:r>
    </w:p>
    <w:p w14:paraId="1AD4384E">
      <w:pPr>
        <w:ind w:firstLine="470" w:firstLineChars="196"/>
        <w:rPr>
          <w:rFonts w:ascii="宋体" w:hAnsi="宋体"/>
          <w:color w:val="auto"/>
          <w:highlight w:val="none"/>
        </w:rPr>
      </w:pPr>
      <w:r>
        <w:rPr>
          <w:rFonts w:ascii="宋体" w:hAnsi="宋体"/>
          <w:color w:val="auto"/>
          <w:highlight w:val="none"/>
        </w:rPr>
        <w:drawing>
          <wp:inline distT="0" distB="0" distL="0" distR="0">
            <wp:extent cx="5278755" cy="2721610"/>
            <wp:effectExtent l="0" t="0" r="0" b="2540"/>
            <wp:docPr id="7" name="图片 7"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形用户界面, 应用程序&#10;&#10;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8755" cy="2721610"/>
                    </a:xfrm>
                    <a:prstGeom prst="rect">
                      <a:avLst/>
                    </a:prstGeom>
                    <a:noFill/>
                    <a:ln>
                      <a:noFill/>
                    </a:ln>
                  </pic:spPr>
                </pic:pic>
              </a:graphicData>
            </a:graphic>
          </wp:inline>
        </w:drawing>
      </w:r>
    </w:p>
    <w:p w14:paraId="5C2F556B">
      <w:pPr>
        <w:ind w:firstLine="470" w:firstLineChars="196"/>
        <w:rPr>
          <w:rFonts w:ascii="宋体" w:hAnsi="宋体"/>
          <w:color w:val="auto"/>
          <w:highlight w:val="none"/>
        </w:rPr>
      </w:pPr>
      <w:r>
        <w:rPr>
          <w:rFonts w:hint="eastAsia" w:ascii="宋体" w:hAnsi="宋体"/>
          <w:color w:val="auto"/>
          <w:highlight w:val="none"/>
        </w:rPr>
        <w:t>在投标文件制作软件点击【生成标书】按钮进入【填写开标一览表界面】界面，在该界面填写完开标一览表信息后点击【确定】，进入投标文件生成环节。</w:t>
      </w:r>
      <w:r>
        <w:rPr>
          <w:rFonts w:ascii="宋体" w:hAnsi="宋体"/>
          <w:color w:val="auto"/>
          <w:highlight w:val="none"/>
        </w:rPr>
        <w:drawing>
          <wp:inline distT="0" distB="0" distL="0" distR="0">
            <wp:extent cx="5278755" cy="2732405"/>
            <wp:effectExtent l="0" t="0" r="0" b="0"/>
            <wp:docPr id="8" name="图片 8"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8755" cy="2732405"/>
                    </a:xfrm>
                    <a:prstGeom prst="rect">
                      <a:avLst/>
                    </a:prstGeom>
                    <a:noFill/>
                    <a:ln>
                      <a:noFill/>
                    </a:ln>
                  </pic:spPr>
                </pic:pic>
              </a:graphicData>
            </a:graphic>
          </wp:inline>
        </w:drawing>
      </w:r>
    </w:p>
    <w:p w14:paraId="1C5B7DCA">
      <w:pPr>
        <w:ind w:firstLine="470" w:firstLineChars="196"/>
        <w:rPr>
          <w:rFonts w:ascii="宋体" w:hAnsi="宋体"/>
          <w:color w:val="auto"/>
          <w:highlight w:val="none"/>
        </w:rPr>
      </w:pPr>
      <w:r>
        <w:rPr>
          <w:rFonts w:hint="eastAsia" w:ascii="宋体" w:hAnsi="宋体"/>
          <w:color w:val="auto"/>
          <w:highlight w:val="none"/>
        </w:rPr>
        <w:t>投标文件制作软件会在投标文件生成过程中，提示用户输入密码，输入密码后对标文件自动进行加密。</w:t>
      </w:r>
    </w:p>
    <w:p w14:paraId="5201FA98">
      <w:pPr>
        <w:ind w:firstLine="480" w:firstLineChars="200"/>
        <w:rPr>
          <w:rFonts w:ascii="宋体" w:hAnsi="宋体"/>
          <w:b/>
          <w:color w:val="auto"/>
          <w:highlight w:val="none"/>
        </w:rPr>
      </w:pPr>
      <w:r>
        <w:rPr>
          <w:rFonts w:hint="eastAsia" w:ascii="宋体" w:hAnsi="宋体"/>
          <w:b/>
          <w:color w:val="auto"/>
          <w:highlight w:val="none"/>
        </w:rPr>
        <w:t>24.2若采购项目出现延期情况：</w:t>
      </w:r>
    </w:p>
    <w:p w14:paraId="26207185">
      <w:pPr>
        <w:ind w:firstLine="480" w:firstLineChars="200"/>
        <w:rPr>
          <w:rFonts w:ascii="宋体" w:hAnsi="宋体" w:eastAsia="宋体" w:cs="宋体"/>
          <w:b/>
          <w:color w:val="auto"/>
          <w:highlight w:val="none"/>
        </w:rPr>
      </w:pPr>
      <w:r>
        <w:rPr>
          <w:rFonts w:hint="eastAsia" w:ascii="宋体" w:hAnsi="宋体"/>
          <w:b/>
          <w:color w:val="auto"/>
          <w:highlight w:val="none"/>
        </w:rPr>
        <w:t>如果供下载的招标文件（后缀名为.</w:t>
      </w:r>
      <w:r>
        <w:rPr>
          <w:rFonts w:ascii="宋体" w:hAnsi="宋体"/>
          <w:b/>
          <w:color w:val="auto"/>
          <w:highlight w:val="none"/>
        </w:rPr>
        <w:t>szczf</w:t>
      </w:r>
      <w:r>
        <w:rPr>
          <w:rFonts w:hint="eastAsia" w:ascii="宋体" w:hAnsi="宋体"/>
          <w:b/>
          <w:color w:val="auto"/>
          <w:highlight w:val="none"/>
        </w:rPr>
        <w:t>）有更新，投标人必须重新下载招标文件、重新制作投标文件、重新加密投标文件、重新上传投标文件；如果供下载的招标文件（后缀名为.</w:t>
      </w:r>
      <w:r>
        <w:rPr>
          <w:rFonts w:ascii="宋体" w:hAnsi="宋体"/>
          <w:b/>
          <w:color w:val="auto"/>
          <w:highlight w:val="none"/>
        </w:rPr>
        <w:t>szczf</w:t>
      </w:r>
      <w:r>
        <w:rPr>
          <w:rFonts w:hint="eastAsia" w:ascii="宋体" w:hAnsi="宋体"/>
          <w:b/>
          <w:color w:val="auto"/>
          <w:highlight w:val="none"/>
        </w:rPr>
        <w:t>）没有更新，投标人必须重新加密投标文件、重新上传投标文件（是否重新制作投标文件根据项目实际情况定）。否则，投标人自行承担投标文件无法解密导致投标无效的后果。</w:t>
      </w:r>
    </w:p>
    <w:p w14:paraId="4EDB7DDC">
      <w:pPr>
        <w:rPr>
          <w:rFonts w:ascii="黑体" w:hAnsi="宋体" w:eastAsia="黑体"/>
          <w:color w:val="auto"/>
          <w:highlight w:val="none"/>
        </w:rPr>
      </w:pPr>
      <w:r>
        <w:rPr>
          <w:rFonts w:hint="eastAsia" w:ascii="黑体" w:hAnsi="宋体" w:eastAsia="黑体"/>
          <w:color w:val="auto"/>
          <w:highlight w:val="none"/>
        </w:rPr>
        <w:t>25．上传投标文件及投标截止日期</w:t>
      </w:r>
    </w:p>
    <w:p w14:paraId="16294BEF">
      <w:pPr>
        <w:ind w:firstLine="480" w:firstLineChars="200"/>
        <w:rPr>
          <w:rFonts w:hint="eastAsia" w:ascii="宋体" w:hAnsi="宋体" w:eastAsia="宋体" w:cs="宋体"/>
          <w:bCs/>
          <w:color w:val="auto"/>
          <w:highlight w:val="none"/>
        </w:rPr>
      </w:pPr>
      <w:r>
        <w:rPr>
          <w:rFonts w:hint="eastAsia" w:ascii="宋体" w:hAnsi="宋体" w:eastAsia="宋体" w:cs="宋体"/>
          <w:bCs/>
          <w:color w:val="auto"/>
          <w:highlight w:val="none"/>
        </w:rPr>
        <w:t>25.1实行网上投标，投标人必须在招标文件规定的投标截止时间前用电子密钥登录“深圳政府采购智慧平台用户网上办事子系统（http://zfcg.szggzy.com:8081/TPBidder/memberLogin）”，用“【我的项目】→【项目流程】→【递交投标(应答)文件】”功能点上传投标文件。如上传过程中遇到问题，可拨打技术支持电话，联系方式：</w:t>
      </w:r>
      <w:r>
        <w:rPr>
          <w:rFonts w:hint="eastAsia" w:ascii="宋体" w:hAnsi="宋体"/>
          <w:color w:val="auto"/>
          <w:highlight w:val="none"/>
          <w:lang w:eastAsia="zh-CN"/>
        </w:rPr>
        <w:t>0755-88653300</w:t>
      </w:r>
      <w:r>
        <w:rPr>
          <w:rFonts w:hint="eastAsia" w:ascii="宋体" w:hAnsi="宋体"/>
          <w:color w:val="auto"/>
          <w:highlight w:val="none"/>
          <w:lang w:val="en-US" w:eastAsia="zh-CN"/>
        </w:rPr>
        <w:t>-</w:t>
      </w:r>
      <w:r>
        <w:rPr>
          <w:rFonts w:hint="eastAsia" w:ascii="宋体" w:hAnsi="宋体"/>
          <w:color w:val="auto"/>
          <w:highlight w:val="none"/>
          <w:lang w:eastAsia="zh-CN"/>
        </w:rPr>
        <w:t>6</w:t>
      </w:r>
      <w:r>
        <w:rPr>
          <w:rFonts w:hint="eastAsia" w:ascii="宋体" w:hAnsi="宋体" w:eastAsia="宋体" w:cs="宋体"/>
          <w:bCs/>
          <w:color w:val="auto"/>
          <w:highlight w:val="none"/>
        </w:rPr>
        <w:t>。</w:t>
      </w:r>
    </w:p>
    <w:p w14:paraId="671C48EF">
      <w:pPr>
        <w:ind w:firstLine="480" w:firstLineChars="200"/>
        <w:rPr>
          <w:rFonts w:ascii="宋体" w:hAnsi="宋体" w:eastAsia="宋体" w:cs="宋体"/>
          <w:bCs/>
          <w:color w:val="auto"/>
          <w:highlight w:val="none"/>
        </w:rPr>
      </w:pPr>
      <w:r>
        <w:rPr>
          <w:rFonts w:hint="eastAsia" w:ascii="宋体" w:hAnsi="宋体" w:eastAsia="宋体" w:cs="宋体"/>
          <w:bCs/>
          <w:color w:val="auto"/>
          <w:highlight w:val="none"/>
        </w:rPr>
        <w:t>25.2招标机构可以按本通用条款第13条规定，通过修改招标文件自行决定酌情延长投标截止期。在此情况下，招标机构、采购人和投标人受投标截止期制约的所有权利和义务均应延长至新的截止期。</w:t>
      </w:r>
    </w:p>
    <w:p w14:paraId="43C56447">
      <w:pPr>
        <w:ind w:firstLine="480" w:firstLineChars="200"/>
        <w:rPr>
          <w:rFonts w:ascii="宋体" w:hAnsi="宋体" w:eastAsia="宋体" w:cs="宋体"/>
          <w:bCs/>
          <w:color w:val="auto"/>
          <w:highlight w:val="none"/>
        </w:rPr>
      </w:pPr>
      <w:r>
        <w:rPr>
          <w:rFonts w:hint="eastAsia" w:ascii="宋体" w:hAnsi="宋体" w:eastAsia="宋体" w:cs="宋体"/>
          <w:bCs/>
          <w:color w:val="auto"/>
          <w:highlight w:val="none"/>
        </w:rPr>
        <w:t>25</w:t>
      </w:r>
      <w:r>
        <w:rPr>
          <w:rFonts w:ascii="宋体" w:hAnsi="宋体" w:eastAsia="宋体" w:cs="宋体"/>
          <w:bCs/>
          <w:color w:val="auto"/>
          <w:highlight w:val="none"/>
        </w:rPr>
        <w:t>.</w:t>
      </w:r>
      <w:r>
        <w:rPr>
          <w:rFonts w:hint="eastAsia" w:ascii="宋体" w:hAnsi="宋体" w:eastAsia="宋体" w:cs="宋体"/>
          <w:bCs/>
          <w:color w:val="auto"/>
          <w:highlight w:val="none"/>
        </w:rPr>
        <w:t>3投标截止时间以后不得上传投标文件。</w:t>
      </w:r>
    </w:p>
    <w:p w14:paraId="5E3BAABD">
      <w:pPr>
        <w:ind w:firstLine="480" w:firstLineChars="200"/>
        <w:rPr>
          <w:rFonts w:ascii="宋体" w:hAnsi="宋体" w:eastAsia="宋体" w:cs="宋体"/>
          <w:bCs/>
          <w:color w:val="auto"/>
          <w:highlight w:val="none"/>
        </w:rPr>
      </w:pPr>
      <w:r>
        <w:rPr>
          <w:rFonts w:hint="eastAsia" w:ascii="宋体" w:hAnsi="宋体" w:eastAsia="宋体" w:cs="宋体"/>
          <w:bCs/>
          <w:color w:val="auto"/>
          <w:highlight w:val="none"/>
        </w:rPr>
        <w:t>25.4.投标人须在开标当日的开标时间至解密截止时间内进行解密，逾期未解密的作无效处理。解密方法：登录“深圳政府采购智慧平台用户网上办事子系统（http://zfcg.szggzy.com:8081/TPBidder/memberLogin）”，使用本单位制作电子投标文件同一个电子密钥，在“【我的项目】→【项目流程】→【开标及解密】”进行在线解密、查询开标情况。</w:t>
      </w:r>
    </w:p>
    <w:bookmarkEnd w:id="57"/>
    <w:p w14:paraId="54083B94">
      <w:pPr>
        <w:rPr>
          <w:rFonts w:ascii="黑体" w:hAnsi="宋体" w:eastAsia="黑体"/>
          <w:color w:val="auto"/>
          <w:highlight w:val="none"/>
        </w:rPr>
      </w:pPr>
      <w:r>
        <w:rPr>
          <w:rFonts w:hint="eastAsia" w:ascii="黑体" w:hAnsi="宋体" w:eastAsia="黑体"/>
          <w:color w:val="auto"/>
          <w:highlight w:val="none"/>
        </w:rPr>
        <w:t>26. 样品、现场演示、方案讲解</w:t>
      </w:r>
    </w:p>
    <w:p w14:paraId="5B4B4087">
      <w:pPr>
        <w:ind w:firstLine="470" w:firstLineChars="196"/>
        <w:rPr>
          <w:rFonts w:ascii="宋体" w:hAnsi="宋体"/>
          <w:color w:val="auto"/>
          <w:szCs w:val="21"/>
          <w:highlight w:val="none"/>
        </w:rPr>
      </w:pPr>
      <w:r>
        <w:rPr>
          <w:rFonts w:hint="eastAsia" w:ascii="宋体" w:hAnsi="宋体"/>
          <w:color w:val="auto"/>
          <w:szCs w:val="21"/>
          <w:highlight w:val="none"/>
        </w:rPr>
        <w:t>26.1 样品、现场演示、方案讲解等事项在招标文件专用条款中进行规定。</w:t>
      </w:r>
    </w:p>
    <w:p w14:paraId="66EC6F36">
      <w:pPr>
        <w:rPr>
          <w:rFonts w:ascii="黑体" w:hAnsi="宋体" w:eastAsia="黑体"/>
          <w:color w:val="auto"/>
          <w:highlight w:val="none"/>
        </w:rPr>
      </w:pPr>
      <w:bookmarkStart w:id="58" w:name="_Hlk72428346"/>
      <w:r>
        <w:rPr>
          <w:rFonts w:ascii="黑体" w:hAnsi="宋体" w:eastAsia="黑体"/>
          <w:color w:val="auto"/>
          <w:highlight w:val="none"/>
        </w:rPr>
        <w:t>2</w:t>
      </w:r>
      <w:r>
        <w:rPr>
          <w:rFonts w:hint="eastAsia" w:ascii="黑体" w:hAnsi="宋体" w:eastAsia="黑体"/>
          <w:color w:val="auto"/>
          <w:highlight w:val="none"/>
        </w:rPr>
        <w:t>7．</w:t>
      </w:r>
      <w:r>
        <w:rPr>
          <w:rFonts w:ascii="黑体" w:hAnsi="宋体" w:eastAsia="黑体"/>
          <w:color w:val="auto"/>
          <w:highlight w:val="none"/>
        </w:rPr>
        <w:t>投标文件的修改和撤销</w:t>
      </w:r>
    </w:p>
    <w:p w14:paraId="0B03DD73">
      <w:pPr>
        <w:ind w:firstLine="470" w:firstLineChars="196"/>
        <w:rPr>
          <w:rFonts w:ascii="宋体" w:hAnsi="宋体"/>
          <w:color w:val="auto"/>
          <w:highlight w:val="none"/>
        </w:rPr>
      </w:pPr>
      <w:r>
        <w:rPr>
          <w:rFonts w:ascii="宋体" w:hAnsi="宋体"/>
          <w:color w:val="auto"/>
          <w:highlight w:val="none"/>
        </w:rPr>
        <w:t>2</w:t>
      </w:r>
      <w:r>
        <w:rPr>
          <w:rFonts w:hint="eastAsia" w:ascii="宋体" w:hAnsi="宋体"/>
          <w:color w:val="auto"/>
          <w:highlight w:val="none"/>
        </w:rPr>
        <w:t>7</w:t>
      </w:r>
      <w:r>
        <w:rPr>
          <w:rFonts w:ascii="宋体" w:hAnsi="宋体"/>
          <w:color w:val="auto"/>
          <w:highlight w:val="none"/>
        </w:rPr>
        <w:t>.</w:t>
      </w:r>
      <w:r>
        <w:rPr>
          <w:rFonts w:hint="eastAsia" w:ascii="宋体" w:hAnsi="宋体"/>
          <w:color w:val="auto"/>
          <w:highlight w:val="none"/>
        </w:rPr>
        <w:t>1</w:t>
      </w:r>
      <w:r>
        <w:rPr>
          <w:rFonts w:ascii="宋体" w:hAnsi="宋体"/>
          <w:color w:val="auto"/>
          <w:highlight w:val="none"/>
        </w:rPr>
        <w:t>投标方在提交投标文件后可对其投标文件进行修改</w:t>
      </w:r>
      <w:r>
        <w:rPr>
          <w:rFonts w:hint="eastAsia" w:ascii="宋体" w:hAnsi="宋体"/>
          <w:color w:val="auto"/>
          <w:highlight w:val="none"/>
        </w:rPr>
        <w:t>并重新上传投标文件</w:t>
      </w:r>
      <w:r>
        <w:rPr>
          <w:rFonts w:ascii="宋体" w:hAnsi="宋体"/>
          <w:color w:val="auto"/>
          <w:highlight w:val="none"/>
        </w:rPr>
        <w:t>或</w:t>
      </w:r>
      <w:r>
        <w:rPr>
          <w:rFonts w:hint="eastAsia" w:ascii="宋体" w:hAnsi="宋体"/>
          <w:color w:val="auto"/>
          <w:highlight w:val="none"/>
        </w:rPr>
        <w:t>在网上进行</w:t>
      </w:r>
      <w:r>
        <w:rPr>
          <w:rFonts w:ascii="宋体" w:hAnsi="宋体"/>
          <w:color w:val="auto"/>
          <w:highlight w:val="none"/>
        </w:rPr>
        <w:t>撤销</w:t>
      </w:r>
      <w:r>
        <w:rPr>
          <w:rFonts w:hint="eastAsia" w:ascii="宋体" w:hAnsi="宋体"/>
          <w:color w:val="auto"/>
          <w:highlight w:val="none"/>
        </w:rPr>
        <w:t>投标的操作</w:t>
      </w:r>
      <w:r>
        <w:rPr>
          <w:rFonts w:ascii="宋体" w:hAnsi="宋体"/>
          <w:color w:val="auto"/>
          <w:highlight w:val="none"/>
        </w:rPr>
        <w:t>。</w:t>
      </w:r>
    </w:p>
    <w:p w14:paraId="40B36267">
      <w:pPr>
        <w:ind w:firstLine="470" w:firstLineChars="196"/>
        <w:rPr>
          <w:rFonts w:ascii="宋体" w:hAnsi="宋体"/>
          <w:color w:val="auto"/>
          <w:highlight w:val="none"/>
        </w:rPr>
      </w:pPr>
      <w:r>
        <w:rPr>
          <w:rFonts w:ascii="宋体" w:hAnsi="宋体"/>
          <w:color w:val="auto"/>
          <w:highlight w:val="none"/>
        </w:rPr>
        <w:t>2</w:t>
      </w:r>
      <w:r>
        <w:rPr>
          <w:rFonts w:hint="eastAsia" w:ascii="宋体" w:hAnsi="宋体"/>
          <w:color w:val="auto"/>
          <w:highlight w:val="none"/>
        </w:rPr>
        <w:t>7</w:t>
      </w:r>
      <w:r>
        <w:rPr>
          <w:rFonts w:ascii="宋体" w:hAnsi="宋体"/>
          <w:color w:val="auto"/>
          <w:highlight w:val="none"/>
        </w:rPr>
        <w:t>.</w:t>
      </w:r>
      <w:r>
        <w:rPr>
          <w:rFonts w:hint="eastAsia" w:ascii="宋体" w:hAnsi="宋体"/>
          <w:color w:val="auto"/>
          <w:highlight w:val="none"/>
        </w:rPr>
        <w:t>2</w:t>
      </w:r>
      <w:r>
        <w:rPr>
          <w:rFonts w:ascii="宋体" w:hAnsi="宋体"/>
          <w:color w:val="auto"/>
          <w:highlight w:val="none"/>
        </w:rPr>
        <w:t>投标截止时间以后不得修改投标文件。</w:t>
      </w:r>
    </w:p>
    <w:p w14:paraId="41636C7A">
      <w:pPr>
        <w:ind w:firstLine="470" w:firstLineChars="196"/>
        <w:rPr>
          <w:rFonts w:ascii="宋体" w:hAnsi="宋体"/>
          <w:color w:val="auto"/>
          <w:highlight w:val="none"/>
        </w:rPr>
      </w:pPr>
      <w:r>
        <w:rPr>
          <w:rFonts w:ascii="宋体" w:hAnsi="宋体"/>
          <w:color w:val="auto"/>
          <w:highlight w:val="none"/>
        </w:rPr>
        <w:t>2</w:t>
      </w:r>
      <w:r>
        <w:rPr>
          <w:rFonts w:hint="eastAsia" w:ascii="宋体" w:hAnsi="宋体"/>
          <w:color w:val="auto"/>
          <w:highlight w:val="none"/>
        </w:rPr>
        <w:t>7</w:t>
      </w:r>
      <w:r>
        <w:rPr>
          <w:rFonts w:ascii="宋体" w:hAnsi="宋体"/>
          <w:color w:val="auto"/>
          <w:highlight w:val="none"/>
        </w:rPr>
        <w:t>.</w:t>
      </w:r>
      <w:r>
        <w:rPr>
          <w:rFonts w:hint="eastAsia" w:ascii="宋体" w:hAnsi="宋体"/>
          <w:color w:val="auto"/>
          <w:highlight w:val="none"/>
        </w:rPr>
        <w:t>3从投标截止期至投标人在投标文件中确定的投标有效期之间的这段时间内，投标人不得撤回其投标。</w:t>
      </w:r>
    </w:p>
    <w:p w14:paraId="6B793A44">
      <w:pPr>
        <w:ind w:firstLine="470" w:firstLineChars="196"/>
        <w:rPr>
          <w:rFonts w:ascii="宋体" w:hAnsi="宋体"/>
          <w:color w:val="auto"/>
          <w:szCs w:val="21"/>
          <w:highlight w:val="none"/>
        </w:rPr>
      </w:pPr>
      <w:r>
        <w:rPr>
          <w:rFonts w:hint="eastAsia" w:ascii="宋体" w:hAnsi="宋体"/>
          <w:color w:val="auto"/>
          <w:szCs w:val="21"/>
          <w:highlight w:val="none"/>
        </w:rPr>
        <w:t>27.4</w:t>
      </w:r>
      <w:r>
        <w:rPr>
          <w:rFonts w:hint="eastAsia" w:ascii="宋体" w:hAnsi="宋体" w:eastAsia="宋体"/>
          <w:color w:val="auto"/>
          <w:szCs w:val="21"/>
          <w:highlight w:val="none"/>
        </w:rPr>
        <w:t>招标机构</w:t>
      </w:r>
      <w:r>
        <w:rPr>
          <w:rFonts w:hint="eastAsia" w:ascii="宋体" w:hAnsi="宋体"/>
          <w:color w:val="auto"/>
          <w:szCs w:val="21"/>
          <w:highlight w:val="none"/>
        </w:rPr>
        <w:t>不退还投标文件，专用条款另有规定的除外。</w:t>
      </w:r>
    </w:p>
    <w:bookmarkEnd w:id="58"/>
    <w:p w14:paraId="09D75D61">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开标</w:t>
      </w:r>
    </w:p>
    <w:p w14:paraId="569A898C">
      <w:pPr>
        <w:rPr>
          <w:rFonts w:ascii="黑体" w:hAnsi="宋体" w:eastAsia="黑体"/>
          <w:color w:val="auto"/>
          <w:highlight w:val="none"/>
        </w:rPr>
      </w:pPr>
      <w:r>
        <w:rPr>
          <w:rFonts w:hint="eastAsia" w:ascii="黑体" w:hAnsi="宋体" w:eastAsia="黑体"/>
          <w:color w:val="auto"/>
          <w:highlight w:val="none"/>
        </w:rPr>
        <w:t>28．开标</w:t>
      </w:r>
    </w:p>
    <w:p w14:paraId="57EA77DF">
      <w:pPr>
        <w:ind w:firstLine="480" w:firstLineChars="200"/>
        <w:rPr>
          <w:rFonts w:ascii="宋体" w:hAnsi="宋体"/>
          <w:color w:val="auto"/>
          <w:highlight w:val="none"/>
        </w:rPr>
      </w:pPr>
      <w:r>
        <w:rPr>
          <w:rFonts w:ascii="宋体" w:hAnsi="宋体"/>
          <w:color w:val="auto"/>
          <w:szCs w:val="21"/>
          <w:highlight w:val="none"/>
        </w:rPr>
        <w:t>2</w:t>
      </w:r>
      <w:r>
        <w:rPr>
          <w:rFonts w:hint="eastAsia" w:ascii="宋体" w:hAnsi="宋体"/>
          <w:color w:val="auto"/>
          <w:szCs w:val="21"/>
          <w:highlight w:val="none"/>
        </w:rPr>
        <w:t>8</w:t>
      </w:r>
      <w:r>
        <w:rPr>
          <w:rFonts w:ascii="宋体" w:hAnsi="宋体"/>
          <w:color w:val="auto"/>
          <w:szCs w:val="21"/>
          <w:highlight w:val="none"/>
        </w:rPr>
        <w:t>.</w:t>
      </w:r>
      <w:r>
        <w:rPr>
          <w:rFonts w:hint="eastAsia" w:ascii="宋体" w:hAnsi="宋体"/>
          <w:color w:val="auto"/>
          <w:szCs w:val="21"/>
          <w:highlight w:val="none"/>
        </w:rPr>
        <w:t>1</w:t>
      </w:r>
      <w:r>
        <w:rPr>
          <w:rFonts w:hint="eastAsia" w:ascii="宋体" w:hAnsi="宋体"/>
          <w:color w:val="auto"/>
          <w:highlight w:val="none"/>
        </w:rPr>
        <w:t>投标人须在开标当日的开标时间至解密截止时间内进行解密，逾期未解密的作无效处理。解密方法：登录“深圳政府采购智慧平台用户网上办事子系统（http://zfcg.szggzy.com:8081/TPBidder/memberLogin）”，使用本单位制作电子投标文件同一个电子密钥，在“【我的项目】→【项目流程】→【开标及解密】”进行在线解密、查询开标情况。</w:t>
      </w:r>
    </w:p>
    <w:p w14:paraId="52782093">
      <w:pPr>
        <w:ind w:firstLine="410" w:firstLineChars="171"/>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 xml:space="preserve">8.2 </w:t>
      </w:r>
      <w:r>
        <w:rPr>
          <w:rFonts w:hint="eastAsia" w:ascii="宋体" w:hAnsi="宋体" w:eastAsia="宋体"/>
          <w:color w:val="auto"/>
          <w:szCs w:val="21"/>
          <w:highlight w:val="none"/>
        </w:rPr>
        <w:t>招标机构</w:t>
      </w:r>
      <w:r>
        <w:rPr>
          <w:rFonts w:hint="eastAsia" w:ascii="宋体" w:hAnsi="宋体"/>
          <w:color w:val="auto"/>
          <w:szCs w:val="21"/>
          <w:highlight w:val="none"/>
        </w:rPr>
        <w:t>将在满足开标条件（</w:t>
      </w:r>
      <w:r>
        <w:rPr>
          <w:rFonts w:hint="eastAsia" w:ascii="宋体" w:hAnsi="宋体" w:cs="宋体"/>
          <w:color w:val="auto"/>
          <w:sz w:val="20"/>
          <w:szCs w:val="20"/>
          <w:highlight w:val="none"/>
          <w:shd w:val="clear" w:color="auto" w:fill="FFFFFF"/>
        </w:rPr>
        <w:t>①</w:t>
      </w:r>
      <w:r>
        <w:rPr>
          <w:rFonts w:hint="eastAsia" w:ascii="宋体" w:hAnsi="宋体"/>
          <w:color w:val="auto"/>
          <w:szCs w:val="21"/>
          <w:highlight w:val="none"/>
        </w:rPr>
        <w:t>解密时间结束，解密后的投标供应商数量满足开标要求或</w:t>
      </w:r>
      <w:r>
        <w:rPr>
          <w:rFonts w:hint="eastAsia" w:ascii="宋体" w:hAnsi="宋体" w:cs="宋体"/>
          <w:color w:val="auto"/>
          <w:sz w:val="20"/>
          <w:szCs w:val="20"/>
          <w:highlight w:val="none"/>
          <w:shd w:val="clear" w:color="auto" w:fill="FFFFFF"/>
        </w:rPr>
        <w:t>②</w:t>
      </w:r>
      <w:r>
        <w:rPr>
          <w:rFonts w:hint="eastAsia" w:ascii="宋体" w:hAnsi="宋体"/>
          <w:color w:val="auto"/>
          <w:szCs w:val="21"/>
          <w:highlight w:val="none"/>
        </w:rPr>
        <w:t>解密时间结束前所有投标供应商均完成投标文件解密）后，对投标文件进行开标，并在网上公布开标结果。</w:t>
      </w:r>
    </w:p>
    <w:p w14:paraId="2DADC016">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评审要求</w:t>
      </w:r>
    </w:p>
    <w:p w14:paraId="5B560853">
      <w:pPr>
        <w:rPr>
          <w:rFonts w:ascii="黑体" w:hAnsi="宋体" w:eastAsia="黑体"/>
          <w:color w:val="auto"/>
          <w:highlight w:val="none"/>
        </w:rPr>
      </w:pPr>
      <w:r>
        <w:rPr>
          <w:rFonts w:hint="eastAsia" w:ascii="黑体" w:hAnsi="宋体" w:eastAsia="黑体"/>
          <w:color w:val="auto"/>
          <w:highlight w:val="none"/>
        </w:rPr>
        <w:t>29．评审委员会组成</w:t>
      </w:r>
    </w:p>
    <w:p w14:paraId="753E2AE1">
      <w:pPr>
        <w:ind w:firstLine="470" w:firstLineChars="196"/>
        <w:rPr>
          <w:rFonts w:ascii="宋体" w:hAnsi="宋体" w:eastAsia="宋体"/>
          <w:color w:val="auto"/>
          <w:highlight w:val="none"/>
        </w:rPr>
      </w:pPr>
      <w:r>
        <w:rPr>
          <w:rFonts w:hint="eastAsia" w:ascii="宋体" w:hAnsi="宋体" w:eastAsia="宋体"/>
          <w:color w:val="auto"/>
          <w:highlight w:val="none"/>
        </w:rPr>
        <w:t>29.1网上开标结束后召开评审会议，</w:t>
      </w:r>
      <w:r>
        <w:rPr>
          <w:rFonts w:hint="eastAsia" w:ascii="宋体" w:hAnsi="宋体" w:eastAsia="宋体"/>
          <w:color w:val="auto"/>
          <w:szCs w:val="21"/>
          <w:highlight w:val="none"/>
        </w:rPr>
        <w:t>评审委员会</w:t>
      </w:r>
      <w:r>
        <w:rPr>
          <w:rFonts w:hint="eastAsia" w:ascii="宋体" w:hAnsi="宋体" w:eastAsia="宋体"/>
          <w:color w:val="auto"/>
          <w:highlight w:val="none"/>
        </w:rPr>
        <w:t>由</w:t>
      </w:r>
      <w:r>
        <w:rPr>
          <w:rFonts w:hint="eastAsia" w:ascii="宋体" w:hAnsi="宋体" w:eastAsia="宋体"/>
          <w:color w:val="auto"/>
          <w:highlight w:val="none"/>
          <w:lang w:eastAsia="zh-CN"/>
        </w:rPr>
        <w:t>政府采购代理机构</w:t>
      </w:r>
      <w:r>
        <w:rPr>
          <w:rFonts w:hint="eastAsia" w:ascii="宋体" w:hAnsi="宋体" w:eastAsia="宋体"/>
          <w:color w:val="auto"/>
          <w:highlight w:val="none"/>
        </w:rPr>
        <w:t>依法组建，负责评审活动。</w:t>
      </w:r>
    </w:p>
    <w:p w14:paraId="6FFD85CD">
      <w:pPr>
        <w:ind w:firstLine="470" w:firstLineChars="196"/>
        <w:rPr>
          <w:rFonts w:ascii="宋体" w:hAnsi="宋体" w:eastAsia="宋体"/>
          <w:color w:val="auto"/>
          <w:highlight w:val="none"/>
        </w:rPr>
      </w:pPr>
      <w:bookmarkStart w:id="59" w:name="_Hlk72436580"/>
      <w:r>
        <w:rPr>
          <w:rFonts w:hint="eastAsia" w:ascii="宋体" w:hAnsi="宋体" w:eastAsia="宋体"/>
          <w:color w:val="auto"/>
          <w:highlight w:val="none"/>
        </w:rPr>
        <w:t>评审委员会由采购人代表和评审专家组成，成员人数应当为5人以上单数（部分条件下为7人以上单数），其中评审专家不得少于成员总数的三分之二。</w:t>
      </w:r>
      <w:bookmarkEnd w:id="59"/>
      <w:r>
        <w:rPr>
          <w:rFonts w:hint="eastAsia" w:ascii="宋体" w:hAnsi="宋体" w:eastAsia="宋体"/>
          <w:color w:val="auto"/>
          <w:highlight w:val="none"/>
        </w:rPr>
        <w:t>评定</w:t>
      </w:r>
      <w:r>
        <w:rPr>
          <w:rFonts w:hint="eastAsia" w:eastAsia="宋体"/>
          <w:color w:val="auto"/>
          <w:highlight w:val="none"/>
        </w:rPr>
        <w:t>分离项目评审专家均由评审专家组成。</w:t>
      </w:r>
      <w:r>
        <w:rPr>
          <w:rFonts w:hint="eastAsia" w:ascii="宋体" w:hAnsi="宋体" w:eastAsia="宋体"/>
          <w:color w:val="auto"/>
          <w:szCs w:val="21"/>
          <w:highlight w:val="none"/>
        </w:rPr>
        <w:t>评审专家一般是</w:t>
      </w:r>
      <w:r>
        <w:rPr>
          <w:rFonts w:hint="eastAsia" w:ascii="宋体" w:hAnsi="宋体" w:eastAsia="宋体"/>
          <w:color w:val="auto"/>
          <w:highlight w:val="none"/>
        </w:rPr>
        <w:t>从深圳市政府采购评审专家库中随机抽取。采购人代表须持本单位签发的《评审授权书》参加评审。</w:t>
      </w:r>
    </w:p>
    <w:p w14:paraId="139C4CD1">
      <w:pPr>
        <w:ind w:firstLine="470" w:firstLineChars="196"/>
        <w:rPr>
          <w:rFonts w:ascii="宋体" w:hAnsi="宋体" w:eastAsia="宋体"/>
          <w:color w:val="auto"/>
          <w:highlight w:val="none"/>
        </w:rPr>
      </w:pPr>
      <w:r>
        <w:rPr>
          <w:rFonts w:hint="eastAsia" w:ascii="宋体" w:hAnsi="宋体" w:eastAsia="宋体"/>
          <w:color w:val="auto"/>
          <w:highlight w:val="none"/>
        </w:rPr>
        <w:t>29.2评审定标应当遵循公平、公正、科学、择优的原则。</w:t>
      </w:r>
    </w:p>
    <w:p w14:paraId="16677D6C">
      <w:pPr>
        <w:ind w:firstLine="470" w:firstLineChars="196"/>
        <w:rPr>
          <w:rFonts w:ascii="宋体" w:hAnsi="宋体" w:eastAsia="宋体"/>
          <w:color w:val="auto"/>
          <w:highlight w:val="none"/>
        </w:rPr>
      </w:pPr>
      <w:r>
        <w:rPr>
          <w:rFonts w:hint="eastAsia" w:ascii="宋体" w:hAnsi="宋体" w:eastAsia="宋体"/>
          <w:color w:val="auto"/>
          <w:highlight w:val="none"/>
        </w:rPr>
        <w:t>29.3评审活动依法进行，任何单位和个人不得非法干预评标过程和结果。</w:t>
      </w:r>
    </w:p>
    <w:p w14:paraId="22361059">
      <w:pPr>
        <w:ind w:firstLine="470" w:firstLineChars="196"/>
        <w:rPr>
          <w:rFonts w:ascii="宋体" w:hAnsi="宋体" w:eastAsia="宋体"/>
          <w:color w:val="auto"/>
          <w:highlight w:val="none"/>
        </w:rPr>
      </w:pPr>
      <w:r>
        <w:rPr>
          <w:rFonts w:hint="eastAsia" w:ascii="宋体" w:hAnsi="宋体" w:eastAsia="宋体"/>
          <w:color w:val="auto"/>
          <w:highlight w:val="none"/>
        </w:rPr>
        <w:t>29.4评审过程中不允许违背评标程序或采用招标文件未载明的评标方法或评标因素进行评标。</w:t>
      </w:r>
    </w:p>
    <w:p w14:paraId="69B3A856">
      <w:pPr>
        <w:ind w:firstLine="470" w:firstLineChars="196"/>
        <w:rPr>
          <w:rFonts w:ascii="宋体" w:hAnsi="宋体" w:eastAsia="宋体"/>
          <w:bCs/>
          <w:color w:val="auto"/>
          <w:highlight w:val="none"/>
        </w:rPr>
      </w:pPr>
      <w:r>
        <w:rPr>
          <w:rFonts w:hint="eastAsia" w:ascii="宋体" w:hAnsi="宋体" w:eastAsia="宋体"/>
          <w:bCs/>
          <w:color w:val="auto"/>
          <w:highlight w:val="none"/>
        </w:rPr>
        <w:t>29.5 开标后，直到签订合同为止，凡属于对投标文件的审查、澄清、评价和比较的有关资料以及中标候选人的推荐情况、与评审有关的其他任何情况均严格保密（</w:t>
      </w:r>
      <w:r>
        <w:rPr>
          <w:rFonts w:hint="eastAsia" w:eastAsia="宋体"/>
          <w:color w:val="auto"/>
          <w:highlight w:val="none"/>
        </w:rPr>
        <w:t>信息公开的内容除外</w:t>
      </w:r>
      <w:r>
        <w:rPr>
          <w:rFonts w:hint="eastAsia" w:ascii="宋体" w:hAnsi="宋体" w:eastAsia="宋体"/>
          <w:bCs/>
          <w:color w:val="auto"/>
          <w:highlight w:val="none"/>
        </w:rPr>
        <w:t>）。</w:t>
      </w:r>
    </w:p>
    <w:p w14:paraId="0FE335E0">
      <w:pPr>
        <w:rPr>
          <w:rFonts w:ascii="黑体" w:hAnsi="宋体" w:eastAsia="黑体"/>
          <w:color w:val="auto"/>
          <w:highlight w:val="none"/>
        </w:rPr>
      </w:pPr>
      <w:r>
        <w:rPr>
          <w:rFonts w:hint="eastAsia" w:ascii="黑体" w:hAnsi="宋体" w:eastAsia="黑体"/>
          <w:color w:val="auto"/>
          <w:highlight w:val="none"/>
        </w:rPr>
        <w:t>30．向评审委员会提供的资料</w:t>
      </w:r>
    </w:p>
    <w:p w14:paraId="410C956A">
      <w:pPr>
        <w:ind w:firstLine="470" w:firstLineChars="196"/>
        <w:rPr>
          <w:rFonts w:ascii="宋体" w:hAnsi="宋体"/>
          <w:color w:val="auto"/>
          <w:highlight w:val="none"/>
        </w:rPr>
      </w:pPr>
      <w:r>
        <w:rPr>
          <w:rFonts w:hint="eastAsia" w:ascii="宋体" w:hAnsi="宋体"/>
          <w:color w:val="auto"/>
          <w:highlight w:val="none"/>
        </w:rPr>
        <w:t>30.1公开发布的招标文件，包括图纸、服务清单、答疑文件等；</w:t>
      </w:r>
    </w:p>
    <w:p w14:paraId="4DAEADBE">
      <w:pPr>
        <w:ind w:firstLine="470" w:firstLineChars="196"/>
        <w:rPr>
          <w:rFonts w:ascii="宋体" w:hAnsi="宋体"/>
          <w:color w:val="auto"/>
          <w:highlight w:val="none"/>
        </w:rPr>
      </w:pPr>
      <w:r>
        <w:rPr>
          <w:rFonts w:hint="eastAsia" w:ascii="宋体" w:hAnsi="宋体"/>
          <w:color w:val="auto"/>
          <w:highlight w:val="none"/>
        </w:rPr>
        <w:t>30.2其他评标必须的资料。</w:t>
      </w:r>
    </w:p>
    <w:p w14:paraId="0A53E707">
      <w:pPr>
        <w:ind w:firstLine="470" w:firstLineChars="196"/>
        <w:rPr>
          <w:rFonts w:ascii="宋体" w:hAnsi="宋体"/>
          <w:color w:val="auto"/>
          <w:highlight w:val="none"/>
        </w:rPr>
      </w:pPr>
      <w:r>
        <w:rPr>
          <w:rFonts w:hint="eastAsia" w:ascii="宋体" w:hAnsi="宋体"/>
          <w:color w:val="auto"/>
          <w:highlight w:val="none"/>
        </w:rPr>
        <w:t>30.3</w:t>
      </w:r>
      <w:r>
        <w:rPr>
          <w:rFonts w:hint="eastAsia" w:ascii="宋体" w:hAnsi="宋体"/>
          <w:color w:val="auto"/>
          <w:szCs w:val="21"/>
          <w:highlight w:val="none"/>
        </w:rPr>
        <w:t>评审委员会</w:t>
      </w:r>
      <w:r>
        <w:rPr>
          <w:rFonts w:hint="eastAsia" w:ascii="宋体" w:hAnsi="宋体"/>
          <w:color w:val="auto"/>
          <w:highlight w:val="none"/>
        </w:rPr>
        <w:t>应当认真研究招标文件，至少应了解熟悉以下内容：</w:t>
      </w:r>
    </w:p>
    <w:p w14:paraId="22576818">
      <w:pPr>
        <w:ind w:firstLine="470" w:firstLineChars="196"/>
        <w:rPr>
          <w:rFonts w:ascii="宋体" w:hAnsi="宋体"/>
          <w:color w:val="auto"/>
          <w:highlight w:val="none"/>
        </w:rPr>
      </w:pPr>
      <w:r>
        <w:rPr>
          <w:rFonts w:hint="eastAsia" w:ascii="宋体" w:hAnsi="宋体"/>
          <w:color w:val="auto"/>
          <w:highlight w:val="none"/>
        </w:rPr>
        <w:t>（1）招标的目的；</w:t>
      </w:r>
    </w:p>
    <w:p w14:paraId="1E3CBE10">
      <w:pPr>
        <w:ind w:firstLine="470" w:firstLineChars="196"/>
        <w:rPr>
          <w:rFonts w:ascii="宋体" w:hAnsi="宋体"/>
          <w:color w:val="auto"/>
          <w:highlight w:val="none"/>
        </w:rPr>
      </w:pPr>
      <w:r>
        <w:rPr>
          <w:rFonts w:hint="eastAsia" w:ascii="宋体" w:hAnsi="宋体"/>
          <w:color w:val="auto"/>
          <w:highlight w:val="none"/>
        </w:rPr>
        <w:t>（2）招标项目需求的范围和性质；</w:t>
      </w:r>
    </w:p>
    <w:p w14:paraId="64FD263D">
      <w:pPr>
        <w:ind w:firstLine="470" w:firstLineChars="196"/>
        <w:rPr>
          <w:rFonts w:ascii="宋体" w:hAnsi="宋体"/>
          <w:color w:val="auto"/>
          <w:highlight w:val="none"/>
        </w:rPr>
      </w:pPr>
      <w:r>
        <w:rPr>
          <w:rFonts w:hint="eastAsia" w:ascii="宋体" w:hAnsi="宋体"/>
          <w:color w:val="auto"/>
          <w:highlight w:val="none"/>
        </w:rPr>
        <w:t>（3）招标文件规定的投标人的资格、财政预算限额、商务条款；</w:t>
      </w:r>
    </w:p>
    <w:p w14:paraId="681BFF20">
      <w:pPr>
        <w:ind w:firstLine="470" w:firstLineChars="196"/>
        <w:rPr>
          <w:rFonts w:ascii="宋体" w:hAnsi="宋体"/>
          <w:color w:val="auto"/>
          <w:highlight w:val="none"/>
        </w:rPr>
      </w:pPr>
      <w:r>
        <w:rPr>
          <w:rFonts w:hint="eastAsia" w:ascii="宋体" w:hAnsi="宋体"/>
          <w:color w:val="auto"/>
          <w:highlight w:val="none"/>
        </w:rPr>
        <w:t>（4）招标文件规定的评标程序、评标方法和评标因素；</w:t>
      </w:r>
    </w:p>
    <w:p w14:paraId="2E0071CF">
      <w:pPr>
        <w:ind w:firstLine="470" w:firstLineChars="196"/>
        <w:rPr>
          <w:rFonts w:ascii="宋体" w:hAnsi="宋体"/>
          <w:color w:val="auto"/>
          <w:highlight w:val="none"/>
        </w:rPr>
      </w:pPr>
      <w:r>
        <w:rPr>
          <w:rFonts w:hint="eastAsia" w:ascii="宋体" w:hAnsi="宋体"/>
          <w:color w:val="auto"/>
          <w:highlight w:val="none"/>
        </w:rPr>
        <w:t>（5）招标文件所列示的资格性审查表及符合性审查表。</w:t>
      </w:r>
    </w:p>
    <w:p w14:paraId="20FF7D4D">
      <w:pPr>
        <w:rPr>
          <w:rFonts w:ascii="黑体" w:hAnsi="宋体" w:eastAsia="黑体"/>
          <w:color w:val="auto"/>
          <w:highlight w:val="none"/>
        </w:rPr>
      </w:pPr>
      <w:r>
        <w:rPr>
          <w:rFonts w:hint="eastAsia" w:ascii="黑体" w:hAnsi="宋体" w:eastAsia="黑体"/>
          <w:color w:val="auto"/>
          <w:highlight w:val="none"/>
        </w:rPr>
        <w:t>31．独立评审</w:t>
      </w:r>
    </w:p>
    <w:p w14:paraId="06BAD464">
      <w:pPr>
        <w:ind w:firstLine="470" w:firstLineChars="196"/>
        <w:rPr>
          <w:rFonts w:ascii="宋体" w:hAnsi="宋体"/>
          <w:bCs/>
          <w:color w:val="auto"/>
          <w:highlight w:val="none"/>
        </w:rPr>
      </w:pPr>
      <w:r>
        <w:rPr>
          <w:rFonts w:hint="eastAsia" w:ascii="宋体" w:hAnsi="宋体"/>
          <w:bCs/>
          <w:color w:val="auto"/>
          <w:highlight w:val="none"/>
        </w:rPr>
        <w:t>3</w:t>
      </w:r>
      <w:r>
        <w:rPr>
          <w:rFonts w:ascii="宋体" w:hAnsi="宋体"/>
          <w:bCs/>
          <w:color w:val="auto"/>
          <w:highlight w:val="none"/>
        </w:rPr>
        <w:t>1</w:t>
      </w:r>
      <w:r>
        <w:rPr>
          <w:rFonts w:hint="eastAsia" w:ascii="宋体" w:hAnsi="宋体"/>
          <w:bCs/>
          <w:color w:val="auto"/>
          <w:highlight w:val="none"/>
        </w:rPr>
        <w:t>.1</w:t>
      </w:r>
      <w:r>
        <w:rPr>
          <w:rFonts w:hint="eastAsia" w:ascii="宋体" w:hAnsi="宋体"/>
          <w:color w:val="auto"/>
          <w:szCs w:val="21"/>
          <w:highlight w:val="none"/>
        </w:rPr>
        <w:t>评审委员会</w:t>
      </w:r>
      <w:r>
        <w:rPr>
          <w:rFonts w:hint="eastAsia" w:ascii="宋体" w:hAnsi="宋体"/>
          <w:bCs/>
          <w:color w:val="auto"/>
          <w:highlight w:val="none"/>
        </w:rPr>
        <w:t>成员的评标活动应当独立进行，并应遵循投标文件初审、澄清有关问题、比较与评价、确定中标供应商、编写评审报告的工作程序。</w:t>
      </w:r>
    </w:p>
    <w:p w14:paraId="406DB79B">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评审程序及评审方法</w:t>
      </w:r>
    </w:p>
    <w:p w14:paraId="215CCFFE">
      <w:pPr>
        <w:rPr>
          <w:rFonts w:ascii="黑体" w:hAnsi="宋体" w:eastAsia="黑体"/>
          <w:color w:val="auto"/>
          <w:highlight w:val="none"/>
        </w:rPr>
      </w:pPr>
      <w:r>
        <w:rPr>
          <w:rFonts w:hint="eastAsia" w:ascii="黑体" w:hAnsi="宋体" w:eastAsia="黑体"/>
          <w:color w:val="auto"/>
          <w:highlight w:val="none"/>
        </w:rPr>
        <w:t>32．投标文件初审</w:t>
      </w:r>
    </w:p>
    <w:p w14:paraId="3ADA5822">
      <w:pPr>
        <w:ind w:firstLine="470" w:firstLineChars="196"/>
        <w:rPr>
          <w:rFonts w:ascii="宋体" w:hAnsi="宋体"/>
          <w:color w:val="auto"/>
          <w:highlight w:val="none"/>
        </w:rPr>
      </w:pPr>
      <w:r>
        <w:rPr>
          <w:rFonts w:hint="eastAsia" w:ascii="宋体" w:hAnsi="宋体"/>
          <w:color w:val="auto"/>
          <w:highlight w:val="none"/>
        </w:rPr>
        <w:t>32.1投标文件初审包括资格性审查和符合性审查。</w:t>
      </w:r>
    </w:p>
    <w:p w14:paraId="7C9BDBF4">
      <w:pPr>
        <w:ind w:firstLine="470" w:firstLineChars="196"/>
        <w:rPr>
          <w:rFonts w:ascii="宋体" w:hAnsi="宋体"/>
          <w:color w:val="auto"/>
          <w:highlight w:val="none"/>
        </w:rPr>
      </w:pPr>
      <w:r>
        <w:rPr>
          <w:rFonts w:hint="eastAsia" w:ascii="宋体" w:hAnsi="宋体"/>
          <w:color w:val="auto"/>
          <w:highlight w:val="none"/>
        </w:rPr>
        <w:t>资格性审查：依据法律法规和招标文件的规定，对投标文件中的资格证明等进行审查，以确定投标供应商是否具备投标资格。</w:t>
      </w:r>
    </w:p>
    <w:p w14:paraId="42E69255">
      <w:pPr>
        <w:ind w:firstLine="470" w:firstLineChars="196"/>
        <w:rPr>
          <w:rFonts w:ascii="宋体" w:hAnsi="宋体"/>
          <w:color w:val="auto"/>
          <w:highlight w:val="none"/>
        </w:rPr>
      </w:pPr>
      <w:r>
        <w:rPr>
          <w:rFonts w:hint="eastAsia" w:ascii="宋体" w:hAnsi="宋体"/>
          <w:color w:val="auto"/>
          <w:highlight w:val="none"/>
        </w:rPr>
        <w:t>符合性审查：依据招标文件的规定，对投标文件的有效性、完整性和对招标文件的响应程度进行审查，以确定是否满足符合性审查的要求。</w:t>
      </w:r>
    </w:p>
    <w:p w14:paraId="0A68E6A5">
      <w:pPr>
        <w:ind w:firstLine="470" w:firstLineChars="196"/>
        <w:rPr>
          <w:rFonts w:ascii="宋体" w:hAnsi="宋体"/>
          <w:color w:val="auto"/>
          <w:highlight w:val="none"/>
        </w:rPr>
      </w:pPr>
      <w:r>
        <w:rPr>
          <w:rFonts w:hint="eastAsia" w:ascii="宋体" w:hAnsi="宋体"/>
          <w:color w:val="auto"/>
          <w:highlight w:val="none"/>
        </w:rPr>
        <w:t>32.2 投标文件初审内容请详见《资格性审查表》和《符合性审查表》部分。投标人若有一条审查不通过则按投标无效处理。</w:t>
      </w:r>
    </w:p>
    <w:p w14:paraId="19FF20F0">
      <w:pPr>
        <w:ind w:firstLine="470" w:firstLineChars="196"/>
        <w:rPr>
          <w:rFonts w:ascii="宋体" w:hAnsi="宋体"/>
          <w:bCs/>
          <w:color w:val="auto"/>
          <w:highlight w:val="none"/>
        </w:rPr>
      </w:pPr>
      <w:r>
        <w:rPr>
          <w:rFonts w:hint="eastAsia" w:ascii="宋体" w:hAnsi="宋体"/>
          <w:bCs/>
          <w:color w:val="auto"/>
          <w:highlight w:val="none"/>
        </w:rPr>
        <w:t>32.3 投标文件初审中关于供应商家数的计算:</w:t>
      </w:r>
    </w:p>
    <w:p w14:paraId="0D34D9BC">
      <w:pPr>
        <w:ind w:firstLine="470" w:firstLineChars="196"/>
        <w:rPr>
          <w:rFonts w:ascii="宋体" w:hAnsi="宋体"/>
          <w:bCs/>
          <w:color w:val="auto"/>
          <w:highlight w:val="none"/>
        </w:rPr>
      </w:pPr>
      <w:r>
        <w:rPr>
          <w:rFonts w:hint="eastAsia" w:ascii="宋体" w:hAnsi="宋体"/>
          <w:bCs/>
          <w:color w:val="auto"/>
          <w:highlight w:val="none"/>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14:paraId="53BE0FA3">
      <w:pPr>
        <w:ind w:firstLine="470" w:firstLineChars="196"/>
        <w:rPr>
          <w:rFonts w:ascii="宋体" w:hAnsi="宋体"/>
          <w:bCs/>
          <w:color w:val="auto"/>
          <w:highlight w:val="none"/>
        </w:rPr>
      </w:pPr>
      <w:r>
        <w:rPr>
          <w:rFonts w:hint="eastAsia" w:ascii="宋体" w:hAnsi="宋体"/>
          <w:bCs/>
          <w:color w:val="auto"/>
          <w:highlight w:val="none"/>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w:t>
      </w:r>
      <w:r>
        <w:rPr>
          <w:rFonts w:hint="eastAsia" w:ascii="宋体" w:hAnsi="宋体"/>
          <w:bCs/>
          <w:color w:val="auto"/>
          <w:szCs w:val="21"/>
          <w:highlight w:val="none"/>
        </w:rPr>
        <w:t>评审委员会</w:t>
      </w:r>
      <w:r>
        <w:rPr>
          <w:rFonts w:hint="eastAsia" w:ascii="宋体" w:hAnsi="宋体"/>
          <w:bCs/>
          <w:color w:val="auto"/>
          <w:highlight w:val="none"/>
        </w:rPr>
        <w:t>按照招标文件规定的方式确定一个投标人获得中标人推荐资格，招标文件未规定的采取随机抽取方式确定，其他同品牌投标人不作为中标候选人。</w:t>
      </w:r>
    </w:p>
    <w:p w14:paraId="0671F94B">
      <w:pPr>
        <w:ind w:firstLine="470" w:firstLineChars="196"/>
        <w:rPr>
          <w:rFonts w:ascii="宋体" w:hAnsi="宋体"/>
          <w:bCs/>
          <w:color w:val="auto"/>
          <w:highlight w:val="none"/>
        </w:rPr>
      </w:pPr>
      <w:r>
        <w:rPr>
          <w:rFonts w:hint="eastAsia" w:ascii="宋体" w:hAnsi="宋体"/>
          <w:bCs/>
          <w:color w:val="auto"/>
          <w:highlight w:val="none"/>
        </w:rPr>
        <w:t>32.3.3非单一产品采购项目，采购人应当根据采购项目技术构成、产品价格比重等合理确定核心产品，并在招标文件中载明。多家投标人提供的核心产品品牌相同的，按前两款规定处理。</w:t>
      </w:r>
    </w:p>
    <w:p w14:paraId="3CC8E177">
      <w:pPr>
        <w:ind w:firstLine="470" w:firstLineChars="196"/>
        <w:rPr>
          <w:rFonts w:ascii="宋体" w:hAnsi="宋体" w:eastAsia="宋体"/>
          <w:color w:val="auto"/>
          <w:highlight w:val="none"/>
        </w:rPr>
      </w:pPr>
      <w:r>
        <w:rPr>
          <w:rFonts w:hint="eastAsia" w:ascii="宋体" w:hAnsi="宋体"/>
          <w:color w:val="auto"/>
          <w:highlight w:val="none"/>
        </w:rPr>
        <w:t>3</w:t>
      </w:r>
      <w:r>
        <w:rPr>
          <w:rFonts w:hint="eastAsia" w:ascii="宋体" w:hAnsi="宋体" w:eastAsia="宋体"/>
          <w:color w:val="auto"/>
          <w:highlight w:val="none"/>
        </w:rPr>
        <w:t>2.4投标人投标文件作无效处理的情形，具体包括但不限于以下：</w:t>
      </w:r>
    </w:p>
    <w:p w14:paraId="5C7346DD">
      <w:pPr>
        <w:ind w:firstLine="470" w:firstLineChars="196"/>
        <w:rPr>
          <w:rFonts w:ascii="宋体" w:hAnsi="宋体" w:eastAsia="宋体"/>
          <w:color w:val="auto"/>
          <w:highlight w:val="none"/>
        </w:rPr>
      </w:pPr>
      <w:r>
        <w:rPr>
          <w:rFonts w:hint="eastAsia" w:ascii="宋体" w:hAnsi="宋体" w:eastAsia="宋体"/>
          <w:color w:val="auto"/>
          <w:highlight w:val="none"/>
        </w:rPr>
        <w:t>32.4.1不同投标人的投标文件由同一单位或者同一个人编制，或者由同一个人分阶段参与编制；</w:t>
      </w:r>
    </w:p>
    <w:p w14:paraId="18981C3C">
      <w:pPr>
        <w:ind w:firstLine="470" w:firstLineChars="196"/>
        <w:rPr>
          <w:rFonts w:ascii="宋体" w:hAnsi="宋体" w:eastAsia="宋体"/>
          <w:color w:val="auto"/>
          <w:highlight w:val="none"/>
        </w:rPr>
      </w:pPr>
      <w:r>
        <w:rPr>
          <w:rFonts w:ascii="宋体" w:hAnsi="宋体" w:eastAsia="宋体"/>
          <w:color w:val="auto"/>
          <w:highlight w:val="none"/>
        </w:rPr>
        <w:t>32.4.</w:t>
      </w:r>
      <w:r>
        <w:rPr>
          <w:rFonts w:hint="eastAsia" w:ascii="宋体" w:hAnsi="宋体" w:eastAsia="宋体"/>
          <w:color w:val="auto"/>
          <w:highlight w:val="none"/>
        </w:rPr>
        <w:t>2不同投标人委托同一单位或者个人办理投标事宜；</w:t>
      </w:r>
    </w:p>
    <w:p w14:paraId="26D32AFA">
      <w:pPr>
        <w:ind w:firstLine="470" w:firstLineChars="196"/>
        <w:rPr>
          <w:rFonts w:ascii="宋体" w:hAnsi="宋体" w:eastAsia="宋体"/>
          <w:color w:val="auto"/>
          <w:highlight w:val="none"/>
        </w:rPr>
      </w:pPr>
      <w:r>
        <w:rPr>
          <w:rFonts w:hint="eastAsia" w:ascii="宋体" w:hAnsi="宋体" w:eastAsia="宋体"/>
          <w:color w:val="auto"/>
          <w:highlight w:val="none"/>
        </w:rPr>
        <w:t>32.4.3不同投标人的投标文件载明的项目管理成员或者联系人员为同一人；</w:t>
      </w:r>
    </w:p>
    <w:p w14:paraId="537B1544">
      <w:pPr>
        <w:ind w:firstLine="470" w:firstLineChars="196"/>
        <w:rPr>
          <w:rFonts w:ascii="宋体" w:hAnsi="宋体" w:eastAsia="宋体"/>
          <w:color w:val="auto"/>
          <w:highlight w:val="none"/>
        </w:rPr>
      </w:pPr>
      <w:r>
        <w:rPr>
          <w:rFonts w:hint="eastAsia" w:ascii="宋体" w:hAnsi="宋体" w:eastAsia="宋体"/>
          <w:color w:val="auto"/>
          <w:highlight w:val="none"/>
        </w:rPr>
        <w:t>32.4.4不同投标人的投标文件异常一致或者投标报价呈规律性差异；</w:t>
      </w:r>
    </w:p>
    <w:p w14:paraId="1E9A3F93">
      <w:pPr>
        <w:ind w:firstLine="470" w:firstLineChars="196"/>
        <w:rPr>
          <w:rFonts w:ascii="宋体" w:hAnsi="宋体" w:eastAsia="宋体"/>
          <w:color w:val="auto"/>
          <w:highlight w:val="none"/>
        </w:rPr>
      </w:pPr>
      <w:r>
        <w:rPr>
          <w:rFonts w:hint="eastAsia" w:ascii="宋体" w:hAnsi="宋体" w:eastAsia="宋体"/>
          <w:color w:val="auto"/>
          <w:highlight w:val="none"/>
        </w:rPr>
        <w:t>32.4.5</w:t>
      </w:r>
      <w:r>
        <w:rPr>
          <w:rFonts w:ascii="宋体" w:hAnsi="宋体" w:eastAsia="宋体"/>
          <w:color w:val="auto"/>
          <w:highlight w:val="none"/>
        </w:rPr>
        <w:t>不同投标供应商的投标文件或部分投标文件相互混装</w:t>
      </w:r>
      <w:r>
        <w:rPr>
          <w:rFonts w:hint="eastAsia" w:ascii="宋体" w:hAnsi="宋体" w:eastAsia="宋体"/>
          <w:color w:val="auto"/>
          <w:highlight w:val="none"/>
        </w:rPr>
        <w:t>；</w:t>
      </w:r>
    </w:p>
    <w:p w14:paraId="730DC4D4">
      <w:pPr>
        <w:ind w:firstLine="470" w:firstLineChars="196"/>
        <w:rPr>
          <w:rFonts w:ascii="宋体" w:hAnsi="宋体"/>
          <w:color w:val="auto"/>
          <w:highlight w:val="none"/>
        </w:rPr>
      </w:pPr>
      <w:r>
        <w:rPr>
          <w:rFonts w:hint="eastAsia" w:ascii="宋体" w:hAnsi="宋体" w:eastAsia="宋体"/>
          <w:color w:val="auto"/>
          <w:highlight w:val="none"/>
        </w:rPr>
        <w:t>32.4.6投标供应商之间相互约定给予未中标的供应商利</w:t>
      </w:r>
      <w:r>
        <w:rPr>
          <w:rFonts w:hint="eastAsia" w:ascii="宋体" w:hAnsi="宋体"/>
          <w:color w:val="auto"/>
          <w:highlight w:val="none"/>
        </w:rPr>
        <w:t>益补偿；</w:t>
      </w:r>
    </w:p>
    <w:p w14:paraId="3E853233">
      <w:pPr>
        <w:ind w:firstLine="470" w:firstLineChars="196"/>
        <w:rPr>
          <w:rFonts w:ascii="宋体" w:hAnsi="宋体"/>
          <w:color w:val="auto"/>
          <w:highlight w:val="none"/>
        </w:rPr>
      </w:pPr>
      <w:r>
        <w:rPr>
          <w:rFonts w:hint="eastAsia" w:ascii="宋体" w:hAnsi="宋体"/>
          <w:color w:val="auto"/>
          <w:highlight w:val="none"/>
        </w:rPr>
        <w:t>32.4.7不同投标供应商的法定代表人、主要经营负责人、项目投标授权代表人、项目负责人、主要技术人员为同一人、属同一单位或者同一单位缴纳社会保险；</w:t>
      </w:r>
    </w:p>
    <w:p w14:paraId="4D430333">
      <w:pPr>
        <w:ind w:firstLine="470" w:firstLineChars="196"/>
        <w:rPr>
          <w:rFonts w:ascii="宋体" w:hAnsi="宋体"/>
          <w:color w:val="auto"/>
          <w:highlight w:val="none"/>
        </w:rPr>
      </w:pPr>
      <w:r>
        <w:rPr>
          <w:rFonts w:hint="eastAsia" w:ascii="宋体" w:hAnsi="宋体"/>
          <w:color w:val="auto"/>
          <w:highlight w:val="none"/>
        </w:rPr>
        <w:t>32.4.8不同投标供应商的投标文件内容存在非正常一致；</w:t>
      </w:r>
    </w:p>
    <w:p w14:paraId="3AA43AB4">
      <w:pPr>
        <w:ind w:firstLine="470" w:firstLineChars="196"/>
        <w:rPr>
          <w:rFonts w:ascii="宋体" w:hAnsi="宋体"/>
          <w:color w:val="auto"/>
          <w:highlight w:val="none"/>
        </w:rPr>
      </w:pPr>
      <w:r>
        <w:rPr>
          <w:rFonts w:hint="eastAsia" w:ascii="宋体" w:hAnsi="宋体"/>
          <w:color w:val="auto"/>
          <w:highlight w:val="none"/>
        </w:rPr>
        <w:t>32.4.9在同一单位工作人员为两家以上（含两家）供应商进行同一项投标活动；</w:t>
      </w:r>
    </w:p>
    <w:p w14:paraId="7A547A64">
      <w:pPr>
        <w:ind w:firstLine="470" w:firstLineChars="196"/>
        <w:rPr>
          <w:rFonts w:ascii="宋体" w:hAnsi="宋体"/>
          <w:color w:val="auto"/>
          <w:highlight w:val="none"/>
        </w:rPr>
      </w:pPr>
      <w:r>
        <w:rPr>
          <w:rFonts w:hint="eastAsia" w:ascii="宋体" w:hAnsi="宋体"/>
          <w:color w:val="auto"/>
          <w:highlight w:val="none"/>
        </w:rPr>
        <w:t>32.4.10主管部门依照法律、法规认定的其他情形。</w:t>
      </w:r>
    </w:p>
    <w:p w14:paraId="7E7B5E16">
      <w:pPr>
        <w:ind w:firstLine="470" w:firstLineChars="196"/>
        <w:rPr>
          <w:rFonts w:ascii="宋体" w:hAnsi="宋体"/>
          <w:color w:val="auto"/>
          <w:highlight w:val="none"/>
        </w:rPr>
      </w:pPr>
      <w:r>
        <w:rPr>
          <w:rFonts w:hint="eastAsia" w:ascii="宋体" w:hAnsi="宋体"/>
          <w:color w:val="auto"/>
          <w:highlight w:val="none"/>
        </w:rPr>
        <w:t>32.5对不属于《资格性审查表》和《符合性审查表》所列的其他情形，除专用条款另有规定和32.4条款所列情形外，不得作为投标无效的理由。</w:t>
      </w:r>
    </w:p>
    <w:p w14:paraId="5DADFB38">
      <w:pPr>
        <w:rPr>
          <w:rFonts w:ascii="黑体" w:hAnsi="宋体" w:eastAsia="黑体"/>
          <w:color w:val="auto"/>
          <w:highlight w:val="none"/>
        </w:rPr>
      </w:pPr>
      <w:r>
        <w:rPr>
          <w:rFonts w:hint="eastAsia" w:ascii="黑体" w:hAnsi="宋体" w:eastAsia="黑体"/>
          <w:color w:val="auto"/>
          <w:highlight w:val="none"/>
        </w:rPr>
        <w:t>33．澄清有关问题</w:t>
      </w:r>
    </w:p>
    <w:p w14:paraId="750BF38E">
      <w:pPr>
        <w:ind w:firstLine="470" w:firstLineChars="196"/>
        <w:rPr>
          <w:rFonts w:ascii="宋体" w:hAnsi="宋体"/>
          <w:color w:val="auto"/>
          <w:highlight w:val="none"/>
        </w:rPr>
      </w:pPr>
      <w:bookmarkStart w:id="60" w:name="_Hlk71407321"/>
      <w:r>
        <w:rPr>
          <w:rFonts w:hint="eastAsia" w:ascii="宋体" w:hAnsi="宋体"/>
          <w:color w:val="auto"/>
          <w:highlight w:val="none"/>
        </w:rPr>
        <w:t>3</w:t>
      </w:r>
      <w:r>
        <w:rPr>
          <w:rFonts w:ascii="宋体" w:hAnsi="宋体"/>
          <w:color w:val="auto"/>
          <w:highlight w:val="none"/>
        </w:rPr>
        <w:t>3.1</w:t>
      </w:r>
      <w:r>
        <w:rPr>
          <w:rFonts w:hint="eastAsia" w:ascii="宋体" w:hAnsi="宋体"/>
          <w:color w:val="auto"/>
          <w:highlight w:val="none"/>
        </w:rPr>
        <w:t>对招标文件中描述有歧义或前后不一致的地方（不含</w:t>
      </w:r>
      <w:r>
        <w:rPr>
          <w:color w:val="auto"/>
          <w:szCs w:val="21"/>
          <w:highlight w:val="none"/>
        </w:rPr>
        <w:t>招标文件存在歧义、重大缺陷导致评</w:t>
      </w:r>
      <w:r>
        <w:rPr>
          <w:rFonts w:hint="eastAsia"/>
          <w:color w:val="auto"/>
          <w:szCs w:val="21"/>
          <w:highlight w:val="none"/>
        </w:rPr>
        <w:t>审</w:t>
      </w:r>
      <w:r>
        <w:rPr>
          <w:color w:val="auto"/>
          <w:szCs w:val="21"/>
          <w:highlight w:val="none"/>
        </w:rPr>
        <w:t>工作无法进行</w:t>
      </w:r>
      <w:r>
        <w:rPr>
          <w:rFonts w:hint="eastAsia"/>
          <w:color w:val="auto"/>
          <w:szCs w:val="21"/>
          <w:highlight w:val="none"/>
        </w:rPr>
        <w:t>的情况）</w:t>
      </w:r>
      <w:r>
        <w:rPr>
          <w:rFonts w:hint="eastAsia" w:ascii="宋体" w:hAnsi="宋体"/>
          <w:color w:val="auto"/>
          <w:highlight w:val="none"/>
        </w:rPr>
        <w:t>，评审委员会有权进行评判，但对同一条款的评判应适用于每个投标人。</w:t>
      </w:r>
      <w:bookmarkEnd w:id="60"/>
    </w:p>
    <w:p w14:paraId="66E611DD">
      <w:pPr>
        <w:ind w:firstLine="470" w:firstLineChars="196"/>
        <w:rPr>
          <w:rFonts w:ascii="宋体" w:hAnsi="宋体"/>
          <w:color w:val="auto"/>
          <w:highlight w:val="none"/>
        </w:rPr>
      </w:pPr>
      <w:r>
        <w:rPr>
          <w:rFonts w:hint="eastAsia" w:ascii="宋体" w:hAnsi="宋体"/>
          <w:color w:val="auto"/>
          <w:highlight w:val="none"/>
        </w:rPr>
        <w:t>3</w:t>
      </w:r>
      <w:r>
        <w:rPr>
          <w:rFonts w:ascii="宋体" w:hAnsi="宋体"/>
          <w:color w:val="auto"/>
          <w:highlight w:val="none"/>
        </w:rPr>
        <w:t>3.2</w:t>
      </w:r>
      <w:r>
        <w:rPr>
          <w:color w:val="auto"/>
          <w:szCs w:val="21"/>
          <w:highlight w:val="none"/>
        </w:rPr>
        <w:t>评</w:t>
      </w:r>
      <w:r>
        <w:rPr>
          <w:rFonts w:hint="eastAsia"/>
          <w:color w:val="auto"/>
          <w:szCs w:val="21"/>
          <w:highlight w:val="none"/>
        </w:rPr>
        <w:t>审</w:t>
      </w:r>
      <w:r>
        <w:rPr>
          <w:color w:val="auto"/>
          <w:szCs w:val="21"/>
          <w:highlight w:val="none"/>
        </w:rPr>
        <w:t>委员会发现招标文件存在歧义、重大缺陷导致评</w:t>
      </w:r>
      <w:r>
        <w:rPr>
          <w:rFonts w:hint="eastAsia"/>
          <w:color w:val="auto"/>
          <w:szCs w:val="21"/>
          <w:highlight w:val="none"/>
        </w:rPr>
        <w:t>审</w:t>
      </w:r>
      <w:r>
        <w:rPr>
          <w:color w:val="auto"/>
          <w:szCs w:val="21"/>
          <w:highlight w:val="none"/>
        </w:rPr>
        <w:t>工作无法进行，或者招标文件内容违反国家有关强制性规定的，应当停止评</w:t>
      </w:r>
      <w:r>
        <w:rPr>
          <w:rFonts w:hint="eastAsia"/>
          <w:color w:val="auto"/>
          <w:szCs w:val="21"/>
          <w:highlight w:val="none"/>
        </w:rPr>
        <w:t>审</w:t>
      </w:r>
      <w:r>
        <w:rPr>
          <w:color w:val="auto"/>
          <w:szCs w:val="21"/>
          <w:highlight w:val="none"/>
        </w:rPr>
        <w:t>工作，与</w:t>
      </w:r>
      <w:r>
        <w:rPr>
          <w:rFonts w:hint="eastAsia" w:eastAsia="宋体"/>
          <w:color w:val="auto"/>
          <w:szCs w:val="21"/>
          <w:highlight w:val="none"/>
        </w:rPr>
        <w:t>招标机构</w:t>
      </w:r>
      <w:r>
        <w:rPr>
          <w:color w:val="auto"/>
          <w:szCs w:val="21"/>
          <w:highlight w:val="none"/>
        </w:rPr>
        <w:t>沟通并作书面记录。</w:t>
      </w:r>
      <w:r>
        <w:rPr>
          <w:rFonts w:hint="eastAsia"/>
          <w:color w:val="auto"/>
          <w:szCs w:val="21"/>
          <w:highlight w:val="none"/>
        </w:rPr>
        <w:t>经</w:t>
      </w:r>
      <w:r>
        <w:rPr>
          <w:color w:val="auto"/>
          <w:szCs w:val="21"/>
          <w:highlight w:val="none"/>
        </w:rPr>
        <w:t>确认后，</w:t>
      </w:r>
      <w:r>
        <w:rPr>
          <w:rFonts w:hint="eastAsia"/>
          <w:color w:val="auto"/>
          <w:szCs w:val="21"/>
          <w:highlight w:val="none"/>
        </w:rPr>
        <w:t>项目</w:t>
      </w:r>
      <w:r>
        <w:rPr>
          <w:color w:val="auto"/>
          <w:szCs w:val="21"/>
          <w:highlight w:val="none"/>
        </w:rPr>
        <w:t>应当修改招标文件，重新组织采购活动。</w:t>
      </w:r>
    </w:p>
    <w:p w14:paraId="0E51DAAE">
      <w:pPr>
        <w:ind w:firstLine="470" w:firstLineChars="196"/>
        <w:rPr>
          <w:rFonts w:ascii="宋体" w:hAnsi="宋体"/>
          <w:color w:val="auto"/>
          <w:highlight w:val="none"/>
        </w:rPr>
      </w:pPr>
      <w:r>
        <w:rPr>
          <w:rFonts w:ascii="宋体" w:hAnsi="宋体"/>
          <w:color w:val="auto"/>
          <w:highlight w:val="none"/>
        </w:rPr>
        <w:t>33.3</w:t>
      </w:r>
      <w:r>
        <w:rPr>
          <w:rFonts w:hint="eastAsia" w:ascii="宋体" w:hAnsi="宋体"/>
          <w:color w:val="auto"/>
          <w:highlight w:val="none"/>
        </w:rPr>
        <w:t>对于投标文件中含义不明确、同类问题表述不一致或者有明显文字和计算错误的内容，评审委员会应当以书面形式要求投标人作出必要的澄清、说明或者补正。</w:t>
      </w:r>
    </w:p>
    <w:p w14:paraId="640773CE">
      <w:pPr>
        <w:ind w:firstLine="470" w:firstLineChars="196"/>
        <w:rPr>
          <w:rFonts w:ascii="宋体" w:hAnsi="宋体"/>
          <w:color w:val="auto"/>
          <w:highlight w:val="none"/>
        </w:rPr>
      </w:pPr>
      <w:r>
        <w:rPr>
          <w:rFonts w:hint="eastAsia" w:ascii="宋体" w:hAnsi="宋体"/>
          <w:color w:val="auto"/>
          <w:highlight w:val="none"/>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14:paraId="56DE1521">
      <w:pPr>
        <w:ind w:firstLine="470" w:firstLineChars="196"/>
        <w:rPr>
          <w:rFonts w:ascii="宋体" w:hAnsi="宋体"/>
          <w:color w:val="auto"/>
          <w:szCs w:val="21"/>
          <w:highlight w:val="none"/>
        </w:rPr>
      </w:pPr>
      <w:r>
        <w:rPr>
          <w:rFonts w:hint="eastAsia" w:ascii="宋体" w:hAnsi="宋体"/>
          <w:color w:val="auto"/>
          <w:szCs w:val="21"/>
          <w:highlight w:val="none"/>
        </w:rPr>
        <w:t>根据本通用条款第34条，凡属于评审委员会在评审中发现的算术错误进行核实的修改不在此列。</w:t>
      </w:r>
    </w:p>
    <w:p w14:paraId="52A4A523">
      <w:pPr>
        <w:rPr>
          <w:rFonts w:ascii="黑体" w:hAnsi="宋体" w:eastAsia="黑体"/>
          <w:color w:val="auto"/>
          <w:highlight w:val="none"/>
        </w:rPr>
      </w:pPr>
      <w:bookmarkStart w:id="61" w:name="_Toc73517673"/>
      <w:bookmarkStart w:id="62" w:name="_Toc73521669"/>
      <w:bookmarkStart w:id="63" w:name="_Toc73518151"/>
      <w:bookmarkStart w:id="64" w:name="_Toc100052400"/>
      <w:bookmarkStart w:id="65" w:name="_Toc73521581"/>
      <w:r>
        <w:rPr>
          <w:rFonts w:hint="eastAsia" w:ascii="黑体" w:hAnsi="宋体" w:eastAsia="黑体"/>
          <w:color w:val="auto"/>
          <w:highlight w:val="none"/>
        </w:rPr>
        <w:t>34．错误的修正</w:t>
      </w:r>
      <w:bookmarkEnd w:id="61"/>
      <w:bookmarkEnd w:id="62"/>
      <w:bookmarkEnd w:id="63"/>
      <w:bookmarkEnd w:id="64"/>
      <w:bookmarkEnd w:id="65"/>
    </w:p>
    <w:p w14:paraId="6CF88811">
      <w:pPr>
        <w:ind w:firstLine="470" w:firstLineChars="196"/>
        <w:rPr>
          <w:rFonts w:ascii="宋体" w:hAnsi="宋体"/>
          <w:color w:val="auto"/>
          <w:szCs w:val="21"/>
          <w:highlight w:val="none"/>
        </w:rPr>
      </w:pPr>
      <w:r>
        <w:rPr>
          <w:rFonts w:hint="eastAsia" w:ascii="宋体" w:hAnsi="宋体"/>
          <w:color w:val="auto"/>
          <w:szCs w:val="21"/>
          <w:highlight w:val="none"/>
        </w:rPr>
        <w:t>投标文件报价出现前后不一致的，除专用条款另有规定外，按照下列规定修正：</w:t>
      </w:r>
    </w:p>
    <w:p w14:paraId="5DDE5372">
      <w:pPr>
        <w:ind w:firstLine="470" w:firstLineChars="196"/>
        <w:rPr>
          <w:rFonts w:ascii="宋体" w:hAnsi="宋体"/>
          <w:color w:val="auto"/>
          <w:szCs w:val="21"/>
          <w:highlight w:val="none"/>
        </w:rPr>
      </w:pPr>
      <w:r>
        <w:rPr>
          <w:rFonts w:hint="eastAsia" w:ascii="宋体" w:hAnsi="宋体"/>
          <w:color w:val="auto"/>
          <w:szCs w:val="21"/>
          <w:highlight w:val="none"/>
        </w:rPr>
        <w:t>34.1投标文件中开标一览表投标报价内容与投标文件中投标报价相应内容不一致的，以开标一览表为准；</w:t>
      </w:r>
    </w:p>
    <w:p w14:paraId="2C9EC58E">
      <w:pPr>
        <w:ind w:firstLine="470" w:firstLineChars="196"/>
        <w:rPr>
          <w:rFonts w:ascii="宋体" w:hAnsi="宋体"/>
          <w:color w:val="auto"/>
          <w:szCs w:val="21"/>
          <w:highlight w:val="none"/>
        </w:rPr>
      </w:pPr>
      <w:r>
        <w:rPr>
          <w:rFonts w:hint="eastAsia" w:ascii="宋体" w:hAnsi="宋体"/>
          <w:color w:val="auto"/>
          <w:szCs w:val="21"/>
          <w:highlight w:val="none"/>
        </w:rPr>
        <w:t>34.2大写金额和小写金额不一致的，以大写金额为准；</w:t>
      </w:r>
    </w:p>
    <w:p w14:paraId="72216062">
      <w:pPr>
        <w:ind w:firstLine="470" w:firstLineChars="196"/>
        <w:rPr>
          <w:rFonts w:ascii="宋体" w:hAnsi="宋体"/>
          <w:color w:val="auto"/>
          <w:szCs w:val="21"/>
          <w:highlight w:val="none"/>
        </w:rPr>
      </w:pPr>
      <w:r>
        <w:rPr>
          <w:rFonts w:hint="eastAsia" w:ascii="宋体" w:hAnsi="宋体"/>
          <w:color w:val="auto"/>
          <w:szCs w:val="21"/>
          <w:highlight w:val="none"/>
        </w:rPr>
        <w:t>34.3单价金额小数点或者百分比有明显错位，以开标一览表的总价为准，并修改单价；</w:t>
      </w:r>
    </w:p>
    <w:p w14:paraId="00C08D87">
      <w:pPr>
        <w:ind w:firstLine="470" w:firstLineChars="196"/>
        <w:rPr>
          <w:rFonts w:ascii="宋体" w:hAnsi="宋体"/>
          <w:color w:val="auto"/>
          <w:szCs w:val="21"/>
          <w:highlight w:val="none"/>
        </w:rPr>
      </w:pPr>
      <w:r>
        <w:rPr>
          <w:rFonts w:hint="eastAsia" w:ascii="宋体" w:hAnsi="宋体"/>
          <w:color w:val="auto"/>
          <w:szCs w:val="21"/>
          <w:highlight w:val="none"/>
        </w:rPr>
        <w:t>34.4总价金额与按单价汇总金额不一致的，以单价金额计算结果为准。</w:t>
      </w:r>
    </w:p>
    <w:p w14:paraId="469F4C60">
      <w:pPr>
        <w:ind w:firstLine="470" w:firstLineChars="196"/>
        <w:rPr>
          <w:rFonts w:ascii="宋体" w:hAnsi="宋体"/>
          <w:color w:val="auto"/>
          <w:szCs w:val="21"/>
          <w:highlight w:val="none"/>
        </w:rPr>
      </w:pPr>
      <w:r>
        <w:rPr>
          <w:rFonts w:hint="eastAsia" w:ascii="宋体" w:hAnsi="宋体"/>
          <w:color w:val="auto"/>
          <w:szCs w:val="21"/>
          <w:highlight w:val="none"/>
        </w:rPr>
        <w:t>34.5同时出现两种以上不一致的，按照前款规定的顺序修正。修正后的报价按照本通用条款33条的规定，经投标人确认后产生约束力，投标人不确认的，其投标无效。</w:t>
      </w:r>
    </w:p>
    <w:p w14:paraId="02B9E573">
      <w:pPr>
        <w:rPr>
          <w:rFonts w:ascii="黑体" w:hAnsi="宋体" w:eastAsia="黑体"/>
          <w:color w:val="auto"/>
          <w:highlight w:val="none"/>
        </w:rPr>
      </w:pPr>
      <w:r>
        <w:rPr>
          <w:rFonts w:hint="eastAsia" w:ascii="黑体" w:hAnsi="宋体" w:eastAsia="黑体"/>
          <w:color w:val="auto"/>
          <w:highlight w:val="none"/>
        </w:rPr>
        <w:t>35．投标文件的比较与评价</w:t>
      </w:r>
    </w:p>
    <w:p w14:paraId="2EE4F8AF">
      <w:pPr>
        <w:ind w:firstLine="470" w:firstLineChars="196"/>
        <w:rPr>
          <w:rFonts w:ascii="宋体" w:hAnsi="宋体"/>
          <w:color w:val="auto"/>
          <w:szCs w:val="21"/>
          <w:highlight w:val="none"/>
        </w:rPr>
      </w:pPr>
      <w:r>
        <w:rPr>
          <w:rFonts w:hint="eastAsia" w:ascii="宋体" w:hAnsi="宋体"/>
          <w:color w:val="auto"/>
          <w:szCs w:val="21"/>
          <w:highlight w:val="none"/>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14:paraId="4A3E1A82">
      <w:pPr>
        <w:ind w:firstLine="470" w:firstLineChars="196"/>
        <w:rPr>
          <w:rFonts w:ascii="宋体" w:hAnsi="宋体"/>
          <w:color w:val="auto"/>
          <w:szCs w:val="21"/>
          <w:highlight w:val="none"/>
        </w:rPr>
      </w:pPr>
      <w:r>
        <w:rPr>
          <w:rFonts w:hint="eastAsia" w:ascii="宋体" w:hAnsi="宋体"/>
          <w:color w:val="auto"/>
          <w:szCs w:val="21"/>
          <w:highlight w:val="none"/>
        </w:rPr>
        <w:t>评审委员会成员对需要共同认定的事项存在争议的，应当按照少数服从多数的原则作出结论。持不同意见的评审委员会成员应当书面作出说明，否则视为无异议。</w:t>
      </w:r>
    </w:p>
    <w:p w14:paraId="6611210D">
      <w:pPr>
        <w:rPr>
          <w:rFonts w:ascii="黑体" w:hAnsi="宋体" w:eastAsia="黑体"/>
          <w:color w:val="auto"/>
          <w:highlight w:val="none"/>
        </w:rPr>
      </w:pPr>
      <w:r>
        <w:rPr>
          <w:rFonts w:hint="eastAsia" w:ascii="黑体" w:hAnsi="宋体" w:eastAsia="黑体"/>
          <w:color w:val="auto"/>
          <w:highlight w:val="none"/>
        </w:rPr>
        <w:t>36. 实地考察或资料查验</w:t>
      </w:r>
    </w:p>
    <w:p w14:paraId="0815DEEA">
      <w:pPr>
        <w:ind w:firstLine="470" w:firstLineChars="196"/>
        <w:rPr>
          <w:rFonts w:ascii="宋体" w:hAnsi="宋体"/>
          <w:color w:val="auto"/>
          <w:szCs w:val="21"/>
          <w:highlight w:val="none"/>
        </w:rPr>
      </w:pPr>
      <w:r>
        <w:rPr>
          <w:rFonts w:hint="eastAsia" w:ascii="宋体" w:hAnsi="宋体"/>
          <w:color w:val="auto"/>
          <w:szCs w:val="21"/>
          <w:highlight w:val="none"/>
        </w:rPr>
        <w:t>36.1在评审过程中，评审委员会有权决定是否对本项目投标人进行实地考察或资料查验（原件）。投标人应随时做好接受实地考察或资料查验的准备。</w:t>
      </w:r>
    </w:p>
    <w:p w14:paraId="69AF155A">
      <w:pPr>
        <w:rPr>
          <w:rFonts w:ascii="黑体" w:hAnsi="宋体" w:eastAsia="黑体"/>
          <w:color w:val="auto"/>
          <w:highlight w:val="none"/>
        </w:rPr>
      </w:pPr>
      <w:r>
        <w:rPr>
          <w:rFonts w:hint="eastAsia" w:ascii="黑体" w:hAnsi="宋体" w:eastAsia="黑体"/>
          <w:color w:val="auto"/>
          <w:highlight w:val="none"/>
        </w:rPr>
        <w:t>37．评审方法</w:t>
      </w:r>
    </w:p>
    <w:p w14:paraId="6D420A34">
      <w:pPr>
        <w:ind w:firstLine="471" w:firstLineChars="196"/>
        <w:rPr>
          <w:rFonts w:ascii="宋体" w:hAnsi="宋体"/>
          <w:b/>
          <w:bCs/>
          <w:color w:val="auto"/>
          <w:szCs w:val="21"/>
          <w:highlight w:val="none"/>
        </w:rPr>
      </w:pPr>
      <w:r>
        <w:rPr>
          <w:rFonts w:hint="eastAsia" w:ascii="宋体" w:hAnsi="宋体"/>
          <w:b/>
          <w:bCs/>
          <w:color w:val="auto"/>
          <w:szCs w:val="21"/>
          <w:highlight w:val="none"/>
        </w:rPr>
        <w:t>37.1.1最低价法</w:t>
      </w:r>
    </w:p>
    <w:p w14:paraId="6A3ACFEC">
      <w:pPr>
        <w:ind w:firstLine="470" w:firstLineChars="196"/>
        <w:rPr>
          <w:rFonts w:hint="eastAsia" w:ascii="ˎ̥" w:hAnsi="ˎ̥"/>
          <w:color w:val="auto"/>
          <w:highlight w:val="none"/>
        </w:rPr>
      </w:pPr>
      <w:bookmarkStart w:id="66" w:name="_Hlk72438142"/>
      <w:r>
        <w:rPr>
          <w:rFonts w:ascii="ˎ̥" w:hAnsi="ˎ̥"/>
          <w:color w:val="auto"/>
          <w:highlight w:val="none"/>
        </w:rPr>
        <w:t>最低价法，是指</w:t>
      </w:r>
      <w:r>
        <w:rPr>
          <w:rFonts w:hint="eastAsia" w:ascii="ˎ̥" w:hAnsi="ˎ̥"/>
          <w:color w:val="auto"/>
          <w:highlight w:val="none"/>
        </w:rPr>
        <w:t>完全</w:t>
      </w:r>
      <w:r>
        <w:rPr>
          <w:rFonts w:ascii="ˎ̥" w:hAnsi="ˎ̥"/>
          <w:color w:val="auto"/>
          <w:highlight w:val="none"/>
        </w:rPr>
        <w:t>满足招标文件实质性要求，</w:t>
      </w:r>
      <w:r>
        <w:rPr>
          <w:rFonts w:hint="eastAsia" w:ascii="ˎ̥" w:hAnsi="ˎ̥"/>
          <w:color w:val="auto"/>
          <w:highlight w:val="none"/>
        </w:rPr>
        <w:t>按照报价由低到高的顺序，依据招标文件中规定的数量或者比例推荐候选中标供应商。</w:t>
      </w:r>
    </w:p>
    <w:p w14:paraId="775A544B">
      <w:pPr>
        <w:ind w:firstLine="471" w:firstLineChars="196"/>
        <w:rPr>
          <w:rFonts w:ascii="宋体" w:hAnsi="宋体"/>
          <w:b/>
          <w:bCs/>
          <w:color w:val="auto"/>
          <w:szCs w:val="21"/>
          <w:highlight w:val="none"/>
        </w:rPr>
      </w:pPr>
      <w:r>
        <w:rPr>
          <w:rFonts w:hint="eastAsia" w:ascii="宋体" w:hAnsi="宋体"/>
          <w:b/>
          <w:bCs/>
          <w:color w:val="auto"/>
          <w:szCs w:val="21"/>
          <w:highlight w:val="none"/>
        </w:rPr>
        <w:t>37.1.2综合评分法</w:t>
      </w:r>
    </w:p>
    <w:p w14:paraId="0377B02C">
      <w:pPr>
        <w:ind w:firstLine="470" w:firstLineChars="196"/>
        <w:rPr>
          <w:rFonts w:hint="eastAsia" w:ascii="ˎ̥" w:hAnsi="ˎ̥"/>
          <w:color w:val="auto"/>
          <w:highlight w:val="none"/>
        </w:rPr>
      </w:pPr>
      <w:r>
        <w:rPr>
          <w:rFonts w:ascii="ˎ̥" w:hAnsi="ˎ̥"/>
          <w:color w:val="auto"/>
          <w:highlight w:val="none"/>
        </w:rPr>
        <w:t>综合评分法，是指</w:t>
      </w:r>
      <w:r>
        <w:rPr>
          <w:rFonts w:hint="eastAsia" w:ascii="ˎ̥" w:hAnsi="ˎ̥"/>
          <w:color w:val="auto"/>
          <w:highlight w:val="none"/>
        </w:rPr>
        <w:t>在</w:t>
      </w:r>
      <w:r>
        <w:rPr>
          <w:rFonts w:ascii="ˎ̥" w:hAnsi="ˎ̥"/>
          <w:color w:val="auto"/>
          <w:highlight w:val="none"/>
        </w:rPr>
        <w:t>满足招标文件全部实质性要求</w:t>
      </w:r>
      <w:r>
        <w:rPr>
          <w:rFonts w:hint="eastAsia" w:ascii="ˎ̥" w:hAnsi="ˎ̥"/>
          <w:color w:val="auto"/>
          <w:highlight w:val="none"/>
        </w:rPr>
        <w:t>的前提下</w:t>
      </w:r>
      <w:r>
        <w:rPr>
          <w:rFonts w:ascii="ˎ̥" w:hAnsi="ˎ̥"/>
          <w:color w:val="auto"/>
          <w:highlight w:val="none"/>
        </w:rPr>
        <w:t>，</w:t>
      </w:r>
      <w:r>
        <w:rPr>
          <w:rFonts w:hint="eastAsia" w:ascii="ˎ̥" w:hAnsi="ˎ̥"/>
          <w:color w:val="auto"/>
          <w:highlight w:val="none"/>
        </w:rPr>
        <w:t>按照招标文件中规定的各项因素进行综合评审，评审总得分排名前列的投标人，作为推荐的候选中标供应商。</w:t>
      </w:r>
      <w:bookmarkEnd w:id="66"/>
    </w:p>
    <w:p w14:paraId="42F51EEC">
      <w:pPr>
        <w:ind w:firstLine="471" w:firstLineChars="196"/>
        <w:rPr>
          <w:rFonts w:ascii="宋体" w:hAnsi="宋体"/>
          <w:b/>
          <w:bCs/>
          <w:color w:val="auto"/>
          <w:szCs w:val="21"/>
          <w:highlight w:val="none"/>
        </w:rPr>
      </w:pPr>
      <w:r>
        <w:rPr>
          <w:rFonts w:hint="eastAsia" w:ascii="宋体" w:hAnsi="宋体"/>
          <w:b/>
          <w:bCs/>
          <w:color w:val="auto"/>
          <w:szCs w:val="21"/>
          <w:highlight w:val="none"/>
        </w:rPr>
        <w:t>37.2 本项目采用的评审方法见本项目招标文件第一册“专用条款”的相关内容。</w:t>
      </w:r>
    </w:p>
    <w:p w14:paraId="5F21B94E">
      <w:pPr>
        <w:ind w:firstLine="471" w:firstLineChars="196"/>
        <w:rPr>
          <w:rFonts w:ascii="宋体" w:hAnsi="宋体"/>
          <w:b/>
          <w:bCs/>
          <w:color w:val="auto"/>
          <w:szCs w:val="21"/>
          <w:highlight w:val="none"/>
        </w:rPr>
      </w:pPr>
      <w:r>
        <w:rPr>
          <w:rFonts w:hint="eastAsia" w:ascii="宋体" w:hAnsi="宋体"/>
          <w:b/>
          <w:bCs/>
          <w:color w:val="auto"/>
          <w:szCs w:val="21"/>
          <w:highlight w:val="none"/>
        </w:rPr>
        <w:t>37.3重新评审的情形</w:t>
      </w:r>
    </w:p>
    <w:p w14:paraId="59A284C0">
      <w:pPr>
        <w:ind w:firstLine="470" w:firstLineChars="196"/>
        <w:rPr>
          <w:rFonts w:ascii="宋体" w:hAnsi="宋体"/>
          <w:b/>
          <w:bCs/>
          <w:color w:val="auto"/>
          <w:szCs w:val="21"/>
          <w:highlight w:val="none"/>
        </w:rPr>
      </w:pPr>
      <w:r>
        <w:rPr>
          <w:rFonts w:hint="eastAsia" w:ascii="宋体" w:hAnsi="宋体" w:cs="宋体"/>
          <w:color w:val="auto"/>
          <w:szCs w:val="21"/>
          <w:highlight w:val="none"/>
        </w:rPr>
        <w:t>评审结果汇总完成后，除下列情形外，任何人不得修改评审结果：</w:t>
      </w:r>
    </w:p>
    <w:p w14:paraId="2D167770">
      <w:pPr>
        <w:ind w:firstLine="470" w:firstLineChars="196"/>
        <w:rPr>
          <w:rFonts w:ascii="宋体" w:hAnsi="宋体" w:cs="宋体"/>
          <w:color w:val="auto"/>
          <w:szCs w:val="21"/>
          <w:highlight w:val="none"/>
        </w:rPr>
      </w:pPr>
      <w:r>
        <w:rPr>
          <w:rFonts w:hint="eastAsia" w:ascii="宋体" w:hAnsi="宋体" w:cs="宋体"/>
          <w:color w:val="auto"/>
          <w:szCs w:val="21"/>
          <w:highlight w:val="none"/>
        </w:rPr>
        <w:t>37.3.1分值汇总计算错误的；</w:t>
      </w:r>
    </w:p>
    <w:p w14:paraId="48AF8918">
      <w:pPr>
        <w:ind w:firstLine="470" w:firstLineChars="196"/>
        <w:rPr>
          <w:rFonts w:ascii="宋体" w:hAnsi="宋体" w:cs="宋体"/>
          <w:color w:val="auto"/>
          <w:szCs w:val="21"/>
          <w:highlight w:val="none"/>
        </w:rPr>
      </w:pPr>
      <w:r>
        <w:rPr>
          <w:rFonts w:hint="eastAsia" w:ascii="宋体" w:hAnsi="宋体" w:cs="宋体"/>
          <w:color w:val="auto"/>
          <w:szCs w:val="21"/>
          <w:highlight w:val="none"/>
        </w:rPr>
        <w:t>37.3.2分项评分超出评分标准范围的；</w:t>
      </w:r>
    </w:p>
    <w:p w14:paraId="31CBC211">
      <w:pPr>
        <w:ind w:firstLine="470" w:firstLineChars="196"/>
        <w:rPr>
          <w:rFonts w:ascii="宋体" w:hAnsi="宋体" w:cs="宋体"/>
          <w:color w:val="auto"/>
          <w:szCs w:val="21"/>
          <w:highlight w:val="none"/>
        </w:rPr>
      </w:pPr>
      <w:r>
        <w:rPr>
          <w:rFonts w:hint="eastAsia" w:ascii="宋体" w:hAnsi="宋体" w:cs="宋体"/>
          <w:color w:val="auto"/>
          <w:szCs w:val="21"/>
          <w:highlight w:val="none"/>
        </w:rPr>
        <w:t>37.3.3评审委员会成员对客观评审因素评分不一致的；</w:t>
      </w:r>
    </w:p>
    <w:p w14:paraId="1AA78AE9">
      <w:pPr>
        <w:ind w:firstLine="470" w:firstLineChars="196"/>
        <w:rPr>
          <w:rFonts w:ascii="宋体" w:hAnsi="宋体" w:cs="宋体"/>
          <w:color w:val="auto"/>
          <w:szCs w:val="21"/>
          <w:highlight w:val="none"/>
        </w:rPr>
      </w:pPr>
      <w:r>
        <w:rPr>
          <w:rFonts w:hint="eastAsia" w:ascii="宋体" w:hAnsi="宋体" w:cs="宋体"/>
          <w:color w:val="auto"/>
          <w:szCs w:val="21"/>
          <w:highlight w:val="none"/>
        </w:rPr>
        <w:t>37.3.4经评审委员会认定评分畸高、畸低的。</w:t>
      </w:r>
    </w:p>
    <w:p w14:paraId="57B97909">
      <w:pPr>
        <w:ind w:firstLine="470" w:firstLineChars="196"/>
        <w:rPr>
          <w:rFonts w:ascii="宋体" w:hAnsi="宋体" w:cs="宋体"/>
          <w:color w:val="auto"/>
          <w:szCs w:val="21"/>
          <w:highlight w:val="none"/>
        </w:rPr>
      </w:pPr>
      <w:r>
        <w:rPr>
          <w:rFonts w:hint="eastAsia" w:ascii="宋体" w:hAnsi="宋体" w:cs="宋体"/>
          <w:color w:val="auto"/>
          <w:szCs w:val="21"/>
          <w:highlight w:val="none"/>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14:paraId="75F98ACD">
      <w:pPr>
        <w:ind w:firstLine="470" w:firstLineChars="196"/>
        <w:rPr>
          <w:rFonts w:ascii="宋体" w:hAnsi="宋体" w:cs="宋体"/>
          <w:color w:val="auto"/>
          <w:szCs w:val="21"/>
          <w:highlight w:val="none"/>
        </w:rPr>
      </w:pPr>
      <w:r>
        <w:rPr>
          <w:rFonts w:hint="eastAsia" w:ascii="宋体" w:hAnsi="宋体" w:cs="宋体"/>
          <w:color w:val="auto"/>
          <w:szCs w:val="21"/>
          <w:highlight w:val="none"/>
        </w:rPr>
        <w:t>投标人对本条第一款情形提出质疑的，采购人或者采购代理机构可以组织原评审委员会进行重新评审，重新评审改变评审结果的，应当书面报告本级财政部门。</w:t>
      </w:r>
    </w:p>
    <w:p w14:paraId="6910D5CA">
      <w:pPr>
        <w:ind w:firstLine="471" w:firstLineChars="196"/>
        <w:rPr>
          <w:rFonts w:ascii="宋体" w:hAnsi="宋体"/>
          <w:b/>
          <w:bCs/>
          <w:color w:val="auto"/>
          <w:szCs w:val="21"/>
          <w:highlight w:val="none"/>
        </w:rPr>
      </w:pPr>
      <w:r>
        <w:rPr>
          <w:rFonts w:hint="eastAsia" w:ascii="宋体" w:hAnsi="宋体"/>
          <w:b/>
          <w:bCs/>
          <w:color w:val="auto"/>
          <w:szCs w:val="21"/>
          <w:highlight w:val="none"/>
        </w:rPr>
        <w:t xml:space="preserve"> 37.4重新组建评审委员会的情形</w:t>
      </w:r>
    </w:p>
    <w:p w14:paraId="03724408">
      <w:pPr>
        <w:ind w:firstLine="470" w:firstLineChars="196"/>
        <w:rPr>
          <w:rFonts w:ascii="宋体" w:hAnsi="宋体" w:cs="宋体"/>
          <w:color w:val="auto"/>
          <w:szCs w:val="21"/>
          <w:highlight w:val="none"/>
        </w:rPr>
      </w:pPr>
      <w:r>
        <w:rPr>
          <w:rFonts w:hint="eastAsia" w:ascii="宋体" w:hAnsi="宋体" w:cs="宋体"/>
          <w:color w:val="auto"/>
          <w:szCs w:val="21"/>
          <w:highlight w:val="none"/>
        </w:rPr>
        <w:t>评审委员会或者其成员存在下列情形导致评审结果无效的，重新组建评审委员会进行评标，并书面报告本级财政部门：</w:t>
      </w:r>
    </w:p>
    <w:p w14:paraId="4B14B65B">
      <w:pPr>
        <w:ind w:firstLine="470" w:firstLineChars="196"/>
        <w:rPr>
          <w:rFonts w:ascii="宋体" w:hAnsi="宋体" w:cs="宋体"/>
          <w:color w:val="auto"/>
          <w:szCs w:val="21"/>
          <w:highlight w:val="none"/>
        </w:rPr>
      </w:pPr>
      <w:r>
        <w:rPr>
          <w:rFonts w:hint="eastAsia" w:ascii="宋体" w:hAnsi="宋体" w:cs="宋体"/>
          <w:color w:val="auto"/>
          <w:szCs w:val="21"/>
          <w:highlight w:val="none"/>
        </w:rPr>
        <w:t>37.4.1评审委员会组成不符合《政府采购货物和服务招标投标管理办法》规定的；</w:t>
      </w:r>
    </w:p>
    <w:p w14:paraId="014E46AB">
      <w:pPr>
        <w:ind w:firstLine="470" w:firstLineChars="196"/>
        <w:rPr>
          <w:rFonts w:ascii="宋体" w:hAnsi="宋体" w:cs="宋体"/>
          <w:color w:val="auto"/>
          <w:szCs w:val="21"/>
          <w:highlight w:val="none"/>
        </w:rPr>
      </w:pPr>
      <w:r>
        <w:rPr>
          <w:rFonts w:hint="eastAsia" w:ascii="宋体" w:hAnsi="宋体" w:cs="宋体"/>
          <w:color w:val="auto"/>
          <w:szCs w:val="21"/>
          <w:highlight w:val="none"/>
        </w:rPr>
        <w:t>37.4.2有《政府采购货物和服务招标投标管理办法》第六十二条第一至五项情形的；</w:t>
      </w:r>
    </w:p>
    <w:p w14:paraId="0B2C04AC">
      <w:pPr>
        <w:ind w:firstLine="470" w:firstLineChars="196"/>
        <w:rPr>
          <w:rFonts w:ascii="宋体" w:hAnsi="宋体" w:cs="宋体"/>
          <w:color w:val="auto"/>
          <w:szCs w:val="21"/>
          <w:highlight w:val="none"/>
        </w:rPr>
      </w:pPr>
      <w:r>
        <w:rPr>
          <w:rFonts w:hint="eastAsia" w:ascii="宋体" w:hAnsi="宋体" w:cs="宋体"/>
          <w:color w:val="auto"/>
          <w:szCs w:val="21"/>
          <w:highlight w:val="none"/>
        </w:rPr>
        <w:t>37.4.3评审委员会及其成员独立评标受到非法干预的；</w:t>
      </w:r>
    </w:p>
    <w:p w14:paraId="596EBA43">
      <w:pPr>
        <w:ind w:firstLine="470" w:firstLineChars="196"/>
        <w:rPr>
          <w:rFonts w:ascii="宋体" w:hAnsi="宋体" w:cs="宋体"/>
          <w:color w:val="auto"/>
          <w:szCs w:val="21"/>
          <w:highlight w:val="none"/>
        </w:rPr>
      </w:pPr>
      <w:r>
        <w:rPr>
          <w:rFonts w:hint="eastAsia" w:ascii="宋体" w:hAnsi="宋体" w:cs="宋体"/>
          <w:color w:val="auto"/>
          <w:szCs w:val="21"/>
          <w:highlight w:val="none"/>
        </w:rPr>
        <w:t>37.4.4有政府采购法实施条例第七十五条规定的违法行为的。</w:t>
      </w:r>
    </w:p>
    <w:p w14:paraId="5D3B599F">
      <w:pPr>
        <w:ind w:firstLine="470" w:firstLineChars="196"/>
        <w:rPr>
          <w:rFonts w:ascii="宋体" w:hAnsi="宋体" w:cs="宋体"/>
          <w:color w:val="auto"/>
          <w:szCs w:val="21"/>
          <w:highlight w:val="none"/>
        </w:rPr>
      </w:pPr>
      <w:r>
        <w:rPr>
          <w:rFonts w:hint="eastAsia" w:ascii="宋体" w:hAnsi="宋体" w:cs="宋体"/>
          <w:color w:val="auto"/>
          <w:szCs w:val="21"/>
          <w:highlight w:val="none"/>
        </w:rPr>
        <w:t>有违法违规行为的原评审委员会成员不得参加重新组建的评审委员会。</w:t>
      </w:r>
    </w:p>
    <w:p w14:paraId="4652A392">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定标及公示</w:t>
      </w:r>
    </w:p>
    <w:p w14:paraId="394E7903">
      <w:pPr>
        <w:rPr>
          <w:rFonts w:ascii="黑体" w:hAnsi="宋体" w:eastAsia="黑体"/>
          <w:color w:val="auto"/>
          <w:highlight w:val="none"/>
        </w:rPr>
      </w:pPr>
      <w:r>
        <w:rPr>
          <w:rFonts w:hint="eastAsia" w:ascii="黑体" w:hAnsi="宋体" w:eastAsia="黑体"/>
          <w:color w:val="auto"/>
          <w:highlight w:val="none"/>
        </w:rPr>
        <w:t>38．定标方法</w:t>
      </w:r>
    </w:p>
    <w:p w14:paraId="06F313DA">
      <w:pPr>
        <w:ind w:firstLine="470" w:firstLineChars="196"/>
        <w:rPr>
          <w:rFonts w:ascii="宋体" w:hAnsi="宋体" w:eastAsia="宋体"/>
          <w:color w:val="auto"/>
          <w:szCs w:val="21"/>
          <w:highlight w:val="none"/>
        </w:rPr>
      </w:pPr>
      <w:bookmarkStart w:id="67" w:name="_Hlk73782795"/>
      <w:r>
        <w:rPr>
          <w:rFonts w:hint="eastAsia" w:ascii="宋体" w:hAnsi="宋体" w:eastAsia="宋体"/>
          <w:color w:val="auto"/>
          <w:szCs w:val="21"/>
          <w:highlight w:val="none"/>
        </w:rPr>
        <w:t>38.1非评定分离项目定标方法</w:t>
      </w:r>
    </w:p>
    <w:p w14:paraId="10556A0E">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38.1.1评审委员会依据本项目招标文件所约定的评审方法进行评审和比较，向</w:t>
      </w:r>
      <w:r>
        <w:rPr>
          <w:rFonts w:hint="eastAsia" w:ascii="宋体" w:hAnsi="宋体" w:eastAsia="宋体"/>
          <w:color w:val="auto"/>
          <w:szCs w:val="21"/>
          <w:highlight w:val="none"/>
          <w:lang w:eastAsia="zh-CN"/>
        </w:rPr>
        <w:t>政府采购代理机构</w:t>
      </w:r>
      <w:r>
        <w:rPr>
          <w:rFonts w:hint="eastAsia" w:ascii="宋体" w:hAnsi="宋体" w:eastAsia="宋体"/>
          <w:color w:val="auto"/>
          <w:szCs w:val="21"/>
          <w:highlight w:val="none"/>
        </w:rPr>
        <w:t>提交书面评审报告，并根据评审方法比较评价结果从优到劣进行排序，确定候选中标供应商。</w:t>
      </w:r>
    </w:p>
    <w:p w14:paraId="279CED72">
      <w:pPr>
        <w:ind w:firstLine="470" w:firstLineChars="196"/>
        <w:rPr>
          <w:rFonts w:hint="eastAsia" w:ascii="ˎ̥" w:hAnsi="ˎ̥" w:eastAsia="宋体"/>
          <w:color w:val="auto"/>
          <w:highlight w:val="none"/>
        </w:rPr>
      </w:pPr>
      <w:r>
        <w:rPr>
          <w:rFonts w:hint="eastAsia" w:ascii="宋体" w:hAnsi="宋体" w:eastAsia="宋体"/>
          <w:color w:val="auto"/>
          <w:szCs w:val="21"/>
          <w:highlight w:val="none"/>
        </w:rPr>
        <w:t>38.1.2</w:t>
      </w:r>
      <w:r>
        <w:rPr>
          <w:rFonts w:hint="eastAsia" w:ascii="ˎ̥" w:hAnsi="ˎ̥" w:eastAsia="宋体"/>
          <w:color w:val="auto"/>
          <w:highlight w:val="none"/>
        </w:rPr>
        <w:t>采用最低价法的，评审结果按投标报价由低到高顺序排列。投标报价相同的并列。投标文件满足招标文件全部实质性要求且投标报价最低的投标人为</w:t>
      </w:r>
      <w:bookmarkStart w:id="68" w:name="_Hlk73821177"/>
      <w:r>
        <w:rPr>
          <w:rFonts w:hint="eastAsia" w:ascii="ˎ̥" w:hAnsi="ˎ̥" w:eastAsia="宋体"/>
          <w:color w:val="auto"/>
          <w:highlight w:val="none"/>
        </w:rPr>
        <w:t>中标供应商（排名第二的投标人为第一替补中标候选人、排名第三的投标人为第二替补中标候选人</w:t>
      </w:r>
      <w:bookmarkEnd w:id="68"/>
      <w:r>
        <w:rPr>
          <w:rFonts w:hint="eastAsia" w:ascii="ˎ̥" w:hAnsi="ˎ̥" w:eastAsia="宋体"/>
          <w:color w:val="auto"/>
          <w:highlight w:val="none"/>
        </w:rPr>
        <w:t>）。</w:t>
      </w:r>
    </w:p>
    <w:p w14:paraId="0D4DA8E2">
      <w:pPr>
        <w:ind w:firstLine="470" w:firstLineChars="196"/>
        <w:rPr>
          <w:rFonts w:hint="eastAsia" w:ascii="ˎ̥" w:hAnsi="ˎ̥" w:eastAsia="宋体"/>
          <w:color w:val="auto"/>
          <w:highlight w:val="none"/>
        </w:rPr>
      </w:pPr>
      <w:r>
        <w:rPr>
          <w:rFonts w:hint="eastAsia" w:ascii="宋体" w:hAnsi="宋体" w:eastAsia="宋体"/>
          <w:color w:val="auto"/>
          <w:szCs w:val="21"/>
          <w:highlight w:val="none"/>
        </w:rPr>
        <w:t>38.1.3采</w:t>
      </w:r>
      <w:r>
        <w:rPr>
          <w:rFonts w:hint="eastAsia" w:ascii="ˎ̥" w:hAnsi="ˎ̥" w:eastAsia="宋体"/>
          <w:color w:val="auto"/>
          <w:highlight w:val="none"/>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中标供应商（排名第二的投标人为第一替补中标候选人、排名第三的投标人为第二替补中标候选人）。出现得分且投标报价相同的并列情况时，采取随机抽取的方式确定，具体操作办法及流程由评审委员会确定。</w:t>
      </w:r>
    </w:p>
    <w:p w14:paraId="474E829F">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38.2评定分离项目定标方法</w:t>
      </w:r>
    </w:p>
    <w:p w14:paraId="77DA98ED">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38.2.1评定分离是指在政府集中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14:paraId="11AC0393">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 xml:space="preserve">38.2.2 </w:t>
      </w:r>
      <w:bookmarkStart w:id="69" w:name="_Hlk71469733"/>
      <w:r>
        <w:rPr>
          <w:rFonts w:hint="eastAsia" w:eastAsia="宋体"/>
          <w:color w:val="auto"/>
          <w:highlight w:val="none"/>
        </w:rPr>
        <w:t>适用评定分离的政府采购项目，采用综合评分法评审。</w:t>
      </w:r>
      <w:r>
        <w:rPr>
          <w:rFonts w:hint="eastAsia" w:ascii="宋体" w:hAnsi="宋体" w:eastAsia="宋体"/>
          <w:color w:val="auto"/>
          <w:szCs w:val="21"/>
          <w:highlight w:val="none"/>
        </w:rPr>
        <w:t>评审委员会按照评审结果，推荐</w:t>
      </w:r>
      <w:r>
        <w:rPr>
          <w:rFonts w:hint="eastAsia" w:eastAsia="宋体"/>
          <w:color w:val="auto"/>
          <w:highlight w:val="none"/>
        </w:rPr>
        <w:t>三个合格的候选中标供应商。</w:t>
      </w:r>
    </w:p>
    <w:p w14:paraId="2F19D7FD">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38.2.3</w:t>
      </w:r>
      <w:bookmarkStart w:id="70" w:name="_Hlk71469688"/>
      <w:r>
        <w:rPr>
          <w:rFonts w:hint="eastAsia" w:eastAsia="宋体"/>
          <w:color w:val="auto"/>
          <w:highlight w:val="none"/>
        </w:rPr>
        <w:t>适用评定分离的政府采购项目，</w:t>
      </w:r>
      <w:r>
        <w:rPr>
          <w:rFonts w:hint="eastAsia" w:ascii="宋体" w:hAnsi="宋体" w:eastAsia="宋体"/>
          <w:color w:val="auto"/>
          <w:szCs w:val="21"/>
          <w:highlight w:val="none"/>
        </w:rPr>
        <w:t>按照自定法确定中标供应商：自定法是指采购人组织定标委员会，由定标委员会在三家候选中标供应商中确定中标供应商。</w:t>
      </w:r>
      <w:bookmarkEnd w:id="69"/>
      <w:bookmarkEnd w:id="70"/>
    </w:p>
    <w:p w14:paraId="2855615C">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38.2.4</w:t>
      </w:r>
      <w:r>
        <w:rPr>
          <w:rFonts w:hint="eastAsia" w:ascii="宋体" w:hAnsi="宋体" w:eastAsia="宋体"/>
          <w:color w:val="auto"/>
          <w:szCs w:val="21"/>
          <w:highlight w:val="none"/>
          <w:lang w:eastAsia="zh-CN"/>
        </w:rPr>
        <w:t>政府采购代理机构</w:t>
      </w:r>
      <w:r>
        <w:rPr>
          <w:rFonts w:hint="eastAsia" w:eastAsia="宋体"/>
          <w:color w:val="auto"/>
          <w:highlight w:val="none"/>
        </w:rPr>
        <w:t>应当自评审结束之日起两个工作日内将候选中标供应商名单及其投标文件、评审报告送交采购人</w:t>
      </w:r>
      <w:r>
        <w:rPr>
          <w:rFonts w:hint="eastAsia" w:ascii="宋体" w:hAnsi="宋体" w:eastAsia="宋体"/>
          <w:color w:val="auto"/>
          <w:szCs w:val="21"/>
          <w:highlight w:val="none"/>
        </w:rPr>
        <w:t>。</w:t>
      </w:r>
      <w:r>
        <w:rPr>
          <w:rFonts w:hint="eastAsia" w:eastAsia="宋体"/>
          <w:color w:val="auto"/>
          <w:highlight w:val="none"/>
        </w:rPr>
        <w:t>采购人应当安排专人对定标过程进行书面记录，形成定标报告，作为采购文件的组成部分存档，并及时将定标结果反馈</w:t>
      </w:r>
      <w:r>
        <w:rPr>
          <w:rFonts w:hint="eastAsia" w:eastAsia="宋体"/>
          <w:color w:val="auto"/>
          <w:highlight w:val="none"/>
          <w:lang w:eastAsia="zh-CN"/>
        </w:rPr>
        <w:t>政府采购代理机构</w:t>
      </w:r>
      <w:r>
        <w:rPr>
          <w:rFonts w:hint="eastAsia" w:eastAsia="宋体"/>
          <w:color w:val="auto"/>
          <w:highlight w:val="none"/>
        </w:rPr>
        <w:t>。具体定标程序及相关要求以按照《深圳市财政局关于印发</w:t>
      </w:r>
      <w:r>
        <w:rPr>
          <w:rFonts w:hint="eastAsia" w:ascii="宋体" w:hAnsi="宋体" w:eastAsia="宋体"/>
          <w:color w:val="auto"/>
          <w:highlight w:val="none"/>
        </w:rPr>
        <w:t>〈</w:t>
      </w:r>
      <w:r>
        <w:rPr>
          <w:rFonts w:hint="eastAsia" w:eastAsia="宋体"/>
          <w:color w:val="auto"/>
          <w:highlight w:val="none"/>
        </w:rPr>
        <w:t>深圳市政府采购评标定标分离管理办法</w:t>
      </w:r>
      <w:r>
        <w:rPr>
          <w:rFonts w:hint="eastAsia" w:ascii="宋体" w:hAnsi="宋体" w:eastAsia="宋体"/>
          <w:color w:val="auto"/>
          <w:highlight w:val="none"/>
        </w:rPr>
        <w:t>〉</w:t>
      </w:r>
      <w:r>
        <w:rPr>
          <w:rFonts w:hint="eastAsia" w:eastAsia="宋体"/>
          <w:color w:val="auto"/>
          <w:highlight w:val="none"/>
        </w:rPr>
        <w:t>的通知》（深财规【</w:t>
      </w:r>
      <w:r>
        <w:rPr>
          <w:rFonts w:eastAsia="宋体"/>
          <w:color w:val="auto"/>
          <w:highlight w:val="none"/>
        </w:rPr>
        <w:t>2020</w:t>
      </w:r>
      <w:r>
        <w:rPr>
          <w:rFonts w:hint="eastAsia" w:eastAsia="宋体"/>
          <w:color w:val="auto"/>
          <w:highlight w:val="none"/>
        </w:rPr>
        <w:t>】</w:t>
      </w:r>
      <w:r>
        <w:rPr>
          <w:rFonts w:eastAsia="宋体"/>
          <w:color w:val="auto"/>
          <w:highlight w:val="none"/>
        </w:rPr>
        <w:t>1</w:t>
      </w:r>
      <w:r>
        <w:rPr>
          <w:rFonts w:hint="eastAsia" w:eastAsia="宋体"/>
          <w:color w:val="auto"/>
          <w:highlight w:val="none"/>
        </w:rPr>
        <w:t>号）执行。</w:t>
      </w:r>
    </w:p>
    <w:p w14:paraId="4A3D4A0E">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说明：采购人及投标供应商应按照上述方法提前做好相关准备。</w:t>
      </w:r>
    </w:p>
    <w:p w14:paraId="4BEA5719">
      <w:pPr>
        <w:ind w:firstLine="470" w:firstLineChars="196"/>
        <w:rPr>
          <w:rFonts w:ascii="宋体" w:hAnsi="宋体" w:eastAsia="宋体"/>
          <w:color w:val="auto"/>
          <w:szCs w:val="21"/>
          <w:highlight w:val="none"/>
        </w:rPr>
      </w:pPr>
      <w:r>
        <w:rPr>
          <w:rFonts w:hint="eastAsia" w:ascii="宋体" w:hAnsi="宋体" w:eastAsia="宋体"/>
          <w:color w:val="auto"/>
          <w:szCs w:val="21"/>
          <w:highlight w:val="none"/>
        </w:rPr>
        <w:t>38.3专用条款另有规定的，按专用条款相关要求定标。</w:t>
      </w:r>
      <w:bookmarkEnd w:id="67"/>
    </w:p>
    <w:p w14:paraId="33E1CEA8">
      <w:pPr>
        <w:rPr>
          <w:rFonts w:ascii="黑体" w:hAnsi="宋体" w:eastAsia="黑体"/>
          <w:color w:val="auto"/>
          <w:highlight w:val="none"/>
        </w:rPr>
      </w:pPr>
      <w:r>
        <w:rPr>
          <w:rFonts w:hint="eastAsia" w:ascii="黑体" w:hAnsi="宋体" w:eastAsia="黑体"/>
          <w:color w:val="auto"/>
          <w:highlight w:val="none"/>
        </w:rPr>
        <w:t>39．编写评审报告</w:t>
      </w:r>
    </w:p>
    <w:p w14:paraId="3D359FAD">
      <w:pPr>
        <w:ind w:firstLine="470" w:firstLineChars="196"/>
        <w:rPr>
          <w:rFonts w:ascii="宋体" w:hAnsi="宋体"/>
          <w:color w:val="auto"/>
          <w:szCs w:val="21"/>
          <w:highlight w:val="none"/>
        </w:rPr>
      </w:pPr>
      <w:r>
        <w:rPr>
          <w:rFonts w:hint="eastAsia" w:ascii="宋体" w:hAnsi="宋体"/>
          <w:color w:val="auto"/>
          <w:szCs w:val="21"/>
          <w:highlight w:val="none"/>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12B7F7A2">
      <w:pPr>
        <w:rPr>
          <w:rFonts w:ascii="黑体" w:hAnsi="宋体" w:eastAsia="黑体"/>
          <w:color w:val="auto"/>
          <w:highlight w:val="none"/>
        </w:rPr>
      </w:pPr>
      <w:r>
        <w:rPr>
          <w:rFonts w:hint="eastAsia" w:ascii="黑体" w:hAnsi="宋体" w:eastAsia="黑体"/>
          <w:color w:val="auto"/>
          <w:highlight w:val="none"/>
        </w:rPr>
        <w:t>40．中标公告</w:t>
      </w:r>
    </w:p>
    <w:p w14:paraId="5BD8CD92">
      <w:pPr>
        <w:ind w:firstLine="470" w:firstLineChars="196"/>
        <w:rPr>
          <w:rFonts w:ascii="宋体" w:hAnsi="宋体"/>
          <w:color w:val="auto"/>
          <w:szCs w:val="21"/>
          <w:highlight w:val="none"/>
        </w:rPr>
      </w:pPr>
      <w:r>
        <w:rPr>
          <w:rFonts w:hint="eastAsia" w:ascii="宋体" w:hAnsi="宋体"/>
          <w:color w:val="auto"/>
          <w:szCs w:val="21"/>
          <w:highlight w:val="none"/>
        </w:rPr>
        <w:t>40.1</w:t>
      </w:r>
      <w:bookmarkStart w:id="71" w:name="_Hlk72438709"/>
      <w:r>
        <w:rPr>
          <w:rFonts w:hint="eastAsia" w:ascii="宋体" w:hAnsi="宋体"/>
          <w:color w:val="auto"/>
          <w:szCs w:val="21"/>
          <w:highlight w:val="none"/>
        </w:rPr>
        <w:t>为体现“公开、公平、公正”的原则，评审结束后经采购人确认（确定）评审结果，招标机构将在“深圳政府采购智慧平台（http://zfcg.szggzy.com:8081/）”上发布中标结果公告。</w:t>
      </w:r>
      <w:bookmarkEnd w:id="71"/>
      <w:bookmarkStart w:id="72" w:name="_Hlk72438751"/>
      <w:r>
        <w:rPr>
          <w:rFonts w:hint="eastAsia" w:ascii="宋体" w:hAnsi="宋体"/>
          <w:color w:val="auto"/>
          <w:szCs w:val="21"/>
          <w:highlight w:val="none"/>
        </w:rPr>
        <w:t>供应商如对评审结果有异议，</w:t>
      </w:r>
      <w:r>
        <w:rPr>
          <w:rFonts w:ascii="宋体" w:hAnsi="宋体"/>
          <w:color w:val="auto"/>
          <w:szCs w:val="21"/>
          <w:highlight w:val="none"/>
        </w:rPr>
        <w:t>可在发布公示日期起</w:t>
      </w:r>
      <w:r>
        <w:rPr>
          <w:rFonts w:hint="eastAsia" w:ascii="宋体" w:hAnsi="宋体"/>
          <w:color w:val="auto"/>
          <w:szCs w:val="21"/>
          <w:highlight w:val="none"/>
        </w:rPr>
        <w:t>七</w:t>
      </w:r>
      <w:r>
        <w:rPr>
          <w:rFonts w:ascii="宋体" w:hAnsi="宋体"/>
          <w:color w:val="auto"/>
          <w:szCs w:val="21"/>
          <w:highlight w:val="none"/>
        </w:rPr>
        <w:t>个工作日内向</w:t>
      </w:r>
      <w:r>
        <w:rPr>
          <w:rFonts w:hint="eastAsia" w:ascii="宋体" w:hAnsi="宋体"/>
          <w:color w:val="auto"/>
          <w:szCs w:val="21"/>
          <w:highlight w:val="none"/>
        </w:rPr>
        <w:t>招标机构</w:t>
      </w:r>
      <w:r>
        <w:rPr>
          <w:rFonts w:ascii="宋体" w:hAnsi="宋体"/>
          <w:color w:val="auto"/>
          <w:szCs w:val="21"/>
          <w:highlight w:val="none"/>
        </w:rPr>
        <w:t>提出。电话：0755</w:t>
      </w:r>
      <w:r>
        <w:rPr>
          <w:rFonts w:hint="eastAsia" w:ascii="宋体" w:hAnsi="宋体"/>
          <w:color w:val="auto"/>
          <w:szCs w:val="21"/>
          <w:highlight w:val="none"/>
          <w:lang w:val="en-US" w:eastAsia="zh-CN"/>
        </w:rPr>
        <w:t>-</w:t>
      </w:r>
      <w:r>
        <w:rPr>
          <w:rFonts w:hint="eastAsia" w:ascii="宋体" w:hAnsi="宋体"/>
          <w:color w:val="auto"/>
          <w:szCs w:val="21"/>
          <w:highlight w:val="none"/>
        </w:rPr>
        <w:t>8388</w:t>
      </w:r>
      <w:r>
        <w:rPr>
          <w:rFonts w:ascii="宋体" w:hAnsi="宋体"/>
          <w:color w:val="auto"/>
          <w:szCs w:val="21"/>
          <w:highlight w:val="none"/>
        </w:rPr>
        <w:t>1111。</w:t>
      </w:r>
      <w:r>
        <w:rPr>
          <w:rFonts w:hint="eastAsia" w:ascii="宋体" w:hAnsi="宋体"/>
          <w:color w:val="auto"/>
          <w:szCs w:val="21"/>
          <w:highlight w:val="none"/>
        </w:rPr>
        <w:t>若在公示期内未提出质疑，则视为认同该评审结果。</w:t>
      </w:r>
    </w:p>
    <w:bookmarkEnd w:id="72"/>
    <w:p w14:paraId="4E436347">
      <w:pPr>
        <w:ind w:firstLine="470" w:firstLineChars="196"/>
        <w:rPr>
          <w:rFonts w:ascii="宋体" w:hAnsi="宋体"/>
          <w:color w:val="auto"/>
          <w:szCs w:val="21"/>
          <w:highlight w:val="none"/>
        </w:rPr>
      </w:pPr>
      <w:r>
        <w:rPr>
          <w:rFonts w:hint="eastAsia" w:ascii="宋体" w:hAnsi="宋体"/>
          <w:color w:val="auto"/>
          <w:szCs w:val="21"/>
          <w:highlight w:val="none"/>
        </w:rPr>
        <w:t>40.2质疑、投诉供应商应保证质疑、投诉内容的真实性和可靠性，并承担相应的法律责任。</w:t>
      </w:r>
    </w:p>
    <w:p w14:paraId="2B59E833">
      <w:pPr>
        <w:rPr>
          <w:rFonts w:ascii="黑体" w:hAnsi="宋体" w:eastAsia="黑体"/>
          <w:color w:val="auto"/>
          <w:highlight w:val="none"/>
        </w:rPr>
      </w:pPr>
      <w:r>
        <w:rPr>
          <w:rFonts w:hint="eastAsia" w:ascii="黑体" w:hAnsi="宋体" w:eastAsia="黑体"/>
          <w:color w:val="auto"/>
          <w:highlight w:val="none"/>
        </w:rPr>
        <w:t>41．中标通知书、招标代理服务费</w:t>
      </w:r>
    </w:p>
    <w:p w14:paraId="7485E0F0">
      <w:pPr>
        <w:ind w:firstLine="470" w:firstLineChars="196"/>
        <w:rPr>
          <w:rFonts w:ascii="宋体" w:hAnsi="宋体"/>
          <w:color w:val="auto"/>
          <w:szCs w:val="21"/>
          <w:highlight w:val="none"/>
        </w:rPr>
      </w:pPr>
      <w:r>
        <w:rPr>
          <w:rFonts w:ascii="宋体" w:hAnsi="宋体"/>
          <w:color w:val="auto"/>
          <w:szCs w:val="21"/>
          <w:highlight w:val="none"/>
        </w:rPr>
        <w:t>41.1</w:t>
      </w:r>
      <w:bookmarkStart w:id="73" w:name="_Hlk72438863"/>
      <w:r>
        <w:rPr>
          <w:rFonts w:ascii="宋体" w:hAnsi="宋体"/>
          <w:color w:val="auto"/>
          <w:szCs w:val="21"/>
          <w:highlight w:val="none"/>
        </w:rPr>
        <w:t>中标公告公布以后无异常的情况下,中标供应商和采购人可自行在“深圳政府采购智慧平台（</w:t>
      </w:r>
      <w:r>
        <w:rPr>
          <w:rFonts w:hint="eastAsia" w:ascii="宋体" w:hAnsi="宋体"/>
          <w:color w:val="auto"/>
          <w:szCs w:val="21"/>
          <w:highlight w:val="none"/>
        </w:rPr>
        <w:t>http://zfcg.szggzy.com:8081/</w:t>
      </w:r>
      <w:r>
        <w:rPr>
          <w:rFonts w:ascii="宋体" w:hAnsi="宋体"/>
          <w:color w:val="auto"/>
          <w:szCs w:val="21"/>
          <w:highlight w:val="none"/>
        </w:rPr>
        <w:t>）”上打印</w:t>
      </w:r>
      <w:r>
        <w:rPr>
          <w:rFonts w:ascii="宋体" w:hAnsi="宋体"/>
          <w:b w:val="0"/>
          <w:bCs/>
          <w:color w:val="auto"/>
          <w:szCs w:val="21"/>
          <w:highlight w:val="none"/>
        </w:rPr>
        <w:t>《数字中标通知书》</w:t>
      </w:r>
      <w:r>
        <w:rPr>
          <w:rFonts w:ascii="宋体" w:hAnsi="宋体"/>
          <w:b/>
          <w:color w:val="auto"/>
          <w:szCs w:val="21"/>
          <w:highlight w:val="none"/>
        </w:rPr>
        <w:t>（</w:t>
      </w:r>
      <w:r>
        <w:rPr>
          <w:rFonts w:ascii="宋体" w:hAnsi="宋体"/>
          <w:color w:val="auto"/>
          <w:szCs w:val="21"/>
          <w:highlight w:val="none"/>
        </w:rPr>
        <w:t>咨询电话：</w:t>
      </w:r>
      <w:r>
        <w:rPr>
          <w:rFonts w:ascii="宋体" w:hAnsi="宋体"/>
          <w:b/>
          <w:bCs/>
          <w:color w:val="auto"/>
          <w:szCs w:val="21"/>
          <w:highlight w:val="none"/>
        </w:rPr>
        <w:t>0755-83881111</w:t>
      </w:r>
      <w:r>
        <w:rPr>
          <w:rFonts w:hint="eastAsia" w:ascii="宋体" w:hAnsi="宋体" w:eastAsia="宋体" w:cs="宋体"/>
          <w:b/>
          <w:bCs/>
          <w:color w:val="auto"/>
          <w:szCs w:val="21"/>
          <w:highlight w:val="none"/>
        </w:rPr>
        <w:t>、8</w:t>
      </w:r>
      <w:r>
        <w:rPr>
          <w:rFonts w:ascii="宋体" w:hAnsi="宋体" w:eastAsia="宋体" w:cs="宋体"/>
          <w:b/>
          <w:bCs/>
          <w:color w:val="auto"/>
          <w:szCs w:val="21"/>
          <w:highlight w:val="none"/>
        </w:rPr>
        <w:t>3881995</w:t>
      </w:r>
      <w:r>
        <w:rPr>
          <w:rFonts w:ascii="宋体" w:hAnsi="宋体"/>
          <w:color w:val="auto"/>
          <w:szCs w:val="21"/>
          <w:highlight w:val="none"/>
        </w:rPr>
        <w:t>）</w:t>
      </w:r>
      <w:r>
        <w:rPr>
          <w:rFonts w:hint="eastAsia" w:ascii="宋体" w:hAnsi="宋体"/>
          <w:color w:val="auto"/>
          <w:szCs w:val="21"/>
          <w:highlight w:val="none"/>
          <w:lang w:val="en-US" w:eastAsia="zh-CN"/>
        </w:rPr>
        <w:t>或</w:t>
      </w:r>
      <w:r>
        <w:rPr>
          <w:rFonts w:hint="eastAsia" w:ascii="宋体" w:hAnsi="宋体"/>
          <w:color w:val="auto"/>
          <w:szCs w:val="21"/>
          <w:highlight w:val="none"/>
        </w:rPr>
        <w:t>中标人凭单位证明和本人身份证到友和保险经纪有限公司领取《中标通知书》</w:t>
      </w:r>
      <w:r>
        <w:rPr>
          <w:rFonts w:ascii="宋体" w:hAnsi="宋体"/>
          <w:color w:val="auto"/>
          <w:szCs w:val="21"/>
          <w:highlight w:val="none"/>
        </w:rPr>
        <w:t>。</w:t>
      </w:r>
      <w:bookmarkEnd w:id="73"/>
    </w:p>
    <w:p w14:paraId="1DBFBA2F">
      <w:pPr>
        <w:ind w:firstLine="470" w:firstLineChars="196"/>
        <w:rPr>
          <w:rFonts w:ascii="宋体" w:hAnsi="宋体"/>
          <w:color w:val="auto"/>
          <w:szCs w:val="21"/>
          <w:highlight w:val="none"/>
        </w:rPr>
      </w:pPr>
      <w:r>
        <w:rPr>
          <w:rFonts w:hint="eastAsia" w:ascii="宋体" w:hAnsi="宋体"/>
          <w:color w:val="auto"/>
          <w:szCs w:val="21"/>
          <w:highlight w:val="none"/>
        </w:rPr>
        <w:t>41</w:t>
      </w:r>
      <w:r>
        <w:rPr>
          <w:rFonts w:ascii="宋体" w:hAnsi="宋体"/>
          <w:color w:val="auto"/>
          <w:szCs w:val="21"/>
          <w:highlight w:val="none"/>
        </w:rPr>
        <w:t>.2</w:t>
      </w:r>
      <w:r>
        <w:rPr>
          <w:rFonts w:hint="eastAsia" w:ascii="宋体" w:hAnsi="宋体"/>
          <w:color w:val="auto"/>
          <w:szCs w:val="21"/>
          <w:highlight w:val="none"/>
        </w:rPr>
        <w:t>中标通知书是合同的重要组成部分。</w:t>
      </w:r>
    </w:p>
    <w:p w14:paraId="7B11A28B">
      <w:pPr>
        <w:ind w:firstLine="470" w:firstLineChars="196"/>
        <w:rPr>
          <w:rFonts w:hint="eastAsia" w:ascii="宋体" w:hAnsi="宋体"/>
          <w:color w:val="auto"/>
          <w:szCs w:val="21"/>
          <w:highlight w:val="none"/>
        </w:rPr>
      </w:pPr>
      <w:bookmarkStart w:id="74" w:name="_Hlk71407340"/>
      <w:r>
        <w:rPr>
          <w:rFonts w:hint="eastAsia" w:ascii="宋体" w:hAnsi="宋体"/>
          <w:color w:val="auto"/>
          <w:szCs w:val="21"/>
          <w:highlight w:val="none"/>
        </w:rPr>
        <w:t>41.3因质疑投诉或其它原因导致项目结果变更或采购终止的，</w:t>
      </w:r>
      <w:r>
        <w:rPr>
          <w:rFonts w:hint="eastAsia" w:ascii="宋体" w:hAnsi="宋体" w:eastAsia="宋体"/>
          <w:color w:val="auto"/>
          <w:szCs w:val="21"/>
          <w:highlight w:val="none"/>
        </w:rPr>
        <w:t>招标机构</w:t>
      </w:r>
      <w:r>
        <w:rPr>
          <w:rFonts w:hint="eastAsia" w:ascii="宋体" w:hAnsi="宋体"/>
          <w:color w:val="auto"/>
          <w:szCs w:val="21"/>
          <w:highlight w:val="none"/>
        </w:rPr>
        <w:t>有权吊销中标通知书。</w:t>
      </w:r>
    </w:p>
    <w:p w14:paraId="695150AB">
      <w:pPr>
        <w:ind w:firstLine="470" w:firstLineChars="196"/>
        <w:rPr>
          <w:rFonts w:hint="eastAsia" w:ascii="宋体" w:hAnsi="宋体"/>
          <w:color w:val="auto"/>
          <w:szCs w:val="21"/>
          <w:highlight w:val="none"/>
        </w:rPr>
      </w:pPr>
      <w:r>
        <w:rPr>
          <w:rFonts w:hint="eastAsia" w:ascii="宋体" w:hAnsi="宋体"/>
          <w:color w:val="auto"/>
          <w:szCs w:val="21"/>
          <w:highlight w:val="none"/>
          <w:lang w:val="en-US" w:eastAsia="zh-CN"/>
        </w:rPr>
        <w:t>41.4.1</w:t>
      </w:r>
      <w:r>
        <w:rPr>
          <w:rFonts w:hint="eastAsia" w:ascii="宋体" w:hAnsi="宋体"/>
          <w:color w:val="auto"/>
          <w:szCs w:val="21"/>
          <w:highlight w:val="none"/>
        </w:rPr>
        <w:t>代理费由中标人支付，代理费收费标准按《深圳市财政委员会关于规范深圳市社会采购代理机构管理有关事项的补充通知》（深财购〔2018〕27号）执行，收费标准如下表所列。招标代理服务费以中标金额为基数，按差额定率累进法计算</w:t>
      </w:r>
      <w:r>
        <w:rPr>
          <w:rFonts w:hint="eastAsia" w:ascii="宋体" w:hAnsi="宋体"/>
          <w:color w:val="auto"/>
          <w:szCs w:val="21"/>
          <w:highlight w:val="none"/>
          <w:lang w:eastAsia="zh-CN"/>
        </w:rPr>
        <w:t>，</w:t>
      </w:r>
      <w:r>
        <w:rPr>
          <w:rFonts w:hint="eastAsia" w:ascii="宋体" w:hAnsi="宋体"/>
          <w:color w:val="auto"/>
          <w:szCs w:val="21"/>
          <w:highlight w:val="none"/>
        </w:rPr>
        <w:t>不足人民币</w:t>
      </w:r>
      <w:r>
        <w:rPr>
          <w:rFonts w:hint="eastAsia" w:ascii="宋体" w:hAnsi="宋体" w:eastAsia="宋体"/>
          <w:color w:val="auto"/>
          <w:szCs w:val="21"/>
          <w:highlight w:val="none"/>
          <w:lang w:val="en-US" w:eastAsia="zh-CN"/>
        </w:rPr>
        <w:t>伍</w:t>
      </w:r>
      <w:r>
        <w:rPr>
          <w:rFonts w:hint="eastAsia" w:ascii="宋体" w:hAnsi="宋体"/>
          <w:color w:val="auto"/>
          <w:szCs w:val="21"/>
          <w:highlight w:val="none"/>
        </w:rPr>
        <w:t>仟元的按照固定额伍仟元收取。具体计取费率标准如下表所示：</w:t>
      </w:r>
    </w:p>
    <w:tbl>
      <w:tblPr>
        <w:tblStyle w:val="17"/>
        <w:tblW w:w="7811"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447"/>
        <w:gridCol w:w="1788"/>
        <w:gridCol w:w="1788"/>
        <w:gridCol w:w="1788"/>
      </w:tblGrid>
      <w:tr w14:paraId="43663F9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4" w:hRule="atLeast"/>
          <w:jc w:val="center"/>
        </w:trPr>
        <w:tc>
          <w:tcPr>
            <w:tcW w:w="2447" w:type="dxa"/>
            <w:tcBorders>
              <w:tl2br w:val="single" w:color="auto" w:sz="8" w:space="0"/>
            </w:tcBorders>
            <w:vAlign w:val="center"/>
          </w:tcPr>
          <w:p w14:paraId="5B70560A">
            <w:pPr>
              <w:keepNext w:val="0"/>
              <w:keepLines w:val="0"/>
              <w:widowControl/>
              <w:suppressLineNumbers w:val="0"/>
              <w:snapToGrid w:val="0"/>
              <w:spacing w:before="0" w:beforeAutospacing="0" w:after="0" w:afterAutospacing="0" w:line="360" w:lineRule="auto"/>
              <w:ind w:left="0" w:right="0" w:firstLine="1200" w:firstLineChars="500"/>
              <w:jc w:val="center"/>
              <w:rPr>
                <w:rFonts w:hint="default" w:ascii="宋体" w:hAnsi="宋体"/>
                <w:color w:val="auto"/>
                <w:szCs w:val="21"/>
                <w:highlight w:val="none"/>
              </w:rPr>
            </w:pPr>
            <w:r>
              <w:rPr>
                <w:rFonts w:hint="eastAsia" w:ascii="宋体" w:hAnsi="宋体"/>
                <w:color w:val="auto"/>
                <w:szCs w:val="21"/>
                <w:highlight w:val="none"/>
              </w:rPr>
              <w:t>服务类型</w:t>
            </w:r>
          </w:p>
          <w:p w14:paraId="2AEBFE13">
            <w:pPr>
              <w:pStyle w:val="6"/>
              <w:keepNext w:val="0"/>
              <w:keepLines w:val="0"/>
              <w:widowControl/>
              <w:suppressLineNumbers w:val="0"/>
              <w:spacing w:before="0" w:beforeAutospacing="0" w:after="0" w:afterAutospacing="0"/>
              <w:ind w:left="0" w:right="0" w:firstLine="0"/>
              <w:jc w:val="both"/>
              <w:rPr>
                <w:rFonts w:hint="default" w:ascii="宋体" w:hAnsi="宋体"/>
                <w:color w:val="auto"/>
                <w:szCs w:val="21"/>
                <w:highlight w:val="none"/>
              </w:rPr>
            </w:pPr>
            <w:r>
              <w:rPr>
                <w:rFonts w:hint="eastAsia" w:ascii="宋体" w:hAnsi="宋体"/>
                <w:color w:val="auto"/>
                <w:szCs w:val="21"/>
                <w:highlight w:val="none"/>
              </w:rPr>
              <w:t>中标金额</w:t>
            </w:r>
            <w:r>
              <w:rPr>
                <w:rFonts w:hint="default" w:ascii="宋体" w:hAnsi="宋体"/>
                <w:color w:val="auto"/>
                <w:szCs w:val="21"/>
                <w:highlight w:val="none"/>
              </w:rPr>
              <w:t>(</w:t>
            </w:r>
            <w:r>
              <w:rPr>
                <w:rFonts w:hint="eastAsia" w:ascii="宋体" w:hAnsi="宋体"/>
                <w:color w:val="auto"/>
                <w:szCs w:val="21"/>
                <w:highlight w:val="none"/>
              </w:rPr>
              <w:t>万元</w:t>
            </w:r>
            <w:r>
              <w:rPr>
                <w:rFonts w:hint="default" w:ascii="宋体" w:hAnsi="宋体"/>
                <w:color w:val="auto"/>
                <w:szCs w:val="21"/>
                <w:highlight w:val="none"/>
              </w:rPr>
              <w:t>)</w:t>
            </w:r>
          </w:p>
        </w:tc>
        <w:tc>
          <w:tcPr>
            <w:tcW w:w="1788" w:type="dxa"/>
            <w:vAlign w:val="center"/>
          </w:tcPr>
          <w:p w14:paraId="50395EE8">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eastAsia" w:ascii="宋体" w:hAnsi="宋体"/>
                <w:color w:val="auto"/>
                <w:szCs w:val="21"/>
                <w:highlight w:val="none"/>
              </w:rPr>
              <w:t>货物招标</w:t>
            </w:r>
          </w:p>
        </w:tc>
        <w:tc>
          <w:tcPr>
            <w:tcW w:w="1788" w:type="dxa"/>
            <w:vAlign w:val="center"/>
          </w:tcPr>
          <w:p w14:paraId="2EC29455">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eastAsia" w:ascii="宋体" w:hAnsi="宋体"/>
                <w:color w:val="auto"/>
                <w:szCs w:val="21"/>
                <w:highlight w:val="none"/>
              </w:rPr>
              <w:t>服务招标</w:t>
            </w:r>
          </w:p>
        </w:tc>
        <w:tc>
          <w:tcPr>
            <w:tcW w:w="1788" w:type="dxa"/>
            <w:vAlign w:val="center"/>
          </w:tcPr>
          <w:p w14:paraId="02221B8A">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eastAsia" w:ascii="宋体" w:hAnsi="宋体"/>
                <w:color w:val="auto"/>
                <w:szCs w:val="21"/>
                <w:highlight w:val="none"/>
              </w:rPr>
              <w:t>工程招标</w:t>
            </w:r>
          </w:p>
        </w:tc>
      </w:tr>
      <w:tr w14:paraId="5CFC578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1C142BE6">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100</w:t>
            </w:r>
            <w:r>
              <w:rPr>
                <w:rFonts w:hint="eastAsia" w:ascii="宋体" w:hAnsi="宋体"/>
                <w:color w:val="auto"/>
                <w:szCs w:val="21"/>
                <w:highlight w:val="none"/>
              </w:rPr>
              <w:t>以下</w:t>
            </w:r>
          </w:p>
        </w:tc>
        <w:tc>
          <w:tcPr>
            <w:tcW w:w="1788" w:type="dxa"/>
          </w:tcPr>
          <w:p w14:paraId="77861753">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1.50%</w:t>
            </w:r>
          </w:p>
        </w:tc>
        <w:tc>
          <w:tcPr>
            <w:tcW w:w="1788" w:type="dxa"/>
          </w:tcPr>
          <w:p w14:paraId="3DEADEBE">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1.50%</w:t>
            </w:r>
          </w:p>
        </w:tc>
        <w:tc>
          <w:tcPr>
            <w:tcW w:w="1788" w:type="dxa"/>
          </w:tcPr>
          <w:p w14:paraId="371DB14B">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1.00%</w:t>
            </w:r>
          </w:p>
        </w:tc>
      </w:tr>
      <w:tr w14:paraId="15629D2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7C5519D2">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100-500</w:t>
            </w:r>
          </w:p>
        </w:tc>
        <w:tc>
          <w:tcPr>
            <w:tcW w:w="1788" w:type="dxa"/>
          </w:tcPr>
          <w:p w14:paraId="7481DFA8">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1.10%</w:t>
            </w:r>
          </w:p>
        </w:tc>
        <w:tc>
          <w:tcPr>
            <w:tcW w:w="1788" w:type="dxa"/>
          </w:tcPr>
          <w:p w14:paraId="44204D28">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0.80%</w:t>
            </w:r>
          </w:p>
        </w:tc>
        <w:tc>
          <w:tcPr>
            <w:tcW w:w="1788" w:type="dxa"/>
          </w:tcPr>
          <w:p w14:paraId="6BDCBD9D">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0.70%</w:t>
            </w:r>
          </w:p>
        </w:tc>
      </w:tr>
      <w:tr w14:paraId="48BBFEF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06D55DC5">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500-1000</w:t>
            </w:r>
          </w:p>
        </w:tc>
        <w:tc>
          <w:tcPr>
            <w:tcW w:w="1788" w:type="dxa"/>
          </w:tcPr>
          <w:p w14:paraId="6D846C0A">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0.80%</w:t>
            </w:r>
          </w:p>
        </w:tc>
        <w:tc>
          <w:tcPr>
            <w:tcW w:w="1788" w:type="dxa"/>
          </w:tcPr>
          <w:p w14:paraId="73DAB27A">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0.45%</w:t>
            </w:r>
          </w:p>
        </w:tc>
        <w:tc>
          <w:tcPr>
            <w:tcW w:w="1788" w:type="dxa"/>
          </w:tcPr>
          <w:p w14:paraId="01C5C7F2">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0.55%</w:t>
            </w:r>
          </w:p>
        </w:tc>
      </w:tr>
      <w:tr w14:paraId="02ED8A8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2D1D4685">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1000-5000</w:t>
            </w:r>
          </w:p>
        </w:tc>
        <w:tc>
          <w:tcPr>
            <w:tcW w:w="1788" w:type="dxa"/>
          </w:tcPr>
          <w:p w14:paraId="409E7226">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0.50%</w:t>
            </w:r>
          </w:p>
        </w:tc>
        <w:tc>
          <w:tcPr>
            <w:tcW w:w="1788" w:type="dxa"/>
          </w:tcPr>
          <w:p w14:paraId="2A188E49">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0.25%</w:t>
            </w:r>
          </w:p>
        </w:tc>
        <w:tc>
          <w:tcPr>
            <w:tcW w:w="1788" w:type="dxa"/>
          </w:tcPr>
          <w:p w14:paraId="3A761FE4">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0.35%</w:t>
            </w:r>
          </w:p>
        </w:tc>
      </w:tr>
      <w:tr w14:paraId="544492C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4DB4857F">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5000-10000</w:t>
            </w:r>
          </w:p>
        </w:tc>
        <w:tc>
          <w:tcPr>
            <w:tcW w:w="1788" w:type="dxa"/>
          </w:tcPr>
          <w:p w14:paraId="0956969F">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0.25%</w:t>
            </w:r>
          </w:p>
        </w:tc>
        <w:tc>
          <w:tcPr>
            <w:tcW w:w="1788" w:type="dxa"/>
          </w:tcPr>
          <w:p w14:paraId="6D26FD52">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0.10%</w:t>
            </w:r>
          </w:p>
        </w:tc>
        <w:tc>
          <w:tcPr>
            <w:tcW w:w="1788" w:type="dxa"/>
          </w:tcPr>
          <w:p w14:paraId="5B503371">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0.20%</w:t>
            </w:r>
          </w:p>
        </w:tc>
      </w:tr>
      <w:tr w14:paraId="0C02487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34A17115">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10000-100000</w:t>
            </w:r>
          </w:p>
        </w:tc>
        <w:tc>
          <w:tcPr>
            <w:tcW w:w="1788" w:type="dxa"/>
          </w:tcPr>
          <w:p w14:paraId="03BED2CE">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0.05%</w:t>
            </w:r>
          </w:p>
        </w:tc>
        <w:tc>
          <w:tcPr>
            <w:tcW w:w="1788" w:type="dxa"/>
          </w:tcPr>
          <w:p w14:paraId="12D96A36">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0.05%</w:t>
            </w:r>
          </w:p>
        </w:tc>
        <w:tc>
          <w:tcPr>
            <w:tcW w:w="1788" w:type="dxa"/>
          </w:tcPr>
          <w:p w14:paraId="4B927208">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0.05%</w:t>
            </w:r>
          </w:p>
        </w:tc>
      </w:tr>
      <w:tr w14:paraId="643FC3E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2" w:hRule="atLeast"/>
          <w:jc w:val="center"/>
        </w:trPr>
        <w:tc>
          <w:tcPr>
            <w:tcW w:w="2447" w:type="dxa"/>
            <w:vAlign w:val="center"/>
          </w:tcPr>
          <w:p w14:paraId="73F9D5BB">
            <w:pPr>
              <w:keepNext w:val="0"/>
              <w:keepLines w:val="0"/>
              <w:widowControl/>
              <w:suppressLineNumbers w:val="0"/>
              <w:snapToGrid w:val="0"/>
              <w:spacing w:before="0" w:beforeAutospacing="0" w:after="0" w:afterAutospacing="0" w:line="360" w:lineRule="auto"/>
              <w:ind w:left="0" w:right="0"/>
              <w:jc w:val="center"/>
              <w:rPr>
                <w:rFonts w:hint="default" w:ascii="宋体" w:hAnsi="宋体"/>
                <w:color w:val="auto"/>
                <w:szCs w:val="21"/>
                <w:highlight w:val="none"/>
              </w:rPr>
            </w:pPr>
            <w:r>
              <w:rPr>
                <w:rFonts w:hint="default" w:ascii="宋体" w:hAnsi="宋体"/>
                <w:color w:val="auto"/>
                <w:szCs w:val="21"/>
                <w:highlight w:val="none"/>
              </w:rPr>
              <w:t>1000000</w:t>
            </w:r>
            <w:r>
              <w:rPr>
                <w:rFonts w:hint="eastAsia" w:ascii="宋体" w:hAnsi="宋体"/>
                <w:color w:val="auto"/>
                <w:szCs w:val="21"/>
                <w:highlight w:val="none"/>
              </w:rPr>
              <w:t>以上</w:t>
            </w:r>
          </w:p>
        </w:tc>
        <w:tc>
          <w:tcPr>
            <w:tcW w:w="1788" w:type="dxa"/>
          </w:tcPr>
          <w:p w14:paraId="19F5737E">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0.01%</w:t>
            </w:r>
          </w:p>
        </w:tc>
        <w:tc>
          <w:tcPr>
            <w:tcW w:w="1788" w:type="dxa"/>
          </w:tcPr>
          <w:p w14:paraId="7D816184">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0.01%</w:t>
            </w:r>
          </w:p>
        </w:tc>
        <w:tc>
          <w:tcPr>
            <w:tcW w:w="1788" w:type="dxa"/>
          </w:tcPr>
          <w:p w14:paraId="2A29E656">
            <w:pPr>
              <w:keepNext w:val="0"/>
              <w:keepLines w:val="0"/>
              <w:widowControl/>
              <w:suppressLineNumbers w:val="0"/>
              <w:spacing w:before="0" w:beforeAutospacing="0" w:after="0" w:afterAutospacing="0" w:line="360" w:lineRule="auto"/>
              <w:ind w:left="0" w:right="0"/>
              <w:jc w:val="center"/>
              <w:rPr>
                <w:rFonts w:hint="default" w:ascii="宋体" w:hAnsi="宋体"/>
                <w:color w:val="auto"/>
                <w:highlight w:val="none"/>
              </w:rPr>
            </w:pPr>
            <w:r>
              <w:rPr>
                <w:rFonts w:hint="default" w:ascii="宋体" w:hAnsi="宋体"/>
                <w:color w:val="auto"/>
                <w:highlight w:val="none"/>
              </w:rPr>
              <w:t>0.01%</w:t>
            </w:r>
          </w:p>
        </w:tc>
      </w:tr>
    </w:tbl>
    <w:p w14:paraId="26A97F75">
      <w:pPr>
        <w:ind w:firstLine="470" w:firstLineChars="196"/>
        <w:rPr>
          <w:rFonts w:hint="eastAsia" w:ascii="宋体" w:hAnsi="宋体"/>
          <w:color w:val="auto"/>
          <w:szCs w:val="21"/>
          <w:highlight w:val="none"/>
        </w:rPr>
      </w:pPr>
      <w:r>
        <w:rPr>
          <w:rFonts w:hint="eastAsia" w:ascii="宋体" w:hAnsi="宋体"/>
          <w:color w:val="auto"/>
          <w:szCs w:val="21"/>
          <w:highlight w:val="none"/>
        </w:rPr>
        <w:t>例如：某服务招标代理业务中标金额为600万元，计算招标代理服务收费额如下：</w:t>
      </w:r>
    </w:p>
    <w:p w14:paraId="4C0158D9">
      <w:pPr>
        <w:ind w:firstLine="470" w:firstLineChars="196"/>
        <w:rPr>
          <w:rFonts w:hint="eastAsia" w:ascii="宋体" w:hAnsi="宋体"/>
          <w:color w:val="auto"/>
          <w:szCs w:val="21"/>
          <w:highlight w:val="none"/>
        </w:rPr>
      </w:pPr>
      <w:r>
        <w:rPr>
          <w:rFonts w:hint="eastAsia" w:ascii="宋体" w:hAnsi="宋体"/>
          <w:color w:val="auto"/>
          <w:szCs w:val="21"/>
          <w:highlight w:val="none"/>
        </w:rPr>
        <w:t>100万元×1.5%=1.5万元</w:t>
      </w:r>
    </w:p>
    <w:p w14:paraId="0E58F90E">
      <w:pPr>
        <w:ind w:firstLine="470" w:firstLineChars="196"/>
        <w:rPr>
          <w:rFonts w:hint="eastAsia" w:ascii="宋体" w:hAnsi="宋体"/>
          <w:color w:val="auto"/>
          <w:szCs w:val="21"/>
          <w:highlight w:val="none"/>
        </w:rPr>
      </w:pPr>
      <w:r>
        <w:rPr>
          <w:rFonts w:hint="eastAsia" w:ascii="宋体" w:hAnsi="宋体"/>
          <w:color w:val="auto"/>
          <w:szCs w:val="21"/>
          <w:highlight w:val="none"/>
        </w:rPr>
        <w:t>（500-100）万元×0.8%=3.2万元</w:t>
      </w:r>
    </w:p>
    <w:p w14:paraId="681CD61E">
      <w:pPr>
        <w:ind w:firstLine="470" w:firstLineChars="196"/>
        <w:rPr>
          <w:rFonts w:hint="eastAsia" w:ascii="宋体" w:hAnsi="宋体"/>
          <w:color w:val="auto"/>
          <w:szCs w:val="21"/>
          <w:highlight w:val="none"/>
        </w:rPr>
      </w:pPr>
      <w:r>
        <w:rPr>
          <w:rFonts w:hint="eastAsia" w:ascii="宋体" w:hAnsi="宋体"/>
          <w:color w:val="auto"/>
          <w:szCs w:val="21"/>
          <w:highlight w:val="none"/>
        </w:rPr>
        <w:t>（600-500）万元×0.45%=0.45万元</w:t>
      </w:r>
    </w:p>
    <w:p w14:paraId="4DD3A6DD">
      <w:pPr>
        <w:ind w:firstLine="470" w:firstLineChars="196"/>
        <w:rPr>
          <w:rFonts w:hint="eastAsia" w:ascii="宋体" w:hAnsi="宋体" w:eastAsia="宋体"/>
          <w:color w:val="auto"/>
          <w:szCs w:val="21"/>
          <w:highlight w:val="none"/>
          <w:lang w:val="en-US" w:eastAsia="zh-CN"/>
        </w:rPr>
      </w:pPr>
      <w:r>
        <w:rPr>
          <w:rFonts w:hint="eastAsia" w:ascii="宋体" w:hAnsi="宋体"/>
          <w:color w:val="auto"/>
          <w:szCs w:val="21"/>
          <w:highlight w:val="none"/>
        </w:rPr>
        <w:t>合计收费=1.5+3.2+0.45=5.15万元：</w:t>
      </w:r>
    </w:p>
    <w:p w14:paraId="57F813BF">
      <w:pPr>
        <w:ind w:firstLine="470" w:firstLineChars="196"/>
        <w:rPr>
          <w:rFonts w:hint="eastAsia" w:ascii="宋体" w:hAnsi="宋体"/>
          <w:color w:val="auto"/>
          <w:szCs w:val="21"/>
          <w:highlight w:val="none"/>
        </w:rPr>
      </w:pPr>
      <w:r>
        <w:rPr>
          <w:rFonts w:hint="eastAsia" w:ascii="宋体" w:hAnsi="宋体"/>
          <w:color w:val="auto"/>
          <w:szCs w:val="21"/>
          <w:highlight w:val="none"/>
        </w:rPr>
        <w:t>中标人须在中标公告公示期结束后，领取《中标通知书》前，向招标代理机构缴纳中标服务费。</w:t>
      </w:r>
    </w:p>
    <w:p w14:paraId="470358E4">
      <w:pPr>
        <w:ind w:firstLine="470" w:firstLineChars="196"/>
        <w:rPr>
          <w:rFonts w:hint="eastAsia" w:ascii="宋体" w:hAnsi="宋体"/>
          <w:color w:val="auto"/>
          <w:szCs w:val="21"/>
          <w:highlight w:val="none"/>
        </w:rPr>
      </w:pPr>
      <w:r>
        <w:rPr>
          <w:rFonts w:hint="eastAsia" w:ascii="宋体" w:hAnsi="宋体"/>
          <w:color w:val="auto"/>
          <w:szCs w:val="21"/>
          <w:highlight w:val="none"/>
        </w:rPr>
        <w:t>4</w:t>
      </w:r>
      <w:r>
        <w:rPr>
          <w:rFonts w:hint="eastAsia" w:ascii="宋体" w:hAnsi="宋体"/>
          <w:color w:val="auto"/>
          <w:szCs w:val="21"/>
          <w:highlight w:val="none"/>
          <w:lang w:val="en-US" w:eastAsia="zh-CN"/>
        </w:rPr>
        <w:t>1</w:t>
      </w:r>
      <w:r>
        <w:rPr>
          <w:rFonts w:hint="eastAsia" w:ascii="宋体" w:hAnsi="宋体"/>
          <w:color w:val="auto"/>
          <w:szCs w:val="21"/>
          <w:highlight w:val="none"/>
        </w:rPr>
        <w:t>.</w:t>
      </w:r>
      <w:r>
        <w:rPr>
          <w:rFonts w:hint="eastAsia" w:ascii="宋体" w:hAnsi="宋体"/>
          <w:color w:val="auto"/>
          <w:szCs w:val="21"/>
          <w:highlight w:val="none"/>
          <w:lang w:val="en-US" w:eastAsia="zh-CN"/>
        </w:rPr>
        <w:t>4.2</w:t>
      </w:r>
      <w:r>
        <w:rPr>
          <w:rFonts w:hint="eastAsia" w:ascii="宋体" w:hAnsi="宋体"/>
          <w:color w:val="auto"/>
          <w:szCs w:val="21"/>
          <w:highlight w:val="none"/>
        </w:rPr>
        <w:t xml:space="preserve"> 招标代理服务费以转账、现金形式交付。</w:t>
      </w:r>
    </w:p>
    <w:p w14:paraId="3CEA8020">
      <w:pPr>
        <w:rPr>
          <w:color w:val="auto"/>
          <w:highlight w:val="none"/>
        </w:rPr>
      </w:pPr>
    </w:p>
    <w:bookmarkEnd w:id="74"/>
    <w:p w14:paraId="4DD9938A">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公开招标失败的后续处理</w:t>
      </w:r>
    </w:p>
    <w:p w14:paraId="729903FB">
      <w:pPr>
        <w:rPr>
          <w:rFonts w:ascii="黑体" w:hAnsi="宋体" w:eastAsia="黑体"/>
          <w:color w:val="auto"/>
          <w:highlight w:val="none"/>
        </w:rPr>
      </w:pPr>
      <w:r>
        <w:rPr>
          <w:rFonts w:hint="eastAsia" w:ascii="黑体" w:hAnsi="宋体" w:eastAsia="黑体"/>
          <w:color w:val="auto"/>
          <w:highlight w:val="none"/>
        </w:rPr>
        <w:t>42．公开招标失败的处理</w:t>
      </w:r>
    </w:p>
    <w:p w14:paraId="7B82E056">
      <w:pPr>
        <w:ind w:firstLine="470" w:firstLineChars="196"/>
        <w:rPr>
          <w:rFonts w:ascii="宋体" w:hAnsi="宋体"/>
          <w:color w:val="auto"/>
          <w:highlight w:val="none"/>
        </w:rPr>
      </w:pPr>
      <w:r>
        <w:rPr>
          <w:rFonts w:hint="eastAsia" w:ascii="宋体" w:hAnsi="宋体"/>
          <w:color w:val="auto"/>
          <w:szCs w:val="21"/>
          <w:highlight w:val="none"/>
        </w:rPr>
        <w:t>42.1本项目公开招标过程中若由于投标截止后</w:t>
      </w:r>
      <w:r>
        <w:rPr>
          <w:rFonts w:hint="eastAsia" w:ascii="宋体" w:hAnsi="宋体"/>
          <w:color w:val="auto"/>
          <w:highlight w:val="none"/>
        </w:rPr>
        <w:t>实际递交</w:t>
      </w:r>
      <w:r>
        <w:rPr>
          <w:rFonts w:ascii="宋体" w:hAnsi="宋体"/>
          <w:color w:val="auto"/>
          <w:highlight w:val="none"/>
        </w:rPr>
        <w:t>投标</w:t>
      </w:r>
      <w:r>
        <w:rPr>
          <w:rFonts w:hint="eastAsia" w:ascii="宋体" w:hAnsi="宋体"/>
          <w:color w:val="auto"/>
          <w:highlight w:val="none"/>
        </w:rPr>
        <w:t>文件的供应商数量不足、经</w:t>
      </w:r>
      <w:r>
        <w:rPr>
          <w:rFonts w:hint="eastAsia" w:ascii="宋体" w:hAnsi="宋体"/>
          <w:color w:val="auto"/>
          <w:szCs w:val="21"/>
          <w:highlight w:val="none"/>
        </w:rPr>
        <w:t>评审委员会</w:t>
      </w:r>
      <w:r>
        <w:rPr>
          <w:rFonts w:hint="eastAsia" w:ascii="宋体" w:hAnsi="宋体"/>
          <w:color w:val="auto"/>
          <w:highlight w:val="none"/>
        </w:rPr>
        <w:t>评审对招标文件作实质响应的供应商不足等原因造成公开招标失败，可由</w:t>
      </w:r>
      <w:r>
        <w:rPr>
          <w:rFonts w:hint="eastAsia" w:ascii="宋体" w:hAnsi="宋体" w:eastAsia="宋体" w:cs="宋体"/>
          <w:color w:val="auto"/>
          <w:highlight w:val="none"/>
        </w:rPr>
        <w:t>招标机构</w:t>
      </w:r>
      <w:r>
        <w:rPr>
          <w:rFonts w:hint="eastAsia" w:ascii="宋体" w:hAnsi="宋体"/>
          <w:color w:val="auto"/>
          <w:highlight w:val="none"/>
        </w:rPr>
        <w:t>重新组织采购。</w:t>
      </w:r>
    </w:p>
    <w:p w14:paraId="48E1A713">
      <w:pPr>
        <w:ind w:firstLine="470" w:firstLineChars="196"/>
        <w:rPr>
          <w:rFonts w:ascii="宋体" w:hAnsi="宋体"/>
          <w:color w:val="auto"/>
          <w:szCs w:val="21"/>
          <w:highlight w:val="none"/>
        </w:rPr>
      </w:pPr>
      <w:r>
        <w:rPr>
          <w:rFonts w:hint="eastAsia" w:ascii="宋体" w:hAnsi="宋体"/>
          <w:color w:val="auto"/>
          <w:szCs w:val="21"/>
          <w:highlight w:val="none"/>
        </w:rPr>
        <w:t>42.2对公开招标失败的项目，评审委员会在出具该项目招标失败结论的同时，可以提出重新采购组织形式的建议，以及进一步完善招标文件的资格、技术、商务要求的修改建议。</w:t>
      </w:r>
    </w:p>
    <w:p w14:paraId="6580D468">
      <w:pPr>
        <w:ind w:firstLine="470" w:firstLineChars="196"/>
        <w:rPr>
          <w:rFonts w:ascii="宋体" w:hAnsi="宋体"/>
          <w:color w:val="auto"/>
          <w:szCs w:val="21"/>
          <w:highlight w:val="none"/>
        </w:rPr>
      </w:pPr>
      <w:r>
        <w:rPr>
          <w:rFonts w:hint="eastAsia" w:ascii="宋体" w:hAnsi="宋体"/>
          <w:color w:val="auto"/>
          <w:szCs w:val="21"/>
          <w:highlight w:val="none"/>
        </w:rPr>
        <w:t>42.3重新组织采购有以下两种组织形式：</w:t>
      </w:r>
    </w:p>
    <w:p w14:paraId="5A76F6E1">
      <w:pPr>
        <w:ind w:firstLine="470" w:firstLineChars="196"/>
        <w:rPr>
          <w:rFonts w:ascii="宋体" w:hAnsi="宋体"/>
          <w:color w:val="auto"/>
          <w:highlight w:val="none"/>
        </w:rPr>
      </w:pPr>
      <w:r>
        <w:rPr>
          <w:rFonts w:hint="eastAsia" w:ascii="宋体" w:hAnsi="宋体"/>
          <w:color w:val="auto"/>
          <w:highlight w:val="none"/>
        </w:rPr>
        <w:t>（1）由</w:t>
      </w:r>
      <w:r>
        <w:rPr>
          <w:rFonts w:hint="eastAsia" w:ascii="宋体" w:hAnsi="宋体" w:eastAsia="宋体"/>
          <w:color w:val="auto"/>
          <w:highlight w:val="none"/>
        </w:rPr>
        <w:t>招标机构</w:t>
      </w:r>
      <w:r>
        <w:rPr>
          <w:rFonts w:hint="eastAsia" w:ascii="宋体" w:hAnsi="宋体"/>
          <w:color w:val="auto"/>
          <w:highlight w:val="none"/>
        </w:rPr>
        <w:t>重新组织公开招标；</w:t>
      </w:r>
    </w:p>
    <w:p w14:paraId="718F7D7E">
      <w:pPr>
        <w:ind w:firstLine="470" w:firstLineChars="196"/>
        <w:rPr>
          <w:rFonts w:ascii="宋体" w:hAnsi="宋体"/>
          <w:color w:val="auto"/>
          <w:highlight w:val="none"/>
        </w:rPr>
      </w:pPr>
      <w:r>
        <w:rPr>
          <w:rFonts w:hint="eastAsia" w:ascii="宋体" w:hAnsi="宋体"/>
          <w:color w:val="auto"/>
          <w:highlight w:val="none"/>
        </w:rPr>
        <w:t>（2）根据实际情况需要向同级财政部门提出非公开招标方式申请，经同级财政部门批准，公开招标失败采购项目可转为竞争性谈判或单一来源谈判方式采购。</w:t>
      </w:r>
    </w:p>
    <w:p w14:paraId="11B573B7">
      <w:pPr>
        <w:ind w:firstLine="470" w:firstLineChars="196"/>
        <w:rPr>
          <w:rFonts w:ascii="宋体" w:hAnsi="宋体"/>
          <w:color w:val="auto"/>
          <w:highlight w:val="none"/>
        </w:rPr>
      </w:pPr>
      <w:r>
        <w:rPr>
          <w:rFonts w:hint="eastAsia" w:ascii="宋体" w:hAnsi="宋体"/>
          <w:color w:val="auto"/>
          <w:highlight w:val="none"/>
        </w:rPr>
        <w:t>42.4公开招标失败的采购项目重新组织公开招标，由</w:t>
      </w:r>
      <w:r>
        <w:rPr>
          <w:rFonts w:hint="eastAsia" w:ascii="宋体" w:hAnsi="宋体" w:eastAsia="宋体"/>
          <w:color w:val="auto"/>
          <w:highlight w:val="none"/>
        </w:rPr>
        <w:t>招标机构</w:t>
      </w:r>
      <w:r>
        <w:rPr>
          <w:rFonts w:hint="eastAsia" w:ascii="宋体" w:hAnsi="宋体"/>
          <w:color w:val="auto"/>
          <w:highlight w:val="none"/>
        </w:rPr>
        <w:t>重新按公开招标流程组织采购活动。</w:t>
      </w:r>
    </w:p>
    <w:p w14:paraId="13E07B0D">
      <w:pPr>
        <w:ind w:firstLine="470" w:firstLineChars="196"/>
        <w:rPr>
          <w:rFonts w:hint="eastAsia" w:ascii="宋体" w:hAnsi="宋体"/>
          <w:color w:val="auto"/>
          <w:highlight w:val="none"/>
        </w:rPr>
      </w:pPr>
      <w:r>
        <w:rPr>
          <w:rFonts w:hint="eastAsia" w:ascii="宋体" w:hAnsi="宋体"/>
          <w:color w:val="auto"/>
          <w:highlight w:val="none"/>
        </w:rPr>
        <w:t>42.5公开招标失败的采购项目经同级财政部门批准转为竞争性谈判或单一来源谈判方式采购的，按规定要求组织政府采购工作。</w:t>
      </w:r>
    </w:p>
    <w:p w14:paraId="10294DE5">
      <w:pPr>
        <w:pStyle w:val="5"/>
        <w:numPr>
          <w:ilvl w:val="0"/>
          <w:numId w:val="4"/>
        </w:numPr>
        <w:tabs>
          <w:tab w:val="left" w:pos="360"/>
          <w:tab w:val="clear" w:pos="720"/>
        </w:tabs>
        <w:spacing w:before="120" w:beforeLines="50" w:after="120" w:afterLines="50"/>
        <w:ind w:left="562" w:hanging="562"/>
        <w:rPr>
          <w:color w:val="auto"/>
          <w:sz w:val="28"/>
          <w:szCs w:val="28"/>
          <w:highlight w:val="none"/>
        </w:rPr>
      </w:pPr>
      <w:bookmarkStart w:id="75" w:name="_Hlk72439043"/>
      <w:r>
        <w:rPr>
          <w:rFonts w:hint="eastAsia"/>
          <w:color w:val="auto"/>
          <w:sz w:val="28"/>
          <w:szCs w:val="28"/>
          <w:highlight w:val="none"/>
        </w:rPr>
        <w:t>合同的授予与备案</w:t>
      </w:r>
      <w:bookmarkEnd w:id="75"/>
    </w:p>
    <w:p w14:paraId="404EA40C">
      <w:pPr>
        <w:rPr>
          <w:rFonts w:ascii="黑体" w:hAnsi="宋体" w:eastAsia="黑体"/>
          <w:color w:val="auto"/>
          <w:highlight w:val="none"/>
        </w:rPr>
      </w:pPr>
      <w:bookmarkStart w:id="76" w:name="_Toc73517679"/>
      <w:bookmarkStart w:id="77" w:name="_Toc100052408"/>
      <w:bookmarkStart w:id="78" w:name="_Toc73521674"/>
      <w:bookmarkStart w:id="79" w:name="_Toc73518157"/>
      <w:bookmarkStart w:id="80" w:name="_Toc73521586"/>
      <w:bookmarkStart w:id="81" w:name="_Hlk72439088"/>
      <w:r>
        <w:rPr>
          <w:rFonts w:hint="eastAsia" w:ascii="黑体" w:hAnsi="宋体" w:eastAsia="黑体"/>
          <w:color w:val="auto"/>
          <w:highlight w:val="none"/>
        </w:rPr>
        <w:t>43．合同授予标准</w:t>
      </w:r>
      <w:bookmarkEnd w:id="76"/>
      <w:bookmarkEnd w:id="77"/>
      <w:bookmarkEnd w:id="78"/>
      <w:bookmarkEnd w:id="79"/>
      <w:bookmarkEnd w:id="80"/>
    </w:p>
    <w:p w14:paraId="392ED261">
      <w:pPr>
        <w:ind w:firstLine="470" w:firstLineChars="196"/>
        <w:rPr>
          <w:rFonts w:ascii="宋体" w:hAnsi="宋体"/>
          <w:color w:val="auto"/>
          <w:szCs w:val="21"/>
          <w:highlight w:val="none"/>
        </w:rPr>
      </w:pPr>
      <w:r>
        <w:rPr>
          <w:rFonts w:hint="eastAsia" w:ascii="宋体" w:hAnsi="宋体"/>
          <w:color w:val="auto"/>
          <w:szCs w:val="21"/>
          <w:highlight w:val="none"/>
        </w:rPr>
        <w:t>本项目的合同将授予经本招标文件规定评审确定的中标供应商。</w:t>
      </w:r>
    </w:p>
    <w:p w14:paraId="0F82CFF8">
      <w:pPr>
        <w:rPr>
          <w:rFonts w:ascii="黑体" w:hAnsi="宋体" w:eastAsia="黑体"/>
          <w:color w:val="auto"/>
          <w:highlight w:val="none"/>
        </w:rPr>
      </w:pPr>
      <w:bookmarkStart w:id="82" w:name="_Toc73521587"/>
      <w:bookmarkStart w:id="83" w:name="_Toc73518158"/>
      <w:bookmarkStart w:id="84" w:name="_Toc73517680"/>
      <w:bookmarkStart w:id="85" w:name="_Toc73521675"/>
      <w:bookmarkStart w:id="86" w:name="_Toc100052409"/>
      <w:r>
        <w:rPr>
          <w:rFonts w:hint="eastAsia" w:ascii="黑体" w:hAnsi="宋体" w:eastAsia="黑体"/>
          <w:color w:val="auto"/>
          <w:highlight w:val="none"/>
        </w:rPr>
        <w:t>44．</w:t>
      </w:r>
      <w:bookmarkEnd w:id="82"/>
      <w:bookmarkEnd w:id="83"/>
      <w:bookmarkEnd w:id="84"/>
      <w:bookmarkEnd w:id="85"/>
      <w:bookmarkEnd w:id="86"/>
      <w:r>
        <w:rPr>
          <w:rFonts w:hint="eastAsia" w:ascii="黑体" w:hAnsi="宋体" w:eastAsia="黑体"/>
          <w:color w:val="auto"/>
          <w:highlight w:val="none"/>
        </w:rPr>
        <w:t>接受和拒绝任何或所有投标的权力</w:t>
      </w:r>
    </w:p>
    <w:p w14:paraId="1793A192">
      <w:pPr>
        <w:ind w:firstLine="470" w:firstLineChars="196"/>
        <w:rPr>
          <w:rFonts w:ascii="宋体" w:hAnsi="宋体"/>
          <w:color w:val="auto"/>
          <w:szCs w:val="21"/>
          <w:highlight w:val="none"/>
        </w:rPr>
      </w:pPr>
      <w:r>
        <w:rPr>
          <w:rFonts w:hint="eastAsia" w:ascii="宋体" w:hAnsi="宋体" w:eastAsia="宋体"/>
          <w:color w:val="auto"/>
          <w:szCs w:val="21"/>
          <w:highlight w:val="none"/>
        </w:rPr>
        <w:t>招标机构</w:t>
      </w:r>
      <w:r>
        <w:rPr>
          <w:rFonts w:hint="eastAsia" w:ascii="宋体" w:hAnsi="宋体"/>
          <w:color w:val="auto"/>
          <w:szCs w:val="21"/>
          <w:highlight w:val="none"/>
        </w:rPr>
        <w:t>和采购人保留在投标之前任何时候接受或拒绝任何投标或所有投标，以及宣布招标无效的权力，对受影响的投标人不承担任何责任，也无义务向受影响的投标人解释采取这一行动的理由。</w:t>
      </w:r>
    </w:p>
    <w:p w14:paraId="0EAE56C1">
      <w:pPr>
        <w:rPr>
          <w:rFonts w:ascii="黑体" w:hAnsi="宋体" w:eastAsia="黑体"/>
          <w:color w:val="auto"/>
          <w:highlight w:val="none"/>
        </w:rPr>
      </w:pPr>
      <w:bookmarkStart w:id="87" w:name="_Toc73521589"/>
      <w:bookmarkStart w:id="88" w:name="_Toc73517682"/>
      <w:bookmarkStart w:id="89" w:name="_Toc73521677"/>
      <w:bookmarkStart w:id="90" w:name="_Toc73518160"/>
      <w:bookmarkStart w:id="91" w:name="_Toc100052410"/>
      <w:r>
        <w:rPr>
          <w:rFonts w:hint="eastAsia" w:ascii="黑体" w:hAnsi="宋体" w:eastAsia="黑体"/>
          <w:color w:val="auto"/>
          <w:highlight w:val="none"/>
        </w:rPr>
        <w:t>45．合同的签订</w:t>
      </w:r>
      <w:bookmarkEnd w:id="87"/>
      <w:bookmarkEnd w:id="88"/>
      <w:bookmarkEnd w:id="89"/>
      <w:bookmarkEnd w:id="90"/>
      <w:bookmarkEnd w:id="91"/>
    </w:p>
    <w:p w14:paraId="1B8D4883">
      <w:pPr>
        <w:ind w:firstLine="470" w:firstLineChars="196"/>
        <w:rPr>
          <w:rFonts w:ascii="宋体" w:hAnsi="宋体"/>
          <w:color w:val="auto"/>
          <w:szCs w:val="21"/>
          <w:highlight w:val="none"/>
        </w:rPr>
      </w:pPr>
      <w:r>
        <w:rPr>
          <w:rFonts w:hint="eastAsia" w:ascii="宋体" w:hAnsi="宋体"/>
          <w:color w:val="auto"/>
          <w:szCs w:val="21"/>
          <w:highlight w:val="none"/>
        </w:rPr>
        <w:t>45.1中标人将于中标通知书发出之日起十个工作日内，按照采购文件（招标文件和投标文件等）内容与采购人签订政府采购合同；合同的实质性内容应当符合招标文件的规定；</w:t>
      </w:r>
    </w:p>
    <w:p w14:paraId="5942DB50">
      <w:pPr>
        <w:ind w:firstLine="470" w:firstLineChars="196"/>
        <w:rPr>
          <w:rFonts w:ascii="宋体" w:hAnsi="宋体"/>
          <w:color w:val="auto"/>
          <w:szCs w:val="21"/>
          <w:highlight w:val="none"/>
        </w:rPr>
      </w:pPr>
      <w:r>
        <w:rPr>
          <w:rFonts w:hint="eastAsia" w:ascii="宋体" w:hAnsi="宋体"/>
          <w:color w:val="auto"/>
          <w:szCs w:val="21"/>
          <w:highlight w:val="none"/>
        </w:rPr>
        <w:t>45.2中标人如不按本通用条款第45</w:t>
      </w:r>
      <w:r>
        <w:rPr>
          <w:rFonts w:ascii="宋体" w:hAnsi="宋体"/>
          <w:color w:val="auto"/>
          <w:szCs w:val="21"/>
          <w:highlight w:val="none"/>
        </w:rPr>
        <w:t>.1</w:t>
      </w:r>
      <w:r>
        <w:rPr>
          <w:rFonts w:hint="eastAsia" w:ascii="宋体" w:hAnsi="宋体"/>
          <w:color w:val="auto"/>
          <w:szCs w:val="21"/>
          <w:highlight w:val="none"/>
        </w:rPr>
        <w:t>款的规定与采购人签订合同，</w:t>
      </w:r>
      <w:r>
        <w:rPr>
          <w:rFonts w:ascii="宋体" w:hAnsi="宋体" w:cs="宋体"/>
          <w:color w:val="auto"/>
          <w:szCs w:val="21"/>
          <w:highlight w:val="none"/>
        </w:rPr>
        <w:t>情节严重的，由</w:t>
      </w:r>
      <w:r>
        <w:rPr>
          <w:rFonts w:hint="eastAsia" w:ascii="宋体" w:hAnsi="宋体" w:cs="宋体"/>
          <w:color w:val="auto"/>
          <w:szCs w:val="21"/>
          <w:highlight w:val="none"/>
        </w:rPr>
        <w:t>同级财政</w:t>
      </w:r>
      <w:r>
        <w:rPr>
          <w:rFonts w:ascii="宋体" w:hAnsi="宋体" w:cs="宋体"/>
          <w:color w:val="auto"/>
          <w:szCs w:val="21"/>
          <w:highlight w:val="none"/>
        </w:rPr>
        <w:t>部门记入供应商诚信档案，予以通报</w:t>
      </w:r>
      <w:r>
        <w:rPr>
          <w:rFonts w:hint="eastAsia" w:ascii="宋体" w:hAnsi="宋体"/>
          <w:color w:val="auto"/>
          <w:szCs w:val="21"/>
          <w:highlight w:val="none"/>
        </w:rPr>
        <w:t>；</w:t>
      </w:r>
    </w:p>
    <w:p w14:paraId="1B2E3D1F">
      <w:pPr>
        <w:ind w:firstLine="470" w:firstLineChars="196"/>
        <w:rPr>
          <w:rFonts w:ascii="宋体" w:hAnsi="宋体"/>
          <w:color w:val="auto"/>
          <w:szCs w:val="21"/>
          <w:highlight w:val="none"/>
        </w:rPr>
      </w:pPr>
      <w:r>
        <w:rPr>
          <w:rFonts w:hint="eastAsia" w:ascii="宋体" w:hAnsi="宋体"/>
          <w:color w:val="auto"/>
          <w:szCs w:val="21"/>
          <w:highlight w:val="none"/>
        </w:rPr>
        <w:t>45.3中标人应当按照合同约定履行义务，完成中标项目，不得将中标项目转让（转包）给他人。</w:t>
      </w:r>
    </w:p>
    <w:p w14:paraId="236DC67F">
      <w:pPr>
        <w:rPr>
          <w:rFonts w:ascii="黑体" w:hAnsi="宋体" w:eastAsia="黑体"/>
          <w:color w:val="auto"/>
          <w:highlight w:val="none"/>
        </w:rPr>
      </w:pPr>
      <w:bookmarkStart w:id="92" w:name="_Toc73517683"/>
      <w:bookmarkStart w:id="93" w:name="_Toc100052411"/>
      <w:bookmarkStart w:id="94" w:name="_Toc73518161"/>
      <w:bookmarkStart w:id="95" w:name="_Toc73521590"/>
      <w:bookmarkStart w:id="96" w:name="_Toc73521678"/>
      <w:r>
        <w:rPr>
          <w:rFonts w:hint="eastAsia" w:ascii="黑体" w:hAnsi="宋体" w:eastAsia="黑体"/>
          <w:color w:val="auto"/>
          <w:highlight w:val="none"/>
        </w:rPr>
        <w:t>46．履约担保</w:t>
      </w:r>
      <w:bookmarkEnd w:id="92"/>
      <w:bookmarkEnd w:id="93"/>
      <w:bookmarkEnd w:id="94"/>
      <w:bookmarkEnd w:id="95"/>
      <w:bookmarkEnd w:id="96"/>
    </w:p>
    <w:p w14:paraId="572BCAB5">
      <w:pPr>
        <w:ind w:firstLine="470" w:firstLineChars="196"/>
        <w:rPr>
          <w:rFonts w:ascii="宋体" w:hAnsi="宋体"/>
          <w:color w:val="auto"/>
          <w:szCs w:val="21"/>
          <w:highlight w:val="none"/>
        </w:rPr>
      </w:pPr>
      <w:r>
        <w:rPr>
          <w:rFonts w:hint="eastAsia" w:ascii="宋体" w:hAnsi="宋体"/>
          <w:color w:val="auto"/>
          <w:szCs w:val="21"/>
          <w:highlight w:val="none"/>
        </w:rPr>
        <w:t>46.1在签订项目合同的同时，中标人应按“对通用条款的补充内容”中规定的金额向采购人提交履约担保；</w:t>
      </w:r>
    </w:p>
    <w:p w14:paraId="6E98A5AC">
      <w:pPr>
        <w:ind w:firstLine="470" w:firstLineChars="196"/>
        <w:rPr>
          <w:rFonts w:ascii="宋体" w:hAnsi="宋体"/>
          <w:color w:val="auto"/>
          <w:szCs w:val="21"/>
          <w:highlight w:val="none"/>
        </w:rPr>
      </w:pPr>
      <w:r>
        <w:rPr>
          <w:rFonts w:hint="eastAsia" w:ascii="宋体" w:hAnsi="宋体"/>
          <w:color w:val="auto"/>
          <w:szCs w:val="21"/>
          <w:highlight w:val="none"/>
        </w:rPr>
        <w:t>46.2允许供应商自主选择以支票、汇票、本票、保函等非现金方式提交履约担保；</w:t>
      </w:r>
      <w:r>
        <w:rPr>
          <w:color w:val="auto"/>
          <w:highlight w:val="none"/>
        </w:rPr>
        <w:t>中标</w:t>
      </w:r>
      <w:r>
        <w:rPr>
          <w:rFonts w:hint="eastAsia"/>
          <w:color w:val="auto"/>
          <w:highlight w:val="none"/>
        </w:rPr>
        <w:t>人</w:t>
      </w:r>
      <w:r>
        <w:rPr>
          <w:color w:val="auto"/>
          <w:highlight w:val="none"/>
        </w:rPr>
        <w:t>提交履约</w:t>
      </w:r>
      <w:r>
        <w:rPr>
          <w:rFonts w:hint="eastAsia"/>
          <w:color w:val="auto"/>
          <w:highlight w:val="none"/>
        </w:rPr>
        <w:t>担保不是</w:t>
      </w:r>
      <w:r>
        <w:rPr>
          <w:color w:val="auto"/>
          <w:highlight w:val="none"/>
        </w:rPr>
        <w:t>合同签订的</w:t>
      </w:r>
      <w:r>
        <w:rPr>
          <w:rFonts w:hint="eastAsia"/>
          <w:color w:val="auto"/>
          <w:highlight w:val="none"/>
        </w:rPr>
        <w:t>前提</w:t>
      </w:r>
      <w:r>
        <w:rPr>
          <w:color w:val="auto"/>
          <w:highlight w:val="none"/>
        </w:rPr>
        <w:t>条件，不要求中标</w:t>
      </w:r>
      <w:r>
        <w:rPr>
          <w:rFonts w:hint="eastAsia"/>
          <w:color w:val="auto"/>
          <w:highlight w:val="none"/>
        </w:rPr>
        <w:t>人</w:t>
      </w:r>
      <w:r>
        <w:rPr>
          <w:color w:val="auto"/>
          <w:highlight w:val="none"/>
        </w:rPr>
        <w:t>提供除法律、法规明确规定外的其他担保</w:t>
      </w:r>
      <w:r>
        <w:rPr>
          <w:rFonts w:hint="eastAsia"/>
          <w:color w:val="auto"/>
          <w:highlight w:val="none"/>
        </w:rPr>
        <w:t>。</w:t>
      </w:r>
    </w:p>
    <w:p w14:paraId="0400085E">
      <w:pPr>
        <w:rPr>
          <w:rFonts w:ascii="黑体" w:hAnsi="宋体" w:eastAsia="黑体"/>
          <w:color w:val="auto"/>
          <w:highlight w:val="none"/>
        </w:rPr>
      </w:pPr>
      <w:r>
        <w:rPr>
          <w:rFonts w:hint="eastAsia" w:ascii="黑体" w:hAnsi="宋体" w:eastAsia="黑体"/>
          <w:color w:val="auto"/>
          <w:highlight w:val="none"/>
        </w:rPr>
        <w:t>47. 合同备案</w:t>
      </w:r>
    </w:p>
    <w:p w14:paraId="63FB0ADE">
      <w:pPr>
        <w:ind w:firstLine="470" w:firstLineChars="196"/>
        <w:rPr>
          <w:rFonts w:ascii="宋体" w:hAnsi="宋体"/>
          <w:color w:val="auto"/>
          <w:szCs w:val="21"/>
          <w:highlight w:val="none"/>
        </w:rPr>
      </w:pPr>
      <w:r>
        <w:rPr>
          <w:rFonts w:hint="eastAsia" w:ascii="宋体" w:hAnsi="宋体"/>
          <w:color w:val="auto"/>
          <w:szCs w:val="21"/>
          <w:highlight w:val="none"/>
        </w:rPr>
        <w:t>采购人与中标人应于合同签订之日起</w:t>
      </w:r>
      <w:r>
        <w:rPr>
          <w:rFonts w:hint="eastAsia" w:ascii="宋体" w:hAnsi="宋体" w:eastAsia="宋体"/>
          <w:color w:val="auto"/>
          <w:szCs w:val="21"/>
          <w:highlight w:val="none"/>
        </w:rPr>
        <w:t>十日</w:t>
      </w:r>
      <w:r>
        <w:rPr>
          <w:rFonts w:hint="eastAsia" w:ascii="宋体" w:hAnsi="宋体"/>
          <w:color w:val="auto"/>
          <w:szCs w:val="21"/>
          <w:highlight w:val="none"/>
        </w:rPr>
        <w:t>内，由采购人或委托中标人将采购合同副本抄送合同备案工作实施机构备案。</w:t>
      </w:r>
    </w:p>
    <w:p w14:paraId="41C6F9A7">
      <w:pPr>
        <w:rPr>
          <w:rFonts w:ascii="黑体" w:hAnsi="宋体" w:eastAsia="黑体"/>
          <w:color w:val="auto"/>
          <w:highlight w:val="none"/>
        </w:rPr>
      </w:pPr>
      <w:r>
        <w:rPr>
          <w:rFonts w:hint="eastAsia" w:ascii="黑体" w:hAnsi="宋体" w:eastAsia="黑体"/>
          <w:color w:val="auto"/>
          <w:highlight w:val="none"/>
        </w:rPr>
        <w:t>48. 合同变更</w:t>
      </w:r>
    </w:p>
    <w:p w14:paraId="3BE8A0F4">
      <w:pPr>
        <w:ind w:firstLine="470" w:firstLineChars="196"/>
        <w:rPr>
          <w:rFonts w:ascii="宋体" w:hAnsi="宋体"/>
          <w:color w:val="auto"/>
          <w:szCs w:val="21"/>
          <w:highlight w:val="none"/>
        </w:rPr>
      </w:pPr>
      <w:r>
        <w:rPr>
          <w:rFonts w:hint="eastAsia" w:ascii="宋体" w:hAnsi="宋体"/>
          <w:color w:val="auto"/>
          <w:szCs w:val="21"/>
          <w:highlight w:val="none"/>
        </w:rPr>
        <w:t>合同变更事宜按《深圳市财政局 深圳市政府采购中心关于进一步加强市本级政府采购合同备案管理工作的通知》（深财购〔2019〕43号）相关规定执行。</w:t>
      </w:r>
    </w:p>
    <w:p w14:paraId="612F28F8">
      <w:pPr>
        <w:rPr>
          <w:rFonts w:ascii="黑体" w:hAnsi="宋体" w:eastAsia="黑体"/>
          <w:color w:val="auto"/>
          <w:highlight w:val="none"/>
        </w:rPr>
      </w:pPr>
      <w:r>
        <w:rPr>
          <w:rFonts w:hint="eastAsia" w:ascii="黑体" w:hAnsi="宋体" w:eastAsia="黑体"/>
          <w:color w:val="auto"/>
          <w:highlight w:val="none"/>
        </w:rPr>
        <w:t>49. 项目验收</w:t>
      </w:r>
    </w:p>
    <w:p w14:paraId="3F76F3CA">
      <w:pPr>
        <w:ind w:right="176" w:firstLine="420"/>
        <w:rPr>
          <w:rFonts w:ascii="宋体" w:hAnsi="宋体"/>
          <w:color w:val="auto"/>
          <w:highlight w:val="none"/>
        </w:rPr>
      </w:pPr>
      <w:r>
        <w:rPr>
          <w:rFonts w:hint="eastAsia" w:ascii="宋体" w:hAnsi="宋体"/>
          <w:color w:val="auto"/>
          <w:highlight w:val="none"/>
        </w:rPr>
        <w:t>49.1采购人应当按照招标文件和合同规定的标准和方法，及时组织验收。</w:t>
      </w:r>
    </w:p>
    <w:p w14:paraId="11762377">
      <w:pPr>
        <w:rPr>
          <w:rFonts w:ascii="黑体" w:hAnsi="宋体" w:eastAsia="黑体"/>
          <w:color w:val="auto"/>
          <w:highlight w:val="none"/>
        </w:rPr>
      </w:pPr>
      <w:r>
        <w:rPr>
          <w:rFonts w:hint="eastAsia" w:ascii="黑体" w:hAnsi="宋体" w:eastAsia="黑体"/>
          <w:color w:val="auto"/>
          <w:highlight w:val="none"/>
        </w:rPr>
        <w:t>50. 宣传</w:t>
      </w:r>
    </w:p>
    <w:p w14:paraId="37E215C0">
      <w:pPr>
        <w:ind w:left="240" w:leftChars="100" w:firstLine="470" w:firstLineChars="196"/>
        <w:rPr>
          <w:rFonts w:ascii="宋体" w:hAnsi="宋体"/>
          <w:color w:val="auto"/>
          <w:highlight w:val="none"/>
        </w:rPr>
      </w:pPr>
      <w:r>
        <w:rPr>
          <w:rFonts w:hint="eastAsia" w:ascii="宋体" w:hAnsi="宋体"/>
          <w:color w:val="auto"/>
          <w:highlight w:val="none"/>
        </w:rPr>
        <w:t>凡与政府采购活动有关的宣传或广告，若当中提及政府采购，</w:t>
      </w:r>
      <w:r>
        <w:rPr>
          <w:rFonts w:ascii="宋体" w:hAnsi="宋体"/>
          <w:color w:val="auto"/>
          <w:highlight w:val="none"/>
        </w:rPr>
        <w:t>必须事先将具体对外宣传方案报</w:t>
      </w:r>
      <w:r>
        <w:rPr>
          <w:rFonts w:hint="eastAsia" w:ascii="宋体" w:hAnsi="宋体"/>
          <w:color w:val="auto"/>
          <w:highlight w:val="none"/>
        </w:rPr>
        <w:t>同级财政部门</w:t>
      </w:r>
      <w:r>
        <w:rPr>
          <w:rFonts w:ascii="宋体" w:hAnsi="宋体"/>
          <w:color w:val="auto"/>
          <w:highlight w:val="none"/>
        </w:rPr>
        <w:t>和</w:t>
      </w:r>
      <w:r>
        <w:rPr>
          <w:rFonts w:hint="eastAsia" w:ascii="宋体" w:hAnsi="宋体" w:eastAsia="宋体"/>
          <w:color w:val="auto"/>
          <w:highlight w:val="none"/>
        </w:rPr>
        <w:t>招标机构</w:t>
      </w:r>
      <w:r>
        <w:rPr>
          <w:rFonts w:ascii="宋体" w:hAnsi="宋体"/>
          <w:color w:val="auto"/>
          <w:highlight w:val="none"/>
        </w:rPr>
        <w:t>，并征得其同意。对外市场宣传包括但不限于以下形式：</w:t>
      </w:r>
    </w:p>
    <w:p w14:paraId="2928710E">
      <w:pPr>
        <w:ind w:left="240" w:leftChars="100" w:firstLine="470" w:firstLineChars="196"/>
        <w:rPr>
          <w:rFonts w:ascii="宋体" w:hAnsi="宋体"/>
          <w:color w:val="auto"/>
          <w:highlight w:val="none"/>
        </w:rPr>
      </w:pPr>
      <w:r>
        <w:rPr>
          <w:rFonts w:ascii="宋体" w:hAnsi="宋体"/>
          <w:color w:val="auto"/>
          <w:highlight w:val="none"/>
        </w:rPr>
        <w:t>a.名片、宣传册、广告标语等；</w:t>
      </w:r>
    </w:p>
    <w:p w14:paraId="0E7C831C">
      <w:pPr>
        <w:ind w:left="240" w:leftChars="100" w:firstLine="470" w:firstLineChars="196"/>
        <w:rPr>
          <w:rFonts w:ascii="宋体" w:hAnsi="宋体"/>
          <w:color w:val="auto"/>
          <w:highlight w:val="none"/>
        </w:rPr>
      </w:pPr>
      <w:r>
        <w:rPr>
          <w:rFonts w:ascii="宋体" w:hAnsi="宋体"/>
          <w:color w:val="auto"/>
          <w:highlight w:val="none"/>
        </w:rPr>
        <w:t>b.案例介绍、推广等；</w:t>
      </w:r>
    </w:p>
    <w:p w14:paraId="47332279">
      <w:pPr>
        <w:ind w:left="240" w:leftChars="100" w:firstLine="470" w:firstLineChars="196"/>
        <w:rPr>
          <w:rFonts w:ascii="宋体" w:hAnsi="宋体"/>
          <w:color w:val="auto"/>
          <w:highlight w:val="none"/>
        </w:rPr>
      </w:pPr>
      <w:r>
        <w:rPr>
          <w:rFonts w:hint="eastAsia" w:ascii="宋体" w:hAnsi="宋体"/>
          <w:color w:val="auto"/>
          <w:highlight w:val="none"/>
        </w:rPr>
        <w:t>c.工作</w:t>
      </w:r>
      <w:r>
        <w:rPr>
          <w:rFonts w:ascii="宋体" w:hAnsi="宋体"/>
          <w:color w:val="auto"/>
          <w:highlight w:val="none"/>
        </w:rPr>
        <w:t>人员向其他消费群体宣传。</w:t>
      </w:r>
    </w:p>
    <w:p w14:paraId="49DF0155">
      <w:pPr>
        <w:rPr>
          <w:rFonts w:ascii="黑体" w:hAnsi="宋体" w:eastAsia="黑体"/>
          <w:color w:val="auto"/>
          <w:highlight w:val="none"/>
        </w:rPr>
      </w:pPr>
      <w:r>
        <w:rPr>
          <w:rFonts w:hint="eastAsia" w:ascii="黑体" w:hAnsi="宋体" w:eastAsia="黑体"/>
          <w:color w:val="auto"/>
          <w:highlight w:val="none"/>
        </w:rPr>
        <w:t>51. 供应商违法责任</w:t>
      </w:r>
    </w:p>
    <w:p w14:paraId="68A14CC9">
      <w:pPr>
        <w:ind w:firstLine="470" w:firstLineChars="196"/>
        <w:rPr>
          <w:rFonts w:ascii="宋体" w:hAnsi="宋体"/>
          <w:color w:val="auto"/>
          <w:szCs w:val="21"/>
          <w:highlight w:val="none"/>
        </w:rPr>
      </w:pPr>
      <w:r>
        <w:rPr>
          <w:rFonts w:hint="eastAsia" w:ascii="宋体" w:hAnsi="宋体"/>
          <w:color w:val="auto"/>
          <w:szCs w:val="21"/>
          <w:highlight w:val="none"/>
        </w:rPr>
        <w:t>5</w:t>
      </w:r>
      <w:r>
        <w:rPr>
          <w:rFonts w:ascii="宋体" w:hAnsi="宋体"/>
          <w:color w:val="auto"/>
          <w:szCs w:val="21"/>
          <w:highlight w:val="none"/>
        </w:rPr>
        <w:t>1.1</w:t>
      </w:r>
      <w:r>
        <w:rPr>
          <w:rFonts w:hint="eastAsia" w:ascii="宋体" w:hAnsi="宋体"/>
          <w:color w:val="auto"/>
          <w:szCs w:val="21"/>
          <w:highlight w:val="none"/>
        </w:rPr>
        <w:t>《深圳经济特区政府采购条例》第五十七条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0CC8D0B2">
      <w:pPr>
        <w:ind w:firstLine="470" w:firstLineChars="196"/>
        <w:rPr>
          <w:rFonts w:ascii="宋体" w:hAnsi="宋体"/>
          <w:color w:val="auto"/>
          <w:szCs w:val="21"/>
          <w:highlight w:val="none"/>
        </w:rPr>
      </w:pPr>
      <w:r>
        <w:rPr>
          <w:rFonts w:hint="eastAsia" w:ascii="宋体" w:hAnsi="宋体"/>
          <w:color w:val="auto"/>
          <w:szCs w:val="21"/>
          <w:highlight w:val="none"/>
        </w:rPr>
        <w:t>（1）在采购活动中应当回避而未回避的；</w:t>
      </w:r>
    </w:p>
    <w:p w14:paraId="2DBC4D21">
      <w:pPr>
        <w:ind w:firstLine="470" w:firstLineChars="196"/>
        <w:rPr>
          <w:rFonts w:ascii="宋体" w:hAnsi="宋体"/>
          <w:color w:val="auto"/>
          <w:szCs w:val="21"/>
          <w:highlight w:val="none"/>
        </w:rPr>
      </w:pPr>
      <w:r>
        <w:rPr>
          <w:rFonts w:hint="eastAsia" w:ascii="宋体" w:hAnsi="宋体"/>
          <w:color w:val="auto"/>
          <w:szCs w:val="21"/>
          <w:highlight w:val="none"/>
        </w:rPr>
        <w:t>（2）未按本条例规定签订、履行采购合同，造成严重后果的；</w:t>
      </w:r>
    </w:p>
    <w:p w14:paraId="2B19EEA2">
      <w:pPr>
        <w:ind w:firstLine="470" w:firstLineChars="196"/>
        <w:rPr>
          <w:rFonts w:ascii="宋体" w:hAnsi="宋体"/>
          <w:color w:val="auto"/>
          <w:szCs w:val="21"/>
          <w:highlight w:val="none"/>
        </w:rPr>
      </w:pPr>
      <w:r>
        <w:rPr>
          <w:rFonts w:hint="eastAsia" w:ascii="宋体" w:hAnsi="宋体"/>
          <w:color w:val="auto"/>
          <w:szCs w:val="21"/>
          <w:highlight w:val="none"/>
        </w:rPr>
        <w:t>（3）隐瞒真实情况，提供虚假资料的；</w:t>
      </w:r>
    </w:p>
    <w:p w14:paraId="52C2E98E">
      <w:pPr>
        <w:ind w:firstLine="470" w:firstLineChars="196"/>
        <w:rPr>
          <w:rFonts w:ascii="宋体" w:hAnsi="宋体"/>
          <w:color w:val="auto"/>
          <w:szCs w:val="21"/>
          <w:highlight w:val="none"/>
        </w:rPr>
      </w:pPr>
      <w:r>
        <w:rPr>
          <w:rFonts w:hint="eastAsia" w:ascii="宋体" w:hAnsi="宋体"/>
          <w:color w:val="auto"/>
          <w:szCs w:val="21"/>
          <w:highlight w:val="none"/>
        </w:rPr>
        <w:t>（4）以非法手段排斥其他供应商参与竞争的；</w:t>
      </w:r>
    </w:p>
    <w:p w14:paraId="6FEBFB76">
      <w:pPr>
        <w:ind w:firstLine="470" w:firstLineChars="196"/>
        <w:rPr>
          <w:rFonts w:ascii="宋体" w:hAnsi="宋体"/>
          <w:color w:val="auto"/>
          <w:szCs w:val="21"/>
          <w:highlight w:val="none"/>
        </w:rPr>
      </w:pPr>
      <w:r>
        <w:rPr>
          <w:rFonts w:hint="eastAsia" w:ascii="宋体" w:hAnsi="宋体"/>
          <w:color w:val="auto"/>
          <w:szCs w:val="21"/>
          <w:highlight w:val="none"/>
        </w:rPr>
        <w:t>（5）与其他采购参加人串通投标的；</w:t>
      </w:r>
    </w:p>
    <w:p w14:paraId="49B2E71E">
      <w:pPr>
        <w:ind w:firstLine="470" w:firstLineChars="196"/>
        <w:rPr>
          <w:rFonts w:ascii="宋体" w:hAnsi="宋体"/>
          <w:color w:val="auto"/>
          <w:szCs w:val="21"/>
          <w:highlight w:val="none"/>
        </w:rPr>
      </w:pPr>
      <w:r>
        <w:rPr>
          <w:rFonts w:hint="eastAsia" w:ascii="宋体" w:hAnsi="宋体"/>
          <w:color w:val="auto"/>
          <w:szCs w:val="21"/>
          <w:highlight w:val="none"/>
        </w:rPr>
        <w:t>（6）恶意投诉的；</w:t>
      </w:r>
    </w:p>
    <w:p w14:paraId="26A40151">
      <w:pPr>
        <w:ind w:firstLine="470" w:firstLineChars="196"/>
        <w:rPr>
          <w:rFonts w:ascii="宋体" w:hAnsi="宋体"/>
          <w:color w:val="auto"/>
          <w:szCs w:val="21"/>
          <w:highlight w:val="none"/>
        </w:rPr>
      </w:pPr>
      <w:r>
        <w:rPr>
          <w:rFonts w:hint="eastAsia" w:ascii="宋体" w:hAnsi="宋体"/>
          <w:color w:val="auto"/>
          <w:szCs w:val="21"/>
          <w:highlight w:val="none"/>
        </w:rPr>
        <w:t>（7）向采购项目相关人行贿或者提供其他不当利益的；</w:t>
      </w:r>
    </w:p>
    <w:p w14:paraId="3BC9695E">
      <w:pPr>
        <w:ind w:firstLine="470" w:firstLineChars="196"/>
        <w:rPr>
          <w:rFonts w:ascii="宋体" w:hAnsi="宋体"/>
          <w:color w:val="auto"/>
          <w:szCs w:val="21"/>
          <w:highlight w:val="none"/>
        </w:rPr>
      </w:pPr>
      <w:r>
        <w:rPr>
          <w:rFonts w:hint="eastAsia" w:ascii="宋体" w:hAnsi="宋体"/>
          <w:color w:val="auto"/>
          <w:szCs w:val="21"/>
          <w:highlight w:val="none"/>
        </w:rPr>
        <w:t>（8）阻碍、抗拒主管部门监督检查的；</w:t>
      </w:r>
    </w:p>
    <w:p w14:paraId="0E257FFA">
      <w:pPr>
        <w:ind w:firstLine="470" w:firstLineChars="196"/>
        <w:rPr>
          <w:rFonts w:ascii="宋体" w:hAnsi="宋体"/>
          <w:color w:val="auto"/>
          <w:szCs w:val="21"/>
          <w:highlight w:val="none"/>
        </w:rPr>
      </w:pPr>
      <w:r>
        <w:rPr>
          <w:rFonts w:hint="eastAsia" w:ascii="宋体" w:hAnsi="宋体"/>
          <w:color w:val="auto"/>
          <w:szCs w:val="21"/>
          <w:highlight w:val="none"/>
        </w:rPr>
        <w:t>（9）其他违反本条例规定的行为。</w:t>
      </w:r>
    </w:p>
    <w:p w14:paraId="319B86C9">
      <w:pPr>
        <w:ind w:firstLine="470" w:firstLineChars="196"/>
        <w:rPr>
          <w:rFonts w:ascii="宋体" w:hAnsi="宋体"/>
          <w:color w:val="auto"/>
          <w:szCs w:val="21"/>
          <w:highlight w:val="none"/>
        </w:rPr>
      </w:pPr>
      <w:r>
        <w:rPr>
          <w:rFonts w:hint="eastAsia" w:ascii="宋体" w:hAnsi="宋体"/>
          <w:color w:val="auto"/>
          <w:szCs w:val="21"/>
          <w:highlight w:val="none"/>
        </w:rPr>
        <w:t>5</w:t>
      </w:r>
      <w:r>
        <w:rPr>
          <w:rFonts w:ascii="宋体" w:hAnsi="宋体"/>
          <w:color w:val="auto"/>
          <w:szCs w:val="21"/>
          <w:highlight w:val="none"/>
        </w:rPr>
        <w:t xml:space="preserve">1.2 </w:t>
      </w:r>
      <w:r>
        <w:rPr>
          <w:rFonts w:hint="eastAsia" w:ascii="宋体" w:hAnsi="宋体"/>
          <w:color w:val="auto"/>
          <w:szCs w:val="21"/>
          <w:highlight w:val="none"/>
        </w:rPr>
        <w:t>根据《深圳市财政局关于明确政府采购保证金管理工作的通知》（深财购[2019]42号）的要求，供应商在政府采购活动中出现《深圳经济特区政府采购条例实施细则》第八十四条所列情形的，</w:t>
      </w:r>
      <w:bookmarkStart w:id="97" w:name="_Hlk72440769"/>
      <w:r>
        <w:rPr>
          <w:rFonts w:hint="eastAsia" w:ascii="宋体" w:hAnsi="宋体"/>
          <w:color w:val="auto"/>
          <w:szCs w:val="21"/>
          <w:highlight w:val="none"/>
        </w:rPr>
        <w:t>采购人或</w:t>
      </w:r>
      <w:bookmarkEnd w:id="97"/>
      <w:r>
        <w:rPr>
          <w:rFonts w:hint="eastAsia" w:ascii="宋体" w:hAnsi="宋体" w:eastAsia="宋体"/>
          <w:color w:val="auto"/>
          <w:szCs w:val="21"/>
          <w:highlight w:val="none"/>
        </w:rPr>
        <w:t>招标机构</w:t>
      </w:r>
      <w:r>
        <w:rPr>
          <w:rFonts w:hint="eastAsia" w:ascii="宋体" w:hAnsi="宋体"/>
          <w:color w:val="auto"/>
          <w:szCs w:val="21"/>
          <w:highlight w:val="none"/>
        </w:rPr>
        <w:t>可将有关情况报同级财政部门，由财政部门根据实际情况记入供应商诚信档案，予以通报：</w:t>
      </w:r>
    </w:p>
    <w:p w14:paraId="17FE9BC4">
      <w:pPr>
        <w:ind w:firstLine="470" w:firstLineChars="196"/>
        <w:rPr>
          <w:rFonts w:ascii="宋体" w:hAnsi="宋体"/>
          <w:color w:val="auto"/>
          <w:szCs w:val="21"/>
          <w:highlight w:val="none"/>
        </w:rPr>
      </w:pPr>
      <w:r>
        <w:rPr>
          <w:rFonts w:hint="eastAsia" w:ascii="宋体" w:hAnsi="宋体"/>
          <w:color w:val="auto"/>
          <w:szCs w:val="21"/>
          <w:highlight w:val="none"/>
        </w:rPr>
        <w:t>（1</w:t>
      </w:r>
      <w:r>
        <w:rPr>
          <w:rFonts w:ascii="宋体" w:hAnsi="宋体"/>
          <w:color w:val="auto"/>
          <w:szCs w:val="21"/>
          <w:highlight w:val="none"/>
        </w:rPr>
        <w:t>）投标截止后，撤销投标的；</w:t>
      </w:r>
    </w:p>
    <w:p w14:paraId="6DDA4B85">
      <w:pPr>
        <w:ind w:firstLine="470" w:firstLineChars="196"/>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rPr>
        <w:t>2</w:t>
      </w:r>
      <w:r>
        <w:rPr>
          <w:rFonts w:ascii="宋体" w:hAnsi="宋体"/>
          <w:color w:val="auto"/>
          <w:szCs w:val="21"/>
          <w:highlight w:val="none"/>
        </w:rPr>
        <w:t>）中标后无正当理由未在规定期限内签订合同的；</w:t>
      </w:r>
    </w:p>
    <w:p w14:paraId="3C25E1D9">
      <w:pPr>
        <w:ind w:firstLine="470" w:firstLineChars="196"/>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rPr>
        <w:t>3</w:t>
      </w:r>
      <w:r>
        <w:rPr>
          <w:rFonts w:ascii="宋体" w:hAnsi="宋体"/>
          <w:color w:val="auto"/>
          <w:szCs w:val="21"/>
          <w:highlight w:val="none"/>
        </w:rPr>
        <w:t>）将中标项目转让给他人、或者在投标文件中未说明且未经采购人、采购招标机构同意，将中标项目分包给他人的；</w:t>
      </w:r>
    </w:p>
    <w:p w14:paraId="3E38B34E">
      <w:pPr>
        <w:ind w:firstLine="470" w:firstLineChars="196"/>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rPr>
        <w:t>4</w:t>
      </w:r>
      <w:r>
        <w:rPr>
          <w:rFonts w:ascii="宋体" w:hAnsi="宋体"/>
          <w:color w:val="auto"/>
          <w:szCs w:val="21"/>
          <w:highlight w:val="none"/>
        </w:rPr>
        <w:t>）拒绝履行合同义务的</w:t>
      </w:r>
      <w:r>
        <w:rPr>
          <w:rFonts w:hint="eastAsia" w:ascii="宋体" w:hAnsi="宋体"/>
          <w:color w:val="auto"/>
          <w:szCs w:val="21"/>
          <w:highlight w:val="none"/>
        </w:rPr>
        <w:t>。</w:t>
      </w:r>
    </w:p>
    <w:bookmarkEnd w:id="81"/>
    <w:p w14:paraId="3F16137B">
      <w:pPr>
        <w:pStyle w:val="5"/>
        <w:numPr>
          <w:ilvl w:val="0"/>
          <w:numId w:val="4"/>
        </w:numPr>
        <w:tabs>
          <w:tab w:val="left" w:pos="360"/>
          <w:tab w:val="clear" w:pos="720"/>
        </w:tabs>
        <w:spacing w:before="120" w:beforeLines="50" w:after="120" w:afterLines="50"/>
        <w:ind w:left="562" w:hanging="562"/>
        <w:rPr>
          <w:color w:val="auto"/>
          <w:sz w:val="28"/>
          <w:szCs w:val="28"/>
          <w:highlight w:val="none"/>
        </w:rPr>
      </w:pPr>
      <w:r>
        <w:rPr>
          <w:rFonts w:hint="eastAsia"/>
          <w:color w:val="auto"/>
          <w:sz w:val="28"/>
          <w:szCs w:val="28"/>
          <w:highlight w:val="none"/>
        </w:rPr>
        <w:t>质疑处理</w:t>
      </w:r>
    </w:p>
    <w:p w14:paraId="09BF0DB5">
      <w:pPr>
        <w:rPr>
          <w:rFonts w:ascii="黑体" w:hAnsi="宋体" w:eastAsia="黑体"/>
          <w:color w:val="auto"/>
          <w:highlight w:val="none"/>
        </w:rPr>
      </w:pPr>
      <w:bookmarkStart w:id="98" w:name="_Hlk72439706"/>
      <w:r>
        <w:rPr>
          <w:rFonts w:hint="eastAsia" w:ascii="黑体" w:hAnsi="宋体" w:eastAsia="黑体"/>
          <w:color w:val="auto"/>
          <w:highlight w:val="none"/>
        </w:rPr>
        <w:t>52.质疑提出与答复</w:t>
      </w:r>
    </w:p>
    <w:p w14:paraId="1CD04310">
      <w:pPr>
        <w:rPr>
          <w:rFonts w:ascii="宋体" w:hAnsi="宋体"/>
          <w:color w:val="auto"/>
          <w:szCs w:val="21"/>
          <w:highlight w:val="none"/>
        </w:rPr>
      </w:pPr>
      <w:r>
        <w:rPr>
          <w:rFonts w:hint="eastAsia" w:ascii="宋体" w:hAnsi="宋体"/>
          <w:color w:val="auto"/>
          <w:szCs w:val="21"/>
          <w:highlight w:val="none"/>
        </w:rPr>
        <w:t xml:space="preserve">    52.1提出质疑</w:t>
      </w:r>
    </w:p>
    <w:p w14:paraId="529990F3">
      <w:pPr>
        <w:ind w:firstLine="480" w:firstLineChars="200"/>
        <w:rPr>
          <w:rFonts w:ascii="宋体" w:hAnsi="宋体"/>
          <w:color w:val="auto"/>
          <w:szCs w:val="21"/>
          <w:highlight w:val="none"/>
        </w:rPr>
      </w:pPr>
      <w:r>
        <w:rPr>
          <w:rFonts w:hint="eastAsia" w:ascii="宋体" w:hAnsi="宋体"/>
          <w:color w:val="auto"/>
          <w:szCs w:val="21"/>
          <w:highlight w:val="none"/>
        </w:rPr>
        <w:t>参与政府采购活动的供应商认为自己的权益在采购活动中受到损害的，应当自知道或者应当知道其权益受到损害之日起七个工作日内向采购人、</w:t>
      </w:r>
      <w:r>
        <w:rPr>
          <w:rFonts w:hint="eastAsia" w:ascii="宋体" w:hAnsi="宋体" w:eastAsia="宋体"/>
          <w:color w:val="auto"/>
          <w:szCs w:val="21"/>
          <w:highlight w:val="none"/>
        </w:rPr>
        <w:t>招标机构</w:t>
      </w:r>
      <w:r>
        <w:rPr>
          <w:rFonts w:hint="eastAsia" w:ascii="宋体" w:hAnsi="宋体"/>
          <w:color w:val="auto"/>
          <w:szCs w:val="21"/>
          <w:highlight w:val="none"/>
        </w:rPr>
        <w:t>以书面形式提出质疑。</w:t>
      </w:r>
    </w:p>
    <w:p w14:paraId="3099824F">
      <w:pPr>
        <w:rPr>
          <w:rFonts w:ascii="宋体" w:hAnsi="宋体"/>
          <w:color w:val="auto"/>
          <w:szCs w:val="21"/>
          <w:highlight w:val="none"/>
        </w:rPr>
      </w:pPr>
      <w:r>
        <w:rPr>
          <w:rFonts w:hint="eastAsia" w:ascii="宋体" w:hAnsi="宋体"/>
          <w:color w:val="auto"/>
          <w:szCs w:val="21"/>
          <w:highlight w:val="none"/>
        </w:rPr>
        <w:t xml:space="preserve">    52.2</w:t>
      </w:r>
      <w:r>
        <w:rPr>
          <w:rFonts w:ascii="宋体" w:hAnsi="宋体"/>
          <w:color w:val="auto"/>
          <w:szCs w:val="21"/>
          <w:highlight w:val="none"/>
        </w:rPr>
        <w:t>法律依据</w:t>
      </w:r>
    </w:p>
    <w:p w14:paraId="25585B6A">
      <w:pPr>
        <w:ind w:firstLine="480" w:firstLineChars="200"/>
        <w:rPr>
          <w:rFonts w:ascii="宋体" w:hAnsi="宋体"/>
          <w:color w:val="auto"/>
          <w:szCs w:val="21"/>
          <w:highlight w:val="none"/>
        </w:rPr>
      </w:pPr>
      <w:r>
        <w:rPr>
          <w:rFonts w:hint="eastAsia" w:ascii="宋体" w:hAnsi="宋体"/>
          <w:color w:val="auto"/>
          <w:szCs w:val="21"/>
          <w:highlight w:val="none"/>
        </w:rPr>
        <w:t>《中华人民共和国政府采购法》、《中华人民共和国政府采购法实施条例》、</w:t>
      </w:r>
      <w:r>
        <w:rPr>
          <w:rFonts w:ascii="宋体" w:hAnsi="宋体"/>
          <w:color w:val="auto"/>
          <w:szCs w:val="21"/>
          <w:highlight w:val="none"/>
        </w:rPr>
        <w:t>《</w:t>
      </w:r>
      <w:r>
        <w:rPr>
          <w:rFonts w:hint="eastAsia" w:ascii="宋体" w:hAnsi="宋体"/>
          <w:color w:val="auto"/>
          <w:szCs w:val="21"/>
          <w:highlight w:val="none"/>
        </w:rPr>
        <w:t>深圳经济特区政府采购</w:t>
      </w:r>
      <w:r>
        <w:rPr>
          <w:rFonts w:ascii="宋体" w:hAnsi="宋体"/>
          <w:color w:val="auto"/>
          <w:szCs w:val="21"/>
          <w:highlight w:val="none"/>
        </w:rPr>
        <w:t>条例</w:t>
      </w:r>
      <w:r>
        <w:rPr>
          <w:rFonts w:hint="eastAsia" w:ascii="宋体" w:hAnsi="宋体"/>
          <w:color w:val="auto"/>
          <w:szCs w:val="21"/>
          <w:highlight w:val="none"/>
        </w:rPr>
        <w:t>》、《深圳经济特区政府采购条例实施细则》、《政府采购质疑和投诉办法》（财政部令第94号）和其他有关法律法规规定。</w:t>
      </w:r>
    </w:p>
    <w:p w14:paraId="5CCEC666">
      <w:pPr>
        <w:ind w:firstLine="480" w:firstLineChars="200"/>
        <w:rPr>
          <w:rFonts w:ascii="宋体" w:hAnsi="宋体"/>
          <w:color w:val="auto"/>
          <w:szCs w:val="21"/>
          <w:highlight w:val="none"/>
        </w:rPr>
      </w:pPr>
      <w:r>
        <w:rPr>
          <w:rFonts w:hint="eastAsia" w:ascii="宋体" w:hAnsi="宋体"/>
          <w:color w:val="auto"/>
          <w:szCs w:val="21"/>
          <w:highlight w:val="none"/>
        </w:rPr>
        <w:t>52.3质疑条件</w:t>
      </w:r>
    </w:p>
    <w:p w14:paraId="7CF4D596">
      <w:pPr>
        <w:ind w:firstLine="480" w:firstLineChars="200"/>
        <w:rPr>
          <w:rFonts w:ascii="宋体" w:hAnsi="宋体"/>
          <w:color w:val="auto"/>
          <w:szCs w:val="21"/>
          <w:highlight w:val="none"/>
        </w:rPr>
      </w:pPr>
      <w:r>
        <w:rPr>
          <w:rFonts w:hint="eastAsia" w:ascii="宋体" w:hAnsi="宋体"/>
          <w:color w:val="auto"/>
          <w:szCs w:val="21"/>
          <w:highlight w:val="none"/>
        </w:rPr>
        <w:t>52.3.1提出质疑的供应商应当是参与所质疑项目采购活动的供应商；</w:t>
      </w:r>
      <w:bookmarkStart w:id="99" w:name="_Hlk75374941"/>
      <w:r>
        <w:rPr>
          <w:rFonts w:hint="eastAsia" w:ascii="宋体" w:hAnsi="宋体"/>
          <w:color w:val="auto"/>
          <w:szCs w:val="21"/>
          <w:highlight w:val="none"/>
        </w:rPr>
        <w:t>以联合体形式参与的，质疑应当由组成联合体的所有成员共同提出</w:t>
      </w:r>
      <w:bookmarkEnd w:id="99"/>
      <w:r>
        <w:rPr>
          <w:rFonts w:hint="eastAsia" w:ascii="宋体" w:hAnsi="宋体"/>
          <w:color w:val="auto"/>
          <w:szCs w:val="21"/>
          <w:highlight w:val="none"/>
        </w:rPr>
        <w:t>；</w:t>
      </w:r>
    </w:p>
    <w:p w14:paraId="75593CB1">
      <w:pPr>
        <w:ind w:firstLine="480" w:firstLineChars="200"/>
        <w:rPr>
          <w:rFonts w:ascii="宋体" w:hAnsi="宋体"/>
          <w:color w:val="auto"/>
          <w:szCs w:val="21"/>
          <w:highlight w:val="none"/>
        </w:rPr>
      </w:pPr>
      <w:r>
        <w:rPr>
          <w:rFonts w:hint="eastAsia" w:ascii="宋体" w:hAnsi="宋体"/>
          <w:color w:val="auto"/>
          <w:szCs w:val="21"/>
          <w:highlight w:val="none"/>
        </w:rPr>
        <w:t>52.3.2应当在法定质疑期内一次性提出针对同一采购程序环节的质疑，法定质疑期为自知道或应当知道权益受到损害之日起7个工作日内。应当知道其权益受到损害之日是指：对招标文件的质疑，为招标文件公布之日；对采购过程的质疑，为各采购程序环节结束之日；对中标结果以及评审委员会组成人员的质疑，为中标结果公示之日；</w:t>
      </w:r>
    </w:p>
    <w:p w14:paraId="705B35B2">
      <w:pPr>
        <w:ind w:firstLine="420"/>
        <w:rPr>
          <w:rFonts w:ascii="宋体" w:hAnsi="宋体"/>
          <w:color w:val="auto"/>
          <w:szCs w:val="21"/>
          <w:highlight w:val="none"/>
        </w:rPr>
      </w:pPr>
      <w:r>
        <w:rPr>
          <w:rFonts w:hint="eastAsia" w:ascii="宋体" w:hAnsi="宋体"/>
          <w:color w:val="auto"/>
          <w:szCs w:val="21"/>
          <w:highlight w:val="none"/>
        </w:rPr>
        <w:t>52.3.3应提交书面质疑函，质疑函应当包括以下内容：</w:t>
      </w:r>
    </w:p>
    <w:p w14:paraId="23048A73">
      <w:pPr>
        <w:ind w:firstLine="420"/>
        <w:rPr>
          <w:rFonts w:ascii="宋体" w:hAnsi="宋体"/>
          <w:color w:val="auto"/>
          <w:szCs w:val="21"/>
          <w:highlight w:val="none"/>
        </w:rPr>
      </w:pPr>
      <w:r>
        <w:rPr>
          <w:rFonts w:hint="eastAsia" w:ascii="宋体" w:hAnsi="宋体"/>
          <w:color w:val="auto"/>
          <w:szCs w:val="21"/>
          <w:highlight w:val="none"/>
        </w:rPr>
        <w:t>（1）供应商的名称（或者姓名）、地址、邮编、邮箱、联系人及联系电话；</w:t>
      </w:r>
    </w:p>
    <w:p w14:paraId="192A0589">
      <w:pPr>
        <w:ind w:firstLine="480" w:firstLineChars="200"/>
        <w:rPr>
          <w:rFonts w:ascii="宋体" w:hAnsi="宋体"/>
          <w:color w:val="auto"/>
          <w:szCs w:val="21"/>
          <w:highlight w:val="none"/>
        </w:rPr>
      </w:pPr>
      <w:r>
        <w:rPr>
          <w:rFonts w:hint="eastAsia" w:ascii="宋体" w:hAnsi="宋体"/>
          <w:color w:val="auto"/>
          <w:szCs w:val="21"/>
          <w:highlight w:val="none"/>
        </w:rPr>
        <w:t>（2）质疑项目的名称、编号；</w:t>
      </w:r>
    </w:p>
    <w:p w14:paraId="15AC6E54">
      <w:pPr>
        <w:ind w:firstLine="480" w:firstLineChars="200"/>
        <w:rPr>
          <w:rFonts w:ascii="宋体" w:hAnsi="宋体"/>
          <w:color w:val="auto"/>
          <w:szCs w:val="21"/>
          <w:highlight w:val="none"/>
        </w:rPr>
      </w:pPr>
      <w:r>
        <w:rPr>
          <w:rFonts w:hint="eastAsia" w:ascii="宋体" w:hAnsi="宋体"/>
          <w:color w:val="auto"/>
          <w:szCs w:val="21"/>
          <w:highlight w:val="none"/>
        </w:rPr>
        <w:t>（3）具体、明确的质疑对象、质疑事项和质疑请求；</w:t>
      </w:r>
    </w:p>
    <w:p w14:paraId="2A7EE176">
      <w:pPr>
        <w:ind w:firstLine="480" w:firstLineChars="200"/>
        <w:rPr>
          <w:rFonts w:ascii="宋体" w:hAnsi="宋体"/>
          <w:color w:val="auto"/>
          <w:szCs w:val="21"/>
          <w:highlight w:val="none"/>
        </w:rPr>
      </w:pPr>
      <w:r>
        <w:rPr>
          <w:rFonts w:hint="eastAsia" w:ascii="宋体" w:hAnsi="宋体"/>
          <w:color w:val="auto"/>
          <w:szCs w:val="21"/>
          <w:highlight w:val="none"/>
        </w:rPr>
        <w:t>（4）因质疑事项而受损害的权益；</w:t>
      </w:r>
    </w:p>
    <w:p w14:paraId="0BFD9BB7">
      <w:pPr>
        <w:ind w:firstLine="480" w:firstLineChars="200"/>
        <w:rPr>
          <w:rFonts w:ascii="宋体" w:hAnsi="宋体"/>
          <w:color w:val="auto"/>
          <w:szCs w:val="21"/>
          <w:highlight w:val="none"/>
        </w:rPr>
      </w:pPr>
      <w:r>
        <w:rPr>
          <w:rFonts w:hint="eastAsia" w:ascii="宋体" w:hAnsi="宋体"/>
          <w:color w:val="auto"/>
          <w:szCs w:val="21"/>
          <w:highlight w:val="none"/>
        </w:rPr>
        <w:t>（5）事实依据；</w:t>
      </w:r>
    </w:p>
    <w:p w14:paraId="5EE946BE">
      <w:pPr>
        <w:ind w:firstLine="480" w:firstLineChars="200"/>
        <w:rPr>
          <w:rFonts w:ascii="宋体" w:hAnsi="宋体"/>
          <w:color w:val="auto"/>
          <w:szCs w:val="21"/>
          <w:highlight w:val="none"/>
        </w:rPr>
      </w:pPr>
      <w:r>
        <w:rPr>
          <w:rFonts w:hint="eastAsia" w:ascii="宋体" w:hAnsi="宋体"/>
          <w:color w:val="auto"/>
          <w:szCs w:val="21"/>
          <w:highlight w:val="none"/>
        </w:rPr>
        <w:t>（6）必要的法律依据；</w:t>
      </w:r>
    </w:p>
    <w:p w14:paraId="377A9CF1">
      <w:pPr>
        <w:ind w:firstLine="480" w:firstLineChars="200"/>
        <w:rPr>
          <w:rFonts w:ascii="宋体" w:hAnsi="宋体"/>
          <w:color w:val="auto"/>
          <w:szCs w:val="21"/>
          <w:highlight w:val="none"/>
        </w:rPr>
      </w:pPr>
      <w:r>
        <w:rPr>
          <w:rFonts w:hint="eastAsia" w:ascii="宋体" w:hAnsi="宋体"/>
          <w:color w:val="auto"/>
          <w:szCs w:val="21"/>
          <w:highlight w:val="none"/>
        </w:rPr>
        <w:t>（7）提出质疑的日期。</w:t>
      </w:r>
    </w:p>
    <w:p w14:paraId="2F723D19">
      <w:pPr>
        <w:ind w:firstLine="480" w:firstLineChars="200"/>
        <w:rPr>
          <w:rFonts w:ascii="宋体" w:hAnsi="宋体"/>
          <w:color w:val="auto"/>
          <w:szCs w:val="21"/>
          <w:highlight w:val="none"/>
        </w:rPr>
      </w:pPr>
      <w:r>
        <w:rPr>
          <w:rFonts w:hint="eastAsia" w:ascii="宋体" w:hAnsi="宋体"/>
          <w:color w:val="auto"/>
          <w:szCs w:val="21"/>
          <w:highlight w:val="none"/>
        </w:rPr>
        <w:t>供应商为自然人的，应当由本人签字；供应商为法人或者其他组织的，应当由法定代表人（负责人），或者其授权代理人签字或者盖章，并加盖公章。</w:t>
      </w:r>
    </w:p>
    <w:p w14:paraId="1169FBBE">
      <w:pPr>
        <w:ind w:firstLine="480" w:firstLineChars="200"/>
        <w:rPr>
          <w:rFonts w:ascii="宋体" w:hAnsi="宋体"/>
          <w:color w:val="auto"/>
          <w:szCs w:val="21"/>
          <w:highlight w:val="none"/>
        </w:rPr>
      </w:pPr>
      <w:r>
        <w:rPr>
          <w:rFonts w:hint="eastAsia" w:ascii="宋体" w:hAnsi="宋体"/>
          <w:color w:val="auto"/>
          <w:szCs w:val="21"/>
          <w:highlight w:val="none"/>
        </w:rPr>
        <w:t>52.4提交</w:t>
      </w:r>
      <w:r>
        <w:rPr>
          <w:rFonts w:ascii="宋体" w:hAnsi="宋体"/>
          <w:color w:val="auto"/>
          <w:szCs w:val="21"/>
          <w:highlight w:val="none"/>
        </w:rPr>
        <w:t>材料</w:t>
      </w:r>
    </w:p>
    <w:p w14:paraId="3A8D8213">
      <w:pPr>
        <w:ind w:firstLine="480" w:firstLineChars="200"/>
        <w:rPr>
          <w:rFonts w:ascii="宋体" w:hAnsi="宋体"/>
          <w:color w:val="auto"/>
          <w:szCs w:val="21"/>
          <w:highlight w:val="none"/>
        </w:rPr>
      </w:pPr>
      <w:r>
        <w:rPr>
          <w:rFonts w:hint="eastAsia" w:ascii="宋体" w:hAnsi="宋体"/>
          <w:color w:val="auto"/>
          <w:szCs w:val="21"/>
          <w:highlight w:val="none"/>
        </w:rPr>
        <w:t>供应商质疑实行实名制。供应商为自然人的，应当提交本人身份证复印件；供应商为法人或者其他组织的，应当根据自身性质提交营业执照复印件或者其他证明文件（如事业单位法人证书等）复印件。</w:t>
      </w:r>
    </w:p>
    <w:p w14:paraId="50BB393D">
      <w:pPr>
        <w:ind w:firstLine="480" w:firstLineChars="200"/>
        <w:rPr>
          <w:rFonts w:ascii="宋体" w:hAnsi="宋体"/>
          <w:color w:val="auto"/>
          <w:szCs w:val="21"/>
          <w:highlight w:val="none"/>
        </w:rPr>
      </w:pPr>
      <w:r>
        <w:rPr>
          <w:rFonts w:hint="eastAsia" w:ascii="宋体" w:hAnsi="宋体"/>
          <w:color w:val="auto"/>
          <w:szCs w:val="21"/>
          <w:highlight w:val="none"/>
        </w:rPr>
        <w:t>供应商可以委托代理人进行质疑。</w:t>
      </w:r>
      <w:r>
        <w:rPr>
          <w:rFonts w:ascii="宋体" w:hAnsi="宋体"/>
          <w:color w:val="auto"/>
          <w:szCs w:val="21"/>
          <w:highlight w:val="none"/>
        </w:rPr>
        <w:t>其授权委托书应当载明代理人的姓名或者名称、代理事项、具体权限、期限和相关事项。供应商为自然人的，应当由本人签字；供应商为法人或者其他组织的，应当由法定代表人、主要负责人签字或者盖章，并加盖公章。</w:t>
      </w:r>
    </w:p>
    <w:p w14:paraId="2A332FFE">
      <w:pPr>
        <w:ind w:firstLine="480" w:firstLineChars="200"/>
        <w:rPr>
          <w:rFonts w:ascii="宋体" w:hAnsi="宋体"/>
          <w:color w:val="auto"/>
          <w:szCs w:val="21"/>
          <w:highlight w:val="none"/>
        </w:rPr>
      </w:pPr>
      <w:r>
        <w:rPr>
          <w:rFonts w:hint="eastAsia" w:ascii="宋体" w:hAnsi="宋体"/>
          <w:color w:val="auto"/>
          <w:szCs w:val="21"/>
          <w:highlight w:val="none"/>
        </w:rPr>
        <w:t>52.5提交方式</w:t>
      </w:r>
    </w:p>
    <w:p w14:paraId="7B0D626D">
      <w:pPr>
        <w:ind w:firstLine="420"/>
        <w:rPr>
          <w:rFonts w:ascii="宋体" w:hAnsi="宋体"/>
          <w:color w:val="auto"/>
          <w:szCs w:val="21"/>
          <w:highlight w:val="none"/>
        </w:rPr>
      </w:pPr>
      <w:r>
        <w:rPr>
          <w:rFonts w:ascii="宋体" w:hAnsi="宋体"/>
          <w:color w:val="auto"/>
          <w:szCs w:val="21"/>
          <w:highlight w:val="none"/>
        </w:rPr>
        <w:t>52.5.1供应商登录“深圳政府采购智慧平台用户网上办事子系统（</w:t>
      </w:r>
      <w:r>
        <w:rPr>
          <w:rFonts w:hint="eastAsia" w:ascii="宋体" w:hAnsi="宋体"/>
          <w:color w:val="auto"/>
          <w:szCs w:val="21"/>
          <w:highlight w:val="none"/>
        </w:rPr>
        <w:t>http://zfcg.szggzy.com:8081/TPBidder/memberLogin</w:t>
      </w:r>
      <w:r>
        <w:rPr>
          <w:rFonts w:ascii="宋体" w:hAnsi="宋体"/>
          <w:color w:val="auto"/>
          <w:szCs w:val="21"/>
          <w:highlight w:val="none"/>
        </w:rPr>
        <w:t>）”，在“【我的项目】→【项目流程】→【质疑】”中提出质疑。</w:t>
      </w:r>
    </w:p>
    <w:p w14:paraId="212F7DC0">
      <w:pPr>
        <w:ind w:firstLine="480" w:firstLineChars="200"/>
        <w:rPr>
          <w:rFonts w:ascii="宋体" w:hAnsi="宋体"/>
          <w:color w:val="auto"/>
          <w:szCs w:val="21"/>
          <w:highlight w:val="none"/>
        </w:rPr>
      </w:pPr>
      <w:r>
        <w:rPr>
          <w:rFonts w:ascii="宋体" w:hAnsi="宋体"/>
          <w:color w:val="auto"/>
          <w:szCs w:val="21"/>
          <w:highlight w:val="none"/>
        </w:rPr>
        <w:t>52.5.2请质疑供应商根据深圳政府采购智慧平台（</w:t>
      </w:r>
      <w:r>
        <w:rPr>
          <w:rFonts w:hint="eastAsia" w:ascii="宋体" w:hAnsi="宋体"/>
          <w:color w:val="auto"/>
          <w:szCs w:val="21"/>
          <w:highlight w:val="none"/>
        </w:rPr>
        <w:t>http://zfcg.szggzy.com:8081/</w:t>
      </w:r>
      <w:r>
        <w:rPr>
          <w:rFonts w:ascii="宋体" w:hAnsi="宋体"/>
          <w:color w:val="auto"/>
          <w:szCs w:val="21"/>
          <w:highlight w:val="none"/>
        </w:rPr>
        <w:t>）所发布的质疑指引、质疑函模板填写质疑函并提交质疑材料。</w:t>
      </w:r>
      <w:r>
        <w:rPr>
          <w:rFonts w:ascii="宋体" w:hAnsi="宋体"/>
          <w:b/>
          <w:bCs/>
          <w:color w:val="auto"/>
          <w:szCs w:val="21"/>
          <w:highlight w:val="none"/>
        </w:rPr>
        <w:t>地址：</w:t>
      </w:r>
      <w:r>
        <w:rPr>
          <w:rFonts w:hint="eastAsia" w:ascii="宋体" w:hAnsi="宋体"/>
          <w:b/>
          <w:bCs/>
          <w:color w:val="auto"/>
          <w:szCs w:val="21"/>
          <w:highlight w:val="none"/>
        </w:rPr>
        <w:t>深圳市福田区福田体育公园西北角友和招标代理服务中心（靠近北门）</w:t>
      </w:r>
      <w:r>
        <w:rPr>
          <w:rFonts w:ascii="宋体" w:hAnsi="宋体"/>
          <w:b/>
          <w:bCs/>
          <w:color w:val="auto"/>
          <w:szCs w:val="21"/>
          <w:highlight w:val="none"/>
        </w:rPr>
        <w:t>，质疑咨询电话：0755-8388</w:t>
      </w:r>
      <w:r>
        <w:rPr>
          <w:rFonts w:hint="eastAsia" w:ascii="宋体" w:hAnsi="宋体" w:eastAsia="宋体"/>
          <w:b/>
          <w:bCs/>
          <w:color w:val="auto"/>
          <w:szCs w:val="21"/>
          <w:highlight w:val="none"/>
          <w:lang w:val="en-US" w:eastAsia="zh-CN"/>
        </w:rPr>
        <w:t>1282</w:t>
      </w:r>
      <w:r>
        <w:rPr>
          <w:rFonts w:ascii="宋体" w:hAnsi="宋体"/>
          <w:b/>
          <w:bCs/>
          <w:color w:val="auto"/>
          <w:szCs w:val="21"/>
          <w:highlight w:val="none"/>
        </w:rPr>
        <w:t>。</w:t>
      </w:r>
    </w:p>
    <w:p w14:paraId="0210886B">
      <w:pPr>
        <w:ind w:firstLine="480" w:firstLineChars="200"/>
        <w:rPr>
          <w:rFonts w:ascii="宋体" w:hAnsi="宋体"/>
          <w:color w:val="auto"/>
          <w:szCs w:val="21"/>
          <w:highlight w:val="none"/>
        </w:rPr>
      </w:pPr>
      <w:r>
        <w:rPr>
          <w:rFonts w:hint="eastAsia" w:ascii="宋体" w:hAnsi="宋体"/>
          <w:color w:val="auto"/>
          <w:szCs w:val="21"/>
          <w:highlight w:val="none"/>
        </w:rPr>
        <w:t>52.6收文办理</w:t>
      </w:r>
      <w:r>
        <w:rPr>
          <w:rFonts w:ascii="宋体" w:hAnsi="宋体"/>
          <w:color w:val="auto"/>
          <w:szCs w:val="21"/>
          <w:highlight w:val="none"/>
        </w:rPr>
        <w:t>程序</w:t>
      </w:r>
    </w:p>
    <w:p w14:paraId="04E4D25C">
      <w:pPr>
        <w:ind w:firstLine="480" w:firstLineChars="200"/>
        <w:rPr>
          <w:rFonts w:ascii="宋体" w:hAnsi="宋体"/>
          <w:color w:val="auto"/>
          <w:szCs w:val="21"/>
          <w:highlight w:val="none"/>
        </w:rPr>
      </w:pPr>
      <w:r>
        <w:rPr>
          <w:rFonts w:hint="eastAsia" w:ascii="宋体" w:hAnsi="宋体"/>
          <w:color w:val="auto"/>
          <w:szCs w:val="21"/>
          <w:highlight w:val="none"/>
        </w:rPr>
        <w:t>52.6.1供应商提交的质疑符合受理条件的，</w:t>
      </w:r>
      <w:r>
        <w:rPr>
          <w:rFonts w:hint="eastAsia" w:ascii="宋体" w:hAnsi="宋体" w:eastAsia="宋体"/>
          <w:color w:val="auto"/>
          <w:szCs w:val="21"/>
          <w:highlight w:val="none"/>
        </w:rPr>
        <w:t>招标机构</w:t>
      </w:r>
      <w:r>
        <w:rPr>
          <w:rFonts w:hint="eastAsia" w:ascii="宋体" w:hAnsi="宋体"/>
          <w:color w:val="auto"/>
          <w:szCs w:val="21"/>
          <w:highlight w:val="none"/>
        </w:rPr>
        <w:t>自收到质疑材料之日起即为受理，应当向供应商出具质疑函收文回执并可以要求其递交质疑的法定代表人（负责人）或者授权代理人签署质疑文书送达地址确认书。</w:t>
      </w:r>
    </w:p>
    <w:p w14:paraId="0E0A0332">
      <w:pPr>
        <w:ind w:firstLine="480" w:firstLineChars="200"/>
        <w:rPr>
          <w:rFonts w:ascii="仿宋" w:hAnsi="仿宋" w:eastAsia="仿宋"/>
          <w:color w:val="auto"/>
          <w:sz w:val="28"/>
          <w:szCs w:val="28"/>
          <w:highlight w:val="none"/>
        </w:rPr>
      </w:pPr>
      <w:r>
        <w:rPr>
          <w:rFonts w:hint="eastAsia" w:ascii="宋体" w:hAnsi="宋体"/>
          <w:color w:val="auto"/>
          <w:szCs w:val="21"/>
          <w:highlight w:val="none"/>
        </w:rPr>
        <w:t>52.6.2供应商提交的质疑材料不符合质疑条件的，视情况处理：</w:t>
      </w:r>
    </w:p>
    <w:p w14:paraId="1A8170DE">
      <w:pPr>
        <w:ind w:firstLine="480" w:firstLineChars="200"/>
        <w:rPr>
          <w:rFonts w:ascii="宋体" w:hAnsi="宋体"/>
          <w:color w:val="auto"/>
          <w:szCs w:val="21"/>
          <w:highlight w:val="none"/>
        </w:rPr>
      </w:pPr>
      <w:r>
        <w:rPr>
          <w:rFonts w:hint="eastAsia" w:ascii="宋体" w:hAnsi="宋体"/>
          <w:color w:val="auto"/>
          <w:szCs w:val="21"/>
          <w:highlight w:val="none"/>
        </w:rPr>
        <w:t>供应商提交的质疑材料不全或者未按要求签字或者盖章的，</w:t>
      </w:r>
      <w:r>
        <w:rPr>
          <w:rFonts w:hint="eastAsia" w:ascii="宋体" w:hAnsi="宋体" w:eastAsia="宋体"/>
          <w:color w:val="auto"/>
          <w:szCs w:val="21"/>
          <w:highlight w:val="none"/>
        </w:rPr>
        <w:t>招标机构</w:t>
      </w:r>
      <w:r>
        <w:rPr>
          <w:rFonts w:hint="eastAsia" w:ascii="宋体" w:hAnsi="宋体"/>
          <w:color w:val="auto"/>
          <w:szCs w:val="21"/>
          <w:highlight w:val="none"/>
        </w:rPr>
        <w:t>应当一次性告知供应商需补正的内容和补正期限。</w:t>
      </w:r>
    </w:p>
    <w:p w14:paraId="45691667">
      <w:pPr>
        <w:ind w:firstLine="480" w:firstLineChars="200"/>
        <w:rPr>
          <w:rFonts w:ascii="宋体" w:hAnsi="宋体"/>
          <w:color w:val="auto"/>
          <w:szCs w:val="21"/>
          <w:highlight w:val="none"/>
        </w:rPr>
      </w:pPr>
      <w:r>
        <w:rPr>
          <w:rFonts w:hint="eastAsia" w:ascii="宋体" w:hAnsi="宋体"/>
          <w:color w:val="auto"/>
          <w:szCs w:val="21"/>
          <w:highlight w:val="none"/>
        </w:rPr>
        <w:t>供应商提交的质疑存在下列情形之一的，不予受理：</w:t>
      </w:r>
    </w:p>
    <w:p w14:paraId="747635F4">
      <w:pPr>
        <w:ind w:firstLine="480" w:firstLineChars="200"/>
        <w:rPr>
          <w:rFonts w:ascii="宋体" w:hAnsi="宋体"/>
          <w:color w:val="auto"/>
          <w:szCs w:val="21"/>
          <w:highlight w:val="none"/>
        </w:rPr>
      </w:pPr>
      <w:r>
        <w:rPr>
          <w:rFonts w:hint="eastAsia" w:ascii="宋体" w:hAnsi="宋体"/>
          <w:color w:val="auto"/>
          <w:szCs w:val="21"/>
          <w:highlight w:val="none"/>
        </w:rPr>
        <w:t>（1）质疑主体不满足要求的；</w:t>
      </w:r>
    </w:p>
    <w:p w14:paraId="1A111326">
      <w:pPr>
        <w:ind w:firstLine="480" w:firstLineChars="200"/>
        <w:rPr>
          <w:rFonts w:ascii="宋体" w:hAnsi="宋体"/>
          <w:color w:val="auto"/>
          <w:szCs w:val="21"/>
          <w:highlight w:val="none"/>
        </w:rPr>
      </w:pPr>
      <w:r>
        <w:rPr>
          <w:rFonts w:hint="eastAsia" w:ascii="宋体" w:hAnsi="宋体"/>
          <w:color w:val="auto"/>
          <w:szCs w:val="21"/>
          <w:highlight w:val="none"/>
        </w:rPr>
        <w:t>（2）供应商自身权益未受到损害的；</w:t>
      </w:r>
    </w:p>
    <w:p w14:paraId="14F31B7A">
      <w:pPr>
        <w:ind w:firstLine="480" w:firstLineChars="200"/>
        <w:rPr>
          <w:rFonts w:ascii="宋体" w:hAnsi="宋体"/>
          <w:color w:val="auto"/>
          <w:szCs w:val="21"/>
          <w:highlight w:val="none"/>
        </w:rPr>
      </w:pPr>
      <w:r>
        <w:rPr>
          <w:rFonts w:hint="eastAsia" w:ascii="宋体" w:hAnsi="宋体"/>
          <w:color w:val="auto"/>
          <w:szCs w:val="21"/>
          <w:highlight w:val="none"/>
        </w:rPr>
        <w:t>（3）供应商未在法定质疑期限内提出质疑的；</w:t>
      </w:r>
    </w:p>
    <w:p w14:paraId="45FE54FD">
      <w:pPr>
        <w:ind w:firstLine="480" w:firstLineChars="200"/>
        <w:rPr>
          <w:rFonts w:ascii="宋体" w:hAnsi="宋体"/>
          <w:color w:val="auto"/>
          <w:szCs w:val="21"/>
          <w:highlight w:val="none"/>
        </w:rPr>
      </w:pPr>
      <w:r>
        <w:rPr>
          <w:rFonts w:hint="eastAsia" w:ascii="宋体" w:hAnsi="宋体"/>
          <w:color w:val="auto"/>
          <w:szCs w:val="21"/>
          <w:highlight w:val="none"/>
        </w:rPr>
        <w:t>（4）质疑材料不全或者未按要求签字或者盖章的情况下，要求补正后，逾期未补正或者补正后仍不符合规定的；</w:t>
      </w:r>
    </w:p>
    <w:p w14:paraId="750B93A1">
      <w:pPr>
        <w:ind w:firstLine="480" w:firstLineChars="200"/>
        <w:rPr>
          <w:rFonts w:ascii="宋体" w:hAnsi="宋体"/>
          <w:color w:val="auto"/>
          <w:szCs w:val="21"/>
          <w:highlight w:val="none"/>
        </w:rPr>
      </w:pPr>
      <w:r>
        <w:rPr>
          <w:rFonts w:hint="eastAsia" w:ascii="宋体" w:hAnsi="宋体"/>
          <w:color w:val="auto"/>
          <w:szCs w:val="21"/>
          <w:highlight w:val="none"/>
        </w:rPr>
        <w:t>（5）其他不符合受理条件情形的。</w:t>
      </w:r>
    </w:p>
    <w:p w14:paraId="2C7C5433">
      <w:pPr>
        <w:ind w:firstLine="480" w:firstLineChars="200"/>
        <w:rPr>
          <w:rFonts w:ascii="宋体" w:hAnsi="宋体"/>
          <w:color w:val="auto"/>
          <w:szCs w:val="21"/>
          <w:highlight w:val="none"/>
        </w:rPr>
      </w:pPr>
      <w:r>
        <w:rPr>
          <w:rFonts w:hint="eastAsia" w:ascii="宋体" w:hAnsi="宋体"/>
          <w:color w:val="auto"/>
          <w:szCs w:val="21"/>
          <w:highlight w:val="none"/>
        </w:rPr>
        <w:t>质疑事项不予受理的，招标机构应当向供应商出具不符合质疑条件告知书。</w:t>
      </w:r>
    </w:p>
    <w:p w14:paraId="1C16C2D7">
      <w:pPr>
        <w:ind w:firstLine="480" w:firstLineChars="200"/>
        <w:rPr>
          <w:rFonts w:ascii="宋体" w:hAnsi="宋体"/>
          <w:color w:val="auto"/>
          <w:szCs w:val="21"/>
          <w:highlight w:val="none"/>
        </w:rPr>
      </w:pPr>
      <w:r>
        <w:rPr>
          <w:rFonts w:hint="eastAsia" w:ascii="宋体" w:hAnsi="宋体"/>
          <w:color w:val="auto"/>
          <w:szCs w:val="21"/>
          <w:highlight w:val="none"/>
        </w:rPr>
        <w:t>52.7质疑答复时限</w:t>
      </w:r>
    </w:p>
    <w:p w14:paraId="1EADFCCC">
      <w:pPr>
        <w:ind w:firstLine="480" w:firstLineChars="200"/>
        <w:rPr>
          <w:rFonts w:ascii="宋体" w:hAnsi="宋体"/>
          <w:color w:val="auto"/>
          <w:szCs w:val="21"/>
          <w:highlight w:val="none"/>
        </w:rPr>
      </w:pPr>
      <w:r>
        <w:rPr>
          <w:rFonts w:hint="eastAsia" w:ascii="宋体" w:hAnsi="宋体"/>
          <w:color w:val="auto"/>
          <w:szCs w:val="21"/>
          <w:highlight w:val="none"/>
        </w:rPr>
        <w:t xml:space="preserve">    自收文之日起七个工作日内。</w:t>
      </w:r>
    </w:p>
    <w:p w14:paraId="0CFDD1A7">
      <w:pPr>
        <w:ind w:firstLine="480" w:firstLineChars="200"/>
        <w:rPr>
          <w:rFonts w:ascii="宋体" w:hAnsi="宋体"/>
          <w:color w:val="auto"/>
          <w:szCs w:val="21"/>
          <w:highlight w:val="none"/>
        </w:rPr>
      </w:pPr>
      <w:r>
        <w:rPr>
          <w:rFonts w:hint="eastAsia" w:ascii="宋体" w:hAnsi="宋体"/>
          <w:color w:val="auto"/>
          <w:szCs w:val="21"/>
          <w:highlight w:val="none"/>
        </w:rPr>
        <w:t>52.8投诉</w:t>
      </w:r>
    </w:p>
    <w:p w14:paraId="48396DCA">
      <w:pPr>
        <w:ind w:firstLine="480" w:firstLineChars="200"/>
        <w:rPr>
          <w:rFonts w:ascii="宋体" w:hAnsi="宋体"/>
          <w:color w:val="auto"/>
          <w:szCs w:val="21"/>
          <w:highlight w:val="none"/>
        </w:rPr>
      </w:pPr>
      <w:r>
        <w:rPr>
          <w:rFonts w:hint="eastAsia" w:ascii="宋体" w:hAnsi="宋体"/>
          <w:color w:val="auto"/>
          <w:szCs w:val="21"/>
          <w:highlight w:val="none"/>
        </w:rPr>
        <w:t>对质疑答复不满意或者未在规定时间内答复的，提出质疑的供应商可以在答复期满后15个工作日内向同级财政部门投诉。</w:t>
      </w:r>
    </w:p>
    <w:p w14:paraId="0C63389C">
      <w:pPr>
        <w:ind w:firstLine="480" w:firstLineChars="200"/>
        <w:rPr>
          <w:rFonts w:ascii="宋体" w:hAnsi="宋体"/>
          <w:b/>
          <w:bCs/>
          <w:color w:val="auto"/>
          <w:szCs w:val="21"/>
          <w:highlight w:val="none"/>
        </w:rPr>
      </w:pPr>
      <w:r>
        <w:rPr>
          <w:rFonts w:hint="eastAsia" w:ascii="宋体" w:hAnsi="宋体"/>
          <w:b/>
          <w:bCs/>
          <w:color w:val="auto"/>
          <w:szCs w:val="21"/>
          <w:highlight w:val="none"/>
        </w:rPr>
        <w:t xml:space="preserve">53. 质疑后续处理   </w:t>
      </w:r>
    </w:p>
    <w:p w14:paraId="7C942488">
      <w:pPr>
        <w:ind w:firstLine="480" w:firstLineChars="200"/>
        <w:rPr>
          <w:rFonts w:ascii="宋体" w:hAnsi="宋体"/>
          <w:color w:val="auto"/>
          <w:szCs w:val="21"/>
          <w:highlight w:val="none"/>
        </w:rPr>
      </w:pPr>
      <w:r>
        <w:rPr>
          <w:rFonts w:hint="eastAsia" w:ascii="宋体" w:hAnsi="宋体"/>
          <w:color w:val="auto"/>
          <w:szCs w:val="21"/>
          <w:highlight w:val="none"/>
        </w:rPr>
        <w:t>53.1供应商质疑不成立，或者成立但未对中标、成交结果构成影响的，继续开展采购活动。</w:t>
      </w:r>
    </w:p>
    <w:p w14:paraId="2C80EEC1">
      <w:pPr>
        <w:ind w:firstLine="480" w:firstLineChars="200"/>
        <w:rPr>
          <w:rFonts w:hint="eastAsia" w:ascii="宋体" w:hAnsi="宋体" w:eastAsia="宋体" w:cs="宋体"/>
          <w:color w:val="auto"/>
          <w:highlight w:val="none"/>
        </w:rPr>
      </w:pPr>
      <w:r>
        <w:rPr>
          <w:rFonts w:hint="eastAsia" w:ascii="宋体" w:hAnsi="宋体"/>
          <w:color w:val="auto"/>
          <w:szCs w:val="21"/>
          <w:highlight w:val="none"/>
        </w:rPr>
        <w:t>53.2供</w:t>
      </w:r>
      <w:r>
        <w:rPr>
          <w:rFonts w:hint="eastAsia" w:ascii="宋体" w:hAnsi="宋体" w:eastAsia="宋体" w:cs="宋体"/>
          <w:color w:val="auto"/>
          <w:highlight w:val="none"/>
        </w:rPr>
        <w:t>应商质疑成立且影响或者可能影响中标、成交结果的，按照下列情况处理：（</w:t>
      </w:r>
      <w:r>
        <w:rPr>
          <w:rFonts w:hint="eastAsia"/>
          <w:color w:val="auto"/>
          <w:highlight w:val="none"/>
        </w:rPr>
        <w:t>1</w:t>
      </w:r>
      <w:r>
        <w:rPr>
          <w:rFonts w:hint="eastAsia" w:ascii="宋体" w:hAnsi="宋体" w:eastAsia="宋体" w:cs="宋体"/>
          <w:color w:val="auto"/>
          <w:highlight w:val="none"/>
        </w:rPr>
        <w:t>）对采购文件提出的质疑，依法通过澄清或者修改可以继续开展采购活动的，澄清或者修改采购文件后继续开展采购活动；否则应当修改采购文件后重新开展采购活动。（</w:t>
      </w:r>
      <w:r>
        <w:rPr>
          <w:rFonts w:hint="eastAsia"/>
          <w:color w:val="auto"/>
          <w:highlight w:val="none"/>
        </w:rPr>
        <w:t>2</w:t>
      </w:r>
      <w:r>
        <w:rPr>
          <w:rFonts w:hint="eastAsia" w:ascii="宋体" w:hAnsi="宋体" w:eastAsia="宋体" w:cs="宋体"/>
          <w:color w:val="auto"/>
          <w:highlight w:val="none"/>
        </w:rPr>
        <w:t>）对采购过程、中标或者成交结果提出的质疑，如果合格供应商符合法定数量，依法从合格的中标或者成交候选人中另行确定中标、成交供应商；如果合格供应商不符合法定数量，应当重新开展采购活动。</w:t>
      </w:r>
    </w:p>
    <w:p w14:paraId="495083B0">
      <w:pPr>
        <w:ind w:firstLine="480" w:firstLineChars="200"/>
        <w:rPr>
          <w:rFonts w:hint="eastAsia"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54违约责任</w:t>
      </w:r>
    </w:p>
    <w:p w14:paraId="0BC9B45A">
      <w:pPr>
        <w:ind w:firstLine="480" w:firstLineChars="200"/>
        <w:rPr>
          <w:rFonts w:hint="eastAsia"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54.1供应商若在政府采购活动存在下列违法行为，给采购人、采购代理机造成损失的，应当承担赔偿责任。</w:t>
      </w:r>
    </w:p>
    <w:p w14:paraId="219F00E0">
      <w:pPr>
        <w:pStyle w:val="6"/>
        <w:rPr>
          <w:rFonts w:hint="default"/>
          <w:color w:val="auto"/>
          <w:highlight w:val="none"/>
          <w:lang w:val="en-US" w:eastAsia="zh-CN"/>
        </w:rPr>
      </w:pPr>
      <w:r>
        <w:rPr>
          <w:rFonts w:hint="default"/>
          <w:color w:val="auto"/>
          <w:highlight w:val="none"/>
          <w:lang w:val="en-US" w:eastAsia="zh-CN"/>
        </w:rPr>
        <w:t>（</w:t>
      </w:r>
      <w:r>
        <w:rPr>
          <w:rFonts w:hint="eastAsia"/>
          <w:color w:val="auto"/>
          <w:highlight w:val="none"/>
          <w:lang w:val="en-US" w:eastAsia="zh-CN"/>
        </w:rPr>
        <w:t>1</w:t>
      </w:r>
      <w:r>
        <w:rPr>
          <w:rFonts w:hint="default"/>
          <w:color w:val="auto"/>
          <w:highlight w:val="none"/>
          <w:lang w:val="en-US" w:eastAsia="zh-CN"/>
        </w:rPr>
        <w:t>）</w:t>
      </w:r>
      <w:r>
        <w:rPr>
          <w:rFonts w:hint="eastAsia"/>
          <w:color w:val="auto"/>
          <w:highlight w:val="none"/>
          <w:lang w:val="en-US" w:eastAsia="zh-CN"/>
        </w:rPr>
        <w:t>未</w:t>
      </w:r>
      <w:r>
        <w:rPr>
          <w:rFonts w:hint="default"/>
          <w:color w:val="auto"/>
          <w:highlight w:val="none"/>
          <w:lang w:val="en-US" w:eastAsia="zh-CN"/>
        </w:rPr>
        <w:t>按照规定签订、履行采购合同</w:t>
      </w:r>
      <w:r>
        <w:rPr>
          <w:rFonts w:hint="eastAsia"/>
          <w:color w:val="auto"/>
          <w:highlight w:val="none"/>
          <w:lang w:val="en-US" w:eastAsia="zh-CN"/>
        </w:rPr>
        <w:t>；</w:t>
      </w:r>
    </w:p>
    <w:p w14:paraId="7CE6A7B7">
      <w:pPr>
        <w:pStyle w:val="6"/>
        <w:rPr>
          <w:rFonts w:hint="default"/>
          <w:color w:val="auto"/>
          <w:highlight w:val="none"/>
          <w:lang w:val="en-US" w:eastAsia="zh-CN"/>
        </w:rPr>
      </w:pPr>
      <w:r>
        <w:rPr>
          <w:rFonts w:hint="eastAsia"/>
          <w:color w:val="auto"/>
          <w:highlight w:val="none"/>
          <w:lang w:val="en-US" w:eastAsia="zh-CN"/>
        </w:rPr>
        <w:t>（2）</w:t>
      </w:r>
      <w:r>
        <w:rPr>
          <w:rFonts w:hint="default"/>
          <w:color w:val="auto"/>
          <w:highlight w:val="none"/>
          <w:lang w:val="en-US" w:eastAsia="zh-CN"/>
        </w:rPr>
        <w:t>提供虚假材料谋取中标、成交的；</w:t>
      </w:r>
    </w:p>
    <w:p w14:paraId="07BEF5B7">
      <w:pPr>
        <w:pStyle w:val="6"/>
        <w:rPr>
          <w:rFonts w:hint="default"/>
          <w:color w:val="auto"/>
          <w:highlight w:val="none"/>
          <w:lang w:val="en-US" w:eastAsia="zh-CN"/>
        </w:rPr>
      </w:pPr>
      <w:r>
        <w:rPr>
          <w:rFonts w:hint="default"/>
          <w:color w:val="auto"/>
          <w:highlight w:val="none"/>
          <w:lang w:val="en-US" w:eastAsia="zh-CN"/>
        </w:rPr>
        <w:t>（</w:t>
      </w:r>
      <w:r>
        <w:rPr>
          <w:rFonts w:hint="eastAsia"/>
          <w:color w:val="auto"/>
          <w:highlight w:val="none"/>
          <w:lang w:val="en-US" w:eastAsia="zh-CN"/>
        </w:rPr>
        <w:t>3</w:t>
      </w:r>
      <w:r>
        <w:rPr>
          <w:rFonts w:hint="default"/>
          <w:color w:val="auto"/>
          <w:highlight w:val="none"/>
          <w:lang w:val="en-US" w:eastAsia="zh-CN"/>
        </w:rPr>
        <w:t>）采取不正当手段诋毁、排挤其他供应商的；</w:t>
      </w:r>
    </w:p>
    <w:p w14:paraId="1DF906BF">
      <w:pPr>
        <w:pStyle w:val="6"/>
        <w:rPr>
          <w:rFonts w:hint="default"/>
          <w:color w:val="auto"/>
          <w:highlight w:val="none"/>
          <w:lang w:val="en-US" w:eastAsia="zh-CN"/>
        </w:rPr>
      </w:pPr>
      <w:r>
        <w:rPr>
          <w:rFonts w:hint="default"/>
          <w:color w:val="auto"/>
          <w:highlight w:val="none"/>
          <w:lang w:val="en-US" w:eastAsia="zh-CN"/>
        </w:rPr>
        <w:t>（</w:t>
      </w:r>
      <w:r>
        <w:rPr>
          <w:rFonts w:hint="eastAsia"/>
          <w:color w:val="auto"/>
          <w:highlight w:val="none"/>
          <w:lang w:val="en-US" w:eastAsia="zh-CN"/>
        </w:rPr>
        <w:t>4</w:t>
      </w:r>
      <w:r>
        <w:rPr>
          <w:rFonts w:hint="default"/>
          <w:color w:val="auto"/>
          <w:highlight w:val="none"/>
          <w:lang w:val="en-US" w:eastAsia="zh-CN"/>
        </w:rPr>
        <w:t>）与其他供应商恶意串通的；</w:t>
      </w:r>
    </w:p>
    <w:p w14:paraId="23CA69BC">
      <w:pPr>
        <w:pStyle w:val="6"/>
        <w:rPr>
          <w:rFonts w:hint="eastAsia"/>
          <w:color w:val="auto"/>
          <w:highlight w:val="none"/>
          <w:lang w:val="en-US" w:eastAsia="zh-CN"/>
        </w:rPr>
      </w:pPr>
      <w:r>
        <w:rPr>
          <w:rFonts w:hint="default"/>
          <w:color w:val="auto"/>
          <w:highlight w:val="none"/>
          <w:lang w:val="en-US" w:eastAsia="zh-CN"/>
        </w:rPr>
        <w:t>（</w:t>
      </w:r>
      <w:r>
        <w:rPr>
          <w:rFonts w:hint="eastAsia"/>
          <w:color w:val="auto"/>
          <w:highlight w:val="none"/>
          <w:lang w:val="en-US" w:eastAsia="zh-CN"/>
        </w:rPr>
        <w:t>5</w:t>
      </w:r>
      <w:r>
        <w:rPr>
          <w:rFonts w:hint="default"/>
          <w:color w:val="auto"/>
          <w:highlight w:val="none"/>
          <w:lang w:val="en-US" w:eastAsia="zh-CN"/>
        </w:rPr>
        <w:t>）拒绝有关部门监督检查或者提供虚假情况的</w:t>
      </w:r>
      <w:r>
        <w:rPr>
          <w:rFonts w:hint="eastAsia"/>
          <w:color w:val="auto"/>
          <w:highlight w:val="none"/>
          <w:lang w:val="en-US" w:eastAsia="zh-CN"/>
        </w:rPr>
        <w:t>；</w:t>
      </w:r>
    </w:p>
    <w:p w14:paraId="54B36C5C">
      <w:pPr>
        <w:pStyle w:val="6"/>
        <w:rPr>
          <w:rFonts w:hint="default"/>
          <w:color w:val="auto"/>
          <w:highlight w:val="none"/>
          <w:lang w:val="en-US" w:eastAsia="zh-CN"/>
        </w:rPr>
      </w:pPr>
      <w:r>
        <w:rPr>
          <w:rFonts w:hint="eastAsia"/>
          <w:color w:val="auto"/>
          <w:highlight w:val="none"/>
          <w:lang w:val="en-US" w:eastAsia="zh-CN"/>
        </w:rPr>
        <w:t>（6）经主管部门认定的其他违法采购相关法律法规的行为。</w:t>
      </w:r>
    </w:p>
    <w:p w14:paraId="5A5679F6">
      <w:pPr>
        <w:ind w:firstLine="480" w:firstLineChars="200"/>
        <w:rPr>
          <w:rFonts w:hint="eastAsia"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54.2采购人、采购代理机构有权对违法供应商造成的损失进行追偿，可优先在已缴纳的代理服务费中进行抵扣，已缴纳的代理服务费不足以赔偿采购人、采购代理机构损失的，采购人、采购代理机构有权向人民法院提起诉讼。</w:t>
      </w:r>
    </w:p>
    <w:p w14:paraId="5BB65C12">
      <w:pPr>
        <w:pStyle w:val="6"/>
        <w:rPr>
          <w:color w:val="auto"/>
          <w:highlight w:val="none"/>
        </w:rPr>
      </w:pPr>
    </w:p>
    <w:p w14:paraId="66670C04">
      <w:pPr>
        <w:jc w:val="center"/>
        <w:rPr>
          <w:color w:val="auto"/>
          <w:highlight w:val="none"/>
        </w:rPr>
      </w:pPr>
      <w:r>
        <w:rPr>
          <w:color w:val="auto"/>
          <w:highlight w:val="none"/>
        </w:rPr>
        <w:t>---- END ----</w:t>
      </w:r>
      <w:bookmarkEnd w:id="98"/>
    </w:p>
    <w:p w14:paraId="18C475A7">
      <w:pPr>
        <w:rPr>
          <w:rFonts w:ascii="宋体" w:hAnsi="宋体"/>
          <w:color w:val="auto"/>
          <w:szCs w:val="21"/>
          <w:highlight w:val="none"/>
        </w:rPr>
      </w:pPr>
    </w:p>
    <w:p w14:paraId="01BA1512">
      <w:pPr>
        <w:rPr>
          <w:color w:val="auto"/>
          <w:highlight w:val="none"/>
        </w:rPr>
      </w:pPr>
    </w:p>
    <w:p w14:paraId="54876818">
      <w:pPr>
        <w:rPr>
          <w:color w:val="auto"/>
          <w:highlight w:val="none"/>
        </w:rPr>
      </w:pPr>
    </w:p>
    <w:sectPr>
      <w:footerReference r:id="rId3" w:type="default"/>
      <w:type w:val="continuous"/>
      <w:pgSz w:w="11906" w:h="16838"/>
      <w:pgMar w:top="1440" w:right="1800" w:bottom="1440" w:left="1800" w:header="720" w:footer="720" w:gutter="0"/>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BB1A5F3A-16DB-4219-881E-FF84809528A5}"/>
  </w:font>
  <w:font w:name="黑体">
    <w:panose1 w:val="02010609060101010101"/>
    <w:charset w:val="86"/>
    <w:family w:val="auto"/>
    <w:pitch w:val="default"/>
    <w:sig w:usb0="800002BF" w:usb1="38CF7CFA" w:usb2="00000016" w:usb3="00000000" w:csb0="00040001" w:csb1="00000000"/>
    <w:embedRegular r:id="rId2" w:fontKey="{05133274-7EBF-43D5-B4B9-D9A69B8097AE}"/>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华文楷体">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embedRegular r:id="rId3" w:fontKey="{32CB1298-10E5-4E6E-B5F6-7635B073CDFF}"/>
  </w:font>
  <w:font w:name="仿宋">
    <w:panose1 w:val="02010609060101010101"/>
    <w:charset w:val="86"/>
    <w:family w:val="modern"/>
    <w:pitch w:val="default"/>
    <w:sig w:usb0="800002BF" w:usb1="38CF7CFA" w:usb2="00000016" w:usb3="00000000" w:csb0="00040001" w:csb1="00000000"/>
    <w:embedRegular r:id="rId4" w:fontKey="{3AEACFE4-E606-473B-8065-406B2CC59F10}"/>
  </w:font>
  <w:font w:name="Wingdings 2">
    <w:panose1 w:val="05020102010507070707"/>
    <w:charset w:val="02"/>
    <w:family w:val="roman"/>
    <w:pitch w:val="default"/>
    <w:sig w:usb0="00000000" w:usb1="00000000" w:usb2="00000000" w:usb3="00000000" w:csb0="80000000" w:csb1="00000000"/>
    <w:embedRegular r:id="rId5" w:fontKey="{BD670680-AC49-4DC4-AAFC-8957D3C0D825}"/>
  </w:font>
  <w:font w:name="ˎ̥">
    <w:altName w:val="Times New Roman"/>
    <w:panose1 w:val="00000000000000000000"/>
    <w:charset w:val="00"/>
    <w:family w:val="roman"/>
    <w:pitch w:val="default"/>
    <w:sig w:usb0="00000000" w:usb1="00000000" w:usb2="00000000" w:usb3="00000000" w:csb0="00000000" w:csb1="00000000"/>
    <w:embedRegular r:id="rId6" w:fontKey="{1170B196-EEA0-423F-A175-2BAB0ECE32BB}"/>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72CE33">
    <w:pPr>
      <w:pStyle w:val="11"/>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7B7226">
                          <w:pPr>
                            <w:pStyle w:val="11"/>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587B7226">
                    <w:pPr>
                      <w:pStyle w:val="11"/>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DBE2F38"/>
    <w:multiLevelType w:val="multilevel"/>
    <w:tmpl w:val="DDBE2F38"/>
    <w:lvl w:ilvl="0" w:tentative="0">
      <w:start w:val="1"/>
      <w:numFmt w:val="chineseCounting"/>
      <w:suff w:val="nothing"/>
      <w:lvlText w:val="（%1）"/>
      <w:lvlJc w:val="left"/>
      <w:pPr>
        <w:ind w:left="0" w:firstLine="0"/>
      </w:p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
    <w:nsid w:val="00000004"/>
    <w:multiLevelType w:val="multilevel"/>
    <w:tmpl w:val="00000004"/>
    <w:lvl w:ilvl="0" w:tentative="0">
      <w:start w:val="1"/>
      <w:numFmt w:val="japaneseCounting"/>
      <w:lvlText w:val="第%1章"/>
      <w:lvlJc w:val="left"/>
      <w:pPr>
        <w:tabs>
          <w:tab w:val="left" w:pos="720"/>
        </w:tabs>
        <w:ind w:left="720" w:hanging="7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8FA7F9F"/>
    <w:multiLevelType w:val="multilevel"/>
    <w:tmpl w:val="38FA7F9F"/>
    <w:lvl w:ilvl="0" w:tentative="0">
      <w:start w:val="1"/>
      <w:numFmt w:val="japaneseCounting"/>
      <w:lvlText w:val="（%1）"/>
      <w:lvlJc w:val="left"/>
      <w:pPr>
        <w:ind w:left="1146" w:hanging="72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3">
    <w:nsid w:val="3C571C46"/>
    <w:multiLevelType w:val="multilevel"/>
    <w:tmpl w:val="3C571C46"/>
    <w:lvl w:ilvl="0" w:tentative="0">
      <w:start w:val="1"/>
      <w:numFmt w:val="upperLetter"/>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720"/>
  <w:displayHorizontalDrawingGridEvery w:val="0"/>
  <w:displayVerticalDrawingGridEvery w:val="2"/>
  <w:characterSpacingControl w:val="doNotCompress"/>
  <w:compat>
    <w:balanceSingleByteDoubleByteWidth/>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A0YzFmMDE1ZTIyYjFjZmVjNzA2YTBiYTRmNDVkYzEifQ=="/>
  </w:docVars>
  <w:rsids>
    <w:rsidRoot w:val="00000000"/>
    <w:rsid w:val="00B96C44"/>
    <w:rsid w:val="026673DD"/>
    <w:rsid w:val="02671A0C"/>
    <w:rsid w:val="037B2C82"/>
    <w:rsid w:val="038C592B"/>
    <w:rsid w:val="04BA4D02"/>
    <w:rsid w:val="060327CF"/>
    <w:rsid w:val="061152F9"/>
    <w:rsid w:val="0A82402B"/>
    <w:rsid w:val="0AD56800"/>
    <w:rsid w:val="0B856A33"/>
    <w:rsid w:val="0C7F0980"/>
    <w:rsid w:val="0D9D1464"/>
    <w:rsid w:val="0DDD78CC"/>
    <w:rsid w:val="0DE11D81"/>
    <w:rsid w:val="0DF577ED"/>
    <w:rsid w:val="0FB07C1F"/>
    <w:rsid w:val="112C6522"/>
    <w:rsid w:val="11E46830"/>
    <w:rsid w:val="1343435B"/>
    <w:rsid w:val="13D70930"/>
    <w:rsid w:val="13EE4FAF"/>
    <w:rsid w:val="152C512F"/>
    <w:rsid w:val="1545782E"/>
    <w:rsid w:val="16D84B75"/>
    <w:rsid w:val="17FB49D5"/>
    <w:rsid w:val="1A361D35"/>
    <w:rsid w:val="1AC61C71"/>
    <w:rsid w:val="1B43798F"/>
    <w:rsid w:val="1B50482E"/>
    <w:rsid w:val="1DE121E6"/>
    <w:rsid w:val="1EEB57A3"/>
    <w:rsid w:val="1F5C0633"/>
    <w:rsid w:val="1F6368EB"/>
    <w:rsid w:val="1F9217FE"/>
    <w:rsid w:val="211C3B31"/>
    <w:rsid w:val="21771570"/>
    <w:rsid w:val="22A31EF1"/>
    <w:rsid w:val="235F29CF"/>
    <w:rsid w:val="254B1D85"/>
    <w:rsid w:val="2597179C"/>
    <w:rsid w:val="25B3069D"/>
    <w:rsid w:val="26511AD7"/>
    <w:rsid w:val="26D11145"/>
    <w:rsid w:val="285F2D5E"/>
    <w:rsid w:val="2AA61238"/>
    <w:rsid w:val="2AD215C5"/>
    <w:rsid w:val="2ADF4FA0"/>
    <w:rsid w:val="2BC75175"/>
    <w:rsid w:val="2BF74188"/>
    <w:rsid w:val="2CF250E1"/>
    <w:rsid w:val="2D834DF9"/>
    <w:rsid w:val="2F076A67"/>
    <w:rsid w:val="2FAA1F7E"/>
    <w:rsid w:val="2FB76FDC"/>
    <w:rsid w:val="30002840"/>
    <w:rsid w:val="321E678F"/>
    <w:rsid w:val="32DC12ED"/>
    <w:rsid w:val="355462D6"/>
    <w:rsid w:val="35F504FD"/>
    <w:rsid w:val="362A0508"/>
    <w:rsid w:val="362B66CF"/>
    <w:rsid w:val="37282F06"/>
    <w:rsid w:val="38043F1B"/>
    <w:rsid w:val="38A55FF8"/>
    <w:rsid w:val="38B0032F"/>
    <w:rsid w:val="3A193B4A"/>
    <w:rsid w:val="3AEA64B7"/>
    <w:rsid w:val="3B4953BB"/>
    <w:rsid w:val="3B572A86"/>
    <w:rsid w:val="3BCC5093"/>
    <w:rsid w:val="3BF07939"/>
    <w:rsid w:val="3C11319F"/>
    <w:rsid w:val="3C5F0860"/>
    <w:rsid w:val="3D1E351A"/>
    <w:rsid w:val="3D5C6BB7"/>
    <w:rsid w:val="40F47DB5"/>
    <w:rsid w:val="41466BF8"/>
    <w:rsid w:val="420460B1"/>
    <w:rsid w:val="420A0825"/>
    <w:rsid w:val="437E6286"/>
    <w:rsid w:val="44B946CE"/>
    <w:rsid w:val="46AB4245"/>
    <w:rsid w:val="46AF437E"/>
    <w:rsid w:val="46EC3316"/>
    <w:rsid w:val="46FF153C"/>
    <w:rsid w:val="48494E29"/>
    <w:rsid w:val="48886652"/>
    <w:rsid w:val="48B95124"/>
    <w:rsid w:val="48EC61D3"/>
    <w:rsid w:val="48ED127B"/>
    <w:rsid w:val="49287E75"/>
    <w:rsid w:val="493A767E"/>
    <w:rsid w:val="49DC7913"/>
    <w:rsid w:val="4CA06BB3"/>
    <w:rsid w:val="4D470A71"/>
    <w:rsid w:val="4E9B418C"/>
    <w:rsid w:val="4F2C4E99"/>
    <w:rsid w:val="50507FFF"/>
    <w:rsid w:val="50812BDB"/>
    <w:rsid w:val="511B6F73"/>
    <w:rsid w:val="535C77D7"/>
    <w:rsid w:val="543C0C58"/>
    <w:rsid w:val="554F5D9E"/>
    <w:rsid w:val="55705126"/>
    <w:rsid w:val="557627DA"/>
    <w:rsid w:val="55EF2FA9"/>
    <w:rsid w:val="573B690D"/>
    <w:rsid w:val="5A6C7AAC"/>
    <w:rsid w:val="5B1B5FAE"/>
    <w:rsid w:val="5BED62A9"/>
    <w:rsid w:val="5C317F92"/>
    <w:rsid w:val="5C413F10"/>
    <w:rsid w:val="5C61311E"/>
    <w:rsid w:val="5CC97046"/>
    <w:rsid w:val="5D2F4993"/>
    <w:rsid w:val="5D6F0C9E"/>
    <w:rsid w:val="5EFF0377"/>
    <w:rsid w:val="60867BFE"/>
    <w:rsid w:val="60B6404A"/>
    <w:rsid w:val="60F6595A"/>
    <w:rsid w:val="61113278"/>
    <w:rsid w:val="621A6328"/>
    <w:rsid w:val="626C66A6"/>
    <w:rsid w:val="637644DD"/>
    <w:rsid w:val="644675FE"/>
    <w:rsid w:val="64B35892"/>
    <w:rsid w:val="655820EC"/>
    <w:rsid w:val="6583539F"/>
    <w:rsid w:val="662B2F3B"/>
    <w:rsid w:val="67C57F21"/>
    <w:rsid w:val="68BE2865"/>
    <w:rsid w:val="69126A56"/>
    <w:rsid w:val="69E564CD"/>
    <w:rsid w:val="6AF325B5"/>
    <w:rsid w:val="6C50049C"/>
    <w:rsid w:val="6CBF3A75"/>
    <w:rsid w:val="6D10521A"/>
    <w:rsid w:val="6D703A9E"/>
    <w:rsid w:val="6D774FB8"/>
    <w:rsid w:val="6D7B373E"/>
    <w:rsid w:val="6D943EDD"/>
    <w:rsid w:val="6EA90247"/>
    <w:rsid w:val="6FFD5156"/>
    <w:rsid w:val="714D4ACF"/>
    <w:rsid w:val="71565879"/>
    <w:rsid w:val="723864FB"/>
    <w:rsid w:val="724D0317"/>
    <w:rsid w:val="72896A15"/>
    <w:rsid w:val="740565DF"/>
    <w:rsid w:val="769C5088"/>
    <w:rsid w:val="785C7CED"/>
    <w:rsid w:val="786C6FE0"/>
    <w:rsid w:val="797B769E"/>
    <w:rsid w:val="79FB41D3"/>
    <w:rsid w:val="7AC64070"/>
    <w:rsid w:val="7B875677"/>
    <w:rsid w:val="7D9D45CA"/>
    <w:rsid w:val="7E7B024B"/>
    <w:rsid w:val="7EC601B8"/>
    <w:rsid w:val="7F1C3A35"/>
    <w:rsid w:val="7F261DDE"/>
    <w:rsid w:val="7F98457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Times New Roman" w:hAnsi="Times New Roman" w:eastAsia="Times New Roman" w:cs="Times New Roman"/>
      <w:sz w:val="24"/>
      <w:szCs w:val="24"/>
    </w:rPr>
  </w:style>
  <w:style w:type="paragraph" w:styleId="2">
    <w:name w:val="heading 1"/>
    <w:basedOn w:val="3"/>
    <w:next w:val="1"/>
    <w:link w:val="29"/>
    <w:autoRedefine/>
    <w:qFormat/>
    <w:uiPriority w:val="0"/>
    <w:pPr>
      <w:spacing w:before="340" w:after="330" w:line="360" w:lineRule="auto"/>
      <w:jc w:val="center"/>
      <w:outlineLvl w:val="0"/>
    </w:pPr>
    <w:rPr>
      <w:rFonts w:eastAsia="黑体"/>
      <w:kern w:val="44"/>
      <w:szCs w:val="44"/>
    </w:rPr>
  </w:style>
  <w:style w:type="paragraph" w:styleId="5">
    <w:name w:val="heading 2"/>
    <w:basedOn w:val="3"/>
    <w:next w:val="4"/>
    <w:link w:val="30"/>
    <w:autoRedefine/>
    <w:qFormat/>
    <w:uiPriority w:val="0"/>
    <w:pPr>
      <w:adjustRightInd w:val="0"/>
      <w:jc w:val="center"/>
      <w:textAlignment w:val="baseline"/>
      <w:outlineLvl w:val="1"/>
    </w:pPr>
    <w:rPr>
      <w:sz w:val="24"/>
      <w:szCs w:val="20"/>
    </w:rPr>
  </w:style>
  <w:style w:type="paragraph" w:styleId="3">
    <w:name w:val="heading 3"/>
    <w:basedOn w:val="4"/>
    <w:next w:val="1"/>
    <w:link w:val="28"/>
    <w:autoRedefine/>
    <w:qFormat/>
    <w:uiPriority w:val="9"/>
    <w:pPr>
      <w:spacing w:before="260" w:after="260" w:line="240" w:lineRule="auto"/>
      <w:outlineLvl w:val="2"/>
    </w:pPr>
    <w:rPr>
      <w:rFonts w:ascii="宋体" w:hAnsi="宋体" w:eastAsia="宋体"/>
      <w:szCs w:val="32"/>
    </w:rPr>
  </w:style>
  <w:style w:type="paragraph" w:styleId="4">
    <w:name w:val="heading 4"/>
    <w:basedOn w:val="1"/>
    <w:next w:val="1"/>
    <w:link w:val="27"/>
    <w:autoRedefine/>
    <w:qFormat/>
    <w:uiPriority w:val="9"/>
    <w:pPr>
      <w:keepNext/>
      <w:keepLines/>
      <w:spacing w:before="280" w:after="290" w:line="376" w:lineRule="auto"/>
      <w:outlineLvl w:val="3"/>
    </w:pPr>
    <w:rPr>
      <w:rFonts w:ascii="Arial" w:hAnsi="Arial" w:eastAsia="黑体"/>
      <w:b/>
      <w:bCs/>
      <w:sz w:val="28"/>
      <w:szCs w:val="28"/>
    </w:rPr>
  </w:style>
  <w:style w:type="character" w:default="1" w:styleId="19">
    <w:name w:val="Default Paragraph Font"/>
    <w:autoRedefine/>
    <w:semiHidden/>
    <w:qFormat/>
    <w:uiPriority w:val="0"/>
  </w:style>
  <w:style w:type="table" w:default="1" w:styleId="17">
    <w:name w:val="Normal Table"/>
    <w:autoRedefin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Normal Indent"/>
    <w:basedOn w:val="1"/>
    <w:next w:val="7"/>
    <w:link w:val="26"/>
    <w:autoRedefine/>
    <w:qFormat/>
    <w:uiPriority w:val="0"/>
    <w:pPr>
      <w:ind w:firstLine="420"/>
    </w:pPr>
    <w:rPr>
      <w:szCs w:val="20"/>
    </w:rPr>
  </w:style>
  <w:style w:type="paragraph" w:styleId="7">
    <w:name w:val="Body Text"/>
    <w:basedOn w:val="1"/>
    <w:link w:val="32"/>
    <w:autoRedefine/>
    <w:qFormat/>
    <w:uiPriority w:val="0"/>
    <w:pPr>
      <w:spacing w:line="360" w:lineRule="auto"/>
    </w:pPr>
    <w:rPr>
      <w:b/>
      <w:bCs/>
    </w:rPr>
  </w:style>
  <w:style w:type="paragraph" w:styleId="8">
    <w:name w:val="annotation text"/>
    <w:basedOn w:val="1"/>
    <w:link w:val="31"/>
    <w:autoRedefine/>
    <w:unhideWhenUsed/>
    <w:qFormat/>
    <w:uiPriority w:val="0"/>
    <w:pPr>
      <w:spacing w:before="0" w:beforeAutospacing="0" w:after="0" w:afterAutospacing="0"/>
      <w:ind w:left="0" w:right="0"/>
      <w:jc w:val="left"/>
    </w:pPr>
    <w:rPr>
      <w:rFonts w:hint="default" w:ascii="Times New Roman" w:hAnsi="Times New Roman" w:cs="Times New Roman"/>
      <w:kern w:val="0"/>
      <w:sz w:val="24"/>
      <w:szCs w:val="24"/>
      <w:lang w:val="en-US" w:eastAsia="zh-CN" w:bidi="ar"/>
    </w:rPr>
  </w:style>
  <w:style w:type="paragraph" w:styleId="9">
    <w:name w:val="Body Text Indent"/>
    <w:basedOn w:val="1"/>
    <w:autoRedefine/>
    <w:qFormat/>
    <w:uiPriority w:val="99"/>
    <w:pPr>
      <w:spacing w:after="120"/>
      <w:ind w:left="420" w:leftChars="200"/>
    </w:pPr>
    <w:rPr>
      <w:rFonts w:ascii="Times New Roman" w:hAnsi="Times New Roman" w:eastAsia="宋体" w:cs="Times New Roman"/>
      <w:sz w:val="21"/>
    </w:rPr>
  </w:style>
  <w:style w:type="paragraph" w:styleId="10">
    <w:name w:val="Balloon Text"/>
    <w:basedOn w:val="1"/>
    <w:autoRedefine/>
    <w:qFormat/>
    <w:uiPriority w:val="0"/>
    <w:rPr>
      <w:sz w:val="18"/>
      <w:szCs w:val="18"/>
    </w:rPr>
  </w:style>
  <w:style w:type="paragraph" w:styleId="11">
    <w:name w:val="footer"/>
    <w:basedOn w:val="1"/>
    <w:autoRedefine/>
    <w:qFormat/>
    <w:uiPriority w:val="0"/>
    <w:pPr>
      <w:tabs>
        <w:tab w:val="center" w:pos="4153"/>
        <w:tab w:val="right" w:pos="8306"/>
      </w:tabs>
      <w:snapToGrid w:val="0"/>
      <w:jc w:val="left"/>
    </w:pPr>
    <w:rPr>
      <w:sz w:val="18"/>
    </w:rPr>
  </w:style>
  <w:style w:type="paragraph" w:styleId="12">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toc 1"/>
    <w:next w:val="1"/>
    <w:qFormat/>
    <w:uiPriority w:val="39"/>
    <w:pPr>
      <w:widowControl w:val="0"/>
      <w:jc w:val="both"/>
    </w:pPr>
    <w:rPr>
      <w:rFonts w:ascii="Times New Roman" w:hAnsi="Times New Roman" w:eastAsia="宋体" w:cs="Times New Roman"/>
      <w:kern w:val="2"/>
      <w:sz w:val="21"/>
      <w:szCs w:val="24"/>
      <w:lang w:val="en-US" w:eastAsia="zh-CN" w:bidi="ar-SA"/>
    </w:rPr>
  </w:style>
  <w:style w:type="paragraph" w:styleId="14">
    <w:name w:val="Body Text 2"/>
    <w:basedOn w:val="1"/>
    <w:autoRedefine/>
    <w:qFormat/>
    <w:uiPriority w:val="0"/>
    <w:pPr>
      <w:spacing w:line="360" w:lineRule="auto"/>
    </w:pPr>
    <w:rPr>
      <w:sz w:val="24"/>
    </w:rPr>
  </w:style>
  <w:style w:type="paragraph" w:styleId="15">
    <w:name w:val="Normal (Web)"/>
    <w:basedOn w:val="1"/>
    <w:link w:val="24"/>
    <w:autoRedefine/>
    <w:qFormat/>
    <w:uiPriority w:val="99"/>
  </w:style>
  <w:style w:type="paragraph" w:styleId="16">
    <w:name w:val="Body Text First Indent 2"/>
    <w:basedOn w:val="9"/>
    <w:autoRedefine/>
    <w:qFormat/>
    <w:uiPriority w:val="99"/>
    <w:pPr>
      <w:ind w:firstLine="420" w:firstLineChars="200"/>
    </w:pPr>
  </w:style>
  <w:style w:type="table" w:styleId="18">
    <w:name w:val="Table Grid"/>
    <w:basedOn w:val="1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0">
    <w:name w:val="Strong"/>
    <w:basedOn w:val="19"/>
    <w:autoRedefine/>
    <w:qFormat/>
    <w:uiPriority w:val="0"/>
    <w:rPr>
      <w:b/>
    </w:rPr>
  </w:style>
  <w:style w:type="character" w:styleId="21">
    <w:name w:val="Hyperlink"/>
    <w:autoRedefine/>
    <w:qFormat/>
    <w:uiPriority w:val="99"/>
    <w:rPr>
      <w:color w:val="0000FF"/>
      <w:u w:val="single"/>
    </w:rPr>
  </w:style>
  <w:style w:type="character" w:styleId="22">
    <w:name w:val="annotation reference"/>
    <w:qFormat/>
    <w:uiPriority w:val="0"/>
    <w:rPr>
      <w:sz w:val="21"/>
      <w:szCs w:val="21"/>
    </w:rPr>
  </w:style>
  <w:style w:type="paragraph" w:customStyle="1" w:styleId="23">
    <w:name w:val="AONormal"/>
    <w:autoRedefine/>
    <w:qFormat/>
    <w:uiPriority w:val="0"/>
    <w:pPr>
      <w:autoSpaceDE w:val="0"/>
      <w:autoSpaceDN w:val="0"/>
      <w:adjustRightInd w:val="0"/>
      <w:spacing w:line="400" w:lineRule="exact"/>
      <w:ind w:firstLine="440" w:firstLineChars="200"/>
    </w:pPr>
    <w:rPr>
      <w:rFonts w:ascii="华文楷体" w:hAnsi="华文楷体" w:eastAsia="华文楷体" w:cs="华文楷体"/>
      <w:sz w:val="22"/>
      <w:szCs w:val="21"/>
      <w:lang w:val="en-US" w:eastAsia="zh-CN" w:bidi="ar-SA"/>
    </w:rPr>
  </w:style>
  <w:style w:type="character" w:customStyle="1" w:styleId="24">
    <w:name w:val="普通(网站) Char"/>
    <w:link w:val="15"/>
    <w:autoRedefine/>
    <w:qFormat/>
    <w:uiPriority w:val="0"/>
    <w:rPr>
      <w:kern w:val="2"/>
      <w:sz w:val="24"/>
      <w:szCs w:val="24"/>
    </w:rPr>
  </w:style>
  <w:style w:type="paragraph" w:customStyle="1" w:styleId="25">
    <w:name w:val="Table Paragraph"/>
    <w:basedOn w:val="1"/>
    <w:autoRedefine/>
    <w:qFormat/>
    <w:uiPriority w:val="1"/>
    <w:rPr>
      <w:rFonts w:ascii="宋体" w:hAnsi="宋体" w:cs="宋体"/>
      <w:lang w:val="zh-CN" w:bidi="zh-CN"/>
    </w:rPr>
  </w:style>
  <w:style w:type="character" w:customStyle="1" w:styleId="26">
    <w:name w:val="正文缩进 Char"/>
    <w:link w:val="6"/>
    <w:autoRedefine/>
    <w:qFormat/>
    <w:uiPriority w:val="0"/>
    <w:rPr>
      <w:rFonts w:eastAsia="宋体"/>
      <w:kern w:val="2"/>
      <w:sz w:val="21"/>
      <w:lang w:val="en-US" w:eastAsia="zh-CN" w:bidi="ar-SA"/>
    </w:rPr>
  </w:style>
  <w:style w:type="character" w:customStyle="1" w:styleId="27">
    <w:name w:val="标题 4 Char"/>
    <w:link w:val="4"/>
    <w:autoRedefine/>
    <w:qFormat/>
    <w:uiPriority w:val="9"/>
    <w:rPr>
      <w:rFonts w:ascii="Arial" w:hAnsi="Arial" w:eastAsia="黑体"/>
      <w:b/>
      <w:bCs/>
      <w:kern w:val="2"/>
      <w:sz w:val="28"/>
      <w:szCs w:val="28"/>
      <w:lang w:val="en-US" w:eastAsia="zh-CN" w:bidi="ar-SA"/>
    </w:rPr>
  </w:style>
  <w:style w:type="character" w:customStyle="1" w:styleId="28">
    <w:name w:val="标题 3 Char1"/>
    <w:link w:val="3"/>
    <w:autoRedefine/>
    <w:qFormat/>
    <w:uiPriority w:val="9"/>
    <w:rPr>
      <w:rFonts w:ascii="宋体" w:hAnsi="宋体" w:eastAsia="宋体"/>
      <w:b/>
      <w:bCs/>
      <w:kern w:val="2"/>
      <w:sz w:val="28"/>
      <w:szCs w:val="32"/>
      <w:lang w:val="en-US" w:eastAsia="zh-CN" w:bidi="ar-SA"/>
    </w:rPr>
  </w:style>
  <w:style w:type="character" w:customStyle="1" w:styleId="29">
    <w:name w:val="标题 1 Char"/>
    <w:link w:val="2"/>
    <w:autoRedefine/>
    <w:qFormat/>
    <w:uiPriority w:val="0"/>
    <w:rPr>
      <w:rFonts w:ascii="宋体" w:hAnsi="宋体" w:eastAsia="黑体"/>
      <w:b/>
      <w:bCs/>
      <w:kern w:val="44"/>
      <w:sz w:val="28"/>
      <w:szCs w:val="44"/>
      <w:lang w:val="en-US" w:eastAsia="zh-CN" w:bidi="ar-SA"/>
    </w:rPr>
  </w:style>
  <w:style w:type="character" w:customStyle="1" w:styleId="30">
    <w:name w:val="标题 2 Char"/>
    <w:link w:val="5"/>
    <w:autoRedefine/>
    <w:qFormat/>
    <w:uiPriority w:val="0"/>
    <w:rPr>
      <w:rFonts w:ascii="宋体" w:hAnsi="宋体" w:eastAsia="宋体"/>
      <w:b/>
      <w:bCs/>
      <w:sz w:val="24"/>
      <w:lang w:val="en-US" w:eastAsia="zh-CN" w:bidi="ar-SA"/>
    </w:rPr>
  </w:style>
  <w:style w:type="character" w:customStyle="1" w:styleId="31">
    <w:name w:val="批注文字 Char"/>
    <w:basedOn w:val="19"/>
    <w:link w:val="8"/>
    <w:autoRedefine/>
    <w:qFormat/>
    <w:uiPriority w:val="0"/>
    <w:rPr>
      <w:sz w:val="24"/>
      <w:szCs w:val="24"/>
    </w:rPr>
  </w:style>
  <w:style w:type="character" w:customStyle="1" w:styleId="32">
    <w:name w:val="正文文本 Char"/>
    <w:link w:val="7"/>
    <w:autoRedefine/>
    <w:qFormat/>
    <w:uiPriority w:val="0"/>
    <w:rPr>
      <w:rFonts w:eastAsia="宋体"/>
      <w:b/>
      <w:bCs/>
      <w:kern w:val="2"/>
      <w:sz w:val="24"/>
      <w:szCs w:val="24"/>
      <w:lang w:val="en-US" w:eastAsia="zh-CN" w:bidi="ar-SA"/>
    </w:rPr>
  </w:style>
  <w:style w:type="character" w:customStyle="1" w:styleId="33">
    <w:name w:val="标题 3 Char"/>
    <w:autoRedefine/>
    <w:qFormat/>
    <w:uiPriority w:val="0"/>
    <w:rPr>
      <w:rFonts w:ascii="黑体" w:eastAsia="黑体"/>
      <w:bCs/>
      <w:sz w:val="30"/>
    </w:rPr>
  </w:style>
  <w:style w:type="paragraph" w:customStyle="1" w:styleId="34">
    <w:name w:val="正文1"/>
    <w:basedOn w:val="1"/>
    <w:autoRedefine/>
    <w:qFormat/>
    <w:uiPriority w:val="0"/>
    <w:pPr>
      <w:tabs>
        <w:tab w:val="left" w:pos="4"/>
      </w:tabs>
    </w:pPr>
    <w:rPr>
      <w:rFonts w:ascii="宋体" w:hAnsi="宋体"/>
      <w:sz w:val="18"/>
    </w:rPr>
  </w:style>
  <w:style w:type="paragraph" w:customStyle="1" w:styleId="35">
    <w:name w:val="彩色列表 - 强调文字颜色 111"/>
    <w:basedOn w:val="1"/>
    <w:autoRedefine/>
    <w:qFormat/>
    <w:uiPriority w:val="0"/>
    <w:pPr>
      <w:ind w:firstLine="420" w:firstLineChars="200"/>
    </w:pPr>
  </w:style>
  <w:style w:type="paragraph" w:styleId="36">
    <w:name w:val="List Paragraph"/>
    <w:qFormat/>
    <w:uiPriority w:val="34"/>
    <w:pPr>
      <w:widowControl w:val="0"/>
      <w:ind w:firstLine="420" w:firstLineChars="200"/>
      <w:jc w:val="both"/>
    </w:pPr>
    <w:rPr>
      <w:rFonts w:ascii="Times New Roman" w:hAnsi="Times New Roman" w:eastAsia="宋体" w:cs="Times New Roman"/>
      <w:kern w:val="2"/>
      <w:sz w:val="21"/>
      <w:szCs w:val="24"/>
      <w:lang w:val="en-US" w:eastAsia="zh-CN" w:bidi="ar-SA"/>
    </w:rPr>
  </w:style>
  <w:style w:type="paragraph" w:customStyle="1" w:styleId="37">
    <w:name w:val="p0"/>
    <w:qFormat/>
    <w:uiPriority w:val="0"/>
    <w:pPr>
      <w:widowControl/>
      <w:spacing w:before="100" w:beforeAutospacing="1" w:after="100" w:afterAutospacing="1"/>
      <w:jc w:val="left"/>
    </w:pPr>
    <w:rPr>
      <w:rFonts w:ascii="宋体" w:hAnsi="宋体" w:eastAsia="宋体" w:cs="宋体"/>
      <w:kern w:val="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Pages>86</Pages>
  <Words>5870</Words>
  <Characters>6432</Characters>
  <Lines>1</Lines>
  <Paragraphs>1</Paragraphs>
  <TotalTime>4</TotalTime>
  <ScaleCrop>false</ScaleCrop>
  <LinksUpToDate>false</LinksUpToDate>
  <CharactersWithSpaces>6482</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2022-05-20T08:55:00Z</dcterms:created>
  <dc:creator>lenovo01</dc:creator>
  <cp:lastModifiedBy>用户名4299</cp:lastModifiedBy>
  <dcterms:modified xsi:type="dcterms:W3CDTF">2025-05-06T09:05:18Z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B4DD04EA911B43F7BF3B9F8BA3345571_13</vt:lpwstr>
  </property>
  <property fmtid="{D5CDD505-2E9C-101B-9397-08002B2CF9AE}" pid="4" name="KSOTemplateDocerSaveRecord">
    <vt:lpwstr>eyJoZGlkIjoiY2EyYzEzMWEzN2I1NWFlYTE3OGI0YmNlYjc4MDc0ZjYiLCJ1c2VySWQiOiIxNjA0NzI1MDM4In0=</vt:lpwstr>
  </property>
</Properties>
</file>