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CD9F4">
      <w:pPr>
        <w:widowControl/>
        <w:spacing w:before="240" w:after="60"/>
        <w:jc w:val="center"/>
        <w:outlineLvl w:val="0"/>
        <w:rPr>
          <w:rFonts w:hint="eastAsia" w:ascii="仿宋" w:hAnsi="仿宋" w:eastAsia="仿宋" w:cs="Times New Roman"/>
          <w:b/>
          <w:bCs/>
          <w:sz w:val="44"/>
          <w:szCs w:val="44"/>
        </w:rPr>
      </w:pPr>
      <w:bookmarkStart w:id="0" w:name="_Hlk22055263"/>
      <w:r>
        <w:rPr>
          <w:rFonts w:hint="eastAsia" w:ascii="仿宋" w:hAnsi="仿宋" w:eastAsia="仿宋" w:cs="Times New Roman"/>
          <w:b/>
          <w:bCs/>
          <w:sz w:val="44"/>
          <w:szCs w:val="44"/>
        </w:rPr>
        <w:t>预询价公告</w:t>
      </w:r>
    </w:p>
    <w:bookmarkEnd w:id="0"/>
    <w:p w14:paraId="775248FE">
      <w:pPr>
        <w:pStyle w:val="15"/>
        <w:widowControl/>
        <w:shd w:val="clear" w:color="auto" w:fill="FFFFFF"/>
        <w:spacing w:beforeAutospacing="0" w:afterAutospacing="0"/>
        <w:ind w:firstLine="480"/>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深圳市深水生态环境技术有限公司就</w:t>
      </w:r>
      <w:r>
        <w:rPr>
          <w:rFonts w:hint="eastAsia" w:ascii="宋体" w:hAnsi="宋体" w:eastAsia="宋体" w:cs="宋体"/>
          <w:b/>
          <w:color w:val="5A5A5A"/>
          <w:szCs w:val="24"/>
          <w:shd w:val="clear" w:color="auto" w:fill="FFFFFF"/>
        </w:rPr>
        <w:t>破碎脱水预处理系统采购项目</w:t>
      </w:r>
      <w:r>
        <w:rPr>
          <w:rFonts w:hint="eastAsia" w:ascii="宋体" w:hAnsi="宋体" w:eastAsia="宋体" w:cs="宋体"/>
          <w:color w:val="5A5A5A"/>
          <w:szCs w:val="24"/>
          <w:shd w:val="clear" w:color="auto" w:fill="FFFFFF"/>
        </w:rPr>
        <w:t>进行预询价，欢迎符合资质并有意向的供应商提交预询价报价，本次询价结果仅作为采购限价的参考依据。有关事项如下：</w:t>
      </w:r>
    </w:p>
    <w:p w14:paraId="2AC732EF">
      <w:pPr>
        <w:pStyle w:val="15"/>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宋体" w:hAnsi="宋体" w:eastAsia="宋体" w:cs="宋体"/>
          <w:b/>
          <w:bCs/>
          <w:color w:val="5A5A5A"/>
          <w:szCs w:val="24"/>
          <w:shd w:val="clear" w:color="auto" w:fill="FFFFFF"/>
        </w:rPr>
        <w:t>一、</w:t>
      </w:r>
      <w:r>
        <w:rPr>
          <w:rStyle w:val="22"/>
          <w:rFonts w:hint="eastAsia" w:ascii="宋体" w:hAnsi="宋体" w:eastAsia="宋体" w:cs="宋体"/>
          <w:color w:val="5A5A5A"/>
          <w:szCs w:val="24"/>
          <w:shd w:val="clear" w:color="auto" w:fill="FFFFFF"/>
        </w:rPr>
        <w:t>预询价方：</w:t>
      </w:r>
      <w:r>
        <w:rPr>
          <w:rFonts w:hint="eastAsia" w:ascii="宋体" w:hAnsi="宋体" w:eastAsia="宋体" w:cs="宋体"/>
          <w:color w:val="5A5A5A"/>
          <w:szCs w:val="24"/>
          <w:shd w:val="clear" w:color="auto" w:fill="FFFFFF"/>
        </w:rPr>
        <w:t>深圳市深水生态环境技术有限公司。</w:t>
      </w:r>
    </w:p>
    <w:p w14:paraId="36F9BBA3">
      <w:pPr>
        <w:pStyle w:val="15"/>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宋体" w:hAnsi="宋体" w:eastAsia="宋体" w:cs="宋体"/>
          <w:b/>
          <w:bCs/>
          <w:color w:val="5A5A5A"/>
          <w:szCs w:val="24"/>
          <w:shd w:val="clear" w:color="auto" w:fill="FFFFFF"/>
        </w:rPr>
        <w:t>二、</w:t>
      </w:r>
      <w:r>
        <w:rPr>
          <w:rStyle w:val="22"/>
          <w:rFonts w:hint="eastAsia" w:ascii="宋体" w:hAnsi="宋体" w:eastAsia="宋体" w:cs="宋体"/>
          <w:color w:val="5A5A5A"/>
          <w:szCs w:val="24"/>
          <w:shd w:val="clear" w:color="auto" w:fill="FFFFFF"/>
        </w:rPr>
        <w:t>项目名称：</w:t>
      </w:r>
      <w:r>
        <w:rPr>
          <w:rFonts w:hint="eastAsia" w:ascii="宋体" w:hAnsi="宋体" w:eastAsia="宋体" w:cs="宋体"/>
          <w:b/>
          <w:color w:val="5A5A5A"/>
          <w:szCs w:val="24"/>
          <w:shd w:val="clear" w:color="auto" w:fill="FFFFFF"/>
        </w:rPr>
        <w:t>破碎脱水预处理系统采购项目</w:t>
      </w:r>
    </w:p>
    <w:p w14:paraId="25A03AA0">
      <w:pPr>
        <w:pStyle w:val="15"/>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宋体" w:hAnsi="宋体" w:eastAsia="宋体" w:cs="宋体"/>
          <w:b/>
          <w:bCs/>
          <w:color w:val="5A5A5A"/>
          <w:szCs w:val="24"/>
          <w:shd w:val="clear" w:color="auto" w:fill="FFFFFF"/>
        </w:rPr>
        <w:t>三、</w:t>
      </w:r>
      <w:r>
        <w:rPr>
          <w:rStyle w:val="22"/>
          <w:rFonts w:hint="eastAsia" w:ascii="宋体" w:hAnsi="宋体" w:eastAsia="宋体" w:cs="宋体"/>
          <w:color w:val="5A5A5A"/>
          <w:szCs w:val="24"/>
          <w:shd w:val="clear" w:color="auto" w:fill="FFFFFF"/>
        </w:rPr>
        <w:t>项目内容</w:t>
      </w:r>
    </w:p>
    <w:p w14:paraId="655DBE00">
      <w:pPr>
        <w:pStyle w:val="15"/>
        <w:widowControl/>
        <w:shd w:val="clear" w:color="auto" w:fill="FFFFFF"/>
        <w:spacing w:beforeAutospacing="0" w:afterAutospacing="0"/>
        <w:ind w:firstLine="480"/>
        <w:rPr>
          <w:rFonts w:hint="default" w:ascii="宋体" w:hAnsi="宋体" w:eastAsia="宋体" w:cs="宋体"/>
          <w:color w:val="5A5A5A"/>
          <w:szCs w:val="24"/>
          <w:shd w:val="clear" w:color="auto" w:fill="FFFFFF"/>
          <w:lang w:val="en-US" w:eastAsia="zh-CN"/>
        </w:rPr>
      </w:pPr>
      <w:r>
        <w:rPr>
          <w:rFonts w:hint="eastAsia" w:ascii="宋体" w:hAnsi="宋体" w:eastAsia="宋体" w:cs="宋体"/>
          <w:color w:val="5A5A5A"/>
          <w:szCs w:val="24"/>
          <w:shd w:val="clear" w:color="auto" w:fill="FFFFFF"/>
          <w:lang w:val="en-US" w:eastAsia="zh-CN"/>
        </w:rPr>
        <w:t>针对厨余果蔬固渣类物料，采购破碎脱水预处理系统及配套设施1套，包括上料提升机、破碎机、压榨脱水机、输送设备等其他附属设施及备品备件</w:t>
      </w:r>
      <w:r>
        <w:rPr>
          <w:rFonts w:hint="eastAsia" w:ascii="宋体" w:hAnsi="宋体" w:eastAsia="宋体" w:cs="宋体"/>
          <w:color w:val="5A5A5A"/>
          <w:szCs w:val="24"/>
          <w:shd w:val="clear" w:color="auto" w:fill="FFFFFF"/>
        </w:rPr>
        <w:t>（安装</w:t>
      </w:r>
      <w:r>
        <w:rPr>
          <w:rFonts w:hint="eastAsia" w:ascii="宋体" w:hAnsi="宋体" w:eastAsia="宋体" w:cs="宋体"/>
          <w:color w:val="5A5A5A"/>
          <w:szCs w:val="24"/>
          <w:shd w:val="clear" w:color="auto" w:fill="FFFFFF"/>
          <w:lang w:eastAsia="zh-CN"/>
        </w:rPr>
        <w:t>、</w:t>
      </w:r>
      <w:r>
        <w:rPr>
          <w:rFonts w:hint="eastAsia" w:ascii="宋体" w:hAnsi="宋体" w:eastAsia="宋体" w:cs="宋体"/>
          <w:color w:val="5A5A5A"/>
          <w:szCs w:val="24"/>
          <w:shd w:val="clear" w:color="auto" w:fill="FFFFFF"/>
        </w:rPr>
        <w:t>调试试运行内正常运行所需备件）</w:t>
      </w:r>
      <w:r>
        <w:rPr>
          <w:rFonts w:hint="eastAsia" w:ascii="宋体" w:hAnsi="宋体" w:eastAsia="宋体" w:cs="宋体"/>
          <w:color w:val="5A5A5A"/>
          <w:szCs w:val="24"/>
          <w:shd w:val="clear" w:color="auto" w:fill="FFFFFF"/>
          <w:lang w:val="en-US" w:eastAsia="zh-CN"/>
        </w:rPr>
        <w:t>，</w:t>
      </w:r>
      <w:r>
        <w:rPr>
          <w:rFonts w:hint="eastAsia" w:ascii="宋体" w:hAnsi="宋体" w:eastAsia="宋体" w:cs="宋体"/>
          <w:color w:val="5A5A5A"/>
          <w:szCs w:val="24"/>
          <w:shd w:val="clear" w:color="auto" w:fill="FFFFFF"/>
        </w:rPr>
        <w:t>设备用油型号（如有）等设备的设计（含深化设计）、供货、运输、安装、调试、试运行、验收、技术培训、税费、保险、售后服务等。</w:t>
      </w:r>
    </w:p>
    <w:p w14:paraId="09C08F33">
      <w:pPr>
        <w:pStyle w:val="15"/>
        <w:widowControl/>
        <w:shd w:val="clear" w:color="auto" w:fill="FFFFFF"/>
        <w:spacing w:beforeAutospacing="0" w:afterAutospacing="0"/>
        <w:ind w:firstLine="480"/>
        <w:rPr>
          <w:rFonts w:hint="eastAsia" w:ascii="微软雅黑" w:hAnsi="微软雅黑" w:eastAsia="微软雅黑" w:cs="微软雅黑"/>
          <w:color w:val="5A5A5A"/>
          <w:sz w:val="18"/>
          <w:szCs w:val="18"/>
        </w:rPr>
      </w:pPr>
      <w:r>
        <w:rPr>
          <w:rStyle w:val="22"/>
          <w:rFonts w:hint="eastAsia" w:ascii="宋体" w:hAnsi="宋体" w:eastAsia="宋体" w:cs="宋体"/>
          <w:color w:val="FF0000"/>
          <w:szCs w:val="24"/>
          <w:shd w:val="clear" w:color="auto" w:fill="FFFFFF"/>
        </w:rPr>
        <w:t>具体项目需求请联系本项目负责人获取（联系方式见本公告）。</w:t>
      </w:r>
    </w:p>
    <w:p w14:paraId="3B42563E">
      <w:pPr>
        <w:pStyle w:val="15"/>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宋体" w:hAnsi="宋体" w:eastAsia="宋体" w:cs="宋体"/>
          <w:b/>
          <w:bCs/>
          <w:color w:val="5A5A5A"/>
          <w:szCs w:val="24"/>
          <w:shd w:val="clear" w:color="auto" w:fill="FFFFFF"/>
        </w:rPr>
        <w:t>四、</w:t>
      </w:r>
      <w:r>
        <w:rPr>
          <w:rStyle w:val="22"/>
          <w:rFonts w:hint="eastAsia" w:ascii="宋体" w:hAnsi="宋体" w:eastAsia="宋体" w:cs="宋体"/>
          <w:color w:val="5A5A5A"/>
          <w:szCs w:val="24"/>
          <w:shd w:val="clear" w:color="auto" w:fill="FFFFFF"/>
        </w:rPr>
        <w:t>资格要求</w:t>
      </w:r>
    </w:p>
    <w:p w14:paraId="7AF363A2">
      <w:pPr>
        <w:pStyle w:val="15"/>
        <w:widowControl/>
        <w:shd w:val="clear" w:color="auto" w:fill="FFFFFF"/>
        <w:spacing w:beforeAutospacing="0" w:afterAutospacing="0" w:line="225" w:lineRule="atLeast"/>
        <w:ind w:firstLine="420"/>
        <w:rPr>
          <w:rFonts w:hint="eastAsia" w:ascii="微软雅黑" w:hAnsi="微软雅黑" w:eastAsia="微软雅黑" w:cs="微软雅黑"/>
          <w:color w:val="5A5A5A"/>
          <w:sz w:val="18"/>
          <w:szCs w:val="18"/>
        </w:rPr>
      </w:pPr>
      <w:r>
        <w:rPr>
          <w:rFonts w:hint="eastAsia" w:ascii="宋体" w:hAnsi="宋体" w:eastAsia="宋体" w:cs="宋体"/>
          <w:b/>
          <w:bCs/>
          <w:color w:val="5A5A5A"/>
          <w:sz w:val="21"/>
          <w:szCs w:val="21"/>
          <w:shd w:val="clear" w:color="auto" w:fill="FFFFFF"/>
        </w:rPr>
        <w:t>1．</w:t>
      </w:r>
      <w:r>
        <w:rPr>
          <w:rFonts w:hint="eastAsia" w:ascii="宋体" w:hAnsi="宋体" w:eastAsia="宋体" w:cs="宋体"/>
          <w:color w:val="5A5A5A"/>
          <w:szCs w:val="24"/>
          <w:shd w:val="clear" w:color="auto" w:fill="FFFFFF"/>
        </w:rPr>
        <w:t>投标人须为中国境内注册的独立企业法人，具有合法经营资格。（需提供营业执照等证明文件复印件或扫描件，并加盖投标人公章）</w:t>
      </w:r>
    </w:p>
    <w:p w14:paraId="66423942">
      <w:pPr>
        <w:pStyle w:val="15"/>
        <w:widowControl/>
        <w:shd w:val="clear" w:color="auto" w:fill="FFFFFF"/>
        <w:spacing w:beforeAutospacing="0" w:afterAutospacing="0" w:line="225" w:lineRule="atLeast"/>
        <w:ind w:firstLine="420"/>
        <w:rPr>
          <w:rFonts w:hint="eastAsia" w:ascii="微软雅黑" w:hAnsi="微软雅黑" w:eastAsia="微软雅黑" w:cs="微软雅黑"/>
          <w:color w:val="5A5A5A"/>
          <w:sz w:val="18"/>
          <w:szCs w:val="18"/>
        </w:rPr>
      </w:pPr>
      <w:r>
        <w:rPr>
          <w:rFonts w:hint="eastAsia" w:ascii="宋体" w:hAnsi="宋体" w:eastAsia="宋体" w:cs="宋体"/>
          <w:b/>
          <w:bCs/>
          <w:color w:val="5A5A5A"/>
          <w:sz w:val="21"/>
          <w:szCs w:val="21"/>
          <w:shd w:val="clear" w:color="auto" w:fill="FFFFFF"/>
        </w:rPr>
        <w:t>2．</w:t>
      </w:r>
      <w:r>
        <w:rPr>
          <w:rFonts w:hint="eastAsia" w:ascii="宋体" w:hAnsi="宋体" w:eastAsia="宋体" w:cs="宋体"/>
          <w:color w:val="5A5A5A"/>
          <w:szCs w:val="24"/>
          <w:shd w:val="clear" w:color="auto" w:fill="FFFFFF"/>
        </w:rPr>
        <w:t>投标人企业近三年内（从本项目发布采购公告之日起倒算）没有行贿骗取中标和严重违约等违法行为、提供的产品没有重大质量问题及安全事故。（提供履约情况及社会信誉承诺书）</w:t>
      </w:r>
    </w:p>
    <w:p w14:paraId="159B791D">
      <w:pPr>
        <w:pStyle w:val="15"/>
        <w:widowControl/>
        <w:shd w:val="clear" w:color="auto" w:fill="FFFFFF"/>
        <w:spacing w:beforeAutospacing="0" w:afterAutospacing="0" w:line="225" w:lineRule="atLeast"/>
        <w:ind w:firstLine="420"/>
        <w:rPr>
          <w:rFonts w:hint="eastAsia" w:ascii="微软雅黑" w:hAnsi="微软雅黑" w:eastAsia="微软雅黑" w:cs="微软雅黑"/>
          <w:color w:val="5A5A5A"/>
          <w:sz w:val="18"/>
          <w:szCs w:val="18"/>
        </w:rPr>
      </w:pPr>
      <w:r>
        <w:rPr>
          <w:rFonts w:hint="eastAsia" w:ascii="宋体" w:hAnsi="宋体" w:eastAsia="宋体" w:cs="宋体"/>
          <w:b/>
          <w:bCs/>
          <w:color w:val="5A5A5A"/>
          <w:sz w:val="21"/>
          <w:szCs w:val="21"/>
          <w:shd w:val="clear" w:color="auto" w:fill="FFFFFF"/>
        </w:rPr>
        <w:t>3．</w:t>
      </w:r>
      <w:r>
        <w:rPr>
          <w:rFonts w:hint="eastAsia" w:ascii="宋体" w:hAnsi="宋体" w:eastAsia="宋体" w:cs="宋体"/>
          <w:color w:val="5A5A5A"/>
          <w:szCs w:val="24"/>
          <w:shd w:val="clear" w:color="auto" w:fill="FFFFFF"/>
        </w:rPr>
        <w:t>投标人与本项目其他投标、报价方不存在负责人为同一人、股权关系、董监高关系或其他可能影响采购活动公平、公正进行的关系。（提供履约情况及社会信誉承诺书）</w:t>
      </w:r>
    </w:p>
    <w:p w14:paraId="088202BD">
      <w:pPr>
        <w:pStyle w:val="15"/>
        <w:widowControl/>
        <w:shd w:val="clear" w:color="auto" w:fill="FFFFFF"/>
        <w:spacing w:beforeAutospacing="0" w:afterAutospacing="0" w:line="225" w:lineRule="atLeast"/>
        <w:ind w:firstLine="420"/>
        <w:rPr>
          <w:rFonts w:hint="eastAsia" w:ascii="微软雅黑" w:hAnsi="微软雅黑" w:eastAsia="微软雅黑" w:cs="微软雅黑"/>
          <w:color w:val="5A5A5A"/>
          <w:sz w:val="18"/>
          <w:szCs w:val="18"/>
        </w:rPr>
      </w:pPr>
      <w:r>
        <w:rPr>
          <w:rFonts w:hint="eastAsia" w:ascii="宋体" w:hAnsi="宋体" w:eastAsia="宋体" w:cs="宋体"/>
          <w:b/>
          <w:bCs/>
          <w:color w:val="5A5A5A"/>
          <w:sz w:val="21"/>
          <w:szCs w:val="21"/>
          <w:shd w:val="clear" w:color="auto" w:fill="FFFFFF"/>
        </w:rPr>
        <w:t>4．</w:t>
      </w:r>
      <w:r>
        <w:rPr>
          <w:rFonts w:hint="eastAsia" w:ascii="宋体" w:hAnsi="宋体" w:eastAsia="宋体" w:cs="宋体"/>
          <w:color w:val="5A5A5A"/>
          <w:szCs w:val="24"/>
          <w:shd w:val="clear" w:color="auto" w:fill="FFFFFF"/>
        </w:rPr>
        <w:t>本项目不接受联合体投标，不允许转包。（提供履约情况及社会信誉承诺书）。</w:t>
      </w:r>
    </w:p>
    <w:p w14:paraId="7EAFBEC9">
      <w:pPr>
        <w:pStyle w:val="15"/>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宋体" w:hAnsi="宋体" w:eastAsia="宋体" w:cs="宋体"/>
          <w:b/>
          <w:bCs/>
          <w:color w:val="5A5A5A"/>
          <w:szCs w:val="24"/>
          <w:shd w:val="clear" w:color="auto" w:fill="FFFFFF"/>
        </w:rPr>
        <w:t>五、</w:t>
      </w:r>
      <w:r>
        <w:rPr>
          <w:rStyle w:val="22"/>
          <w:rFonts w:hint="eastAsia" w:ascii="宋体" w:hAnsi="宋体" w:eastAsia="宋体" w:cs="宋体"/>
          <w:color w:val="5A5A5A"/>
          <w:szCs w:val="24"/>
          <w:shd w:val="clear" w:color="auto" w:fill="FFFFFF"/>
        </w:rPr>
        <w:t>报价要求（报价时注明）</w:t>
      </w:r>
    </w:p>
    <w:p w14:paraId="373712B7">
      <w:pPr>
        <w:pStyle w:val="15"/>
        <w:widowControl/>
        <w:shd w:val="clear" w:color="auto" w:fill="FFFFFF"/>
        <w:spacing w:beforeAutospacing="0" w:afterAutospacing="0" w:line="225" w:lineRule="atLeast"/>
        <w:ind w:firstLine="420"/>
        <w:rPr>
          <w:rFonts w:hint="eastAsia" w:ascii="微软雅黑" w:hAnsi="微软雅黑" w:eastAsia="微软雅黑" w:cs="微软雅黑"/>
          <w:color w:val="5A5A5A"/>
          <w:sz w:val="18"/>
          <w:szCs w:val="18"/>
        </w:rPr>
      </w:pPr>
      <w:r>
        <w:rPr>
          <w:rFonts w:hint="eastAsia" w:ascii="宋体" w:hAnsi="宋体" w:eastAsia="宋体" w:cs="宋体"/>
          <w:b/>
          <w:bCs/>
          <w:color w:val="5A5A5A"/>
          <w:sz w:val="21"/>
          <w:szCs w:val="21"/>
          <w:shd w:val="clear" w:color="auto" w:fill="FFFFFF"/>
        </w:rPr>
        <w:t>1．</w:t>
      </w:r>
      <w:r>
        <w:rPr>
          <w:rStyle w:val="22"/>
          <w:rFonts w:hint="eastAsia" w:ascii="宋体" w:hAnsi="宋体" w:eastAsia="宋体" w:cs="宋体"/>
          <w:color w:val="5A5A5A"/>
          <w:szCs w:val="24"/>
          <w:shd w:val="clear" w:color="auto" w:fill="FFFFFF"/>
        </w:rPr>
        <w:t>报价方式：</w:t>
      </w:r>
      <w:r>
        <w:rPr>
          <w:rFonts w:hint="eastAsia" w:ascii="宋体" w:hAnsi="宋体" w:eastAsia="宋体" w:cs="宋体"/>
          <w:color w:val="5A5A5A"/>
          <w:szCs w:val="24"/>
          <w:shd w:val="clear" w:color="auto" w:fill="FFFFFF"/>
        </w:rPr>
        <w:t>采用总价包干，价格包含但不限于所有货物的加工制造、深化设计、设计联络、制造、工厂检验和试验、出厂检验、包装、运输、合同所包含设备的装卸、安装、调试、试运行、培训、质保期、缺陷责任期的服务等全过程所产生的所有成本以及保险、管理费、利润、规费、税金、原材料价格变动及供货期变化等风险。</w:t>
      </w:r>
    </w:p>
    <w:p w14:paraId="56D5CD52">
      <w:pPr>
        <w:spacing w:line="225" w:lineRule="atLeast"/>
        <w:ind w:firstLine="422" w:firstLineChars="200"/>
        <w:jc w:val="left"/>
        <w:rPr>
          <w:rFonts w:ascii="Times" w:hAnsi="Times"/>
          <w:szCs w:val="21"/>
        </w:rPr>
      </w:pPr>
      <w:r>
        <w:rPr>
          <w:rFonts w:hint="eastAsia" w:ascii="宋体" w:hAnsi="宋体" w:eastAsia="宋体" w:cs="宋体"/>
          <w:b/>
          <w:bCs/>
          <w:color w:val="5A5A5A"/>
          <w:szCs w:val="21"/>
          <w:shd w:val="clear" w:color="auto" w:fill="FFFFFF"/>
        </w:rPr>
        <w:t>2．</w:t>
      </w:r>
      <w:r>
        <w:rPr>
          <w:rStyle w:val="22"/>
          <w:rFonts w:hint="eastAsia" w:ascii="宋体" w:hAnsi="宋体" w:eastAsia="宋体" w:cs="宋体"/>
          <w:color w:val="5A5A5A"/>
          <w:sz w:val="24"/>
          <w:szCs w:val="24"/>
          <w:shd w:val="clear" w:color="auto" w:fill="FFFFFF"/>
        </w:rPr>
        <w:t>付款方式：</w:t>
      </w:r>
      <w:r>
        <w:rPr>
          <w:rFonts w:hint="eastAsia" w:ascii="宋体" w:hAnsi="宋体" w:eastAsia="宋体" w:cs="宋体"/>
          <w:color w:val="5A5A5A"/>
          <w:kern w:val="0"/>
          <w:sz w:val="24"/>
          <w:szCs w:val="24"/>
          <w:shd w:val="clear" w:color="auto" w:fill="FFFFFF"/>
          <w:lang w:bidi="ar"/>
        </w:rPr>
        <w:t>招标人在收到投标人的付款申请后于20个工作日内向投标人支付合同内总价的</w:t>
      </w:r>
      <w:r>
        <w:rPr>
          <w:rFonts w:hint="eastAsia" w:ascii="宋体" w:hAnsi="宋体" w:eastAsia="宋体" w:cs="宋体"/>
          <w:color w:val="5A5A5A"/>
          <w:kern w:val="0"/>
          <w:sz w:val="24"/>
          <w:szCs w:val="24"/>
          <w:shd w:val="clear" w:color="auto" w:fill="FFFFFF"/>
          <w:lang w:val="en-US" w:eastAsia="zh-CN" w:bidi="ar"/>
        </w:rPr>
        <w:t>30</w:t>
      </w:r>
      <w:r>
        <w:rPr>
          <w:rFonts w:hint="eastAsia" w:ascii="宋体" w:hAnsi="宋体" w:eastAsia="宋体" w:cs="宋体"/>
          <w:color w:val="5A5A5A"/>
          <w:kern w:val="0"/>
          <w:sz w:val="24"/>
          <w:szCs w:val="24"/>
          <w:shd w:val="clear" w:color="auto" w:fill="FFFFFF"/>
          <w:lang w:bidi="ar"/>
        </w:rPr>
        <w:t>%作为预付款；合同内全部货物发到现场，招标人在收到投标人的付款申请后于20个工作日内向投标人支付合同内总价的</w:t>
      </w:r>
      <w:r>
        <w:rPr>
          <w:rFonts w:hint="eastAsia" w:ascii="宋体" w:hAnsi="宋体" w:eastAsia="宋体" w:cs="宋体"/>
          <w:color w:val="5A5A5A"/>
          <w:kern w:val="0"/>
          <w:sz w:val="24"/>
          <w:szCs w:val="24"/>
          <w:shd w:val="clear" w:color="auto" w:fill="FFFFFF"/>
          <w:lang w:val="en-US" w:eastAsia="zh-CN" w:bidi="ar"/>
        </w:rPr>
        <w:t>30</w:t>
      </w:r>
      <w:r>
        <w:rPr>
          <w:rFonts w:hint="eastAsia" w:ascii="宋体" w:hAnsi="宋体" w:eastAsia="宋体" w:cs="宋体"/>
          <w:color w:val="5A5A5A"/>
          <w:kern w:val="0"/>
          <w:sz w:val="24"/>
          <w:szCs w:val="24"/>
          <w:shd w:val="clear" w:color="auto" w:fill="FFFFFF"/>
          <w:lang w:bidi="ar"/>
        </w:rPr>
        <w:t>%作为</w:t>
      </w:r>
      <w:r>
        <w:rPr>
          <w:rFonts w:hint="eastAsia" w:ascii="宋体" w:hAnsi="宋体" w:eastAsia="宋体" w:cs="宋体"/>
          <w:color w:val="5A5A5A"/>
          <w:kern w:val="0"/>
          <w:sz w:val="24"/>
          <w:szCs w:val="24"/>
          <w:shd w:val="clear" w:color="auto" w:fill="FFFFFF"/>
          <w:lang w:val="en-US" w:eastAsia="zh-CN" w:bidi="ar"/>
        </w:rPr>
        <w:t>到货</w:t>
      </w:r>
      <w:r>
        <w:rPr>
          <w:rFonts w:hint="eastAsia" w:ascii="宋体" w:hAnsi="宋体" w:eastAsia="宋体" w:cs="宋体"/>
          <w:color w:val="5A5A5A"/>
          <w:kern w:val="0"/>
          <w:sz w:val="24"/>
          <w:szCs w:val="24"/>
          <w:shd w:val="clear" w:color="auto" w:fill="FFFFFF"/>
          <w:lang w:bidi="ar"/>
        </w:rPr>
        <w:t>款；待合同货物全部安装及调试改造完成，经招标人验收合格后并出具验收合格报告后，招标人在收到投标人的付款申请后于20个工作日内向投标人支付合同内货物总价的</w:t>
      </w:r>
      <w:r>
        <w:rPr>
          <w:rFonts w:hint="eastAsia" w:ascii="宋体" w:hAnsi="宋体" w:eastAsia="宋体" w:cs="宋体"/>
          <w:color w:val="5A5A5A"/>
          <w:kern w:val="0"/>
          <w:sz w:val="24"/>
          <w:szCs w:val="24"/>
          <w:shd w:val="clear" w:color="auto" w:fill="FFFFFF"/>
          <w:lang w:val="en-US" w:eastAsia="zh-CN" w:bidi="ar"/>
        </w:rPr>
        <w:t>35</w:t>
      </w:r>
      <w:r>
        <w:rPr>
          <w:rFonts w:hint="eastAsia" w:ascii="宋体" w:hAnsi="宋体" w:eastAsia="宋体" w:cs="宋体"/>
          <w:color w:val="5A5A5A"/>
          <w:kern w:val="0"/>
          <w:sz w:val="24"/>
          <w:szCs w:val="24"/>
          <w:shd w:val="clear" w:color="auto" w:fill="FFFFFF"/>
          <w:lang w:bidi="ar"/>
        </w:rPr>
        <w:t>%作为验收款；合同内总价的剩余5%作为质保金，自验收合格之日起正常运转至质保期满后，经验收单位确认已完成维保任务并办理相关手续后支付。</w:t>
      </w:r>
    </w:p>
    <w:p w14:paraId="6332B0A2">
      <w:pPr>
        <w:spacing w:line="225" w:lineRule="atLeast"/>
        <w:ind w:firstLine="422"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b/>
          <w:bCs/>
          <w:color w:val="5A5A5A"/>
          <w:szCs w:val="21"/>
          <w:shd w:val="clear" w:color="auto" w:fill="FFFFFF"/>
        </w:rPr>
        <w:t>3．</w:t>
      </w:r>
      <w:r>
        <w:rPr>
          <w:rStyle w:val="22"/>
          <w:rFonts w:hint="eastAsia" w:ascii="宋体" w:hAnsi="宋体" w:eastAsia="宋体" w:cs="宋体"/>
          <w:color w:val="5A5A5A"/>
          <w:sz w:val="24"/>
          <w:szCs w:val="24"/>
          <w:shd w:val="clear" w:color="auto" w:fill="FFFFFF"/>
        </w:rPr>
        <w:t>交货期：</w:t>
      </w:r>
      <w:r>
        <w:rPr>
          <w:rFonts w:hint="eastAsia" w:ascii="宋体" w:hAnsi="宋体" w:eastAsia="宋体" w:cs="宋体"/>
          <w:color w:val="5A5A5A"/>
          <w:kern w:val="0"/>
          <w:sz w:val="24"/>
          <w:szCs w:val="24"/>
          <w:shd w:val="clear" w:color="auto" w:fill="FFFFFF"/>
          <w:lang w:bidi="ar"/>
        </w:rPr>
        <w:t>在中标通知书发出后</w:t>
      </w:r>
      <w:r>
        <w:rPr>
          <w:rFonts w:hint="eastAsia" w:ascii="宋体" w:hAnsi="宋体" w:eastAsia="宋体" w:cs="宋体"/>
          <w:color w:val="5A5A5A"/>
          <w:kern w:val="0"/>
          <w:sz w:val="24"/>
          <w:szCs w:val="24"/>
          <w:shd w:val="clear" w:color="auto" w:fill="FFFFFF"/>
          <w:lang w:val="en-US" w:eastAsia="zh-CN" w:bidi="ar"/>
        </w:rPr>
        <w:t>40</w:t>
      </w:r>
      <w:bookmarkStart w:id="1" w:name="_GoBack"/>
      <w:bookmarkEnd w:id="1"/>
      <w:r>
        <w:rPr>
          <w:rFonts w:hint="eastAsia" w:ascii="宋体" w:hAnsi="宋体" w:eastAsia="宋体" w:cs="宋体"/>
          <w:color w:val="5A5A5A"/>
          <w:kern w:val="0"/>
          <w:sz w:val="24"/>
          <w:szCs w:val="24"/>
          <w:shd w:val="clear" w:color="auto" w:fill="FFFFFF"/>
          <w:lang w:bidi="ar"/>
        </w:rPr>
        <w:t>日历天内完成供货。中标方应根据发包方的进度要求，并在遵守进度要求的前提下，按最有利的情况来制定其工作计划表。（以上时间均为日历天），乙方必须无条件满足在新的交货期内全部货到甲方指定地点，不得以此为由向甲方索赔任何延期供货费用）。</w:t>
      </w:r>
    </w:p>
    <w:p w14:paraId="2AAF1BA2">
      <w:pPr>
        <w:pStyle w:val="15"/>
        <w:widowControl/>
        <w:shd w:val="clear" w:color="auto" w:fill="FFFFFF"/>
        <w:spacing w:beforeAutospacing="0" w:afterAutospacing="0" w:line="225" w:lineRule="atLeast"/>
        <w:ind w:firstLine="420"/>
        <w:rPr>
          <w:rFonts w:hint="eastAsia" w:ascii="微软雅黑" w:hAnsi="微软雅黑" w:eastAsia="微软雅黑" w:cs="微软雅黑"/>
          <w:color w:val="5A5A5A"/>
          <w:sz w:val="18"/>
          <w:szCs w:val="18"/>
        </w:rPr>
      </w:pPr>
      <w:r>
        <w:rPr>
          <w:rFonts w:hint="eastAsia" w:ascii="宋体" w:hAnsi="宋体" w:eastAsia="宋体" w:cs="宋体"/>
          <w:b/>
          <w:bCs/>
          <w:color w:val="5A5A5A"/>
          <w:sz w:val="21"/>
          <w:szCs w:val="21"/>
          <w:shd w:val="clear" w:color="auto" w:fill="FFFFFF"/>
        </w:rPr>
        <w:t>4．</w:t>
      </w:r>
      <w:r>
        <w:rPr>
          <w:rStyle w:val="22"/>
          <w:rFonts w:hint="eastAsia" w:ascii="宋体" w:hAnsi="宋体" w:eastAsia="宋体" w:cs="宋体"/>
          <w:color w:val="5A5A5A"/>
          <w:szCs w:val="24"/>
          <w:shd w:val="clear" w:color="auto" w:fill="FFFFFF"/>
        </w:rPr>
        <w:t>质保期：</w:t>
      </w:r>
      <w:r>
        <w:rPr>
          <w:rFonts w:hint="eastAsia" w:ascii="宋体" w:hAnsi="宋体" w:eastAsia="宋体" w:cs="宋体"/>
          <w:color w:val="5A5A5A"/>
          <w:szCs w:val="24"/>
          <w:shd w:val="clear" w:color="auto" w:fill="FFFFFF"/>
        </w:rPr>
        <w:t>中标人保证向用户提供至少1年（从设备验收合格之日起）的质量保修服务。质保期内，任何由设备本身用材和制造工艺不当或制造过程控制不当引起的质量问题，由中标人或中标人联系制造商负责免费维修。质保期满前1个月内中标人应负责一次免费全面检查，并写出正式报告，如发现潜在问题，应负责排除。</w:t>
      </w:r>
    </w:p>
    <w:p w14:paraId="1AC3D518">
      <w:pPr>
        <w:pStyle w:val="15"/>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宋体" w:hAnsi="宋体" w:eastAsia="宋体" w:cs="宋体"/>
          <w:b/>
          <w:bCs/>
          <w:color w:val="5A5A5A"/>
          <w:szCs w:val="24"/>
          <w:shd w:val="clear" w:color="auto" w:fill="FFFFFF"/>
        </w:rPr>
        <w:t>六、</w:t>
      </w:r>
      <w:r>
        <w:rPr>
          <w:rStyle w:val="22"/>
          <w:rFonts w:hint="eastAsia" w:ascii="宋体" w:hAnsi="宋体" w:eastAsia="宋体" w:cs="宋体"/>
          <w:color w:val="5A5A5A"/>
          <w:szCs w:val="24"/>
          <w:shd w:val="clear" w:color="auto" w:fill="FFFFFF"/>
        </w:rPr>
        <w:t>报价格式</w:t>
      </w:r>
    </w:p>
    <w:p w14:paraId="65D2B8E2">
      <w:pPr>
        <w:pStyle w:val="15"/>
        <w:widowControl/>
        <w:shd w:val="clear" w:color="auto" w:fill="FFFFFF"/>
        <w:spacing w:beforeAutospacing="0" w:afterAutospacing="0" w:line="225" w:lineRule="atLeast"/>
        <w:ind w:firstLine="480"/>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1．报价单（格式见后附表）；</w:t>
      </w:r>
    </w:p>
    <w:p w14:paraId="600B94A9">
      <w:pPr>
        <w:pStyle w:val="15"/>
        <w:widowControl/>
        <w:shd w:val="clear" w:color="auto" w:fill="FFFFFF"/>
        <w:spacing w:beforeAutospacing="0" w:afterAutospacing="0" w:line="225" w:lineRule="atLeast"/>
        <w:ind w:firstLine="480"/>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2．营业执照；</w:t>
      </w:r>
    </w:p>
    <w:p w14:paraId="3752FA13">
      <w:pPr>
        <w:pStyle w:val="15"/>
        <w:widowControl/>
        <w:shd w:val="clear" w:color="auto" w:fill="FFFFFF"/>
        <w:spacing w:beforeAutospacing="0" w:afterAutospacing="0" w:line="225" w:lineRule="atLeast"/>
        <w:ind w:firstLine="480"/>
        <w:rPr>
          <w:rFonts w:hint="eastAsia" w:ascii="微软雅黑" w:hAnsi="微软雅黑" w:eastAsia="宋体" w:cs="微软雅黑"/>
          <w:color w:val="5A5A5A"/>
          <w:sz w:val="18"/>
          <w:szCs w:val="18"/>
        </w:rPr>
      </w:pPr>
      <w:r>
        <w:rPr>
          <w:rFonts w:hint="eastAsia" w:ascii="宋体" w:hAnsi="宋体" w:eastAsia="宋体" w:cs="宋体"/>
          <w:color w:val="5A5A5A"/>
          <w:szCs w:val="24"/>
          <w:shd w:val="clear" w:color="auto" w:fill="FFFFFF"/>
        </w:rPr>
        <w:t>3．履约情况及社会信誉承诺书（格式见后附表）。</w:t>
      </w:r>
    </w:p>
    <w:p w14:paraId="05508D36">
      <w:pPr>
        <w:pStyle w:val="15"/>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宋体" w:hAnsi="宋体" w:eastAsia="宋体" w:cs="宋体"/>
          <w:b/>
          <w:bCs/>
          <w:color w:val="5A5A5A"/>
          <w:szCs w:val="24"/>
          <w:shd w:val="clear" w:color="auto" w:fill="FFFFFF"/>
        </w:rPr>
        <w:t>七、</w:t>
      </w:r>
      <w:r>
        <w:rPr>
          <w:rStyle w:val="22"/>
          <w:rFonts w:hint="eastAsia" w:ascii="宋体" w:hAnsi="宋体" w:eastAsia="宋体" w:cs="宋体"/>
          <w:color w:val="5A5A5A"/>
          <w:szCs w:val="24"/>
          <w:shd w:val="clear" w:color="auto" w:fill="FFFFFF"/>
        </w:rPr>
        <w:t>递交报价文件的截止时间、地点</w:t>
      </w:r>
    </w:p>
    <w:p w14:paraId="7E461014">
      <w:pPr>
        <w:pStyle w:val="15"/>
        <w:widowControl/>
        <w:shd w:val="clear" w:color="auto" w:fill="FFFFFF"/>
        <w:spacing w:beforeAutospacing="0" w:afterAutospacing="0" w:line="225" w:lineRule="atLeast"/>
        <w:ind w:firstLine="480"/>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1．方式：所有报价文件可通过电子邮件发送至联系人邮箱（格式为PDF），邮件标题格式：“报价文件+项目名称+投标人全称”；</w:t>
      </w:r>
    </w:p>
    <w:p w14:paraId="60E3C9B2">
      <w:pPr>
        <w:pStyle w:val="15"/>
        <w:widowControl/>
        <w:shd w:val="clear" w:color="auto" w:fill="FFFFFF"/>
        <w:spacing w:beforeAutospacing="0" w:afterAutospacing="0" w:line="225" w:lineRule="atLeast"/>
        <w:ind w:firstLine="480"/>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2．接收报价文件截止时间：202</w:t>
      </w:r>
      <w:r>
        <w:rPr>
          <w:rFonts w:hint="eastAsia" w:ascii="宋体" w:hAnsi="宋体" w:eastAsia="宋体" w:cs="宋体"/>
          <w:color w:val="5A5A5A"/>
          <w:szCs w:val="24"/>
          <w:shd w:val="clear" w:color="auto" w:fill="FFFFFF"/>
          <w:lang w:val="en-US" w:eastAsia="zh-CN"/>
        </w:rPr>
        <w:t>5</w:t>
      </w:r>
      <w:r>
        <w:rPr>
          <w:rFonts w:hint="eastAsia" w:ascii="宋体" w:hAnsi="宋体" w:eastAsia="宋体" w:cs="宋体"/>
          <w:color w:val="5A5A5A"/>
          <w:szCs w:val="24"/>
          <w:shd w:val="clear" w:color="auto" w:fill="FFFFFF"/>
        </w:rPr>
        <w:t>年</w:t>
      </w:r>
      <w:r>
        <w:rPr>
          <w:rFonts w:hint="eastAsia" w:ascii="宋体" w:hAnsi="宋体" w:eastAsia="宋体" w:cs="宋体"/>
          <w:color w:val="5A5A5A"/>
          <w:szCs w:val="24"/>
          <w:shd w:val="clear" w:color="auto" w:fill="FFFFFF"/>
          <w:lang w:val="en-US" w:eastAsia="zh-CN"/>
        </w:rPr>
        <w:t>2</w:t>
      </w:r>
      <w:r>
        <w:rPr>
          <w:rFonts w:hint="eastAsia" w:ascii="宋体" w:hAnsi="宋体" w:eastAsia="宋体" w:cs="宋体"/>
          <w:color w:val="5A5A5A"/>
          <w:szCs w:val="24"/>
          <w:shd w:val="clear" w:color="auto" w:fill="FFFFFF"/>
        </w:rPr>
        <w:t>月</w:t>
      </w:r>
      <w:r>
        <w:rPr>
          <w:rFonts w:hint="eastAsia" w:ascii="宋体" w:hAnsi="宋体" w:eastAsia="宋体" w:cs="宋体"/>
          <w:color w:val="5A5A5A"/>
          <w:szCs w:val="24"/>
          <w:shd w:val="clear" w:color="auto" w:fill="FFFFFF"/>
          <w:lang w:val="en-US" w:eastAsia="zh-CN"/>
        </w:rPr>
        <w:t>25</w:t>
      </w:r>
      <w:r>
        <w:rPr>
          <w:rFonts w:hint="eastAsia" w:ascii="宋体" w:hAnsi="宋体" w:eastAsia="宋体" w:cs="宋体"/>
          <w:color w:val="5A5A5A"/>
          <w:szCs w:val="24"/>
          <w:shd w:val="clear" w:color="auto" w:fill="FFFFFF"/>
        </w:rPr>
        <w:t>日24：00（北京时间）之前，逾期或不符合规定的报价文件恕不接受。</w:t>
      </w:r>
    </w:p>
    <w:p w14:paraId="1DBDAA60">
      <w:pPr>
        <w:pStyle w:val="15"/>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宋体" w:hAnsi="宋体" w:eastAsia="宋体" w:cs="宋体"/>
          <w:b/>
          <w:bCs/>
          <w:color w:val="5A5A5A"/>
          <w:szCs w:val="24"/>
          <w:shd w:val="clear" w:color="auto" w:fill="FFFFFF"/>
        </w:rPr>
        <w:t>八、</w:t>
      </w:r>
      <w:r>
        <w:rPr>
          <w:rStyle w:val="22"/>
          <w:rFonts w:hint="eastAsia" w:ascii="宋体" w:hAnsi="宋体" w:eastAsia="宋体" w:cs="宋体"/>
          <w:color w:val="5A5A5A"/>
          <w:szCs w:val="24"/>
          <w:shd w:val="clear" w:color="auto" w:fill="FFFFFF"/>
        </w:rPr>
        <w:t>本项目的联系方式：</w:t>
      </w:r>
    </w:p>
    <w:p w14:paraId="103DF042">
      <w:pPr>
        <w:pStyle w:val="15"/>
        <w:widowControl/>
        <w:shd w:val="clear" w:color="auto" w:fill="FFFFFF"/>
        <w:spacing w:beforeAutospacing="0" w:afterAutospacing="0" w:line="270" w:lineRule="atLeast"/>
        <w:ind w:firstLine="480"/>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可按下列地址以</w:t>
      </w:r>
      <w:r>
        <w:rPr>
          <w:rStyle w:val="22"/>
          <w:rFonts w:hint="eastAsia" w:ascii="宋体" w:hAnsi="宋体" w:eastAsia="宋体" w:cs="宋体"/>
          <w:color w:val="5A5A5A"/>
          <w:szCs w:val="24"/>
          <w:shd w:val="clear" w:color="auto" w:fill="FFFFFF"/>
        </w:rPr>
        <w:t>书面或邮箱</w:t>
      </w:r>
      <w:r>
        <w:rPr>
          <w:rFonts w:hint="eastAsia" w:ascii="宋体" w:hAnsi="宋体" w:eastAsia="宋体" w:cs="宋体"/>
          <w:color w:val="5A5A5A"/>
          <w:szCs w:val="24"/>
          <w:shd w:val="clear" w:color="auto" w:fill="FFFFFF"/>
        </w:rPr>
        <w:t>的形式查询：</w:t>
      </w:r>
    </w:p>
    <w:p w14:paraId="3336BD1D">
      <w:pPr>
        <w:pStyle w:val="15"/>
        <w:widowControl/>
        <w:shd w:val="clear" w:color="auto" w:fill="FFFFFF"/>
        <w:spacing w:beforeAutospacing="0" w:afterAutospacing="0" w:line="270" w:lineRule="atLeast"/>
        <w:ind w:firstLine="480"/>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公开询价方：深圳市深水生态环境技术有限公司</w:t>
      </w:r>
    </w:p>
    <w:p w14:paraId="5601D0A9">
      <w:pPr>
        <w:pStyle w:val="15"/>
        <w:widowControl/>
        <w:shd w:val="clear" w:color="auto" w:fill="FFFFFF"/>
        <w:spacing w:beforeAutospacing="0" w:afterAutospacing="0" w:line="270" w:lineRule="atLeast"/>
        <w:ind w:firstLine="480"/>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地      址：深圳市</w:t>
      </w:r>
      <w:r>
        <w:rPr>
          <w:rFonts w:hint="eastAsia" w:ascii="宋体" w:hAnsi="宋体" w:eastAsia="宋体" w:cs="宋体"/>
          <w:color w:val="5A5A5A"/>
          <w:szCs w:val="24"/>
          <w:shd w:val="clear" w:color="auto" w:fill="FFFFFF"/>
          <w:lang w:val="en-US" w:eastAsia="zh-CN"/>
        </w:rPr>
        <w:t>罗湖</w:t>
      </w:r>
      <w:r>
        <w:rPr>
          <w:rFonts w:hint="eastAsia" w:ascii="宋体" w:hAnsi="宋体" w:eastAsia="宋体" w:cs="宋体"/>
          <w:color w:val="5A5A5A"/>
          <w:szCs w:val="24"/>
          <w:shd w:val="clear" w:color="auto" w:fill="FFFFFF"/>
        </w:rPr>
        <w:t>区</w:t>
      </w:r>
      <w:r>
        <w:rPr>
          <w:rFonts w:hint="eastAsia" w:ascii="宋体" w:hAnsi="宋体" w:eastAsia="宋体" w:cs="宋体"/>
          <w:color w:val="5A5A5A"/>
          <w:szCs w:val="24"/>
          <w:shd w:val="clear" w:color="auto" w:fill="FFFFFF"/>
          <w:lang w:val="en-US" w:eastAsia="zh-CN"/>
        </w:rPr>
        <w:t>黄贝街道延芳路99</w:t>
      </w:r>
      <w:r>
        <w:rPr>
          <w:rFonts w:hint="eastAsia" w:ascii="宋体" w:hAnsi="宋体" w:eastAsia="宋体" w:cs="宋体"/>
          <w:color w:val="5A5A5A"/>
          <w:szCs w:val="24"/>
          <w:shd w:val="clear" w:color="auto" w:fill="FFFFFF"/>
        </w:rPr>
        <w:t>号</w:t>
      </w:r>
    </w:p>
    <w:p w14:paraId="1EAEB60B">
      <w:pPr>
        <w:pStyle w:val="15"/>
        <w:widowControl/>
        <w:shd w:val="clear" w:color="auto" w:fill="FFFFFF"/>
        <w:spacing w:beforeAutospacing="0" w:afterAutospacing="0" w:line="270" w:lineRule="atLeast"/>
        <w:ind w:firstLine="480"/>
        <w:rPr>
          <w:rFonts w:hint="default" w:ascii="微软雅黑" w:hAnsi="微软雅黑" w:eastAsia="宋体" w:cs="微软雅黑"/>
          <w:color w:val="5A5A5A"/>
          <w:sz w:val="18"/>
          <w:szCs w:val="18"/>
          <w:lang w:val="en-US" w:eastAsia="zh-CN"/>
        </w:rPr>
      </w:pPr>
      <w:r>
        <w:rPr>
          <w:rFonts w:hint="eastAsia" w:ascii="宋体" w:hAnsi="宋体" w:eastAsia="宋体" w:cs="宋体"/>
          <w:color w:val="5A5A5A"/>
          <w:szCs w:val="24"/>
          <w:shd w:val="clear" w:color="auto" w:fill="FFFFFF"/>
        </w:rPr>
        <w:t>联  系  人：</w:t>
      </w:r>
      <w:r>
        <w:rPr>
          <w:rFonts w:hint="eastAsia" w:ascii="宋体" w:hAnsi="宋体" w:eastAsia="宋体" w:cs="宋体"/>
          <w:color w:val="5A5A5A"/>
          <w:szCs w:val="24"/>
          <w:shd w:val="clear" w:color="auto" w:fill="FFFFFF"/>
          <w:lang w:val="en-US" w:eastAsia="zh-CN"/>
        </w:rPr>
        <w:t>周</w:t>
      </w:r>
      <w:r>
        <w:rPr>
          <w:rFonts w:hint="eastAsia" w:ascii="宋体" w:hAnsi="宋体" w:eastAsia="宋体" w:cs="宋体"/>
          <w:color w:val="5A5A5A"/>
          <w:szCs w:val="24"/>
          <w:shd w:val="clear" w:color="auto" w:fill="FFFFFF"/>
        </w:rPr>
        <w:t xml:space="preserve">工  </w:t>
      </w:r>
      <w:r>
        <w:rPr>
          <w:rFonts w:hint="eastAsia" w:ascii="宋体" w:hAnsi="宋体" w:eastAsia="宋体" w:cs="宋体"/>
          <w:color w:val="5A5A5A"/>
          <w:szCs w:val="24"/>
          <w:shd w:val="clear" w:color="auto" w:fill="FFFFFF"/>
          <w:lang w:val="en-US" w:eastAsia="zh-CN"/>
        </w:rPr>
        <w:t>13266573273</w:t>
      </w:r>
    </w:p>
    <w:p w14:paraId="2F8A84E3">
      <w:pPr>
        <w:pStyle w:val="15"/>
        <w:widowControl/>
        <w:shd w:val="clear" w:color="auto" w:fill="FFFFFF"/>
        <w:spacing w:beforeAutospacing="0" w:afterAutospacing="0" w:line="270" w:lineRule="atLeast"/>
        <w:ind w:firstLine="480"/>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联系人邮箱：</w:t>
      </w:r>
      <w:r>
        <w:rPr>
          <w:rFonts w:hint="default" w:ascii="Times New Roman" w:hAnsi="Times New Roman" w:eastAsia="宋体" w:cs="Times New Roman"/>
          <w:color w:val="5A5A5A"/>
          <w:szCs w:val="24"/>
          <w:shd w:val="clear" w:color="auto" w:fill="FFFFFF"/>
        </w:rPr>
        <w:t>zhou.yujie@szwatereco.com</w:t>
      </w:r>
    </w:p>
    <w:p w14:paraId="7018B77A">
      <w:pPr>
        <w:pStyle w:val="15"/>
        <w:widowControl/>
        <w:shd w:val="clear" w:color="auto" w:fill="FFFFFF"/>
        <w:spacing w:beforeAutospacing="0" w:afterAutospacing="0" w:line="270" w:lineRule="atLeast"/>
        <w:ind w:firstLine="480"/>
        <w:rPr>
          <w:rStyle w:val="22"/>
          <w:rFonts w:hint="eastAsia" w:ascii="宋体" w:hAnsi="宋体" w:eastAsia="宋体" w:cs="宋体"/>
          <w:color w:val="5A5A5A"/>
          <w:szCs w:val="24"/>
          <w:shd w:val="clear" w:color="auto" w:fill="FFFFFF"/>
        </w:rPr>
      </w:pPr>
    </w:p>
    <w:p w14:paraId="7F43BA4E">
      <w:pPr>
        <w:pStyle w:val="15"/>
        <w:widowControl/>
        <w:shd w:val="clear" w:color="auto" w:fill="FFFFFF"/>
        <w:spacing w:beforeAutospacing="0" w:afterAutospacing="0" w:line="270" w:lineRule="atLeast"/>
        <w:ind w:firstLine="480"/>
        <w:rPr>
          <w:rFonts w:hint="eastAsia" w:ascii="微软雅黑" w:hAnsi="微软雅黑" w:eastAsia="微软雅黑" w:cs="微软雅黑"/>
          <w:color w:val="5A5A5A"/>
          <w:sz w:val="18"/>
          <w:szCs w:val="18"/>
        </w:rPr>
      </w:pPr>
      <w:r>
        <w:rPr>
          <w:rStyle w:val="22"/>
          <w:rFonts w:hint="eastAsia" w:ascii="宋体" w:hAnsi="宋体" w:eastAsia="宋体" w:cs="宋体"/>
          <w:color w:val="5A5A5A"/>
          <w:szCs w:val="24"/>
          <w:shd w:val="clear" w:color="auto" w:fill="FFFFFF"/>
        </w:rPr>
        <w:t>欢迎各供应商到现场勘察、确认。</w:t>
      </w:r>
    </w:p>
    <w:p w14:paraId="644F2D42">
      <w:pPr>
        <w:pStyle w:val="15"/>
        <w:widowControl/>
        <w:shd w:val="clear" w:color="auto" w:fill="FFFFFF"/>
        <w:spacing w:beforeAutospacing="0" w:afterAutospacing="0" w:line="225" w:lineRule="atLeast"/>
        <w:ind w:right="915"/>
        <w:rPr>
          <w:rFonts w:hint="eastAsia" w:ascii="微软雅黑" w:hAnsi="微软雅黑" w:eastAsia="微软雅黑" w:cs="微软雅黑"/>
          <w:color w:val="5A5A5A"/>
          <w:sz w:val="18"/>
          <w:szCs w:val="18"/>
        </w:rPr>
      </w:pPr>
    </w:p>
    <w:p w14:paraId="4C881E9C">
      <w:pPr>
        <w:pStyle w:val="15"/>
        <w:widowControl/>
        <w:shd w:val="clear" w:color="auto" w:fill="FFFFFF"/>
        <w:spacing w:beforeAutospacing="0" w:afterAutospacing="0" w:line="225" w:lineRule="atLeast"/>
        <w:ind w:firstLine="480"/>
        <w:jc w:val="right"/>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深圳市深水生态环境技术有限公司</w:t>
      </w:r>
    </w:p>
    <w:p w14:paraId="1D0B1426">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r>
        <w:rPr>
          <w:rFonts w:hint="eastAsia" w:ascii="宋体" w:hAnsi="宋体" w:eastAsia="宋体" w:cs="宋体"/>
          <w:color w:val="5A5A5A"/>
          <w:szCs w:val="24"/>
          <w:shd w:val="clear" w:color="auto" w:fill="FFFFFF"/>
        </w:rPr>
        <w:t>202</w:t>
      </w:r>
      <w:r>
        <w:rPr>
          <w:rFonts w:hint="eastAsia" w:ascii="宋体" w:hAnsi="宋体" w:eastAsia="宋体" w:cs="宋体"/>
          <w:color w:val="5A5A5A"/>
          <w:szCs w:val="24"/>
          <w:shd w:val="clear" w:color="auto" w:fill="FFFFFF"/>
          <w:lang w:val="en-US" w:eastAsia="zh-CN"/>
        </w:rPr>
        <w:t>5</w:t>
      </w:r>
      <w:r>
        <w:rPr>
          <w:rFonts w:hint="eastAsia" w:ascii="宋体" w:hAnsi="宋体" w:eastAsia="宋体" w:cs="宋体"/>
          <w:color w:val="5A5A5A"/>
          <w:szCs w:val="24"/>
          <w:shd w:val="clear" w:color="auto" w:fill="FFFFFF"/>
        </w:rPr>
        <w:t>年</w:t>
      </w:r>
      <w:r>
        <w:rPr>
          <w:rFonts w:hint="eastAsia" w:ascii="宋体" w:hAnsi="宋体" w:eastAsia="宋体" w:cs="宋体"/>
          <w:color w:val="5A5A5A"/>
          <w:szCs w:val="24"/>
          <w:shd w:val="clear" w:color="auto" w:fill="FFFFFF"/>
          <w:lang w:val="en-US" w:eastAsia="zh-CN"/>
        </w:rPr>
        <w:t>2</w:t>
      </w:r>
      <w:r>
        <w:rPr>
          <w:rFonts w:hint="eastAsia" w:ascii="宋体" w:hAnsi="宋体" w:eastAsia="宋体" w:cs="宋体"/>
          <w:color w:val="5A5A5A"/>
          <w:szCs w:val="24"/>
          <w:shd w:val="clear" w:color="auto" w:fill="FFFFFF"/>
        </w:rPr>
        <w:t>月</w:t>
      </w:r>
      <w:r>
        <w:rPr>
          <w:rFonts w:hint="eastAsia" w:ascii="宋体" w:hAnsi="宋体" w:eastAsia="宋体" w:cs="宋体"/>
          <w:color w:val="5A5A5A"/>
          <w:szCs w:val="24"/>
          <w:shd w:val="clear" w:color="auto" w:fill="FFFFFF"/>
          <w:lang w:val="en-US" w:eastAsia="zh-CN"/>
        </w:rPr>
        <w:t>21</w:t>
      </w:r>
      <w:r>
        <w:rPr>
          <w:rFonts w:hint="eastAsia" w:ascii="宋体" w:hAnsi="宋体" w:eastAsia="宋体" w:cs="宋体"/>
          <w:color w:val="5A5A5A"/>
          <w:szCs w:val="24"/>
          <w:shd w:val="clear" w:color="auto" w:fill="FFFFFF"/>
        </w:rPr>
        <w:t>日</w:t>
      </w:r>
    </w:p>
    <w:p w14:paraId="4D10C89A">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17EC8AC6">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689484B3">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24B3BEC4">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1EAA22B9">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0002CB8F">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0647D0D8">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0C23A22D">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4E114008">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526E311B">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567C6201">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156669A5">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0B27534C">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781128B1">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06D24FAE">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4D478407">
      <w:pPr>
        <w:pStyle w:val="15"/>
        <w:widowControl/>
        <w:shd w:val="clear" w:color="auto" w:fill="FFFFFF"/>
        <w:spacing w:beforeAutospacing="0" w:afterAutospacing="0" w:line="225" w:lineRule="atLeast"/>
        <w:jc w:val="center"/>
        <w:rPr>
          <w:rStyle w:val="22"/>
          <w:rFonts w:hint="eastAsia" w:ascii="宋体" w:hAnsi="宋体" w:eastAsia="宋体" w:cs="宋体"/>
          <w:color w:val="5A5A5A"/>
          <w:szCs w:val="24"/>
          <w:shd w:val="clear" w:color="auto" w:fill="FFFFFF"/>
        </w:rPr>
      </w:pPr>
      <w:r>
        <w:rPr>
          <w:rStyle w:val="22"/>
          <w:rFonts w:hint="eastAsia" w:ascii="宋体" w:hAnsi="宋体" w:eastAsia="宋体" w:cs="宋体"/>
          <w:color w:val="5A5A5A"/>
          <w:szCs w:val="24"/>
          <w:shd w:val="clear" w:color="auto" w:fill="FFFFFF"/>
        </w:rPr>
        <w:t>报价格式</w:t>
      </w:r>
    </w:p>
    <w:p w14:paraId="4BA0D4C3">
      <w:pPr>
        <w:pStyle w:val="15"/>
        <w:widowControl/>
        <w:numPr>
          <w:ilvl w:val="0"/>
          <w:numId w:val="1"/>
        </w:numPr>
        <w:shd w:val="clear" w:color="auto" w:fill="FFFFFF"/>
        <w:spacing w:beforeAutospacing="0" w:afterAutospacing="0" w:line="225" w:lineRule="atLeast"/>
        <w:rPr>
          <w:rFonts w:hint="eastAsia" w:ascii="宋体" w:hAnsi="宋体" w:eastAsia="宋体" w:cs="宋体"/>
          <w:color w:val="5A5A5A"/>
          <w:szCs w:val="24"/>
          <w:shd w:val="clear" w:color="auto" w:fill="FFFFFF"/>
        </w:rPr>
      </w:pPr>
      <w:r>
        <w:rPr>
          <w:rFonts w:hint="eastAsia" w:ascii="宋体" w:hAnsi="宋体" w:eastAsia="宋体" w:cs="宋体"/>
          <w:color w:val="5A5A5A"/>
          <w:szCs w:val="24"/>
          <w:shd w:val="clear" w:color="auto" w:fill="FFFFFF"/>
        </w:rPr>
        <w:t>报价单</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1471"/>
        <w:gridCol w:w="5371"/>
      </w:tblGrid>
      <w:tr w14:paraId="3E14D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gridSpan w:val="3"/>
            <w:noWrap w:val="0"/>
            <w:vAlign w:val="center"/>
          </w:tcPr>
          <w:p w14:paraId="19B6512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破碎脱水预处理系统处理能力：10t/h</w:t>
            </w:r>
          </w:p>
        </w:tc>
      </w:tr>
      <w:tr w14:paraId="69E71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86" w:type="pct"/>
            <w:vMerge w:val="restart"/>
            <w:noWrap w:val="0"/>
            <w:vAlign w:val="center"/>
          </w:tcPr>
          <w:p w14:paraId="632F544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上料提升机TS660</w:t>
            </w:r>
          </w:p>
        </w:tc>
        <w:tc>
          <w:tcPr>
            <w:tcW w:w="863" w:type="pct"/>
            <w:noWrap w:val="0"/>
            <w:vAlign w:val="center"/>
          </w:tcPr>
          <w:p w14:paraId="5E0E2CA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电机功率</w:t>
            </w:r>
          </w:p>
        </w:tc>
        <w:tc>
          <w:tcPr>
            <w:tcW w:w="3150" w:type="pct"/>
            <w:noWrap w:val="0"/>
            <w:vAlign w:val="center"/>
          </w:tcPr>
          <w:p w14:paraId="218E251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4KW</w:t>
            </w:r>
          </w:p>
        </w:tc>
      </w:tr>
      <w:tr w14:paraId="38DF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86" w:type="pct"/>
            <w:vMerge w:val="continue"/>
            <w:noWrap w:val="0"/>
            <w:vAlign w:val="center"/>
          </w:tcPr>
          <w:p w14:paraId="774DA69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p>
        </w:tc>
        <w:tc>
          <w:tcPr>
            <w:tcW w:w="863" w:type="pct"/>
            <w:noWrap w:val="0"/>
            <w:vAlign w:val="center"/>
          </w:tcPr>
          <w:p w14:paraId="2BC72E1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提升桶</w:t>
            </w:r>
          </w:p>
        </w:tc>
        <w:tc>
          <w:tcPr>
            <w:tcW w:w="3150" w:type="pct"/>
            <w:noWrap w:val="0"/>
            <w:vAlign w:val="center"/>
          </w:tcPr>
          <w:p w14:paraId="64DE1D9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660Lmm</w:t>
            </w:r>
          </w:p>
        </w:tc>
      </w:tr>
      <w:tr w14:paraId="0C1B5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86" w:type="pct"/>
            <w:vMerge w:val="continue"/>
            <w:noWrap w:val="0"/>
            <w:vAlign w:val="center"/>
          </w:tcPr>
          <w:p w14:paraId="0FA8ED1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p>
        </w:tc>
        <w:tc>
          <w:tcPr>
            <w:tcW w:w="863" w:type="pct"/>
            <w:noWrap w:val="0"/>
            <w:vAlign w:val="center"/>
          </w:tcPr>
          <w:p w14:paraId="624500A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提升速度</w:t>
            </w:r>
          </w:p>
        </w:tc>
        <w:tc>
          <w:tcPr>
            <w:tcW w:w="3150" w:type="pct"/>
            <w:noWrap w:val="0"/>
            <w:vAlign w:val="center"/>
          </w:tcPr>
          <w:p w14:paraId="3E2F54F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2次/分钟</w:t>
            </w:r>
          </w:p>
        </w:tc>
      </w:tr>
      <w:tr w14:paraId="1E8FC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86" w:type="pct"/>
            <w:vMerge w:val="continue"/>
            <w:noWrap w:val="0"/>
            <w:vAlign w:val="center"/>
          </w:tcPr>
          <w:p w14:paraId="421E76D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p>
        </w:tc>
        <w:tc>
          <w:tcPr>
            <w:tcW w:w="863" w:type="pct"/>
            <w:noWrap w:val="0"/>
            <w:vAlign w:val="center"/>
          </w:tcPr>
          <w:p w14:paraId="1F2E3D3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外壳材质</w:t>
            </w:r>
          </w:p>
        </w:tc>
        <w:tc>
          <w:tcPr>
            <w:tcW w:w="3150" w:type="pct"/>
            <w:noWrap w:val="0"/>
            <w:vAlign w:val="center"/>
          </w:tcPr>
          <w:p w14:paraId="3BDCDED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304不锈钢</w:t>
            </w:r>
          </w:p>
        </w:tc>
      </w:tr>
      <w:tr w14:paraId="1DAD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86" w:type="pct"/>
            <w:vMerge w:val="continue"/>
            <w:noWrap w:val="0"/>
            <w:vAlign w:val="center"/>
          </w:tcPr>
          <w:p w14:paraId="0FA8A7D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p>
        </w:tc>
        <w:tc>
          <w:tcPr>
            <w:tcW w:w="863" w:type="pct"/>
            <w:noWrap w:val="0"/>
            <w:vAlign w:val="center"/>
          </w:tcPr>
          <w:p w14:paraId="5BBF75D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提升动力</w:t>
            </w:r>
          </w:p>
        </w:tc>
        <w:tc>
          <w:tcPr>
            <w:tcW w:w="3150" w:type="pct"/>
            <w:noWrap w:val="0"/>
            <w:vAlign w:val="center"/>
          </w:tcPr>
          <w:p w14:paraId="65149A1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液压/电机+减速机</w:t>
            </w:r>
          </w:p>
        </w:tc>
      </w:tr>
      <w:tr w14:paraId="06597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86" w:type="pct"/>
            <w:vMerge w:val="restart"/>
            <w:noWrap w:val="0"/>
            <w:vAlign w:val="center"/>
          </w:tcPr>
          <w:p w14:paraId="3D8E561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Cs/>
                <w:sz w:val="21"/>
                <w:szCs w:val="21"/>
              </w:rPr>
            </w:pPr>
            <w:r>
              <w:rPr>
                <w:rFonts w:hint="eastAsia" w:ascii="宋体" w:hAnsi="宋体" w:eastAsia="宋体" w:cs="宋体"/>
                <w:bCs/>
                <w:sz w:val="21"/>
                <w:szCs w:val="21"/>
              </w:rPr>
              <w:t>双轴破碎机</w:t>
            </w:r>
          </w:p>
          <w:p w14:paraId="04A4338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Cs/>
                <w:sz w:val="21"/>
                <w:szCs w:val="21"/>
              </w:rPr>
              <w:t>主要参数</w:t>
            </w:r>
          </w:p>
        </w:tc>
        <w:tc>
          <w:tcPr>
            <w:tcW w:w="863" w:type="pct"/>
            <w:noWrap w:val="0"/>
            <w:vAlign w:val="center"/>
          </w:tcPr>
          <w:p w14:paraId="3D9E9B4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电机功率</w:t>
            </w:r>
          </w:p>
        </w:tc>
        <w:tc>
          <w:tcPr>
            <w:tcW w:w="3150" w:type="pct"/>
            <w:noWrap w:val="0"/>
            <w:vAlign w:val="center"/>
          </w:tcPr>
          <w:p w14:paraId="16DE465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37KW</w:t>
            </w:r>
          </w:p>
        </w:tc>
      </w:tr>
      <w:tr w14:paraId="2528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86" w:type="pct"/>
            <w:vMerge w:val="continue"/>
            <w:noWrap w:val="0"/>
            <w:vAlign w:val="center"/>
          </w:tcPr>
          <w:p w14:paraId="2AE8276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p>
        </w:tc>
        <w:tc>
          <w:tcPr>
            <w:tcW w:w="863" w:type="pct"/>
            <w:noWrap w:val="0"/>
            <w:vAlign w:val="center"/>
          </w:tcPr>
          <w:p w14:paraId="0AE94A7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刀箱尺寸质</w:t>
            </w:r>
          </w:p>
        </w:tc>
        <w:tc>
          <w:tcPr>
            <w:tcW w:w="3150" w:type="pct"/>
            <w:noWrap w:val="0"/>
            <w:vAlign w:val="center"/>
          </w:tcPr>
          <w:p w14:paraId="710BB59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650mmX1000mm</w:t>
            </w:r>
          </w:p>
        </w:tc>
      </w:tr>
      <w:tr w14:paraId="74976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86" w:type="pct"/>
            <w:vMerge w:val="continue"/>
            <w:noWrap w:val="0"/>
            <w:vAlign w:val="center"/>
          </w:tcPr>
          <w:p w14:paraId="4DAC9DB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p>
        </w:tc>
        <w:tc>
          <w:tcPr>
            <w:tcW w:w="863" w:type="pct"/>
            <w:noWrap w:val="0"/>
            <w:vAlign w:val="center"/>
          </w:tcPr>
          <w:p w14:paraId="394A0CB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刀片厚度</w:t>
            </w:r>
          </w:p>
        </w:tc>
        <w:tc>
          <w:tcPr>
            <w:tcW w:w="3150" w:type="pct"/>
            <w:noWrap w:val="0"/>
            <w:vAlign w:val="center"/>
          </w:tcPr>
          <w:p w14:paraId="3DFA19B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20mm</w:t>
            </w:r>
          </w:p>
        </w:tc>
      </w:tr>
      <w:tr w14:paraId="50B31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86" w:type="pct"/>
            <w:vMerge w:val="continue"/>
            <w:noWrap w:val="0"/>
            <w:vAlign w:val="center"/>
          </w:tcPr>
          <w:p w14:paraId="266AFF3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p>
        </w:tc>
        <w:tc>
          <w:tcPr>
            <w:tcW w:w="863" w:type="pct"/>
            <w:noWrap w:val="0"/>
            <w:vAlign w:val="center"/>
          </w:tcPr>
          <w:p w14:paraId="70AC964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刀片直径</w:t>
            </w:r>
          </w:p>
        </w:tc>
        <w:tc>
          <w:tcPr>
            <w:tcW w:w="3150" w:type="pct"/>
            <w:noWrap w:val="0"/>
            <w:vAlign w:val="center"/>
          </w:tcPr>
          <w:p w14:paraId="221BE93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φ350mm</w:t>
            </w:r>
          </w:p>
        </w:tc>
      </w:tr>
      <w:tr w14:paraId="002D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86" w:type="pct"/>
            <w:vMerge w:val="continue"/>
            <w:noWrap w:val="0"/>
            <w:vAlign w:val="center"/>
          </w:tcPr>
          <w:p w14:paraId="46BB15A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p>
        </w:tc>
        <w:tc>
          <w:tcPr>
            <w:tcW w:w="863" w:type="pct"/>
            <w:noWrap w:val="0"/>
            <w:vAlign w:val="center"/>
          </w:tcPr>
          <w:p w14:paraId="5413BBE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刀轴转速</w:t>
            </w:r>
          </w:p>
        </w:tc>
        <w:tc>
          <w:tcPr>
            <w:tcW w:w="3150" w:type="pct"/>
            <w:noWrap w:val="0"/>
            <w:vAlign w:val="center"/>
          </w:tcPr>
          <w:p w14:paraId="7F2FD8A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约20r/min</w:t>
            </w:r>
          </w:p>
        </w:tc>
      </w:tr>
      <w:tr w14:paraId="1E2C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86" w:type="pct"/>
            <w:vMerge w:val="continue"/>
            <w:noWrap w:val="0"/>
            <w:vAlign w:val="center"/>
          </w:tcPr>
          <w:p w14:paraId="31D4957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p>
        </w:tc>
        <w:tc>
          <w:tcPr>
            <w:tcW w:w="863" w:type="pct"/>
            <w:noWrap w:val="0"/>
            <w:vAlign w:val="center"/>
          </w:tcPr>
          <w:p w14:paraId="0E543DC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刀片数量</w:t>
            </w:r>
          </w:p>
        </w:tc>
        <w:tc>
          <w:tcPr>
            <w:tcW w:w="3150" w:type="pct"/>
            <w:noWrap w:val="0"/>
            <w:vAlign w:val="center"/>
          </w:tcPr>
          <w:p w14:paraId="2414EE0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50</w:t>
            </w:r>
          </w:p>
        </w:tc>
      </w:tr>
      <w:tr w14:paraId="7157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86" w:type="pct"/>
            <w:vMerge w:val="continue"/>
            <w:noWrap w:val="0"/>
            <w:vAlign w:val="center"/>
          </w:tcPr>
          <w:p w14:paraId="7AEE4C1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p>
        </w:tc>
        <w:tc>
          <w:tcPr>
            <w:tcW w:w="863" w:type="pct"/>
            <w:noWrap w:val="0"/>
            <w:vAlign w:val="center"/>
          </w:tcPr>
          <w:p w14:paraId="3D0AE06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刀片材质</w:t>
            </w:r>
          </w:p>
        </w:tc>
        <w:tc>
          <w:tcPr>
            <w:tcW w:w="3150" w:type="pct"/>
            <w:noWrap w:val="0"/>
            <w:vAlign w:val="center"/>
          </w:tcPr>
          <w:p w14:paraId="65C5DF4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进口CrNiMo合金材料</w:t>
            </w:r>
          </w:p>
        </w:tc>
      </w:tr>
      <w:tr w14:paraId="6AC42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86" w:type="pct"/>
            <w:vMerge w:val="continue"/>
            <w:noWrap w:val="0"/>
            <w:vAlign w:val="center"/>
          </w:tcPr>
          <w:p w14:paraId="34074E0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p>
        </w:tc>
        <w:tc>
          <w:tcPr>
            <w:tcW w:w="863" w:type="pct"/>
            <w:noWrap w:val="0"/>
            <w:vAlign w:val="center"/>
          </w:tcPr>
          <w:p w14:paraId="253BF5B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刀片硬度</w:t>
            </w:r>
          </w:p>
        </w:tc>
        <w:tc>
          <w:tcPr>
            <w:tcW w:w="3150" w:type="pct"/>
            <w:noWrap w:val="0"/>
            <w:vAlign w:val="center"/>
          </w:tcPr>
          <w:p w14:paraId="14C1900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58-62HRC</w:t>
            </w:r>
          </w:p>
        </w:tc>
      </w:tr>
      <w:tr w14:paraId="122D0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86" w:type="pct"/>
            <w:vMerge w:val="continue"/>
            <w:noWrap w:val="0"/>
            <w:vAlign w:val="center"/>
          </w:tcPr>
          <w:p w14:paraId="60F968E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p>
        </w:tc>
        <w:tc>
          <w:tcPr>
            <w:tcW w:w="863" w:type="pct"/>
            <w:noWrap w:val="0"/>
            <w:vAlign w:val="center"/>
          </w:tcPr>
          <w:p w14:paraId="75A2E72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刀轴材质</w:t>
            </w:r>
          </w:p>
        </w:tc>
        <w:tc>
          <w:tcPr>
            <w:tcW w:w="3150" w:type="pct"/>
            <w:noWrap w:val="0"/>
            <w:vAlign w:val="center"/>
          </w:tcPr>
          <w:p w14:paraId="5D7DE5E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42CrMoV,调质</w:t>
            </w:r>
          </w:p>
        </w:tc>
      </w:tr>
      <w:tr w14:paraId="364AE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86" w:type="pct"/>
            <w:vMerge w:val="continue"/>
            <w:noWrap w:val="0"/>
            <w:vAlign w:val="center"/>
          </w:tcPr>
          <w:p w14:paraId="4639DCA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p>
        </w:tc>
        <w:tc>
          <w:tcPr>
            <w:tcW w:w="863" w:type="pct"/>
            <w:noWrap w:val="0"/>
            <w:vAlign w:val="center"/>
          </w:tcPr>
          <w:p w14:paraId="23D01FE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破碎物料类型</w:t>
            </w:r>
          </w:p>
        </w:tc>
        <w:tc>
          <w:tcPr>
            <w:tcW w:w="3150" w:type="pct"/>
            <w:noWrap w:val="0"/>
            <w:vAlign w:val="center"/>
          </w:tcPr>
          <w:p w14:paraId="44240FD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餐厨垃圾、果蔬、干湿垃圾</w:t>
            </w:r>
          </w:p>
        </w:tc>
      </w:tr>
      <w:tr w14:paraId="18E69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86" w:type="pct"/>
            <w:vMerge w:val="continue"/>
            <w:noWrap w:val="0"/>
            <w:vAlign w:val="center"/>
          </w:tcPr>
          <w:p w14:paraId="2FB0A6E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p>
        </w:tc>
        <w:tc>
          <w:tcPr>
            <w:tcW w:w="863" w:type="pct"/>
            <w:noWrap w:val="0"/>
            <w:vAlign w:val="center"/>
          </w:tcPr>
          <w:p w14:paraId="55D012A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出料粒径</w:t>
            </w:r>
          </w:p>
        </w:tc>
        <w:tc>
          <w:tcPr>
            <w:tcW w:w="3150" w:type="pct"/>
            <w:noWrap w:val="0"/>
            <w:vAlign w:val="center"/>
          </w:tcPr>
          <w:p w14:paraId="5D9310F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小于30mm</w:t>
            </w:r>
          </w:p>
        </w:tc>
      </w:tr>
      <w:tr w14:paraId="02653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86" w:type="pct"/>
            <w:vMerge w:val="continue"/>
            <w:noWrap w:val="0"/>
            <w:vAlign w:val="center"/>
          </w:tcPr>
          <w:p w14:paraId="3048AE6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p>
        </w:tc>
        <w:tc>
          <w:tcPr>
            <w:tcW w:w="863" w:type="pct"/>
            <w:noWrap w:val="0"/>
            <w:vAlign w:val="center"/>
          </w:tcPr>
          <w:p w14:paraId="6455862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产量</w:t>
            </w:r>
          </w:p>
        </w:tc>
        <w:tc>
          <w:tcPr>
            <w:tcW w:w="3150" w:type="pct"/>
            <w:noWrap w:val="0"/>
            <w:vAlign w:val="center"/>
          </w:tcPr>
          <w:p w14:paraId="0CB2E25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10T/H</w:t>
            </w:r>
          </w:p>
        </w:tc>
      </w:tr>
      <w:tr w14:paraId="30461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86" w:type="pct"/>
            <w:vMerge w:val="restart"/>
            <w:noWrap w:val="0"/>
            <w:vAlign w:val="center"/>
          </w:tcPr>
          <w:p w14:paraId="0D325B4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出料螺旋LX300</w:t>
            </w:r>
          </w:p>
        </w:tc>
        <w:tc>
          <w:tcPr>
            <w:tcW w:w="863" w:type="pct"/>
            <w:noWrap w:val="0"/>
            <w:vAlign w:val="center"/>
          </w:tcPr>
          <w:p w14:paraId="41C97B6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电机功率</w:t>
            </w:r>
          </w:p>
        </w:tc>
        <w:tc>
          <w:tcPr>
            <w:tcW w:w="3150" w:type="pct"/>
            <w:noWrap w:val="0"/>
            <w:vAlign w:val="center"/>
          </w:tcPr>
          <w:p w14:paraId="319A7D2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3KW</w:t>
            </w:r>
          </w:p>
        </w:tc>
      </w:tr>
      <w:tr w14:paraId="54940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86" w:type="pct"/>
            <w:vMerge w:val="continue"/>
            <w:noWrap w:val="0"/>
            <w:vAlign w:val="center"/>
          </w:tcPr>
          <w:p w14:paraId="4BC4E96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p>
        </w:tc>
        <w:tc>
          <w:tcPr>
            <w:tcW w:w="863" w:type="pct"/>
            <w:noWrap w:val="0"/>
            <w:vAlign w:val="center"/>
          </w:tcPr>
          <w:p w14:paraId="3036ED8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螺旋直径</w:t>
            </w:r>
          </w:p>
        </w:tc>
        <w:tc>
          <w:tcPr>
            <w:tcW w:w="3150" w:type="pct"/>
            <w:noWrap w:val="0"/>
            <w:vAlign w:val="center"/>
          </w:tcPr>
          <w:p w14:paraId="34F29B5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300mm</w:t>
            </w:r>
          </w:p>
        </w:tc>
      </w:tr>
      <w:tr w14:paraId="362AC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86" w:type="pct"/>
            <w:vMerge w:val="continue"/>
            <w:noWrap w:val="0"/>
            <w:vAlign w:val="center"/>
          </w:tcPr>
          <w:p w14:paraId="4E90FC9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p>
        </w:tc>
        <w:tc>
          <w:tcPr>
            <w:tcW w:w="863" w:type="pct"/>
            <w:noWrap w:val="0"/>
            <w:vAlign w:val="center"/>
          </w:tcPr>
          <w:p w14:paraId="2C410F0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输送量</w:t>
            </w:r>
          </w:p>
        </w:tc>
        <w:tc>
          <w:tcPr>
            <w:tcW w:w="3150" w:type="pct"/>
            <w:noWrap w:val="0"/>
            <w:vAlign w:val="center"/>
          </w:tcPr>
          <w:p w14:paraId="1466A6F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10T/H</w:t>
            </w:r>
          </w:p>
        </w:tc>
      </w:tr>
      <w:tr w14:paraId="27EE7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86" w:type="pct"/>
            <w:vMerge w:val="continue"/>
            <w:noWrap w:val="0"/>
            <w:vAlign w:val="center"/>
          </w:tcPr>
          <w:p w14:paraId="0CA8395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p>
        </w:tc>
        <w:tc>
          <w:tcPr>
            <w:tcW w:w="863" w:type="pct"/>
            <w:noWrap w:val="0"/>
            <w:vAlign w:val="center"/>
          </w:tcPr>
          <w:p w14:paraId="03D8B7E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外壳材质</w:t>
            </w:r>
          </w:p>
        </w:tc>
        <w:tc>
          <w:tcPr>
            <w:tcW w:w="3150" w:type="pct"/>
            <w:noWrap w:val="0"/>
            <w:vAlign w:val="center"/>
          </w:tcPr>
          <w:p w14:paraId="78E6C4D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304不锈钢</w:t>
            </w:r>
          </w:p>
        </w:tc>
      </w:tr>
      <w:tr w14:paraId="44E0C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86" w:type="pct"/>
            <w:vMerge w:val="continue"/>
            <w:noWrap w:val="0"/>
            <w:vAlign w:val="center"/>
          </w:tcPr>
          <w:p w14:paraId="28235F7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p>
        </w:tc>
        <w:tc>
          <w:tcPr>
            <w:tcW w:w="863" w:type="pct"/>
            <w:noWrap w:val="0"/>
            <w:vAlign w:val="center"/>
          </w:tcPr>
          <w:p w14:paraId="679423F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转速</w:t>
            </w:r>
          </w:p>
        </w:tc>
        <w:tc>
          <w:tcPr>
            <w:tcW w:w="3150" w:type="pct"/>
            <w:noWrap w:val="0"/>
            <w:vAlign w:val="center"/>
          </w:tcPr>
          <w:p w14:paraId="459167D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约30r/min（变频调速）</w:t>
            </w:r>
          </w:p>
        </w:tc>
      </w:tr>
      <w:tr w14:paraId="10A1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86" w:type="pct"/>
            <w:vMerge w:val="continue"/>
            <w:noWrap w:val="0"/>
            <w:vAlign w:val="center"/>
          </w:tcPr>
          <w:p w14:paraId="532A6C9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p>
        </w:tc>
        <w:tc>
          <w:tcPr>
            <w:tcW w:w="863" w:type="pct"/>
            <w:noWrap w:val="0"/>
            <w:vAlign w:val="center"/>
          </w:tcPr>
          <w:p w14:paraId="78CBAA2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产量</w:t>
            </w:r>
          </w:p>
        </w:tc>
        <w:tc>
          <w:tcPr>
            <w:tcW w:w="3150" w:type="pct"/>
            <w:noWrap w:val="0"/>
            <w:vAlign w:val="center"/>
          </w:tcPr>
          <w:p w14:paraId="2BC0BF6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5-10T/H</w:t>
            </w:r>
          </w:p>
        </w:tc>
      </w:tr>
      <w:tr w14:paraId="1535C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86" w:type="pct"/>
            <w:vMerge w:val="restart"/>
            <w:noWrap w:val="0"/>
            <w:vAlign w:val="center"/>
          </w:tcPr>
          <w:p w14:paraId="22EBFA8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Cs/>
                <w:sz w:val="21"/>
                <w:szCs w:val="21"/>
              </w:rPr>
            </w:pPr>
            <w:r>
              <w:rPr>
                <w:rFonts w:hint="eastAsia" w:ascii="宋体" w:hAnsi="宋体" w:eastAsia="宋体" w:cs="宋体"/>
                <w:bCs/>
                <w:sz w:val="21"/>
                <w:szCs w:val="21"/>
              </w:rPr>
              <w:t>一道脱水机：</w:t>
            </w:r>
          </w:p>
          <w:p w14:paraId="7CAC21E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Cs/>
                <w:sz w:val="21"/>
                <w:szCs w:val="21"/>
              </w:rPr>
              <w:t>螺旋压榨机参数</w:t>
            </w:r>
          </w:p>
        </w:tc>
        <w:tc>
          <w:tcPr>
            <w:tcW w:w="863" w:type="pct"/>
            <w:noWrap w:val="0"/>
            <w:vAlign w:val="center"/>
          </w:tcPr>
          <w:p w14:paraId="1BAA002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电机功率</w:t>
            </w:r>
          </w:p>
        </w:tc>
        <w:tc>
          <w:tcPr>
            <w:tcW w:w="3150" w:type="pct"/>
            <w:noWrap w:val="0"/>
            <w:vAlign w:val="center"/>
          </w:tcPr>
          <w:p w14:paraId="71DC305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30KW</w:t>
            </w:r>
          </w:p>
        </w:tc>
      </w:tr>
      <w:tr w14:paraId="78592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86" w:type="pct"/>
            <w:vMerge w:val="continue"/>
            <w:noWrap w:val="0"/>
            <w:vAlign w:val="center"/>
          </w:tcPr>
          <w:p w14:paraId="361CE56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p>
        </w:tc>
        <w:tc>
          <w:tcPr>
            <w:tcW w:w="863" w:type="pct"/>
            <w:noWrap w:val="0"/>
            <w:vAlign w:val="center"/>
          </w:tcPr>
          <w:p w14:paraId="4B0BA5D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筛网长度</w:t>
            </w:r>
          </w:p>
        </w:tc>
        <w:tc>
          <w:tcPr>
            <w:tcW w:w="3150" w:type="pct"/>
            <w:noWrap w:val="0"/>
            <w:vAlign w:val="center"/>
          </w:tcPr>
          <w:p w14:paraId="1D4E6B9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1500mm</w:t>
            </w:r>
          </w:p>
        </w:tc>
      </w:tr>
      <w:tr w14:paraId="578D4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86" w:type="pct"/>
            <w:vMerge w:val="continue"/>
            <w:noWrap w:val="0"/>
            <w:vAlign w:val="center"/>
          </w:tcPr>
          <w:p w14:paraId="71C9251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p>
        </w:tc>
        <w:tc>
          <w:tcPr>
            <w:tcW w:w="863" w:type="pct"/>
            <w:noWrap w:val="0"/>
            <w:vAlign w:val="center"/>
          </w:tcPr>
          <w:p w14:paraId="315C042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筛网直径</w:t>
            </w:r>
          </w:p>
        </w:tc>
        <w:tc>
          <w:tcPr>
            <w:tcW w:w="3150" w:type="pct"/>
            <w:noWrap w:val="0"/>
            <w:vAlign w:val="center"/>
          </w:tcPr>
          <w:p w14:paraId="38E6C4E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φ450mm</w:t>
            </w:r>
          </w:p>
        </w:tc>
      </w:tr>
      <w:tr w14:paraId="1D6E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86" w:type="pct"/>
            <w:vMerge w:val="continue"/>
            <w:noWrap w:val="0"/>
            <w:vAlign w:val="center"/>
          </w:tcPr>
          <w:p w14:paraId="3A5E1E0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p>
        </w:tc>
        <w:tc>
          <w:tcPr>
            <w:tcW w:w="863" w:type="pct"/>
            <w:noWrap w:val="0"/>
            <w:vAlign w:val="center"/>
          </w:tcPr>
          <w:p w14:paraId="78B853C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材质</w:t>
            </w:r>
          </w:p>
        </w:tc>
        <w:tc>
          <w:tcPr>
            <w:tcW w:w="3150" w:type="pct"/>
            <w:noWrap w:val="0"/>
            <w:vAlign w:val="center"/>
          </w:tcPr>
          <w:p w14:paraId="2133730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和物料接触的部件用304材质，或经过特殊防锈处理</w:t>
            </w:r>
          </w:p>
        </w:tc>
      </w:tr>
      <w:tr w14:paraId="0E4C3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86" w:type="pct"/>
            <w:vMerge w:val="continue"/>
            <w:noWrap w:val="0"/>
            <w:vAlign w:val="center"/>
          </w:tcPr>
          <w:p w14:paraId="5A978FB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p>
        </w:tc>
        <w:tc>
          <w:tcPr>
            <w:tcW w:w="863" w:type="pct"/>
            <w:noWrap w:val="0"/>
            <w:vAlign w:val="center"/>
          </w:tcPr>
          <w:p w14:paraId="311BF94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设备产量</w:t>
            </w:r>
          </w:p>
        </w:tc>
        <w:tc>
          <w:tcPr>
            <w:tcW w:w="3150" w:type="pct"/>
            <w:noWrap w:val="0"/>
            <w:vAlign w:val="center"/>
          </w:tcPr>
          <w:p w14:paraId="685C9C6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10吨/小时</w:t>
            </w:r>
          </w:p>
        </w:tc>
      </w:tr>
      <w:tr w14:paraId="08DC2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86" w:type="pct"/>
            <w:vMerge w:val="continue"/>
            <w:noWrap w:val="0"/>
            <w:vAlign w:val="center"/>
          </w:tcPr>
          <w:p w14:paraId="65C8932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p>
        </w:tc>
        <w:tc>
          <w:tcPr>
            <w:tcW w:w="863" w:type="pct"/>
            <w:noWrap w:val="0"/>
            <w:vAlign w:val="center"/>
          </w:tcPr>
          <w:p w14:paraId="0C395F3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出料反向力</w:t>
            </w:r>
          </w:p>
        </w:tc>
        <w:tc>
          <w:tcPr>
            <w:tcW w:w="3150" w:type="pct"/>
            <w:noWrap w:val="0"/>
            <w:vAlign w:val="center"/>
          </w:tcPr>
          <w:p w14:paraId="07323D6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气缸控制</w:t>
            </w:r>
          </w:p>
        </w:tc>
      </w:tr>
      <w:tr w14:paraId="0BAA8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86" w:type="pct"/>
            <w:vMerge w:val="continue"/>
            <w:noWrap w:val="0"/>
            <w:vAlign w:val="center"/>
          </w:tcPr>
          <w:p w14:paraId="48C753C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p>
        </w:tc>
        <w:tc>
          <w:tcPr>
            <w:tcW w:w="863" w:type="pct"/>
            <w:noWrap w:val="0"/>
            <w:vAlign w:val="center"/>
          </w:tcPr>
          <w:p w14:paraId="13C9FB8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设备工作特点</w:t>
            </w:r>
          </w:p>
        </w:tc>
        <w:tc>
          <w:tcPr>
            <w:tcW w:w="3150" w:type="pct"/>
            <w:noWrap w:val="0"/>
            <w:vAlign w:val="center"/>
          </w:tcPr>
          <w:p w14:paraId="497F8AE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具备通过气压调节反向锥压力，和时间控制反向锥开启</w:t>
            </w:r>
          </w:p>
        </w:tc>
      </w:tr>
      <w:tr w14:paraId="17C1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86" w:type="pct"/>
            <w:vMerge w:val="restart"/>
            <w:noWrap w:val="0"/>
            <w:vAlign w:val="center"/>
          </w:tcPr>
          <w:p w14:paraId="522428E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Cs/>
                <w:sz w:val="21"/>
                <w:szCs w:val="21"/>
              </w:rPr>
            </w:pPr>
            <w:r>
              <w:rPr>
                <w:rFonts w:hint="eastAsia" w:ascii="宋体" w:hAnsi="宋体" w:eastAsia="宋体" w:cs="宋体"/>
                <w:bCs/>
                <w:sz w:val="21"/>
                <w:szCs w:val="21"/>
              </w:rPr>
              <w:t>二道脱水机：</w:t>
            </w:r>
          </w:p>
          <w:p w14:paraId="2E06CD4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Cs/>
                <w:sz w:val="21"/>
                <w:szCs w:val="21"/>
              </w:rPr>
              <w:t>螺旋压榨机参数</w:t>
            </w:r>
          </w:p>
        </w:tc>
        <w:tc>
          <w:tcPr>
            <w:tcW w:w="863" w:type="pct"/>
            <w:noWrap w:val="0"/>
            <w:vAlign w:val="center"/>
          </w:tcPr>
          <w:p w14:paraId="1D7225A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电机功率</w:t>
            </w:r>
          </w:p>
        </w:tc>
        <w:tc>
          <w:tcPr>
            <w:tcW w:w="3150" w:type="pct"/>
            <w:noWrap w:val="0"/>
            <w:vAlign w:val="center"/>
          </w:tcPr>
          <w:p w14:paraId="0F3064E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18.5KW</w:t>
            </w:r>
          </w:p>
        </w:tc>
      </w:tr>
      <w:tr w14:paraId="5424D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86" w:type="pct"/>
            <w:vMerge w:val="continue"/>
            <w:noWrap w:val="0"/>
            <w:vAlign w:val="center"/>
          </w:tcPr>
          <w:p w14:paraId="61A2D94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p>
        </w:tc>
        <w:tc>
          <w:tcPr>
            <w:tcW w:w="863" w:type="pct"/>
            <w:noWrap w:val="0"/>
            <w:vAlign w:val="center"/>
          </w:tcPr>
          <w:p w14:paraId="5A46E3E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筛网长度</w:t>
            </w:r>
          </w:p>
        </w:tc>
        <w:tc>
          <w:tcPr>
            <w:tcW w:w="3150" w:type="pct"/>
            <w:noWrap w:val="0"/>
            <w:vAlign w:val="center"/>
          </w:tcPr>
          <w:p w14:paraId="2147C54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1200mm</w:t>
            </w:r>
          </w:p>
        </w:tc>
      </w:tr>
      <w:tr w14:paraId="0A5AA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86" w:type="pct"/>
            <w:vMerge w:val="continue"/>
            <w:noWrap w:val="0"/>
            <w:vAlign w:val="center"/>
          </w:tcPr>
          <w:p w14:paraId="14909A2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p>
        </w:tc>
        <w:tc>
          <w:tcPr>
            <w:tcW w:w="863" w:type="pct"/>
            <w:noWrap w:val="0"/>
            <w:vAlign w:val="center"/>
          </w:tcPr>
          <w:p w14:paraId="6F75DBA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筛网直径</w:t>
            </w:r>
          </w:p>
        </w:tc>
        <w:tc>
          <w:tcPr>
            <w:tcW w:w="3150" w:type="pct"/>
            <w:noWrap w:val="0"/>
            <w:vAlign w:val="center"/>
          </w:tcPr>
          <w:p w14:paraId="5E0A6DE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φ400mm</w:t>
            </w:r>
          </w:p>
        </w:tc>
      </w:tr>
      <w:tr w14:paraId="5F07C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86" w:type="pct"/>
            <w:vMerge w:val="continue"/>
            <w:noWrap w:val="0"/>
            <w:vAlign w:val="center"/>
          </w:tcPr>
          <w:p w14:paraId="45A5664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p>
        </w:tc>
        <w:tc>
          <w:tcPr>
            <w:tcW w:w="863" w:type="pct"/>
            <w:noWrap w:val="0"/>
            <w:vAlign w:val="center"/>
          </w:tcPr>
          <w:p w14:paraId="1EC780B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材质</w:t>
            </w:r>
          </w:p>
        </w:tc>
        <w:tc>
          <w:tcPr>
            <w:tcW w:w="3150" w:type="pct"/>
            <w:noWrap w:val="0"/>
            <w:vAlign w:val="center"/>
          </w:tcPr>
          <w:p w14:paraId="628DCFD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和物料接触的部件用304材质，或经过特殊防锈处理</w:t>
            </w:r>
          </w:p>
        </w:tc>
      </w:tr>
      <w:tr w14:paraId="628C8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86" w:type="pct"/>
            <w:vMerge w:val="continue"/>
            <w:noWrap w:val="0"/>
            <w:vAlign w:val="center"/>
          </w:tcPr>
          <w:p w14:paraId="5252DCB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p>
        </w:tc>
        <w:tc>
          <w:tcPr>
            <w:tcW w:w="863" w:type="pct"/>
            <w:noWrap w:val="0"/>
            <w:vAlign w:val="center"/>
          </w:tcPr>
          <w:p w14:paraId="50F8CDA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设备产量</w:t>
            </w:r>
          </w:p>
        </w:tc>
        <w:tc>
          <w:tcPr>
            <w:tcW w:w="3150" w:type="pct"/>
            <w:noWrap w:val="0"/>
            <w:vAlign w:val="center"/>
          </w:tcPr>
          <w:p w14:paraId="06DCF68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5吨/小时</w:t>
            </w:r>
          </w:p>
        </w:tc>
      </w:tr>
      <w:tr w14:paraId="55A3D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86" w:type="pct"/>
            <w:vMerge w:val="continue"/>
            <w:noWrap w:val="0"/>
            <w:vAlign w:val="center"/>
          </w:tcPr>
          <w:p w14:paraId="1931A52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p>
        </w:tc>
        <w:tc>
          <w:tcPr>
            <w:tcW w:w="863" w:type="pct"/>
            <w:noWrap w:val="0"/>
            <w:vAlign w:val="center"/>
          </w:tcPr>
          <w:p w14:paraId="0A73EC2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出料反向力</w:t>
            </w:r>
          </w:p>
        </w:tc>
        <w:tc>
          <w:tcPr>
            <w:tcW w:w="3150" w:type="pct"/>
            <w:noWrap w:val="0"/>
            <w:vAlign w:val="center"/>
          </w:tcPr>
          <w:p w14:paraId="038E87D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气缸控制</w:t>
            </w:r>
          </w:p>
        </w:tc>
      </w:tr>
      <w:tr w14:paraId="1B67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86" w:type="pct"/>
            <w:vMerge w:val="continue"/>
            <w:noWrap w:val="0"/>
            <w:vAlign w:val="center"/>
          </w:tcPr>
          <w:p w14:paraId="2436F76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p>
        </w:tc>
        <w:tc>
          <w:tcPr>
            <w:tcW w:w="863" w:type="pct"/>
            <w:noWrap w:val="0"/>
            <w:vAlign w:val="center"/>
          </w:tcPr>
          <w:p w14:paraId="08B19F6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设备工作特点</w:t>
            </w:r>
          </w:p>
        </w:tc>
        <w:tc>
          <w:tcPr>
            <w:tcW w:w="3150" w:type="pct"/>
            <w:noWrap w:val="0"/>
            <w:vAlign w:val="center"/>
          </w:tcPr>
          <w:p w14:paraId="1A2BC89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具备通过气压调节反向锥压力，和时间控制反向锥开启</w:t>
            </w:r>
          </w:p>
        </w:tc>
      </w:tr>
    </w:tbl>
    <w:p w14:paraId="13BB9573">
      <w:pPr>
        <w:pStyle w:val="15"/>
        <w:widowControl/>
        <w:numPr>
          <w:ilvl w:val="0"/>
          <w:numId w:val="0"/>
        </w:numPr>
        <w:shd w:val="clear" w:color="auto" w:fill="FFFFFF"/>
        <w:spacing w:beforeAutospacing="0" w:afterAutospacing="0" w:line="225" w:lineRule="atLeast"/>
        <w:rPr>
          <w:rFonts w:hint="eastAsia" w:ascii="宋体" w:hAnsi="宋体" w:eastAsia="宋体" w:cs="宋体"/>
          <w:color w:val="5A5A5A"/>
          <w:szCs w:val="24"/>
          <w:shd w:val="clear" w:color="auto" w:fill="FFFFFF"/>
        </w:rPr>
      </w:pPr>
    </w:p>
    <w:p w14:paraId="07993BB3">
      <w:pPr>
        <w:pStyle w:val="15"/>
        <w:widowControl/>
        <w:shd w:val="clear" w:color="auto" w:fill="FFFFFF"/>
        <w:spacing w:beforeAutospacing="0" w:afterAutospacing="0" w:line="225" w:lineRule="atLeast"/>
        <w:ind w:firstLine="480"/>
        <w:rPr>
          <w:rFonts w:hint="eastAsia" w:ascii="宋体" w:hAnsi="宋体" w:eastAsia="宋体" w:cs="宋体"/>
          <w:color w:val="5A5A5A"/>
          <w:szCs w:val="24"/>
          <w:shd w:val="clear" w:color="auto" w:fill="FFFFFF"/>
        </w:rPr>
      </w:pPr>
    </w:p>
    <w:p w14:paraId="1C93F608">
      <w:pPr>
        <w:pStyle w:val="15"/>
        <w:widowControl/>
        <w:shd w:val="clear" w:color="auto" w:fill="FFFFFF"/>
        <w:spacing w:beforeAutospacing="0" w:afterAutospacing="0" w:line="225" w:lineRule="atLeast"/>
        <w:ind w:firstLine="4005"/>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报价单位：</w:t>
      </w:r>
      <w:r>
        <w:rPr>
          <w:rFonts w:hint="eastAsia" w:ascii="宋体" w:hAnsi="宋体" w:eastAsia="宋体" w:cs="宋体"/>
          <w:color w:val="FF0000"/>
          <w:szCs w:val="24"/>
          <w:shd w:val="clear" w:color="auto" w:fill="FFFFFF"/>
        </w:rPr>
        <w:t>（盖章）</w:t>
      </w:r>
    </w:p>
    <w:p w14:paraId="735246A1">
      <w:pPr>
        <w:pStyle w:val="15"/>
        <w:widowControl/>
        <w:shd w:val="clear" w:color="auto" w:fill="FFFFFF"/>
        <w:spacing w:beforeAutospacing="0" w:afterAutospacing="0" w:line="225" w:lineRule="atLeast"/>
        <w:ind w:firstLine="4005"/>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联系人/联系方式：</w:t>
      </w:r>
    </w:p>
    <w:p w14:paraId="366C7165">
      <w:pPr>
        <w:pStyle w:val="15"/>
        <w:widowControl/>
        <w:shd w:val="clear" w:color="auto" w:fill="FFFFFF"/>
        <w:spacing w:beforeAutospacing="0" w:afterAutospacing="0" w:line="225" w:lineRule="atLeast"/>
        <w:rPr>
          <w:rFonts w:hint="eastAsia" w:ascii="宋体" w:hAnsi="宋体" w:eastAsia="宋体" w:cs="宋体"/>
          <w:color w:val="5A5A5A"/>
          <w:szCs w:val="24"/>
          <w:shd w:val="clear" w:color="auto" w:fill="FFFFFF"/>
        </w:rPr>
      </w:pPr>
      <w:r>
        <w:rPr>
          <w:rFonts w:hint="eastAsia" w:ascii="宋体" w:hAnsi="宋体" w:eastAsia="宋体" w:cs="宋体"/>
          <w:color w:val="5A5A5A"/>
          <w:szCs w:val="24"/>
          <w:shd w:val="clear" w:color="auto" w:fill="FFFFFF"/>
        </w:rPr>
        <w:t>注:</w:t>
      </w:r>
    </w:p>
    <w:p w14:paraId="79470089">
      <w:pPr>
        <w:pStyle w:val="15"/>
        <w:widowControl/>
        <w:shd w:val="clear" w:color="auto" w:fill="FFFFFF"/>
        <w:spacing w:beforeAutospacing="0" w:afterAutospacing="0" w:line="225" w:lineRule="atLeast"/>
        <w:rPr>
          <w:rFonts w:hint="eastAsia" w:ascii="宋体" w:hAnsi="宋体" w:eastAsia="宋体" w:cs="宋体"/>
          <w:color w:val="5A5A5A"/>
          <w:szCs w:val="24"/>
          <w:shd w:val="clear" w:color="auto" w:fill="FFFFFF"/>
        </w:rPr>
      </w:pPr>
      <w:r>
        <w:rPr>
          <w:rFonts w:hint="eastAsia" w:ascii="宋体" w:hAnsi="宋体" w:eastAsia="宋体" w:cs="宋体"/>
          <w:color w:val="5A5A5A"/>
          <w:szCs w:val="24"/>
          <w:shd w:val="clear" w:color="auto" w:fill="FFFFFF"/>
        </w:rPr>
        <w:t>1.以上报价含13%增值税。</w:t>
      </w:r>
    </w:p>
    <w:p w14:paraId="33EC8799">
      <w:pPr>
        <w:pStyle w:val="15"/>
        <w:widowControl/>
        <w:shd w:val="clear" w:color="auto" w:fill="FFFFFF"/>
        <w:spacing w:beforeAutospacing="0" w:afterAutospacing="0" w:line="225" w:lineRule="atLeast"/>
        <w:rPr>
          <w:rFonts w:hint="eastAsia" w:ascii="宋体" w:hAnsi="宋体" w:eastAsia="宋体" w:cs="宋体"/>
          <w:color w:val="5A5A5A"/>
          <w:szCs w:val="24"/>
          <w:u w:val="single"/>
          <w:shd w:val="clear" w:color="auto" w:fill="FFFFFF"/>
        </w:rPr>
      </w:pPr>
      <w:r>
        <w:rPr>
          <w:rFonts w:hint="eastAsia" w:ascii="宋体" w:hAnsi="宋体" w:eastAsia="宋体" w:cs="宋体"/>
          <w:color w:val="5A5A5A"/>
          <w:szCs w:val="24"/>
          <w:shd w:val="clear" w:color="auto" w:fill="FFFFFF"/>
        </w:rPr>
        <w:t>2.交期：</w:t>
      </w:r>
      <w:r>
        <w:rPr>
          <w:rFonts w:hint="eastAsia" w:ascii="宋体" w:hAnsi="宋体" w:eastAsia="宋体" w:cs="宋体"/>
          <w:color w:val="5A5A5A"/>
          <w:szCs w:val="24"/>
          <w:u w:val="single"/>
          <w:shd w:val="clear" w:color="auto" w:fill="FFFFFF"/>
        </w:rPr>
        <w:t xml:space="preserve">                                                           </w:t>
      </w:r>
    </w:p>
    <w:p w14:paraId="141ACDEE">
      <w:pPr>
        <w:pStyle w:val="15"/>
        <w:widowControl/>
        <w:shd w:val="clear" w:color="auto" w:fill="FFFFFF"/>
        <w:spacing w:beforeAutospacing="0" w:afterAutospacing="0" w:line="225" w:lineRule="atLeast"/>
        <w:rPr>
          <w:rFonts w:hint="eastAsia" w:ascii="宋体" w:hAnsi="宋体" w:eastAsia="宋体" w:cs="宋体"/>
          <w:color w:val="5A5A5A"/>
          <w:szCs w:val="24"/>
          <w:u w:val="single"/>
          <w:shd w:val="clear" w:color="auto" w:fill="FFFFFF"/>
        </w:rPr>
      </w:pPr>
      <w:r>
        <w:rPr>
          <w:rFonts w:hint="eastAsia" w:ascii="宋体" w:hAnsi="宋体" w:eastAsia="宋体" w:cs="宋体"/>
          <w:color w:val="5A5A5A"/>
          <w:szCs w:val="24"/>
          <w:shd w:val="clear" w:color="auto" w:fill="FFFFFF"/>
        </w:rPr>
        <w:t>3.付款方式：</w:t>
      </w:r>
      <w:r>
        <w:rPr>
          <w:rFonts w:hint="eastAsia" w:ascii="宋体" w:hAnsi="宋体" w:eastAsia="宋体" w:cs="宋体"/>
          <w:color w:val="5A5A5A"/>
          <w:szCs w:val="24"/>
          <w:u w:val="single"/>
          <w:shd w:val="clear" w:color="auto" w:fill="FFFFFF"/>
        </w:rPr>
        <w:t xml:space="preserve">                                                       </w:t>
      </w:r>
    </w:p>
    <w:p w14:paraId="635AD2AA">
      <w:pPr>
        <w:pStyle w:val="15"/>
        <w:widowControl/>
        <w:shd w:val="clear" w:color="auto" w:fill="FFFFFF"/>
        <w:spacing w:beforeAutospacing="0" w:afterAutospacing="0" w:line="225" w:lineRule="atLeast"/>
        <w:rPr>
          <w:rFonts w:hint="eastAsia" w:ascii="宋体" w:hAnsi="宋体" w:eastAsia="宋体" w:cs="宋体"/>
          <w:color w:val="5A5A5A"/>
          <w:szCs w:val="24"/>
          <w:shd w:val="clear" w:color="auto" w:fill="FFFFFF"/>
        </w:rPr>
      </w:pPr>
      <w:r>
        <w:rPr>
          <w:rFonts w:hint="eastAsia" w:ascii="宋体" w:hAnsi="宋体" w:eastAsia="宋体" w:cs="宋体"/>
          <w:color w:val="5A5A5A"/>
          <w:szCs w:val="24"/>
          <w:shd w:val="clear" w:color="auto" w:fill="FFFFFF"/>
        </w:rPr>
        <w:t>4.质保期：</w:t>
      </w:r>
      <w:r>
        <w:rPr>
          <w:rFonts w:hint="eastAsia" w:ascii="宋体" w:hAnsi="宋体" w:eastAsia="宋体" w:cs="宋体"/>
          <w:color w:val="5A5A5A"/>
          <w:szCs w:val="24"/>
          <w:u w:val="single"/>
          <w:shd w:val="clear" w:color="auto" w:fill="FFFFFF"/>
        </w:rPr>
        <w:t xml:space="preserve">                                                         </w:t>
      </w:r>
    </w:p>
    <w:p w14:paraId="2E50AE3B">
      <w:pPr>
        <w:pStyle w:val="15"/>
        <w:widowControl/>
        <w:shd w:val="clear" w:color="auto" w:fill="FFFFFF"/>
        <w:spacing w:beforeAutospacing="0" w:afterAutospacing="0" w:line="225" w:lineRule="atLeast"/>
        <w:rPr>
          <w:rFonts w:hint="eastAsia" w:ascii="宋体" w:hAnsi="宋体" w:eastAsia="宋体" w:cs="宋体"/>
          <w:color w:val="5A5A5A"/>
          <w:szCs w:val="24"/>
          <w:shd w:val="clear" w:color="auto" w:fill="FFFFFF"/>
        </w:rPr>
      </w:pPr>
      <w:r>
        <w:rPr>
          <w:rFonts w:hint="eastAsia" w:ascii="宋体" w:hAnsi="宋体" w:eastAsia="宋体" w:cs="宋体"/>
          <w:color w:val="5A5A5A"/>
          <w:szCs w:val="24"/>
          <w:shd w:val="clear" w:color="auto" w:fill="FFFFFF"/>
        </w:rPr>
        <w:t>5.其他说明：</w:t>
      </w:r>
      <w:r>
        <w:rPr>
          <w:rFonts w:hint="eastAsia" w:ascii="宋体" w:hAnsi="宋体" w:eastAsia="宋体" w:cs="宋体"/>
          <w:color w:val="5A5A5A"/>
          <w:szCs w:val="24"/>
          <w:u w:val="single"/>
          <w:shd w:val="clear" w:color="auto" w:fill="FFFFFF"/>
        </w:rPr>
        <w:t xml:space="preserve">                                                       </w:t>
      </w:r>
    </w:p>
    <w:p w14:paraId="6838EB8B">
      <w:pPr>
        <w:pStyle w:val="15"/>
        <w:widowControl/>
        <w:shd w:val="clear" w:color="auto" w:fill="FFFFFF"/>
        <w:spacing w:beforeAutospacing="0" w:afterAutospacing="0" w:line="225" w:lineRule="atLeast"/>
        <w:ind w:firstLine="480"/>
        <w:rPr>
          <w:rFonts w:hint="eastAsia" w:ascii="宋体" w:hAnsi="宋体" w:eastAsia="宋体" w:cs="宋体"/>
          <w:color w:val="5A5A5A"/>
          <w:sz w:val="21"/>
          <w:szCs w:val="21"/>
          <w:shd w:val="clear" w:color="auto" w:fill="FFFFFF"/>
        </w:rPr>
      </w:pPr>
    </w:p>
    <w:p w14:paraId="6AB112BA">
      <w:pPr>
        <w:pStyle w:val="15"/>
        <w:widowControl/>
        <w:shd w:val="clear" w:color="auto" w:fill="FFFFFF"/>
        <w:spacing w:beforeAutospacing="0" w:afterAutospacing="0" w:line="225" w:lineRule="atLeast"/>
        <w:ind w:firstLine="480"/>
        <w:rPr>
          <w:rFonts w:hint="eastAsia" w:ascii="宋体" w:hAnsi="宋体" w:eastAsia="宋体" w:cs="宋体"/>
          <w:color w:val="5A5A5A"/>
          <w:sz w:val="21"/>
          <w:szCs w:val="21"/>
          <w:shd w:val="clear" w:color="auto" w:fill="FFFFFF"/>
        </w:rPr>
      </w:pPr>
    </w:p>
    <w:p w14:paraId="2628649B">
      <w:pPr>
        <w:pStyle w:val="15"/>
        <w:widowControl/>
        <w:shd w:val="clear" w:color="auto" w:fill="FFFFFF"/>
        <w:spacing w:beforeAutospacing="0" w:afterAutospacing="0" w:line="225" w:lineRule="atLeast"/>
        <w:ind w:firstLine="480"/>
        <w:rPr>
          <w:rFonts w:hint="eastAsia" w:ascii="宋体" w:hAnsi="宋体" w:eastAsia="宋体" w:cs="宋体"/>
          <w:color w:val="5A5A5A"/>
          <w:sz w:val="21"/>
          <w:szCs w:val="21"/>
          <w:shd w:val="clear" w:color="auto" w:fill="FFFFFF"/>
        </w:rPr>
      </w:pPr>
    </w:p>
    <w:p w14:paraId="77DF2CA8">
      <w:pPr>
        <w:pStyle w:val="15"/>
        <w:widowControl/>
        <w:shd w:val="clear" w:color="auto" w:fill="FFFFFF"/>
        <w:spacing w:beforeAutospacing="0" w:afterAutospacing="0" w:line="225" w:lineRule="atLeast"/>
        <w:rPr>
          <w:rFonts w:hint="eastAsia" w:ascii="宋体" w:hAnsi="宋体" w:eastAsia="宋体" w:cs="宋体"/>
          <w:color w:val="5A5A5A"/>
          <w:szCs w:val="24"/>
          <w:shd w:val="clear" w:color="auto" w:fill="FFFFFF"/>
        </w:rPr>
        <w:sectPr>
          <w:pgSz w:w="11906" w:h="16838"/>
          <w:pgMar w:top="1440" w:right="1800" w:bottom="1440" w:left="1800" w:header="851" w:footer="992" w:gutter="0"/>
          <w:cols w:space="425" w:num="1"/>
          <w:docGrid w:type="lines" w:linePitch="312" w:charSpace="0"/>
        </w:sectPr>
      </w:pPr>
    </w:p>
    <w:p w14:paraId="76A84B86">
      <w:pPr>
        <w:pStyle w:val="15"/>
        <w:widowControl/>
        <w:shd w:val="clear" w:color="auto" w:fill="FFFFFF"/>
        <w:spacing w:beforeAutospacing="0" w:afterAutospacing="0" w:line="225" w:lineRule="atLeast"/>
        <w:rPr>
          <w:rFonts w:hint="eastAsia" w:ascii="宋体" w:hAnsi="宋体" w:eastAsia="宋体" w:cs="宋体"/>
          <w:color w:val="5A5A5A"/>
          <w:szCs w:val="24"/>
          <w:shd w:val="clear" w:color="auto" w:fill="FFFFFF"/>
        </w:rPr>
      </w:pPr>
      <w:r>
        <w:rPr>
          <w:rFonts w:hint="eastAsia" w:ascii="宋体" w:hAnsi="宋体" w:eastAsia="宋体" w:cs="宋体"/>
          <w:color w:val="5A5A5A"/>
          <w:szCs w:val="24"/>
          <w:shd w:val="clear" w:color="auto" w:fill="FFFFFF"/>
        </w:rPr>
        <w:t>二、履约情况及社会信誉承诺书</w:t>
      </w:r>
    </w:p>
    <w:p w14:paraId="31663CE1">
      <w:pPr>
        <w:tabs>
          <w:tab w:val="left" w:pos="7560"/>
        </w:tabs>
        <w:spacing w:line="360" w:lineRule="auto"/>
        <w:jc w:val="center"/>
        <w:rPr>
          <w:rFonts w:hint="eastAsia" w:ascii="宋体" w:hAnsi="宋体" w:eastAsia="宋体" w:cs="宋体"/>
          <w:szCs w:val="21"/>
        </w:rPr>
      </w:pPr>
      <w:r>
        <w:rPr>
          <w:rFonts w:hint="eastAsia" w:ascii="宋体" w:hAnsi="宋体" w:eastAsia="宋体" w:cs="宋体"/>
          <w:color w:val="5A5A5A"/>
          <w:kern w:val="0"/>
          <w:sz w:val="24"/>
          <w:szCs w:val="24"/>
          <w:shd w:val="clear" w:color="auto" w:fill="FFFFFF"/>
          <w:lang w:bidi="ar"/>
        </w:rPr>
        <w:t>履约情况及社会信誉承诺书（格式）</w:t>
      </w:r>
    </w:p>
    <w:p w14:paraId="3A3A5E7A">
      <w:pPr>
        <w:pStyle w:val="18"/>
        <w:spacing w:line="225" w:lineRule="atLeast"/>
        <w:ind w:firstLine="480"/>
        <w:rPr>
          <w:rFonts w:hint="eastAsia" w:eastAsia="宋体" w:cs="宋体"/>
          <w:color w:val="5A5A5A"/>
          <w:kern w:val="0"/>
          <w:sz w:val="24"/>
          <w:szCs w:val="24"/>
          <w:shd w:val="clear" w:color="auto" w:fill="FFFFFF"/>
          <w:lang w:bidi="ar"/>
        </w:rPr>
      </w:pPr>
    </w:p>
    <w:p w14:paraId="6C4746E2">
      <w:pPr>
        <w:widowControl/>
        <w:snapToGrid w:val="0"/>
        <w:spacing w:line="225" w:lineRule="atLeas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 xml:space="preserve">致：   （采购人）     </w:t>
      </w:r>
    </w:p>
    <w:p w14:paraId="057740C5">
      <w:pPr>
        <w:widowControl/>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我公司自愿参加贵司组织的                           （项目名称）的投标，我司在此郑重承诺：</w:t>
      </w:r>
    </w:p>
    <w:p w14:paraId="4AFC7200">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我公司诚信参与贵司招采活动，所递交的投标文件及有关资料内容完整、真实可信。</w:t>
      </w:r>
    </w:p>
    <w:p w14:paraId="51AE38D3">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近3年内（从招标公告发布之日起倒算），我公司或者法定代表人均无行贿犯罪记录。</w:t>
      </w:r>
    </w:p>
    <w:p w14:paraId="23C6D3CA">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近3年内（从投标截止日起计算）没有行贿骗取中标和严重违约、提供的服务或产品没有重大质量问题及安全事故。</w:t>
      </w:r>
    </w:p>
    <w:p w14:paraId="1DB7BDC2">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近1年内（从截标之日起倒算）我公司不存在因串通投标、转包、以他人名义投标或者违法分包等违法行为受到主管部门（建设、交通、财政）行政处罚或正在接受立案调查的情况。</w:t>
      </w:r>
    </w:p>
    <w:p w14:paraId="2CF778FF">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近1年内（从截标之日起倒算）没有放弃贵单位采购项目中标资格、拒不签订合同、拒不提供履约担保的情形，近1年内（从截标之日起倒算）没有被本项目采购人履约评价为不合格的情况。</w:t>
      </w:r>
    </w:p>
    <w:p w14:paraId="2CE986FC">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我公司不存在因违反工程质量、安全生产管理规定等原因被建设部门给予红色警示且在警示期内或正在接受立案调查的情况。不存在拖欠工人工资被有关部门责令改正而未改正的情况。</w:t>
      </w:r>
    </w:p>
    <w:p w14:paraId="15EC3BCE">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我公司未被列入失信被执行人、重大税收违法失信主体、严重违法失信行为记录、拖欠农民工工资失信联合惩戒对象名单。（以信用中国www.creditchina.gov.cn网站查询为准）</w:t>
      </w:r>
    </w:p>
    <w:p w14:paraId="22BF018A">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我公司承诺未以联合体投标，中标后项目不转包。</w:t>
      </w:r>
    </w:p>
    <w:p w14:paraId="14AACB59">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我公司承诺遵守“本单位与本项目其他投标（报价）方不存在负责人为同一人、股权关系、董监高关系或其他可能影响采购活动公平、公正进行的关系，否则将按无效标处理”的规定。</w:t>
      </w:r>
    </w:p>
    <w:p w14:paraId="7747E25B">
      <w:pPr>
        <w:widowControl/>
        <w:snapToGrid w:val="0"/>
        <w:spacing w:line="225" w:lineRule="atLeast"/>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 xml:space="preserve">    如本承诺不属实，我公司愿意无条件接受：</w:t>
      </w:r>
    </w:p>
    <w:p w14:paraId="1BC3B2C6">
      <w:pPr>
        <w:widowControl/>
        <w:snapToGrid w:val="0"/>
        <w:spacing w:line="225" w:lineRule="atLeast"/>
        <w:ind w:firstLine="360" w:firstLineChars="15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（一）宣布我公司投标无效、废标</w:t>
      </w:r>
    </w:p>
    <w:p w14:paraId="3DAE1731">
      <w:pPr>
        <w:widowControl/>
        <w:snapToGrid w:val="0"/>
        <w:spacing w:line="225" w:lineRule="atLeast"/>
        <w:ind w:firstLine="360" w:firstLineChars="15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（二）取消我公司的中标资格。</w:t>
      </w:r>
    </w:p>
    <w:p w14:paraId="5ABC94A8">
      <w:pPr>
        <w:widowControl/>
        <w:snapToGrid w:val="0"/>
        <w:spacing w:line="225" w:lineRule="atLeast"/>
        <w:ind w:firstLine="360" w:firstLineChars="15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（三）列入投标黑名单。</w:t>
      </w:r>
    </w:p>
    <w:p w14:paraId="0F9FD36A">
      <w:pPr>
        <w:widowControl/>
        <w:snapToGrid w:val="0"/>
        <w:spacing w:line="225" w:lineRule="atLeast"/>
        <w:ind w:firstLine="360" w:firstLineChars="15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 xml:space="preserve">（四）不予退还投标保证金。  </w:t>
      </w:r>
    </w:p>
    <w:p w14:paraId="017E4FF2">
      <w:pPr>
        <w:widowControl/>
        <w:snapToGrid w:val="0"/>
        <w:spacing w:line="225" w:lineRule="atLeast"/>
        <w:ind w:firstLine="324" w:firstLineChars="135"/>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（五）给采购人造成的损失同意予以赔偿。</w:t>
      </w:r>
    </w:p>
    <w:p w14:paraId="65CDA07F">
      <w:pPr>
        <w:widowControl/>
        <w:snapToGrid w:val="0"/>
        <w:spacing w:line="225" w:lineRule="atLeast"/>
        <w:jc w:val="left"/>
        <w:rPr>
          <w:rFonts w:hint="eastAsia" w:ascii="宋体" w:hAnsi="宋体" w:eastAsia="宋体" w:cs="宋体"/>
          <w:color w:val="5A5A5A"/>
          <w:kern w:val="0"/>
          <w:sz w:val="24"/>
          <w:szCs w:val="24"/>
          <w:shd w:val="clear" w:color="auto" w:fill="FFFFFF"/>
          <w:lang w:bidi="ar"/>
        </w:rPr>
      </w:pPr>
    </w:p>
    <w:p w14:paraId="1C932113">
      <w:pPr>
        <w:tabs>
          <w:tab w:val="left" w:pos="8820"/>
        </w:tabs>
        <w:adjustRightInd w:val="0"/>
        <w:spacing w:line="225" w:lineRule="atLeast"/>
        <w:ind w:firstLine="3840" w:firstLineChars="1600"/>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 xml:space="preserve">投标人(盖章)：                       </w:t>
      </w:r>
    </w:p>
    <w:p w14:paraId="53689B49">
      <w:pPr>
        <w:tabs>
          <w:tab w:val="left" w:pos="8820"/>
        </w:tabs>
        <w:adjustRightInd w:val="0"/>
        <w:spacing w:line="225" w:lineRule="atLeast"/>
        <w:ind w:firstLine="2160" w:firstLineChars="900"/>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 xml:space="preserve">法定代表人或其授权代理人(签名) ：                        </w:t>
      </w:r>
    </w:p>
    <w:p w14:paraId="6F1A2100">
      <w:pPr>
        <w:adjustRightInd w:val="0"/>
        <w:snapToGrid w:val="0"/>
        <w:spacing w:line="225" w:lineRule="atLeast"/>
        <w:ind w:firstLine="4320" w:firstLineChars="1800"/>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日       期：      年    月    日</w:t>
      </w:r>
    </w:p>
    <w:p w14:paraId="5870E2E7">
      <w:pPr>
        <w:tabs>
          <w:tab w:val="left" w:pos="0"/>
        </w:tabs>
        <w:spacing w:line="225" w:lineRule="atLeast"/>
        <w:jc w:val="left"/>
        <w:rPr>
          <w:rFonts w:hint="eastAsia" w:ascii="宋体" w:hAnsi="宋体" w:eastAsia="宋体" w:cs="宋体"/>
          <w:color w:val="5A5A5A"/>
          <w:kern w:val="0"/>
          <w:sz w:val="24"/>
          <w:szCs w:val="24"/>
          <w:shd w:val="clear" w:color="auto" w:fill="FFFFFF"/>
          <w:lang w:bidi="ar"/>
        </w:rPr>
      </w:pPr>
    </w:p>
    <w:p w14:paraId="7DBD92F4">
      <w:pPr>
        <w:tabs>
          <w:tab w:val="left" w:pos="0"/>
        </w:tabs>
        <w:spacing w:line="225" w:lineRule="atLeast"/>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后附：信用中国（www.creditchina.gov.cn）网站相关页面信息打印件并加盖单位公章</w:t>
      </w:r>
    </w:p>
    <w:p w14:paraId="6CBB8F14">
      <w:pPr>
        <w:spacing w:line="225" w:lineRule="atLeast"/>
        <w:rPr>
          <w:rFonts w:hint="eastAsia" w:ascii="宋体" w:hAnsi="宋体" w:eastAsia="宋体" w:cs="宋体"/>
          <w:color w:val="5A5A5A"/>
          <w:kern w:val="0"/>
          <w:sz w:val="24"/>
          <w:szCs w:val="24"/>
          <w:shd w:val="clear" w:color="auto" w:fill="FFFFFF"/>
          <w:lang w:bidi="ar"/>
        </w:rPr>
      </w:pPr>
    </w:p>
    <w:p w14:paraId="726CD698">
      <w:pPr>
        <w:tabs>
          <w:tab w:val="left" w:pos="7560"/>
        </w:tabs>
        <w:jc w:val="left"/>
        <w:rPr>
          <w:rFonts w:hint="eastAsia"/>
        </w:rPr>
      </w:pPr>
      <w:r>
        <w:drawing>
          <wp:inline distT="0" distB="0" distL="114300" distR="114300">
            <wp:extent cx="5624195" cy="2183765"/>
            <wp:effectExtent l="0" t="0" r="14605" b="6985"/>
            <wp:docPr id="19" name="图片 8" descr="图形用户界面, 网站&#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descr="图形用户界面, 网站&#10;&#10;描述已自动生成"/>
                    <pic:cNvPicPr>
                      <a:picLocks noChangeAspect="1"/>
                    </pic:cNvPicPr>
                  </pic:nvPicPr>
                  <pic:blipFill>
                    <a:blip r:embed="rId6"/>
                    <a:srcRect t="22946" b="9810"/>
                    <a:stretch>
                      <a:fillRect/>
                    </a:stretch>
                  </pic:blipFill>
                  <pic:spPr>
                    <a:xfrm>
                      <a:off x="0" y="0"/>
                      <a:ext cx="5624195" cy="2183765"/>
                    </a:xfrm>
                    <a:prstGeom prst="rect">
                      <a:avLst/>
                    </a:prstGeom>
                    <a:noFill/>
                    <a:ln>
                      <a:noFill/>
                    </a:ln>
                  </pic:spPr>
                </pic:pic>
              </a:graphicData>
            </a:graphic>
          </wp:inline>
        </w:drawing>
      </w:r>
    </w:p>
    <w:p w14:paraId="54716773">
      <w:pPr>
        <w:tabs>
          <w:tab w:val="left" w:pos="7560"/>
        </w:tabs>
        <w:jc w:val="left"/>
        <w:rPr>
          <w:rFonts w:hint="eastAsia" w:eastAsia="宋体"/>
        </w:rPr>
      </w:pPr>
      <w:r>
        <w:rPr>
          <w:rFonts w:hint="eastAsia" w:cs="宋体"/>
          <w:color w:val="000000"/>
          <w:szCs w:val="21"/>
        </w:rPr>
        <w:t>通过</w:t>
      </w:r>
      <w:r>
        <w:rPr>
          <w:rFonts w:hint="eastAsia" w:ascii="宋体" w:hAnsi="宋体" w:eastAsia="宋体" w:cs="宋体"/>
          <w:color w:val="000000"/>
          <w:szCs w:val="21"/>
        </w:rPr>
        <w:t>信用中国</w:t>
      </w:r>
      <w:r>
        <w:rPr>
          <w:rFonts w:hint="eastAsia" w:cs="宋体"/>
          <w:color w:val="000000"/>
          <w:szCs w:val="21"/>
        </w:rPr>
        <w:t>网站</w:t>
      </w:r>
      <w:r>
        <w:rPr>
          <w:rFonts w:ascii="Arial" w:hAnsi="Arial" w:eastAsia="宋体" w:cs="Arial"/>
          <w:color w:val="000000"/>
          <w:szCs w:val="21"/>
        </w:rPr>
        <w:t>→</w:t>
      </w:r>
      <w:r>
        <w:rPr>
          <w:rFonts w:hint="eastAsia" w:cs="宋体"/>
          <w:color w:val="000000"/>
          <w:szCs w:val="21"/>
        </w:rPr>
        <w:t>信用服务</w:t>
      </w:r>
      <w:r>
        <w:rPr>
          <w:rFonts w:ascii="Arial" w:hAnsi="Arial" w:cs="Arial"/>
          <w:color w:val="000000"/>
          <w:szCs w:val="21"/>
        </w:rPr>
        <w:t>→</w:t>
      </w:r>
      <w:r>
        <w:rPr>
          <w:rFonts w:hint="eastAsia" w:cs="宋体"/>
          <w:color w:val="000000"/>
          <w:szCs w:val="21"/>
        </w:rPr>
        <w:t>重点领域严重失信主体名单查询</w:t>
      </w:r>
      <w:r>
        <w:rPr>
          <w:rFonts w:ascii="Arial" w:hAnsi="Arial" w:cs="Arial"/>
          <w:color w:val="000000"/>
          <w:szCs w:val="21"/>
        </w:rPr>
        <w:t>→</w:t>
      </w:r>
      <w:r>
        <w:rPr>
          <w:rFonts w:hint="eastAsia" w:ascii="Arial" w:hAnsi="Arial" w:cs="Arial"/>
          <w:color w:val="000000"/>
          <w:szCs w:val="21"/>
        </w:rPr>
        <w:t>查询相关信用信息</w:t>
      </w:r>
    </w:p>
    <w:p w14:paraId="1D9A85B7">
      <w:pPr>
        <w:tabs>
          <w:tab w:val="left" w:pos="7560"/>
        </w:tabs>
        <w:jc w:val="left"/>
        <w:rPr>
          <w:rFonts w:hint="eastAsia" w:ascii="宋体" w:hAnsi="宋体" w:eastAsia="宋体" w:cs="宋体"/>
          <w:b/>
          <w:bCs/>
          <w:color w:val="000000"/>
          <w:sz w:val="22"/>
        </w:rPr>
      </w:pPr>
      <w:r>
        <w:rPr>
          <w:rFonts w:hint="eastAsia" w:ascii="宋体" w:hAnsi="宋体" w:eastAsia="宋体" w:cs="宋体"/>
          <w:b/>
          <w:bCs/>
          <w:color w:val="000000"/>
          <w:sz w:val="22"/>
        </w:rPr>
        <w:t>信用信息公示截图示例（</w:t>
      </w:r>
      <w:r>
        <w:rPr>
          <w:rFonts w:hint="eastAsia" w:cs="宋体"/>
          <w:b/>
          <w:bCs/>
          <w:color w:val="000000"/>
          <w:sz w:val="22"/>
        </w:rPr>
        <w:t>共四项，</w:t>
      </w:r>
      <w:r>
        <w:rPr>
          <w:rFonts w:hint="eastAsia" w:ascii="宋体" w:hAnsi="宋体" w:eastAsia="宋体" w:cs="宋体"/>
          <w:b/>
          <w:bCs/>
          <w:color w:val="000000"/>
          <w:sz w:val="22"/>
        </w:rPr>
        <w:t>提供的文件应清晰可见，查询截图后加盖公章）</w:t>
      </w:r>
    </w:p>
    <w:p w14:paraId="4C087647">
      <w:pPr>
        <w:tabs>
          <w:tab w:val="left" w:pos="7560"/>
        </w:tabs>
        <w:jc w:val="left"/>
        <w:rPr>
          <w:rFonts w:hint="eastAsia"/>
        </w:rPr>
      </w:pPr>
    </w:p>
    <w:p w14:paraId="7BAE4F7E">
      <w:pPr>
        <w:tabs>
          <w:tab w:val="left" w:pos="7560"/>
        </w:tabs>
        <w:jc w:val="left"/>
        <w:rPr>
          <w:rFonts w:hint="eastAsia"/>
        </w:rPr>
      </w:pPr>
    </w:p>
    <w:p w14:paraId="692C7C79">
      <w:pPr>
        <w:rPr>
          <w:rFonts w:hint="eastAsia"/>
        </w:rPr>
      </w:pPr>
      <w:r>
        <w:drawing>
          <wp:inline distT="0" distB="0" distL="114300" distR="114300">
            <wp:extent cx="2426335" cy="2025015"/>
            <wp:effectExtent l="0" t="0" r="12065" b="13335"/>
            <wp:docPr id="20" name="图片 1"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图形用户界面, 应用程序&#10;&#10;描述已自动生成"/>
                    <pic:cNvPicPr>
                      <a:picLocks noChangeAspect="1"/>
                    </pic:cNvPicPr>
                  </pic:nvPicPr>
                  <pic:blipFill>
                    <a:blip r:embed="rId7"/>
                    <a:stretch>
                      <a:fillRect/>
                    </a:stretch>
                  </pic:blipFill>
                  <pic:spPr>
                    <a:xfrm>
                      <a:off x="0" y="0"/>
                      <a:ext cx="2426335" cy="2025015"/>
                    </a:xfrm>
                    <a:prstGeom prst="rect">
                      <a:avLst/>
                    </a:prstGeom>
                    <a:noFill/>
                    <a:ln>
                      <a:noFill/>
                    </a:ln>
                  </pic:spPr>
                </pic:pic>
              </a:graphicData>
            </a:graphic>
          </wp:inline>
        </w:drawing>
      </w:r>
      <w:r>
        <w:drawing>
          <wp:inline distT="0" distB="0" distL="114300" distR="114300">
            <wp:extent cx="2653665" cy="2052320"/>
            <wp:effectExtent l="0" t="0" r="13335" b="5080"/>
            <wp:docPr id="21" name="图片 4"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descr="图形用户界面&#10;&#10;描述已自动生成"/>
                    <pic:cNvPicPr>
                      <a:picLocks noChangeAspect="1"/>
                    </pic:cNvPicPr>
                  </pic:nvPicPr>
                  <pic:blipFill>
                    <a:blip r:embed="rId8"/>
                    <a:stretch>
                      <a:fillRect/>
                    </a:stretch>
                  </pic:blipFill>
                  <pic:spPr>
                    <a:xfrm>
                      <a:off x="0" y="0"/>
                      <a:ext cx="2653665" cy="2052320"/>
                    </a:xfrm>
                    <a:prstGeom prst="rect">
                      <a:avLst/>
                    </a:prstGeom>
                    <a:noFill/>
                    <a:ln>
                      <a:noFill/>
                    </a:ln>
                  </pic:spPr>
                </pic:pic>
              </a:graphicData>
            </a:graphic>
          </wp:inline>
        </w:drawing>
      </w:r>
    </w:p>
    <w:p w14:paraId="6AB016C8">
      <w:pPr>
        <w:rPr>
          <w:rFonts w:hint="eastAsia"/>
        </w:rPr>
      </w:pPr>
    </w:p>
    <w:p w14:paraId="0066D4EC">
      <w:pPr>
        <w:rPr>
          <w:rFonts w:hint="eastAsia"/>
        </w:rPr>
      </w:pPr>
      <w:r>
        <w:drawing>
          <wp:inline distT="0" distB="0" distL="114300" distR="114300">
            <wp:extent cx="2565400" cy="1978025"/>
            <wp:effectExtent l="0" t="0" r="6350" b="3175"/>
            <wp:docPr id="22" name="图片 6"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descr="图形用户界面&#10;&#10;描述已自动生成"/>
                    <pic:cNvPicPr>
                      <a:picLocks noChangeAspect="1"/>
                    </pic:cNvPicPr>
                  </pic:nvPicPr>
                  <pic:blipFill>
                    <a:blip r:embed="rId9"/>
                    <a:stretch>
                      <a:fillRect/>
                    </a:stretch>
                  </pic:blipFill>
                  <pic:spPr>
                    <a:xfrm>
                      <a:off x="0" y="0"/>
                      <a:ext cx="2565400" cy="1978025"/>
                    </a:xfrm>
                    <a:prstGeom prst="rect">
                      <a:avLst/>
                    </a:prstGeom>
                    <a:noFill/>
                    <a:ln>
                      <a:noFill/>
                    </a:ln>
                  </pic:spPr>
                </pic:pic>
              </a:graphicData>
            </a:graphic>
          </wp:inline>
        </w:drawing>
      </w:r>
      <w:r>
        <w:drawing>
          <wp:inline distT="0" distB="0" distL="114300" distR="114300">
            <wp:extent cx="2553970" cy="1971675"/>
            <wp:effectExtent l="0" t="0" r="17780" b="9525"/>
            <wp:docPr id="23" name="图片 7"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 descr="图形用户界面&#10;&#10;描述已自动生成"/>
                    <pic:cNvPicPr>
                      <a:picLocks noChangeAspect="1"/>
                    </pic:cNvPicPr>
                  </pic:nvPicPr>
                  <pic:blipFill>
                    <a:blip r:embed="rId10"/>
                    <a:stretch>
                      <a:fillRect/>
                    </a:stretch>
                  </pic:blipFill>
                  <pic:spPr>
                    <a:xfrm>
                      <a:off x="0" y="0"/>
                      <a:ext cx="2553970" cy="1971675"/>
                    </a:xfrm>
                    <a:prstGeom prst="rect">
                      <a:avLst/>
                    </a:prstGeom>
                    <a:noFill/>
                    <a:ln>
                      <a:noFill/>
                    </a:ln>
                  </pic:spPr>
                </pic:pic>
              </a:graphicData>
            </a:graphic>
          </wp:inline>
        </w:drawing>
      </w:r>
    </w:p>
    <w:p w14:paraId="0403022F">
      <w:pPr>
        <w:widowControl/>
        <w:tabs>
          <w:tab w:val="left" w:pos="0"/>
        </w:tabs>
        <w:spacing w:line="300" w:lineRule="auto"/>
        <w:ind w:right="-51"/>
        <w:rPr>
          <w:rFonts w:hint="eastAsia" w:ascii="仿宋" w:hAnsi="仿宋" w:eastAsia="仿宋" w:cs="Times New Roman"/>
          <w:sz w:val="22"/>
        </w:rPr>
      </w:pPr>
    </w:p>
    <w:p w14:paraId="458A6F39">
      <w:pPr>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CE0CD7"/>
    <w:multiLevelType w:val="singleLevel"/>
    <w:tmpl w:val="30CE0CD7"/>
    <w:lvl w:ilvl="0" w:tentative="0">
      <w:start w:val="1"/>
      <w:numFmt w:val="decimal"/>
      <w:suff w:val="nothing"/>
      <w:lvlText w:val="%1．"/>
      <w:lvlJc w:val="left"/>
      <w:pPr>
        <w:ind w:left="0" w:firstLine="400"/>
      </w:pPr>
      <w:rPr>
        <w:rFonts w:hint="default"/>
      </w:rPr>
    </w:lvl>
  </w:abstractNum>
  <w:abstractNum w:abstractNumId="1">
    <w:nsid w:val="4AC162EB"/>
    <w:multiLevelType w:val="singleLevel"/>
    <w:tmpl w:val="4AC162E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2NTdlZGY2NGRmZGRjNDI5NjVhZTNkOGM0YTNjMDYifQ=="/>
  </w:docVars>
  <w:rsids>
    <w:rsidRoot w:val="006450F0"/>
    <w:rsid w:val="00130D49"/>
    <w:rsid w:val="001A6B2D"/>
    <w:rsid w:val="001C3A26"/>
    <w:rsid w:val="001C5758"/>
    <w:rsid w:val="002A3A06"/>
    <w:rsid w:val="002D594D"/>
    <w:rsid w:val="00324998"/>
    <w:rsid w:val="006450F0"/>
    <w:rsid w:val="007D3014"/>
    <w:rsid w:val="00964DF3"/>
    <w:rsid w:val="00B11B10"/>
    <w:rsid w:val="00D0499E"/>
    <w:rsid w:val="05496278"/>
    <w:rsid w:val="0F98698F"/>
    <w:rsid w:val="15EA2FE5"/>
    <w:rsid w:val="1D9B4C90"/>
    <w:rsid w:val="39CE564E"/>
    <w:rsid w:val="4C6B2708"/>
    <w:rsid w:val="507F724A"/>
    <w:rsid w:val="5D64261C"/>
    <w:rsid w:val="714238EA"/>
    <w:rsid w:val="74186B69"/>
    <w:rsid w:val="77894387"/>
    <w:rsid w:val="7C4A4A2C"/>
    <w:rsid w:val="7CCD740C"/>
    <w:rsid w:val="7D990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heme="minorHAnsi" w:hAnsiTheme="minorHAnsi" w:eastAsiaTheme="minorEastAsia" w:cstheme="minorBidi"/>
      <w:kern w:val="2"/>
      <w:sz w:val="21"/>
      <w:szCs w:val="22"/>
      <w:lang w:val="en-US" w:eastAsia="zh-CN" w:bidi="ar-SA"/>
    </w:rPr>
  </w:style>
  <w:style w:type="paragraph" w:styleId="3">
    <w:name w:val="heading 1"/>
    <w:next w:val="1"/>
    <w:link w:val="42"/>
    <w:autoRedefine/>
    <w:qFormat/>
    <w:uiPriority w:val="9"/>
    <w:pPr>
      <w:keepNext/>
      <w:keepLines/>
      <w:widowControl w:val="0"/>
      <w:snapToGrid w:val="0"/>
      <w:spacing w:line="560" w:lineRule="exact"/>
      <w:ind w:firstLine="640" w:firstLineChars="200"/>
      <w:jc w:val="both"/>
      <w:outlineLvl w:val="0"/>
    </w:pPr>
    <w:rPr>
      <w:rFonts w:ascii="Calibri" w:hAnsi="Calibri" w:eastAsia="黑体" w:cs="Times New Roman"/>
      <w:bCs/>
      <w:kern w:val="44"/>
      <w:sz w:val="32"/>
      <w:szCs w:val="44"/>
      <w:lang w:val="en-US" w:eastAsia="zh-CN" w:bidi="ar-SA"/>
    </w:rPr>
  </w:style>
  <w:style w:type="paragraph" w:styleId="4">
    <w:name w:val="heading 2"/>
    <w:basedOn w:val="1"/>
    <w:next w:val="1"/>
    <w:link w:val="3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7"/>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3"/>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7">
    <w:name w:val="heading 5"/>
    <w:basedOn w:val="1"/>
    <w:next w:val="1"/>
    <w:link w:val="44"/>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8">
    <w:name w:val="heading 6"/>
    <w:basedOn w:val="1"/>
    <w:next w:val="1"/>
    <w:link w:val="45"/>
    <w:semiHidden/>
    <w:unhideWhenUsed/>
    <w:qFormat/>
    <w:uiPriority w:val="9"/>
    <w:pPr>
      <w:keepNext/>
      <w:keepLines/>
      <w:spacing w:before="40"/>
      <w:outlineLvl w:val="5"/>
    </w:pPr>
    <w:rPr>
      <w:rFonts w:cstheme="majorBidi"/>
      <w:b/>
      <w:bCs/>
      <w:color w:val="104862" w:themeColor="accent1" w:themeShade="BF"/>
    </w:rPr>
  </w:style>
  <w:style w:type="paragraph" w:styleId="9">
    <w:name w:val="heading 7"/>
    <w:basedOn w:val="1"/>
    <w:next w:val="1"/>
    <w:link w:val="46"/>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47"/>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48"/>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1">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5"/>
    <w:autoRedefine/>
    <w:unhideWhenUsed/>
    <w:qFormat/>
    <w:uiPriority w:val="0"/>
    <w:pPr>
      <w:ind w:firstLine="640" w:firstLineChars="200"/>
    </w:pPr>
    <w:rPr>
      <w:rFonts w:ascii="Times New Roman" w:hAnsi="Times New Roman" w:eastAsia="仿宋_GB2312" w:cs="Times New Roman"/>
      <w:sz w:val="32"/>
    </w:rPr>
  </w:style>
  <w:style w:type="paragraph" w:styleId="12">
    <w:name w:val="annotation text"/>
    <w:basedOn w:val="1"/>
    <w:link w:val="59"/>
    <w:unhideWhenUsed/>
    <w:qFormat/>
    <w:uiPriority w:val="99"/>
    <w:pPr>
      <w:jc w:val="left"/>
    </w:pPr>
    <w:rPr>
      <w:rFonts w:ascii="宋体" w:hAnsi="宋体" w:eastAsia="宋体" w:cs="Times New Roman"/>
      <w:szCs w:val="24"/>
    </w:rPr>
  </w:style>
  <w:style w:type="paragraph" w:styleId="13">
    <w:name w:val="Body Text Indent"/>
    <w:basedOn w:val="1"/>
    <w:link w:val="57"/>
    <w:semiHidden/>
    <w:unhideWhenUsed/>
    <w:qFormat/>
    <w:uiPriority w:val="99"/>
    <w:pPr>
      <w:spacing w:after="120"/>
      <w:ind w:left="420" w:leftChars="200"/>
    </w:pPr>
  </w:style>
  <w:style w:type="paragraph" w:styleId="14">
    <w:name w:val="Subtitle"/>
    <w:basedOn w:val="1"/>
    <w:next w:val="1"/>
    <w:link w:val="49"/>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Normal (Web)"/>
    <w:basedOn w:val="1"/>
    <w:semiHidden/>
    <w:unhideWhenUsed/>
    <w:qFormat/>
    <w:uiPriority w:val="99"/>
    <w:pPr>
      <w:spacing w:beforeAutospacing="1" w:afterAutospacing="1"/>
      <w:jc w:val="left"/>
    </w:pPr>
    <w:rPr>
      <w:rFonts w:cs="Times New Roman"/>
      <w:kern w:val="0"/>
      <w:sz w:val="24"/>
    </w:rPr>
  </w:style>
  <w:style w:type="paragraph" w:styleId="16">
    <w:name w:val="Title"/>
    <w:basedOn w:val="1"/>
    <w:next w:val="1"/>
    <w:link w:val="38"/>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7">
    <w:name w:val="Body Text First Indent"/>
    <w:basedOn w:val="2"/>
    <w:link w:val="41"/>
    <w:autoRedefine/>
    <w:qFormat/>
    <w:uiPriority w:val="0"/>
    <w:pPr>
      <w:ind w:firstLine="420"/>
      <w:jc w:val="left"/>
    </w:pPr>
    <w:rPr>
      <w:rFonts w:ascii="宋体" w:hAnsi="宋体"/>
    </w:rPr>
  </w:style>
  <w:style w:type="paragraph" w:styleId="18">
    <w:name w:val="Body Text First Indent 2"/>
    <w:basedOn w:val="13"/>
    <w:link w:val="58"/>
    <w:qFormat/>
    <w:uiPriority w:val="0"/>
    <w:pPr>
      <w:tabs>
        <w:tab w:val="left" w:pos="673"/>
      </w:tabs>
      <w:spacing w:after="0"/>
      <w:ind w:left="0" w:leftChars="0" w:firstLine="420" w:firstLineChars="200"/>
    </w:pPr>
    <w:rPr>
      <w:rFonts w:ascii="宋体" w:hAnsi="宋体"/>
      <w:sz w:val="28"/>
    </w:rPr>
  </w:style>
  <w:style w:type="table" w:styleId="20">
    <w:name w:val="Table Grid"/>
    <w:basedOn w:val="19"/>
    <w:unhideWhenUsed/>
    <w:qFormat/>
    <w:uiPriority w:val="39"/>
    <w:pPr>
      <w:spacing w:line="240" w:lineRule="auto"/>
      <w:jc w:val="left"/>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rPr>
  </w:style>
  <w:style w:type="paragraph" w:customStyle="1" w:styleId="23">
    <w:name w:val="Default"/>
    <w:next w:val="2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4">
    <w:name w:val="表格文字"/>
    <w:next w:val="2"/>
    <w:qFormat/>
    <w:uiPriority w:val="0"/>
    <w:pPr>
      <w:jc w:val="center"/>
    </w:pPr>
    <w:rPr>
      <w:rFonts w:ascii="Times New Roman" w:hAnsi="Times New Roman" w:eastAsia="楷体_GB2312" w:cs="Times New Roman"/>
      <w:bCs/>
      <w:sz w:val="24"/>
      <w:szCs w:val="22"/>
      <w:lang w:val="en-US" w:eastAsia="zh-CN" w:bidi="ar-SA"/>
    </w:rPr>
  </w:style>
  <w:style w:type="paragraph" w:customStyle="1" w:styleId="25">
    <w:name w:val="三级标题"/>
    <w:basedOn w:val="16"/>
    <w:next w:val="2"/>
    <w:link w:val="26"/>
    <w:autoRedefine/>
    <w:qFormat/>
    <w:uiPriority w:val="0"/>
    <w:pPr>
      <w:autoSpaceDE w:val="0"/>
      <w:spacing w:after="0" w:line="560" w:lineRule="exact"/>
      <w:ind w:firstLine="200" w:firstLineChars="200"/>
      <w:contextualSpacing w:val="0"/>
      <w:jc w:val="left"/>
      <w:outlineLvl w:val="2"/>
    </w:pPr>
    <w:rPr>
      <w:rFonts w:ascii="仿宋" w:hAnsi="仿宋" w:eastAsia="仿宋_GB2312" w:cs="仿宋"/>
      <w:b/>
      <w:bCs/>
      <w:spacing w:val="0"/>
      <w:kern w:val="2"/>
      <w:sz w:val="32"/>
      <w:szCs w:val="32"/>
    </w:rPr>
  </w:style>
  <w:style w:type="character" w:customStyle="1" w:styleId="26">
    <w:name w:val="三级标题 字符"/>
    <w:basedOn w:val="21"/>
    <w:link w:val="25"/>
    <w:qFormat/>
    <w:uiPriority w:val="0"/>
    <w:rPr>
      <w:rFonts w:ascii="仿宋" w:hAnsi="仿宋" w:eastAsia="仿宋_GB2312" w:cs="仿宋"/>
      <w:b/>
      <w:bCs/>
      <w:sz w:val="32"/>
      <w:szCs w:val="32"/>
    </w:rPr>
  </w:style>
  <w:style w:type="character" w:customStyle="1" w:styleId="27">
    <w:name w:val="标题 3 字符"/>
    <w:basedOn w:val="21"/>
    <w:link w:val="5"/>
    <w:semiHidden/>
    <w:qFormat/>
    <w:uiPriority w:val="9"/>
    <w:rPr>
      <w:b/>
      <w:bCs/>
      <w:sz w:val="32"/>
      <w:szCs w:val="32"/>
    </w:rPr>
  </w:style>
  <w:style w:type="paragraph" w:customStyle="1" w:styleId="28">
    <w:name w:val="二级标题"/>
    <w:basedOn w:val="5"/>
    <w:link w:val="29"/>
    <w:autoRedefine/>
    <w:qFormat/>
    <w:uiPriority w:val="0"/>
    <w:pPr>
      <w:spacing w:before="0" w:after="0" w:line="560" w:lineRule="exact"/>
      <w:ind w:firstLine="200" w:firstLineChars="200"/>
      <w:outlineLvl w:val="1"/>
    </w:pPr>
    <w:rPr>
      <w:rFonts w:ascii="楷体" w:hAnsi="楷体" w:eastAsia="楷体" w:cs="楷体"/>
      <w:b w:val="0"/>
      <w:bCs w:val="0"/>
    </w:rPr>
  </w:style>
  <w:style w:type="character" w:customStyle="1" w:styleId="29">
    <w:name w:val="二级标题 字符"/>
    <w:basedOn w:val="21"/>
    <w:link w:val="28"/>
    <w:qFormat/>
    <w:uiPriority w:val="0"/>
    <w:rPr>
      <w:rFonts w:ascii="楷体" w:hAnsi="楷体" w:eastAsia="楷体" w:cs="楷体"/>
      <w:sz w:val="32"/>
      <w:szCs w:val="32"/>
    </w:rPr>
  </w:style>
  <w:style w:type="character" w:customStyle="1" w:styleId="30">
    <w:name w:val="标题 2 字符"/>
    <w:basedOn w:val="21"/>
    <w:link w:val="4"/>
    <w:semiHidden/>
    <w:qFormat/>
    <w:uiPriority w:val="9"/>
    <w:rPr>
      <w:rFonts w:asciiTheme="majorHAnsi" w:hAnsiTheme="majorHAnsi" w:eastAsiaTheme="majorEastAsia" w:cstheme="majorBidi"/>
      <w:b/>
      <w:bCs/>
      <w:sz w:val="32"/>
      <w:szCs w:val="32"/>
    </w:rPr>
  </w:style>
  <w:style w:type="paragraph" w:customStyle="1" w:styleId="31">
    <w:name w:val="仿宋GB正文"/>
    <w:basedOn w:val="1"/>
    <w:link w:val="32"/>
    <w:autoRedefine/>
    <w:qFormat/>
    <w:uiPriority w:val="0"/>
    <w:pPr>
      <w:ind w:firstLine="200" w:firstLineChars="200"/>
    </w:pPr>
    <w:rPr>
      <w:rFonts w:ascii="Times New Roman" w:hAnsi="Times New Roman" w:eastAsia="仿宋_GB2312"/>
      <w:sz w:val="32"/>
      <w:szCs w:val="32"/>
    </w:rPr>
  </w:style>
  <w:style w:type="character" w:customStyle="1" w:styleId="32">
    <w:name w:val="仿宋GB正文 字符"/>
    <w:basedOn w:val="21"/>
    <w:link w:val="31"/>
    <w:qFormat/>
    <w:uiPriority w:val="0"/>
    <w:rPr>
      <w:rFonts w:ascii="Times New Roman" w:hAnsi="Times New Roman" w:eastAsia="仿宋_GB2312"/>
      <w:sz w:val="32"/>
      <w:szCs w:val="32"/>
    </w:rPr>
  </w:style>
  <w:style w:type="paragraph" w:customStyle="1" w:styleId="33">
    <w:name w:val="一级标题"/>
    <w:basedOn w:val="1"/>
    <w:link w:val="34"/>
    <w:qFormat/>
    <w:uiPriority w:val="0"/>
    <w:pPr>
      <w:ind w:firstLine="640" w:firstLineChars="200"/>
      <w:outlineLvl w:val="0"/>
    </w:pPr>
    <w:rPr>
      <w:rFonts w:ascii="黑体" w:hAnsi="黑体" w:eastAsia="黑体" w:cs="黑体"/>
      <w:bCs/>
      <w:sz w:val="32"/>
      <w:szCs w:val="32"/>
    </w:rPr>
  </w:style>
  <w:style w:type="character" w:customStyle="1" w:styleId="34">
    <w:name w:val="一级标题 字符"/>
    <w:basedOn w:val="21"/>
    <w:link w:val="33"/>
    <w:qFormat/>
    <w:uiPriority w:val="0"/>
    <w:rPr>
      <w:rFonts w:ascii="黑体" w:hAnsi="黑体" w:eastAsia="黑体" w:cs="黑体"/>
      <w:bCs/>
      <w:sz w:val="32"/>
      <w:szCs w:val="32"/>
    </w:rPr>
  </w:style>
  <w:style w:type="character" w:customStyle="1" w:styleId="35">
    <w:name w:val="正文文本 字符"/>
    <w:basedOn w:val="21"/>
    <w:link w:val="2"/>
    <w:qFormat/>
    <w:uiPriority w:val="99"/>
    <w:rPr>
      <w:rFonts w:ascii="Times New Roman" w:hAnsi="Times New Roman" w:eastAsia="仿宋_GB2312" w:cs="Times New Roman"/>
      <w:sz w:val="32"/>
    </w:rPr>
  </w:style>
  <w:style w:type="paragraph" w:customStyle="1" w:styleId="36">
    <w:name w:val="大标题"/>
    <w:basedOn w:val="1"/>
    <w:link w:val="37"/>
    <w:autoRedefine/>
    <w:qFormat/>
    <w:uiPriority w:val="0"/>
    <w:pPr>
      <w:jc w:val="center"/>
    </w:pPr>
    <w:rPr>
      <w:rFonts w:ascii="方正小标宋简体" w:hAnsi="方正小标宋简体" w:eastAsia="方正小标宋简体" w:cs="方正小标宋简体"/>
      <w:sz w:val="44"/>
      <w:szCs w:val="44"/>
    </w:rPr>
  </w:style>
  <w:style w:type="character" w:customStyle="1" w:styleId="37">
    <w:name w:val="大标题 字符"/>
    <w:basedOn w:val="21"/>
    <w:link w:val="36"/>
    <w:qFormat/>
    <w:uiPriority w:val="0"/>
    <w:rPr>
      <w:rFonts w:ascii="方正小标宋简体" w:hAnsi="方正小标宋简体" w:eastAsia="方正小标宋简体" w:cs="方正小标宋简体"/>
      <w:sz w:val="44"/>
      <w:szCs w:val="44"/>
    </w:rPr>
  </w:style>
  <w:style w:type="character" w:customStyle="1" w:styleId="38">
    <w:name w:val="标题 字符"/>
    <w:basedOn w:val="21"/>
    <w:link w:val="16"/>
    <w:qFormat/>
    <w:uiPriority w:val="10"/>
    <w:rPr>
      <w:rFonts w:asciiTheme="majorHAnsi" w:hAnsiTheme="majorHAnsi" w:eastAsiaTheme="majorEastAsia" w:cstheme="majorBidi"/>
      <w:spacing w:val="-10"/>
      <w:kern w:val="28"/>
      <w:sz w:val="56"/>
      <w:szCs w:val="56"/>
    </w:rPr>
  </w:style>
  <w:style w:type="paragraph" w:customStyle="1" w:styleId="39">
    <w:name w:val="四级标题"/>
    <w:basedOn w:val="33"/>
    <w:next w:val="2"/>
    <w:link w:val="40"/>
    <w:autoRedefine/>
    <w:qFormat/>
    <w:uiPriority w:val="0"/>
    <w:pPr>
      <w:autoSpaceDE w:val="0"/>
      <w:ind w:firstLine="0" w:firstLineChars="0"/>
      <w:outlineLvl w:val="3"/>
    </w:pPr>
    <w:rPr>
      <w:rFonts w:eastAsia="仿宋_GB2312" w:cs="仿宋"/>
    </w:rPr>
  </w:style>
  <w:style w:type="character" w:customStyle="1" w:styleId="40">
    <w:name w:val="四级标题 字符"/>
    <w:basedOn w:val="34"/>
    <w:link w:val="39"/>
    <w:qFormat/>
    <w:uiPriority w:val="0"/>
    <w:rPr>
      <w:rFonts w:ascii="黑体" w:hAnsi="黑体" w:eastAsia="仿宋_GB2312" w:cs="仿宋"/>
      <w:sz w:val="32"/>
      <w:szCs w:val="32"/>
    </w:rPr>
  </w:style>
  <w:style w:type="character" w:customStyle="1" w:styleId="41">
    <w:name w:val="正文文本首行缩进 字符"/>
    <w:basedOn w:val="35"/>
    <w:link w:val="17"/>
    <w:qFormat/>
    <w:uiPriority w:val="0"/>
    <w:rPr>
      <w:rFonts w:ascii="宋体" w:hAnsi="宋体" w:eastAsia="仿宋_GB2312" w:cs="Times New Roman"/>
      <w:sz w:val="32"/>
    </w:rPr>
  </w:style>
  <w:style w:type="character" w:customStyle="1" w:styleId="42">
    <w:name w:val="标题 1 字符"/>
    <w:basedOn w:val="21"/>
    <w:link w:val="3"/>
    <w:qFormat/>
    <w:uiPriority w:val="9"/>
    <w:rPr>
      <w:rFonts w:ascii="Calibri" w:hAnsi="Calibri" w:eastAsia="黑体" w:cs="Times New Roman"/>
      <w:bCs/>
      <w:kern w:val="44"/>
      <w:sz w:val="32"/>
      <w:szCs w:val="44"/>
    </w:rPr>
  </w:style>
  <w:style w:type="character" w:customStyle="1" w:styleId="43">
    <w:name w:val="标题 4 字符"/>
    <w:basedOn w:val="21"/>
    <w:link w:val="6"/>
    <w:semiHidden/>
    <w:qFormat/>
    <w:uiPriority w:val="9"/>
    <w:rPr>
      <w:rFonts w:cstheme="majorBidi"/>
      <w:color w:val="104862" w:themeColor="accent1" w:themeShade="BF"/>
      <w:sz w:val="28"/>
      <w:szCs w:val="28"/>
    </w:rPr>
  </w:style>
  <w:style w:type="character" w:customStyle="1" w:styleId="44">
    <w:name w:val="标题 5 字符"/>
    <w:basedOn w:val="21"/>
    <w:link w:val="7"/>
    <w:semiHidden/>
    <w:qFormat/>
    <w:uiPriority w:val="9"/>
    <w:rPr>
      <w:rFonts w:cstheme="majorBidi"/>
      <w:color w:val="104862" w:themeColor="accent1" w:themeShade="BF"/>
      <w:sz w:val="24"/>
      <w:szCs w:val="24"/>
    </w:rPr>
  </w:style>
  <w:style w:type="character" w:customStyle="1" w:styleId="45">
    <w:name w:val="标题 6 字符"/>
    <w:basedOn w:val="21"/>
    <w:link w:val="8"/>
    <w:semiHidden/>
    <w:qFormat/>
    <w:uiPriority w:val="9"/>
    <w:rPr>
      <w:rFonts w:cstheme="majorBidi"/>
      <w:b/>
      <w:bCs/>
      <w:color w:val="104862" w:themeColor="accent1" w:themeShade="BF"/>
    </w:rPr>
  </w:style>
  <w:style w:type="character" w:customStyle="1" w:styleId="46">
    <w:name w:val="标题 7 字符"/>
    <w:basedOn w:val="21"/>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47">
    <w:name w:val="标题 8 字符"/>
    <w:basedOn w:val="21"/>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48">
    <w:name w:val="标题 9 字符"/>
    <w:basedOn w:val="21"/>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49">
    <w:name w:val="副标题 字符"/>
    <w:basedOn w:val="21"/>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50">
    <w:name w:val="Quote"/>
    <w:basedOn w:val="1"/>
    <w:next w:val="1"/>
    <w:link w:val="51"/>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51">
    <w:name w:val="引用 字符"/>
    <w:basedOn w:val="21"/>
    <w:link w:val="50"/>
    <w:qFormat/>
    <w:uiPriority w:val="29"/>
    <w:rPr>
      <w:i/>
      <w:iCs/>
      <w:color w:val="404040" w:themeColor="text1" w:themeTint="BF"/>
      <w14:textFill>
        <w14:solidFill>
          <w14:schemeClr w14:val="tx1">
            <w14:lumMod w14:val="75000"/>
            <w14:lumOff w14:val="25000"/>
          </w14:schemeClr>
        </w14:solidFill>
      </w14:textFill>
    </w:rPr>
  </w:style>
  <w:style w:type="paragraph" w:styleId="52">
    <w:name w:val="List Paragraph"/>
    <w:basedOn w:val="1"/>
    <w:qFormat/>
    <w:uiPriority w:val="34"/>
    <w:pPr>
      <w:ind w:left="720"/>
      <w:contextualSpacing/>
    </w:pPr>
  </w:style>
  <w:style w:type="character" w:customStyle="1" w:styleId="53">
    <w:name w:val="Intense Emphasis"/>
    <w:basedOn w:val="21"/>
    <w:qFormat/>
    <w:uiPriority w:val="21"/>
    <w:rPr>
      <w:i/>
      <w:iCs/>
      <w:color w:val="104862" w:themeColor="accent1" w:themeShade="BF"/>
    </w:rPr>
  </w:style>
  <w:style w:type="paragraph" w:styleId="54">
    <w:name w:val="Intense Quote"/>
    <w:basedOn w:val="1"/>
    <w:next w:val="1"/>
    <w:link w:val="5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55">
    <w:name w:val="明显引用 字符"/>
    <w:basedOn w:val="21"/>
    <w:link w:val="54"/>
    <w:qFormat/>
    <w:uiPriority w:val="30"/>
    <w:rPr>
      <w:i/>
      <w:iCs/>
      <w:color w:val="104862" w:themeColor="accent1" w:themeShade="BF"/>
    </w:rPr>
  </w:style>
  <w:style w:type="character" w:customStyle="1" w:styleId="56">
    <w:name w:val="Intense Reference"/>
    <w:basedOn w:val="21"/>
    <w:qFormat/>
    <w:uiPriority w:val="32"/>
    <w:rPr>
      <w:b/>
      <w:bCs/>
      <w:smallCaps/>
      <w:color w:val="104862" w:themeColor="accent1" w:themeShade="BF"/>
      <w:spacing w:val="5"/>
    </w:rPr>
  </w:style>
  <w:style w:type="character" w:customStyle="1" w:styleId="57">
    <w:name w:val="正文文本缩进 字符"/>
    <w:basedOn w:val="21"/>
    <w:link w:val="13"/>
    <w:semiHidden/>
    <w:qFormat/>
    <w:uiPriority w:val="99"/>
  </w:style>
  <w:style w:type="character" w:customStyle="1" w:styleId="58">
    <w:name w:val="正文文本首行缩进 2 字符"/>
    <w:basedOn w:val="57"/>
    <w:link w:val="18"/>
    <w:qFormat/>
    <w:uiPriority w:val="0"/>
    <w:rPr>
      <w:rFonts w:ascii="宋体" w:hAnsi="宋体"/>
      <w:sz w:val="28"/>
    </w:rPr>
  </w:style>
  <w:style w:type="character" w:customStyle="1" w:styleId="59">
    <w:name w:val="批注文字 字符"/>
    <w:basedOn w:val="21"/>
    <w:link w:val="12"/>
    <w:qFormat/>
    <w:uiPriority w:val="99"/>
    <w:rPr>
      <w:rFonts w:ascii="宋体" w:hAnsi="宋体" w:eastAsia="宋体" w:cs="Times New Roman"/>
      <w:szCs w:val="24"/>
    </w:rPr>
  </w:style>
  <w:style w:type="paragraph" w:customStyle="1" w:styleId="60">
    <w:name w:val="Table Paragraph"/>
    <w:basedOn w:val="1"/>
    <w:qFormat/>
    <w:uiPriority w:val="1"/>
    <w:pPr>
      <w:ind w:left="107"/>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2820</Words>
  <Characters>3060</Characters>
  <Lines>32</Lines>
  <Paragraphs>9</Paragraphs>
  <TotalTime>3</TotalTime>
  <ScaleCrop>false</ScaleCrop>
  <LinksUpToDate>false</LinksUpToDate>
  <CharactersWithSpaces>3408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2024-09-20T02:14:00Z</dcterms:created>
  <dc:creator>方泽林</dc:creator>
  <cp:lastModifiedBy>周雨洁</cp:lastModifiedBy>
  <dcterms:modified xsi:type="dcterms:W3CDTF">2025-02-21T10:04:18Z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6F73941867484D15B6552E5D089DC84D_13</vt:lpwstr>
  </property>
  <property fmtid="{D5CDD505-2E9C-101B-9397-08002B2CF9AE}" pid="4" name="KSOTemplateDocerSaveRecord">
    <vt:lpwstr>eyJoZGlkIjoiMGU2NTdlZGY2NGRmZGRjNDI5NjVhZTNkOGM0YTNjMDYiLCJ1c2VySWQiOiIyODI0MTg2MTUifQ==</vt:lpwstr>
  </property>
</Properties>
</file>