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4E240">
      <w:pPr>
        <w:widowControl/>
        <w:adjustRightInd w:val="0"/>
        <w:spacing w:before="100" w:beforeAutospacing="1" w:after="100" w:afterAutospacing="1" w:line="360" w:lineRule="auto"/>
        <w:jc w:val="center"/>
        <w:outlineLvl w:val="0"/>
        <w:rPr>
          <w:rFonts w:hint="eastAsia" w:ascii="宋体" w:hAnsi="宋体" w:eastAsia="宋体" w:cs="宋体"/>
          <w:bCs/>
          <w:kern w:val="36"/>
          <w:sz w:val="36"/>
          <w:szCs w:val="44"/>
        </w:rPr>
      </w:pPr>
      <w:r>
        <w:rPr>
          <w:rFonts w:hint="eastAsia" w:ascii="宋体" w:hAnsi="宋体" w:eastAsia="宋体" w:cs="宋体"/>
          <w:bCs/>
          <w:kern w:val="36"/>
          <w:sz w:val="36"/>
          <w:szCs w:val="44"/>
        </w:rPr>
        <w:t>预询价公告</w:t>
      </w:r>
    </w:p>
    <w:p w14:paraId="5EB38B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kern w:val="0"/>
          <w:szCs w:val="21"/>
        </w:rPr>
        <w:t>深圳市深水生态环境技术有限公司就</w:t>
      </w:r>
      <w:bookmarkStart w:id="104" w:name="_GoBack"/>
      <w:r>
        <w:rPr>
          <w:rFonts w:hint="eastAsia" w:ascii="宋体" w:hAnsi="宋体" w:eastAsia="宋体" w:cs="宋体"/>
          <w:kern w:val="0"/>
          <w:szCs w:val="21"/>
          <w:u w:val="single"/>
          <w:lang w:val="en-US" w:eastAsia="zh-CN"/>
        </w:rPr>
        <w:t>罗芳二期污泥项目干化系统增加外部冷却设施改造</w:t>
      </w:r>
      <w:bookmarkEnd w:id="104"/>
      <w:r>
        <w:rPr>
          <w:rFonts w:hint="eastAsia" w:ascii="宋体" w:hAnsi="宋体" w:eastAsia="宋体" w:cs="宋体"/>
          <w:kern w:val="0"/>
          <w:szCs w:val="21"/>
        </w:rPr>
        <w:t>进行公开预询价，欢迎各</w:t>
      </w:r>
      <w:r>
        <w:rPr>
          <w:rFonts w:hint="eastAsia" w:ascii="宋体" w:hAnsi="宋体" w:eastAsia="宋体" w:cs="宋体"/>
        </w:rPr>
        <w:t>潜在供应商积极参与报价。本次询价结果仅作为采购限价的参考依据。</w:t>
      </w:r>
    </w:p>
    <w:p w14:paraId="09A765C3">
      <w:pPr>
        <w:keepNext/>
        <w:keepLines/>
        <w:spacing w:before="260"/>
        <w:jc w:val="left"/>
        <w:outlineLvl w:val="1"/>
        <w:rPr>
          <w:rFonts w:hint="eastAsia" w:ascii="宋体" w:hAnsi="宋体" w:eastAsia="宋体" w:cs="宋体"/>
          <w:b/>
          <w:bCs/>
          <w:szCs w:val="21"/>
        </w:rPr>
      </w:pPr>
      <w:bookmarkStart w:id="0" w:name="_Toc52363201"/>
      <w:bookmarkStart w:id="1" w:name="_Toc53088894"/>
      <w:r>
        <w:rPr>
          <w:rFonts w:hint="eastAsia" w:ascii="宋体" w:hAnsi="宋体" w:eastAsia="宋体" w:cs="宋体"/>
          <w:b/>
          <w:bCs/>
          <w:szCs w:val="21"/>
        </w:rPr>
        <w:t>一、</w:t>
      </w:r>
      <w:bookmarkEnd w:id="0"/>
      <w:bookmarkEnd w:id="1"/>
      <w:r>
        <w:rPr>
          <w:rFonts w:hint="eastAsia" w:ascii="宋体" w:hAnsi="宋体" w:eastAsia="宋体" w:cs="宋体"/>
          <w:b/>
          <w:bCs/>
          <w:szCs w:val="21"/>
        </w:rPr>
        <w:t>报价单位资格要求</w:t>
      </w:r>
    </w:p>
    <w:p w14:paraId="76F153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Cs w:val="21"/>
        </w:rPr>
      </w:pPr>
      <w:bookmarkStart w:id="2" w:name="_Toc52363202"/>
      <w:bookmarkStart w:id="3" w:name="_Toc53088895"/>
      <w:r>
        <w:rPr>
          <w:rFonts w:hint="eastAsia" w:ascii="宋体" w:hAnsi="宋体" w:eastAsia="宋体" w:cs="宋体"/>
          <w:kern w:val="0"/>
          <w:szCs w:val="21"/>
        </w:rPr>
        <w:t>1.投标人须为中国境内注册的独立企业法人，具有合法经营资格。（提供营业执照扫描件加盖公章）</w:t>
      </w:r>
    </w:p>
    <w:p w14:paraId="0A8284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Cs w:val="21"/>
        </w:rPr>
      </w:pPr>
      <w:r>
        <w:rPr>
          <w:rFonts w:hint="eastAsia" w:ascii="宋体" w:hAnsi="宋体" w:eastAsia="宋体" w:cs="宋体"/>
          <w:szCs w:val="21"/>
          <w:lang w:val="en-US" w:eastAsia="zh-CN"/>
        </w:rPr>
        <w:t>2.</w:t>
      </w:r>
      <w:r>
        <w:rPr>
          <w:rFonts w:hint="eastAsia" w:ascii="宋体" w:hAnsi="宋体" w:eastAsia="宋体" w:cs="宋体"/>
          <w:kern w:val="0"/>
          <w:szCs w:val="21"/>
        </w:rPr>
        <w:t>投标人企业及法定代表人，近三年内（从本项目发布招标公告之日起倒算）无行贿犯罪记录、无违法行为。</w:t>
      </w:r>
    </w:p>
    <w:p w14:paraId="54FEA5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3</w:t>
      </w:r>
      <w:r>
        <w:rPr>
          <w:rFonts w:hint="eastAsia" w:ascii="宋体" w:hAnsi="宋体" w:eastAsia="宋体" w:cs="宋体"/>
          <w:kern w:val="0"/>
          <w:szCs w:val="21"/>
        </w:rPr>
        <w:t>.投标人近3年内（从招标公告发布日期倒算）企业及法定代表人没有行贿骗取中标和严重违约、提供的产品没有重大质量问题及安全事故。</w:t>
      </w:r>
    </w:p>
    <w:p w14:paraId="46B4D2D5">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w:t>
      </w:r>
      <w:bookmarkStart w:id="4" w:name="OLE_LINK1"/>
      <w:r>
        <w:rPr>
          <w:rFonts w:hint="eastAsia" w:ascii="宋体" w:hAnsi="宋体" w:eastAsia="宋体" w:cs="宋体"/>
          <w:kern w:val="0"/>
          <w:szCs w:val="21"/>
        </w:rPr>
        <w:t>本项目不接受联合体投标，不允许转包、违法分包。</w:t>
      </w:r>
      <w:bookmarkEnd w:id="4"/>
    </w:p>
    <w:p w14:paraId="0DA0DC79">
      <w:pPr>
        <w:keepNext/>
        <w:keepLines/>
        <w:spacing w:before="260"/>
        <w:jc w:val="left"/>
        <w:outlineLvl w:val="1"/>
        <w:rPr>
          <w:rFonts w:hint="eastAsia" w:ascii="宋体" w:hAnsi="宋体" w:eastAsia="宋体" w:cs="宋体"/>
          <w:b/>
          <w:bCs/>
          <w:szCs w:val="21"/>
        </w:rPr>
      </w:pPr>
      <w:r>
        <w:rPr>
          <w:rFonts w:hint="eastAsia" w:ascii="宋体" w:hAnsi="宋体" w:eastAsia="宋体" w:cs="宋体"/>
          <w:b/>
          <w:bCs/>
          <w:szCs w:val="21"/>
        </w:rPr>
        <w:t>二、</w:t>
      </w:r>
      <w:bookmarkEnd w:id="2"/>
      <w:bookmarkEnd w:id="3"/>
      <w:r>
        <w:rPr>
          <w:rFonts w:hint="eastAsia" w:ascii="宋体" w:hAnsi="宋体" w:eastAsia="宋体" w:cs="宋体"/>
          <w:b/>
          <w:bCs/>
          <w:szCs w:val="21"/>
        </w:rPr>
        <w:t>项目需求</w:t>
      </w:r>
    </w:p>
    <w:p w14:paraId="168CDD20">
      <w:pPr>
        <w:numPr>
          <w:ilvl w:val="0"/>
          <w:numId w:val="2"/>
        </w:numPr>
        <w:spacing w:line="360" w:lineRule="auto"/>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项目概况</w:t>
      </w:r>
    </w:p>
    <w:p w14:paraId="6E513DEC">
      <w:pPr>
        <w:spacing w:line="360" w:lineRule="auto"/>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我司在罗芳二期污泥项目对一条热泵型带式干化机进行改造，将其改造为余热型带式干化机，在调试运行过程中发现车间顶部冷却塔提供的冷却水温度达不到设计工况32℃，导致改造后的干化机去水能力及产能均达不到设计要求。为解决上述问题，拟增加一套外部冷却设施。</w:t>
      </w:r>
    </w:p>
    <w:p w14:paraId="3CB83F50">
      <w:pPr>
        <w:numPr>
          <w:ilvl w:val="0"/>
          <w:numId w:val="2"/>
        </w:num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工作边界</w:t>
      </w:r>
    </w:p>
    <w:p w14:paraId="5EDEE1AA">
      <w:pPr>
        <w:spacing w:line="360" w:lineRule="auto"/>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投标人根据招标人需求在约定时间内完成外部冷却设施的制造、供货、安装、调试试运行。</w:t>
      </w:r>
      <w:r>
        <w:rPr>
          <w:rFonts w:hint="eastAsia" w:ascii="宋体" w:hAnsi="宋体" w:eastAsia="宋体" w:cs="宋体"/>
          <w:kern w:val="0"/>
          <w:szCs w:val="21"/>
        </w:rPr>
        <w:t>若在后续使用过程中，投标人提供的产品无法达到双方预定的设计要求，投标人需负责无偿改造，直至达到预定要求。</w:t>
      </w:r>
    </w:p>
    <w:p w14:paraId="34535BA1">
      <w:pPr>
        <w:numPr>
          <w:ilvl w:val="0"/>
          <w:numId w:val="2"/>
        </w:numPr>
        <w:spacing w:line="360" w:lineRule="auto"/>
        <w:ind w:firstLine="422" w:firstLineChars="200"/>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主要采购清单</w:t>
      </w:r>
    </w:p>
    <w:tbl>
      <w:tblPr>
        <w:tblStyle w:val="15"/>
        <w:tblW w:w="4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103"/>
        <w:gridCol w:w="3335"/>
        <w:gridCol w:w="756"/>
        <w:gridCol w:w="717"/>
        <w:gridCol w:w="1897"/>
      </w:tblGrid>
      <w:tr w14:paraId="2E83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vAlign w:val="center"/>
          </w:tcPr>
          <w:p w14:paraId="5A2486B5">
            <w:pPr>
              <w:pStyle w:val="24"/>
              <w:adjustRightInd w:val="0"/>
              <w:snapToGrid w:val="0"/>
              <w:ind w:firstLine="0" w:firstLineChars="0"/>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序号</w:t>
            </w:r>
          </w:p>
        </w:tc>
        <w:tc>
          <w:tcPr>
            <w:tcW w:w="652" w:type="pct"/>
            <w:vAlign w:val="center"/>
          </w:tcPr>
          <w:p w14:paraId="763BAC18">
            <w:pPr>
              <w:adjustRightInd w:val="0"/>
              <w:snapToGrid w:val="0"/>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设备名称</w:t>
            </w:r>
          </w:p>
        </w:tc>
        <w:tc>
          <w:tcPr>
            <w:tcW w:w="1972" w:type="pct"/>
            <w:vAlign w:val="center"/>
          </w:tcPr>
          <w:p w14:paraId="3FF17670">
            <w:pPr>
              <w:adjustRightInd w:val="0"/>
              <w:snapToGrid w:val="0"/>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规格参数</w:t>
            </w:r>
          </w:p>
        </w:tc>
        <w:tc>
          <w:tcPr>
            <w:tcW w:w="447" w:type="pct"/>
            <w:vAlign w:val="center"/>
          </w:tcPr>
          <w:p w14:paraId="213BF0A8">
            <w:pPr>
              <w:adjustRightInd w:val="0"/>
              <w:snapToGrid w:val="0"/>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数量</w:t>
            </w:r>
          </w:p>
        </w:tc>
        <w:tc>
          <w:tcPr>
            <w:tcW w:w="424" w:type="pct"/>
            <w:vAlign w:val="center"/>
          </w:tcPr>
          <w:p w14:paraId="6AD665AC">
            <w:pPr>
              <w:adjustRightInd w:val="0"/>
              <w:snapToGrid w:val="0"/>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单位</w:t>
            </w:r>
          </w:p>
        </w:tc>
        <w:tc>
          <w:tcPr>
            <w:tcW w:w="1121" w:type="pct"/>
            <w:vAlign w:val="center"/>
          </w:tcPr>
          <w:p w14:paraId="26E9AEF6">
            <w:pPr>
              <w:adjustRightInd w:val="0"/>
              <w:snapToGrid w:val="0"/>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备注</w:t>
            </w:r>
          </w:p>
        </w:tc>
      </w:tr>
      <w:tr w14:paraId="7A14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6B122CD1">
            <w:pPr>
              <w:adjustRightInd w:val="0"/>
              <w:snapToGrid w:val="0"/>
              <w:jc w:val="center"/>
              <w:rPr>
                <w:rFonts w:hint="default" w:ascii="Times New Roman" w:hAnsi="Times New Roman" w:cs="Times New Roman"/>
                <w:lang w:val="en-US" w:eastAsia="zh-CN"/>
              </w:rPr>
            </w:pPr>
            <w:r>
              <w:rPr>
                <w:rFonts w:hint="default" w:ascii="Times New Roman" w:hAnsi="Times New Roman" w:eastAsia="宋体" w:cs="Times New Roman"/>
                <w:szCs w:val="21"/>
                <w:lang w:val="en-US" w:eastAsia="zh-CN"/>
              </w:rPr>
              <w:t>1</w:t>
            </w:r>
          </w:p>
        </w:tc>
        <w:tc>
          <w:tcPr>
            <w:tcW w:w="652" w:type="pct"/>
            <w:vAlign w:val="center"/>
          </w:tcPr>
          <w:p w14:paraId="210F071A">
            <w:pPr>
              <w:adjustRightInd w:val="0"/>
              <w:snapToGrid w:val="0"/>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闭式冷却塔</w:t>
            </w:r>
          </w:p>
        </w:tc>
        <w:tc>
          <w:tcPr>
            <w:tcW w:w="1972" w:type="pct"/>
            <w:vAlign w:val="center"/>
          </w:tcPr>
          <w:p w14:paraId="582476B0">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1）冷却水量：60m3/h，设计进出水温度：37/32℃；</w:t>
            </w:r>
          </w:p>
          <w:p w14:paraId="219387D6">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2）换热盘管材质316L不锈钢，壁厚≥0.8mm，上箱体、下箱体及内部结构件材质304不锈钢，壁厚≥2mm；</w:t>
            </w:r>
          </w:p>
          <w:p w14:paraId="00269D18">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cs="Times New Roman"/>
                <w:lang w:val="en-US" w:eastAsia="zh-CN"/>
              </w:rPr>
            </w:pPr>
            <w:r>
              <w:rPr>
                <w:rFonts w:hint="default" w:ascii="Times New Roman" w:hAnsi="Times New Roman" w:eastAsia="宋体" w:cs="Times New Roman"/>
                <w:b w:val="0"/>
                <w:bCs w:val="0"/>
                <w:highlight w:val="none"/>
                <w:lang w:val="en-US" w:eastAsia="zh-CN"/>
              </w:rPr>
              <w:t>3）风筒材质为304不锈钢，带304不锈钢网罩，电机防护等级为IP55。</w:t>
            </w:r>
          </w:p>
        </w:tc>
        <w:tc>
          <w:tcPr>
            <w:tcW w:w="447" w:type="pct"/>
            <w:vAlign w:val="center"/>
          </w:tcPr>
          <w:p w14:paraId="2648B57C">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w:t>
            </w:r>
          </w:p>
        </w:tc>
        <w:tc>
          <w:tcPr>
            <w:tcW w:w="424" w:type="pct"/>
            <w:vAlign w:val="center"/>
          </w:tcPr>
          <w:p w14:paraId="0F57A7B9">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套</w:t>
            </w:r>
          </w:p>
        </w:tc>
        <w:tc>
          <w:tcPr>
            <w:tcW w:w="1121" w:type="pct"/>
            <w:vAlign w:val="center"/>
          </w:tcPr>
          <w:p w14:paraId="0FFAFCAF">
            <w:pPr>
              <w:adjustRightInd w:val="0"/>
              <w:snapToGrid w:val="0"/>
              <w:jc w:val="center"/>
              <w:rPr>
                <w:rFonts w:hint="default" w:ascii="Times New Roman" w:hAnsi="Times New Roman" w:eastAsia="宋体" w:cs="Times New Roman"/>
                <w:color w:val="000000"/>
                <w:szCs w:val="21"/>
                <w:lang w:val="en-US"/>
              </w:rPr>
            </w:pPr>
            <w:r>
              <w:rPr>
                <w:rFonts w:hint="default" w:ascii="Times New Roman" w:hAnsi="Times New Roman" w:eastAsia="宋体" w:cs="Times New Roman"/>
                <w:b w:val="0"/>
                <w:bCs w:val="0"/>
                <w:lang w:val="en-US" w:eastAsia="zh-CN"/>
              </w:rPr>
              <w:t>换热盘管外冷却水采用罗芳水质净化厂中水</w:t>
            </w:r>
          </w:p>
        </w:tc>
      </w:tr>
      <w:tr w14:paraId="367D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0F870F7">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w:t>
            </w:r>
          </w:p>
        </w:tc>
        <w:tc>
          <w:tcPr>
            <w:tcW w:w="652" w:type="pct"/>
            <w:vAlign w:val="center"/>
          </w:tcPr>
          <w:p w14:paraId="1EEE8BA4">
            <w:pPr>
              <w:adjustRightInd w:val="0"/>
              <w:snapToGrid w:val="0"/>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可拆洗板式换热器</w:t>
            </w:r>
          </w:p>
        </w:tc>
        <w:tc>
          <w:tcPr>
            <w:tcW w:w="1972" w:type="pct"/>
            <w:vAlign w:val="center"/>
          </w:tcPr>
          <w:p w14:paraId="064C3330">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1）换热量：150kW，工作压力1.0MPa；</w:t>
            </w:r>
          </w:p>
          <w:p w14:paraId="00824F4A">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2）一次侧工作温度：70/65℃，工作水源为自来水；</w:t>
            </w:r>
          </w:p>
          <w:p w14:paraId="028400EF">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3）二次侧工作温度：35/40℃，工作水源为罗芳水质净化厂中水；</w:t>
            </w:r>
          </w:p>
          <w:p w14:paraId="6047C215">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szCs w:val="21"/>
                <w:vertAlign w:val="baseline"/>
                <w:lang w:val="en-US" w:eastAsia="zh-CN"/>
              </w:rPr>
            </w:pPr>
            <w:r>
              <w:rPr>
                <w:rFonts w:hint="default" w:ascii="Times New Roman" w:hAnsi="Times New Roman" w:eastAsia="宋体" w:cs="Times New Roman"/>
                <w:b w:val="0"/>
                <w:bCs w:val="0"/>
                <w:highlight w:val="none"/>
                <w:lang w:val="en-US" w:eastAsia="zh-CN"/>
              </w:rPr>
              <w:t>4）盘片材质316L不锈钢。</w:t>
            </w:r>
          </w:p>
        </w:tc>
        <w:tc>
          <w:tcPr>
            <w:tcW w:w="447" w:type="pct"/>
            <w:vAlign w:val="center"/>
          </w:tcPr>
          <w:p w14:paraId="4D972991">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w:t>
            </w:r>
          </w:p>
        </w:tc>
        <w:tc>
          <w:tcPr>
            <w:tcW w:w="424" w:type="pct"/>
            <w:vAlign w:val="center"/>
          </w:tcPr>
          <w:p w14:paraId="30DA7899">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套</w:t>
            </w:r>
          </w:p>
        </w:tc>
        <w:tc>
          <w:tcPr>
            <w:tcW w:w="1121" w:type="pct"/>
            <w:vAlign w:val="center"/>
          </w:tcPr>
          <w:p w14:paraId="66894D5F">
            <w:pPr>
              <w:adjustRightInd w:val="0"/>
              <w:snapToGrid w:val="0"/>
              <w:jc w:val="center"/>
              <w:rPr>
                <w:rFonts w:hint="default" w:ascii="Times New Roman" w:hAnsi="Times New Roman" w:eastAsia="宋体" w:cs="Times New Roman"/>
                <w:color w:val="000000"/>
                <w:szCs w:val="21"/>
                <w:lang w:val="en-US"/>
              </w:rPr>
            </w:pPr>
          </w:p>
        </w:tc>
      </w:tr>
      <w:tr w14:paraId="7AD7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7D365908">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3</w:t>
            </w:r>
          </w:p>
        </w:tc>
        <w:tc>
          <w:tcPr>
            <w:tcW w:w="652" w:type="pct"/>
            <w:vAlign w:val="center"/>
          </w:tcPr>
          <w:p w14:paraId="744161D4">
            <w:pPr>
              <w:adjustRightInd w:val="0"/>
              <w:snapToGrid w:val="0"/>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钢结构平台</w:t>
            </w:r>
          </w:p>
        </w:tc>
        <w:tc>
          <w:tcPr>
            <w:tcW w:w="1972" w:type="pct"/>
            <w:vAlign w:val="center"/>
          </w:tcPr>
          <w:p w14:paraId="234C8756">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1）钢结构平台面积~4.5mX4m，离地高度~2.5m；</w:t>
            </w:r>
          </w:p>
          <w:p w14:paraId="206A2BE7">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2）平台承重~4吨；</w:t>
            </w:r>
          </w:p>
          <w:p w14:paraId="1E60D2BD">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3）平台配置防护栏杆及爬梯。</w:t>
            </w:r>
          </w:p>
        </w:tc>
        <w:tc>
          <w:tcPr>
            <w:tcW w:w="447" w:type="pct"/>
            <w:vAlign w:val="center"/>
          </w:tcPr>
          <w:p w14:paraId="5DA5363F">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w:t>
            </w:r>
          </w:p>
        </w:tc>
        <w:tc>
          <w:tcPr>
            <w:tcW w:w="424" w:type="pct"/>
            <w:vAlign w:val="center"/>
          </w:tcPr>
          <w:p w14:paraId="3E03BAC3">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套</w:t>
            </w:r>
          </w:p>
        </w:tc>
        <w:tc>
          <w:tcPr>
            <w:tcW w:w="1121" w:type="pct"/>
            <w:vAlign w:val="center"/>
          </w:tcPr>
          <w:p w14:paraId="76168971">
            <w:pPr>
              <w:adjustRightInd w:val="0"/>
              <w:snapToGrid w:val="0"/>
              <w:jc w:val="center"/>
              <w:rPr>
                <w:rFonts w:hint="default" w:ascii="Times New Roman" w:hAnsi="Times New Roman" w:eastAsia="宋体" w:cs="Times New Roman"/>
                <w:color w:val="000000"/>
                <w:szCs w:val="21"/>
                <w:lang w:val="en-US"/>
              </w:rPr>
            </w:pPr>
            <w:r>
              <w:rPr>
                <w:rFonts w:hint="default" w:ascii="Times New Roman" w:hAnsi="Times New Roman" w:eastAsia="宋体" w:cs="Times New Roman"/>
                <w:color w:val="000000"/>
                <w:szCs w:val="21"/>
                <w:lang w:val="en-US"/>
              </w:rPr>
              <w:t>拟放置平台位置地面为水泥硬化地面，钢结构平台施工需考虑地面承载力不够加固</w:t>
            </w:r>
          </w:p>
        </w:tc>
      </w:tr>
      <w:tr w14:paraId="180F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13861AB0">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4</w:t>
            </w:r>
          </w:p>
        </w:tc>
        <w:tc>
          <w:tcPr>
            <w:tcW w:w="652" w:type="pct"/>
            <w:vAlign w:val="center"/>
          </w:tcPr>
          <w:p w14:paraId="2FF86CE9">
            <w:pPr>
              <w:adjustRightInd w:val="0"/>
              <w:snapToGrid w:val="0"/>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电动三通阀</w:t>
            </w:r>
          </w:p>
        </w:tc>
        <w:tc>
          <w:tcPr>
            <w:tcW w:w="1972" w:type="pct"/>
            <w:vAlign w:val="center"/>
          </w:tcPr>
          <w:p w14:paraId="6B99597D">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1）管径DN150；</w:t>
            </w:r>
          </w:p>
          <w:p w14:paraId="54553B7C">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2）工作水温：20~80℃、工作压力：1.0MPa；</w:t>
            </w:r>
          </w:p>
          <w:p w14:paraId="0A1990C4">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3）工作水源：自来水。</w:t>
            </w:r>
          </w:p>
        </w:tc>
        <w:tc>
          <w:tcPr>
            <w:tcW w:w="447" w:type="pct"/>
            <w:vAlign w:val="center"/>
          </w:tcPr>
          <w:p w14:paraId="6FE9035C">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w:t>
            </w:r>
          </w:p>
        </w:tc>
        <w:tc>
          <w:tcPr>
            <w:tcW w:w="424" w:type="pct"/>
            <w:vAlign w:val="center"/>
          </w:tcPr>
          <w:p w14:paraId="426AA824">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个</w:t>
            </w:r>
          </w:p>
        </w:tc>
        <w:tc>
          <w:tcPr>
            <w:tcW w:w="1121" w:type="pct"/>
            <w:vAlign w:val="center"/>
          </w:tcPr>
          <w:p w14:paraId="394946E5">
            <w:pPr>
              <w:adjustRightInd w:val="0"/>
              <w:snapToGrid w:val="0"/>
              <w:jc w:val="center"/>
              <w:rPr>
                <w:rFonts w:hint="default" w:ascii="Times New Roman" w:hAnsi="Times New Roman" w:eastAsia="宋体" w:cs="Times New Roman"/>
                <w:color w:val="000000"/>
                <w:szCs w:val="21"/>
                <w:lang w:val="en-US"/>
              </w:rPr>
            </w:pPr>
          </w:p>
        </w:tc>
      </w:tr>
      <w:tr w14:paraId="227C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6CF10149">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5</w:t>
            </w:r>
          </w:p>
        </w:tc>
        <w:tc>
          <w:tcPr>
            <w:tcW w:w="652" w:type="pct"/>
            <w:vAlign w:val="center"/>
          </w:tcPr>
          <w:p w14:paraId="14773DEE">
            <w:pPr>
              <w:adjustRightInd w:val="0"/>
              <w:snapToGrid w:val="0"/>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电气部分改造</w:t>
            </w:r>
          </w:p>
        </w:tc>
        <w:tc>
          <w:tcPr>
            <w:tcW w:w="1972" w:type="pct"/>
            <w:vAlign w:val="center"/>
          </w:tcPr>
          <w:p w14:paraId="7550F130">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1）电控柜至冷却塔配电，额定功率~6KW，穿线管安装；</w:t>
            </w:r>
          </w:p>
          <w:p w14:paraId="0647B7A7">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2）电控柜至电动阀配电及信号电缆。</w:t>
            </w:r>
          </w:p>
        </w:tc>
        <w:tc>
          <w:tcPr>
            <w:tcW w:w="447" w:type="pct"/>
            <w:vAlign w:val="center"/>
          </w:tcPr>
          <w:p w14:paraId="12B097B7">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w:t>
            </w:r>
          </w:p>
        </w:tc>
        <w:tc>
          <w:tcPr>
            <w:tcW w:w="424" w:type="pct"/>
            <w:vAlign w:val="center"/>
          </w:tcPr>
          <w:p w14:paraId="1A99F909">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项</w:t>
            </w:r>
          </w:p>
        </w:tc>
        <w:tc>
          <w:tcPr>
            <w:tcW w:w="1121" w:type="pct"/>
            <w:vAlign w:val="center"/>
          </w:tcPr>
          <w:p w14:paraId="66579D78">
            <w:pPr>
              <w:adjustRightInd w:val="0"/>
              <w:snapToGrid w:val="0"/>
              <w:jc w:val="center"/>
              <w:rPr>
                <w:rFonts w:hint="default" w:ascii="Times New Roman" w:hAnsi="Times New Roman" w:eastAsia="宋体" w:cs="Times New Roman"/>
                <w:color w:val="000000"/>
                <w:szCs w:val="21"/>
                <w:lang w:val="en-US"/>
              </w:rPr>
            </w:pPr>
            <w:r>
              <w:rPr>
                <w:rFonts w:hint="default" w:ascii="Times New Roman" w:hAnsi="Times New Roman" w:eastAsia="宋体" w:cs="Times New Roman"/>
                <w:color w:val="000000"/>
                <w:szCs w:val="21"/>
                <w:lang w:val="en-US"/>
              </w:rPr>
              <w:t>含新增冷却塔、电动阀控制程序优化，控制柜到上述设备距离按10m计</w:t>
            </w:r>
          </w:p>
        </w:tc>
      </w:tr>
      <w:tr w14:paraId="12E9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E652075">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6</w:t>
            </w:r>
          </w:p>
        </w:tc>
        <w:tc>
          <w:tcPr>
            <w:tcW w:w="652" w:type="pct"/>
            <w:vAlign w:val="center"/>
          </w:tcPr>
          <w:p w14:paraId="1A5F9BAB">
            <w:pPr>
              <w:adjustRightInd w:val="0"/>
              <w:snapToGrid w:val="0"/>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管道1</w:t>
            </w:r>
          </w:p>
        </w:tc>
        <w:tc>
          <w:tcPr>
            <w:tcW w:w="1972" w:type="pct"/>
            <w:vAlign w:val="center"/>
          </w:tcPr>
          <w:p w14:paraId="364D34EC">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1）管径De110，材质为PVC；</w:t>
            </w:r>
          </w:p>
          <w:p w14:paraId="523D6954">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2）工作温度：20~50℃，工作压力：1.0MPa。</w:t>
            </w:r>
          </w:p>
        </w:tc>
        <w:tc>
          <w:tcPr>
            <w:tcW w:w="447" w:type="pct"/>
            <w:vAlign w:val="center"/>
          </w:tcPr>
          <w:p w14:paraId="4821FDE2">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50</w:t>
            </w:r>
          </w:p>
        </w:tc>
        <w:tc>
          <w:tcPr>
            <w:tcW w:w="424" w:type="pct"/>
            <w:vAlign w:val="center"/>
          </w:tcPr>
          <w:p w14:paraId="317EF8F3">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米</w:t>
            </w:r>
          </w:p>
        </w:tc>
        <w:tc>
          <w:tcPr>
            <w:tcW w:w="1121" w:type="pct"/>
            <w:vAlign w:val="center"/>
          </w:tcPr>
          <w:p w14:paraId="7BFBB56A">
            <w:pPr>
              <w:adjustRightInd w:val="0"/>
              <w:snapToGrid w:val="0"/>
              <w:jc w:val="center"/>
              <w:rPr>
                <w:rFonts w:hint="default" w:ascii="Times New Roman" w:hAnsi="Times New Roman" w:eastAsia="宋体" w:cs="Times New Roman"/>
                <w:color w:val="000000"/>
                <w:szCs w:val="21"/>
                <w:lang w:val="en-US"/>
              </w:rPr>
            </w:pPr>
            <w:r>
              <w:rPr>
                <w:rFonts w:hint="default" w:ascii="Times New Roman" w:hAnsi="Times New Roman" w:eastAsia="宋体" w:cs="Times New Roman"/>
                <w:color w:val="000000"/>
                <w:szCs w:val="21"/>
                <w:lang w:val="en-US"/>
              </w:rPr>
              <w:t>含管件、管道支架</w:t>
            </w:r>
          </w:p>
        </w:tc>
      </w:tr>
      <w:tr w14:paraId="6BDD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1738A233">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7</w:t>
            </w:r>
          </w:p>
        </w:tc>
        <w:tc>
          <w:tcPr>
            <w:tcW w:w="652" w:type="pct"/>
            <w:vAlign w:val="center"/>
          </w:tcPr>
          <w:p w14:paraId="0F4B81B4">
            <w:pPr>
              <w:adjustRightInd w:val="0"/>
              <w:snapToGrid w:val="0"/>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管道2</w:t>
            </w:r>
          </w:p>
        </w:tc>
        <w:tc>
          <w:tcPr>
            <w:tcW w:w="1972" w:type="pct"/>
            <w:vAlign w:val="center"/>
          </w:tcPr>
          <w:p w14:paraId="154022A1">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1）管径De90，材质为PPR；</w:t>
            </w:r>
          </w:p>
          <w:p w14:paraId="27A7BD93">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2）工作温度：60~80℃，工作压力：1.0MPa；</w:t>
            </w:r>
          </w:p>
          <w:p w14:paraId="63A4BE64">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3）保温处理。</w:t>
            </w:r>
          </w:p>
        </w:tc>
        <w:tc>
          <w:tcPr>
            <w:tcW w:w="447" w:type="pct"/>
            <w:vAlign w:val="center"/>
          </w:tcPr>
          <w:p w14:paraId="7B9E7BCC">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30</w:t>
            </w:r>
          </w:p>
        </w:tc>
        <w:tc>
          <w:tcPr>
            <w:tcW w:w="424" w:type="pct"/>
            <w:vAlign w:val="center"/>
          </w:tcPr>
          <w:p w14:paraId="1B99B028">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米</w:t>
            </w:r>
          </w:p>
        </w:tc>
        <w:tc>
          <w:tcPr>
            <w:tcW w:w="1121" w:type="pct"/>
            <w:vAlign w:val="center"/>
          </w:tcPr>
          <w:p w14:paraId="22E2DBF9">
            <w:pPr>
              <w:adjustRightInd w:val="0"/>
              <w:snapToGrid w:val="0"/>
              <w:jc w:val="center"/>
              <w:rPr>
                <w:rFonts w:hint="default" w:ascii="Times New Roman" w:hAnsi="Times New Roman" w:eastAsia="宋体" w:cs="Times New Roman"/>
                <w:color w:val="000000"/>
                <w:szCs w:val="21"/>
                <w:lang w:val="en-US"/>
              </w:rPr>
            </w:pPr>
            <w:r>
              <w:rPr>
                <w:rFonts w:hint="default" w:ascii="Times New Roman" w:hAnsi="Times New Roman" w:eastAsia="宋体" w:cs="Times New Roman"/>
                <w:color w:val="000000"/>
                <w:szCs w:val="21"/>
                <w:lang w:val="en-US"/>
              </w:rPr>
              <w:t>含管件、管道支架</w:t>
            </w:r>
          </w:p>
        </w:tc>
      </w:tr>
      <w:tr w14:paraId="3CBE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68967C36">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8</w:t>
            </w:r>
          </w:p>
        </w:tc>
        <w:tc>
          <w:tcPr>
            <w:tcW w:w="652" w:type="pct"/>
            <w:vAlign w:val="center"/>
          </w:tcPr>
          <w:p w14:paraId="354D310F">
            <w:pPr>
              <w:adjustRightInd w:val="0"/>
              <w:snapToGrid w:val="0"/>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管道3</w:t>
            </w:r>
          </w:p>
        </w:tc>
        <w:tc>
          <w:tcPr>
            <w:tcW w:w="1972" w:type="pct"/>
            <w:vAlign w:val="center"/>
          </w:tcPr>
          <w:p w14:paraId="2AE28AA0">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1）管径De160，材质为PVC；</w:t>
            </w:r>
          </w:p>
          <w:p w14:paraId="77B0CD6A">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2）工作温度：20~50℃，工作压力：1.0MPa。</w:t>
            </w:r>
          </w:p>
        </w:tc>
        <w:tc>
          <w:tcPr>
            <w:tcW w:w="447" w:type="pct"/>
            <w:vAlign w:val="center"/>
          </w:tcPr>
          <w:p w14:paraId="753A5D5C">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30</w:t>
            </w:r>
          </w:p>
        </w:tc>
        <w:tc>
          <w:tcPr>
            <w:tcW w:w="424" w:type="pct"/>
            <w:vAlign w:val="center"/>
          </w:tcPr>
          <w:p w14:paraId="1134BB43">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米</w:t>
            </w:r>
          </w:p>
        </w:tc>
        <w:tc>
          <w:tcPr>
            <w:tcW w:w="1121" w:type="pct"/>
            <w:vAlign w:val="center"/>
          </w:tcPr>
          <w:p w14:paraId="699C1D4A">
            <w:pPr>
              <w:adjustRightInd w:val="0"/>
              <w:snapToGrid w:val="0"/>
              <w:jc w:val="center"/>
              <w:rPr>
                <w:rFonts w:hint="default" w:ascii="Times New Roman" w:hAnsi="Times New Roman" w:eastAsia="宋体" w:cs="Times New Roman"/>
                <w:color w:val="000000"/>
                <w:szCs w:val="21"/>
                <w:lang w:val="en-US"/>
              </w:rPr>
            </w:pPr>
            <w:r>
              <w:rPr>
                <w:rFonts w:hint="default" w:ascii="Times New Roman" w:hAnsi="Times New Roman" w:eastAsia="宋体" w:cs="Times New Roman"/>
                <w:color w:val="000000"/>
                <w:szCs w:val="21"/>
                <w:lang w:val="en-US"/>
              </w:rPr>
              <w:t>含管件、管道支架</w:t>
            </w:r>
          </w:p>
        </w:tc>
      </w:tr>
      <w:tr w14:paraId="24A3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3ECBE156">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9</w:t>
            </w:r>
          </w:p>
        </w:tc>
        <w:tc>
          <w:tcPr>
            <w:tcW w:w="652" w:type="pct"/>
            <w:vAlign w:val="center"/>
          </w:tcPr>
          <w:p w14:paraId="76724D43">
            <w:pPr>
              <w:adjustRightInd w:val="0"/>
              <w:snapToGrid w:val="0"/>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温度变送器</w:t>
            </w:r>
          </w:p>
        </w:tc>
        <w:tc>
          <w:tcPr>
            <w:tcW w:w="1972" w:type="pct"/>
            <w:vAlign w:val="center"/>
          </w:tcPr>
          <w:p w14:paraId="4BA7C2DB">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1）工作温度：20~80℃；</w:t>
            </w:r>
          </w:p>
          <w:p w14:paraId="39D8B357">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2）具有就地显示及远传功能。</w:t>
            </w:r>
          </w:p>
        </w:tc>
        <w:tc>
          <w:tcPr>
            <w:tcW w:w="447" w:type="pct"/>
            <w:vAlign w:val="center"/>
          </w:tcPr>
          <w:p w14:paraId="37EF2B01">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w:t>
            </w:r>
          </w:p>
        </w:tc>
        <w:tc>
          <w:tcPr>
            <w:tcW w:w="424" w:type="pct"/>
            <w:vAlign w:val="center"/>
          </w:tcPr>
          <w:p w14:paraId="0336BFBB">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套</w:t>
            </w:r>
          </w:p>
        </w:tc>
        <w:tc>
          <w:tcPr>
            <w:tcW w:w="1121" w:type="pct"/>
            <w:vAlign w:val="center"/>
          </w:tcPr>
          <w:p w14:paraId="02D9C5F0">
            <w:pPr>
              <w:adjustRightInd w:val="0"/>
              <w:snapToGrid w:val="0"/>
              <w:jc w:val="center"/>
              <w:rPr>
                <w:rFonts w:hint="default" w:ascii="Times New Roman" w:hAnsi="Times New Roman" w:eastAsia="宋体" w:cs="Times New Roman"/>
                <w:color w:val="000000"/>
                <w:szCs w:val="21"/>
                <w:lang w:val="en-US"/>
              </w:rPr>
            </w:pPr>
            <w:r>
              <w:rPr>
                <w:rFonts w:hint="default" w:ascii="Times New Roman" w:hAnsi="Times New Roman" w:eastAsia="宋体" w:cs="Times New Roman"/>
                <w:color w:val="000000"/>
                <w:szCs w:val="21"/>
                <w:lang w:val="en-US"/>
              </w:rPr>
              <w:t>与电动三通阀、冷却塔连锁</w:t>
            </w:r>
          </w:p>
        </w:tc>
      </w:tr>
      <w:tr w14:paraId="36CB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82" w:type="pct"/>
            <w:vAlign w:val="center"/>
          </w:tcPr>
          <w:p w14:paraId="3F357958">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10</w:t>
            </w:r>
          </w:p>
        </w:tc>
        <w:tc>
          <w:tcPr>
            <w:tcW w:w="652" w:type="pct"/>
            <w:vAlign w:val="center"/>
          </w:tcPr>
          <w:p w14:paraId="0E81FAFB">
            <w:pPr>
              <w:adjustRightInd w:val="0"/>
              <w:snapToGrid w:val="0"/>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设备安装</w:t>
            </w:r>
          </w:p>
        </w:tc>
        <w:tc>
          <w:tcPr>
            <w:tcW w:w="1972" w:type="pct"/>
            <w:vAlign w:val="center"/>
          </w:tcPr>
          <w:p w14:paraId="7D12663B">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配套</w:t>
            </w:r>
          </w:p>
        </w:tc>
        <w:tc>
          <w:tcPr>
            <w:tcW w:w="447" w:type="pct"/>
            <w:vAlign w:val="center"/>
          </w:tcPr>
          <w:p w14:paraId="3361639B">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w:t>
            </w:r>
          </w:p>
        </w:tc>
        <w:tc>
          <w:tcPr>
            <w:tcW w:w="424" w:type="pct"/>
            <w:vAlign w:val="center"/>
          </w:tcPr>
          <w:p w14:paraId="0E416374">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项</w:t>
            </w:r>
          </w:p>
        </w:tc>
        <w:tc>
          <w:tcPr>
            <w:tcW w:w="1121" w:type="pct"/>
            <w:vAlign w:val="center"/>
          </w:tcPr>
          <w:p w14:paraId="4552CF74">
            <w:pPr>
              <w:adjustRightInd w:val="0"/>
              <w:snapToGrid w:val="0"/>
              <w:jc w:val="center"/>
              <w:rPr>
                <w:rFonts w:hint="default" w:ascii="Times New Roman" w:hAnsi="Times New Roman" w:eastAsia="宋体" w:cs="Times New Roman"/>
                <w:color w:val="000000"/>
                <w:szCs w:val="21"/>
                <w:lang w:val="en-US"/>
              </w:rPr>
            </w:pPr>
          </w:p>
        </w:tc>
      </w:tr>
      <w:tr w14:paraId="1EFB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82" w:type="pct"/>
            <w:vAlign w:val="center"/>
          </w:tcPr>
          <w:p w14:paraId="12E753BA">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11</w:t>
            </w:r>
          </w:p>
        </w:tc>
        <w:tc>
          <w:tcPr>
            <w:tcW w:w="652" w:type="pct"/>
            <w:vAlign w:val="center"/>
          </w:tcPr>
          <w:p w14:paraId="3EAA4A3D">
            <w:pPr>
              <w:adjustRightInd w:val="0"/>
              <w:snapToGrid w:val="0"/>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系统调试</w:t>
            </w:r>
          </w:p>
        </w:tc>
        <w:tc>
          <w:tcPr>
            <w:tcW w:w="1972" w:type="pct"/>
            <w:vAlign w:val="center"/>
          </w:tcPr>
          <w:p w14:paraId="57DC0A77">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配套</w:t>
            </w:r>
          </w:p>
        </w:tc>
        <w:tc>
          <w:tcPr>
            <w:tcW w:w="447" w:type="pct"/>
            <w:vAlign w:val="center"/>
          </w:tcPr>
          <w:p w14:paraId="35C67122">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w:t>
            </w:r>
          </w:p>
        </w:tc>
        <w:tc>
          <w:tcPr>
            <w:tcW w:w="424" w:type="pct"/>
            <w:vAlign w:val="center"/>
          </w:tcPr>
          <w:p w14:paraId="43E35035">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项</w:t>
            </w:r>
          </w:p>
        </w:tc>
        <w:tc>
          <w:tcPr>
            <w:tcW w:w="1121" w:type="pct"/>
            <w:vAlign w:val="center"/>
          </w:tcPr>
          <w:p w14:paraId="100D7413">
            <w:pPr>
              <w:adjustRightInd w:val="0"/>
              <w:snapToGrid w:val="0"/>
              <w:jc w:val="center"/>
              <w:rPr>
                <w:rFonts w:hint="default" w:ascii="Times New Roman" w:hAnsi="Times New Roman" w:eastAsia="宋体" w:cs="Times New Roman"/>
                <w:color w:val="000000"/>
                <w:szCs w:val="21"/>
                <w:lang w:val="en-US"/>
              </w:rPr>
            </w:pPr>
          </w:p>
        </w:tc>
      </w:tr>
    </w:tbl>
    <w:p w14:paraId="3C4BCF83">
      <w:pPr>
        <w:adjustRightInd w:val="0"/>
        <w:snapToGrid w:val="0"/>
        <w:spacing w:line="360" w:lineRule="auto"/>
        <w:ind w:firstLine="480"/>
        <w:rPr>
          <w:rFonts w:hint="eastAsia" w:ascii="宋体" w:hAnsi="宋体" w:eastAsia="宋体" w:cs="宋体"/>
          <w:szCs w:val="21"/>
        </w:rPr>
      </w:pPr>
      <w:r>
        <w:rPr>
          <w:rFonts w:hint="eastAsia" w:ascii="宋体" w:hAnsi="宋体" w:eastAsia="宋体" w:cs="宋体"/>
          <w:szCs w:val="21"/>
        </w:rPr>
        <w:t>备注：1、上表为本项目采购的主要设备，所需附件及专用工具、备品备件等，由投标人自行考虑，包含在投标报价内；</w:t>
      </w:r>
    </w:p>
    <w:p w14:paraId="177EA781">
      <w:pPr>
        <w:adjustRightInd w:val="0"/>
        <w:snapToGrid w:val="0"/>
        <w:spacing w:line="360" w:lineRule="auto"/>
        <w:ind w:firstLine="630" w:firstLineChars="300"/>
        <w:rPr>
          <w:rFonts w:hint="eastAsia" w:ascii="宋体" w:hAnsi="宋体" w:eastAsia="宋体" w:cs="宋体"/>
          <w:szCs w:val="21"/>
          <w:lang w:val="en-US" w:eastAsia="zh-CN"/>
        </w:rPr>
      </w:pPr>
      <w:r>
        <w:rPr>
          <w:rFonts w:hint="eastAsia" w:ascii="宋体" w:hAnsi="宋体" w:eastAsia="宋体" w:cs="宋体"/>
          <w:szCs w:val="21"/>
          <w:lang w:val="en-US" w:eastAsia="zh-CN"/>
        </w:rPr>
        <w:t>2、本项目在技术要求中所涉及的设备、材料的品牌、型号仅供投标人参考，非指定品牌。投标人可自行选择投标设备、材料，但所投设备、材料的技术参数不得低于参考品牌的技术要求和档次；</w:t>
      </w:r>
    </w:p>
    <w:p w14:paraId="2F1E630D">
      <w:pPr>
        <w:adjustRightInd w:val="0"/>
        <w:snapToGrid w:val="0"/>
        <w:spacing w:line="360" w:lineRule="auto"/>
        <w:ind w:firstLine="630" w:firstLineChars="30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、确认中标人后，中标人需根据招标人实际需求，进行</w:t>
      </w:r>
      <w:r>
        <w:rPr>
          <w:rFonts w:hint="eastAsia" w:ascii="宋体" w:hAnsi="宋体" w:eastAsia="宋体" w:cs="宋体"/>
          <w:szCs w:val="21"/>
          <w:lang w:val="en-US" w:eastAsia="zh-CN"/>
        </w:rPr>
        <w:t>外部冷却设施</w:t>
      </w:r>
      <w:r>
        <w:rPr>
          <w:rFonts w:hint="eastAsia" w:ascii="宋体" w:hAnsi="宋体" w:eastAsia="宋体" w:cs="宋体"/>
          <w:szCs w:val="21"/>
        </w:rPr>
        <w:t>设计，经双方确认后进行生产，完成生产后需完成出厂检测，并提供相关材料，包括但不限于出厂检测报告、检测过程视频记录</w:t>
      </w:r>
      <w:r>
        <w:rPr>
          <w:rFonts w:hint="eastAsia" w:ascii="宋体" w:hAnsi="宋体" w:eastAsia="宋体" w:cs="宋体"/>
          <w:szCs w:val="21"/>
          <w:lang w:eastAsia="zh-CN"/>
        </w:rPr>
        <w:t>。</w:t>
      </w:r>
    </w:p>
    <w:p w14:paraId="06EB9FB3">
      <w:pPr>
        <w:numPr>
          <w:ilvl w:val="0"/>
          <w:numId w:val="2"/>
        </w:num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技术要求</w:t>
      </w:r>
    </w:p>
    <w:p w14:paraId="6991D78E">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1、产品质量要符合国家标准，行业规范规定等。</w:t>
      </w:r>
    </w:p>
    <w:p w14:paraId="45F32270">
      <w:pPr>
        <w:adjustRightInd w:val="0"/>
        <w:snapToGrid w:val="0"/>
        <w:spacing w:line="360" w:lineRule="auto"/>
        <w:rPr>
          <w:rFonts w:hint="eastAsia" w:ascii="宋体" w:hAnsi="宋体" w:eastAsia="宋体" w:cs="宋体"/>
          <w:szCs w:val="21"/>
          <w:lang w:eastAsia="zh-CN"/>
        </w:rPr>
      </w:pPr>
      <w:r>
        <w:rPr>
          <w:rFonts w:hint="eastAsia" w:ascii="宋体" w:hAnsi="宋体" w:eastAsia="宋体" w:cs="宋体"/>
          <w:szCs w:val="21"/>
        </w:rPr>
        <w:t>2、投标人所提供的的</w:t>
      </w:r>
      <w:r>
        <w:rPr>
          <w:rFonts w:hint="eastAsia" w:ascii="宋体" w:hAnsi="宋体" w:eastAsia="宋体" w:cs="宋体"/>
          <w:kern w:val="0"/>
          <w:szCs w:val="21"/>
          <w:u w:val="none"/>
          <w:lang w:val="en-US" w:eastAsia="zh-CN"/>
        </w:rPr>
        <w:t>外部冷却设施</w:t>
      </w:r>
      <w:r>
        <w:rPr>
          <w:rFonts w:hint="eastAsia" w:ascii="宋体" w:hAnsi="宋体" w:eastAsia="宋体" w:cs="宋体"/>
          <w:szCs w:val="21"/>
        </w:rPr>
        <w:t>需满足</w:t>
      </w:r>
      <w:r>
        <w:rPr>
          <w:rFonts w:hint="eastAsia" w:ascii="宋体" w:hAnsi="宋体" w:eastAsia="宋体" w:cs="宋体"/>
          <w:szCs w:val="21"/>
          <w:lang w:val="en-US" w:eastAsia="zh-CN"/>
        </w:rPr>
        <w:t>采购清单中规格参数</w:t>
      </w:r>
      <w:r>
        <w:rPr>
          <w:rFonts w:hint="eastAsia" w:ascii="宋体" w:hAnsi="宋体" w:eastAsia="宋体" w:cs="宋体"/>
          <w:szCs w:val="21"/>
        </w:rPr>
        <w:t>要求</w:t>
      </w:r>
      <w:r>
        <w:rPr>
          <w:rFonts w:hint="eastAsia" w:ascii="宋体" w:hAnsi="宋体" w:eastAsia="宋体" w:cs="宋体"/>
          <w:szCs w:val="21"/>
          <w:lang w:eastAsia="zh-CN"/>
        </w:rPr>
        <w:t>。</w:t>
      </w:r>
    </w:p>
    <w:p w14:paraId="75919815">
      <w:pPr>
        <w:numPr>
          <w:ilvl w:val="0"/>
          <w:numId w:val="2"/>
        </w:num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设备一般要求</w:t>
      </w:r>
    </w:p>
    <w:p w14:paraId="23202172">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1、机械设备</w:t>
      </w:r>
    </w:p>
    <w:p w14:paraId="6949F73E">
      <w:pPr>
        <w:adjustRightInd w:val="0"/>
        <w:snapToGrid w:val="0"/>
        <w:spacing w:line="360" w:lineRule="auto"/>
        <w:rPr>
          <w:rFonts w:hint="eastAsia" w:ascii="宋体" w:hAnsi="宋体" w:eastAsia="宋体" w:cs="宋体"/>
          <w:szCs w:val="21"/>
        </w:rPr>
      </w:pPr>
      <w:bookmarkStart w:id="5" w:name="_Toc406663052"/>
      <w:bookmarkStart w:id="6" w:name="_Toc153271862"/>
      <w:bookmarkStart w:id="7" w:name="_Toc409452896"/>
      <w:bookmarkStart w:id="8" w:name="_Toc4096"/>
      <w:bookmarkStart w:id="9" w:name="_Toc163462541"/>
      <w:r>
        <w:rPr>
          <w:rFonts w:hint="eastAsia" w:ascii="宋体" w:hAnsi="宋体" w:eastAsia="宋体" w:cs="宋体"/>
          <w:szCs w:val="21"/>
        </w:rPr>
        <w:t>（1）制造技术与材料</w:t>
      </w:r>
      <w:bookmarkEnd w:id="5"/>
      <w:bookmarkEnd w:id="6"/>
      <w:bookmarkEnd w:id="7"/>
      <w:bookmarkEnd w:id="8"/>
      <w:bookmarkEnd w:id="9"/>
    </w:p>
    <w:p w14:paraId="134F48B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①制造商或中标人提供的所有设备及材料必须是全新的、先进的、从未使用过的。材质和设计加工方面无任何缺陷，且耗能低，使用寿命长，维修量低。</w:t>
      </w:r>
    </w:p>
    <w:p w14:paraId="48C9026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②所有设备必须依据最新、最佳的技术和工艺进行设计、制造与装配等工作。技术性能满足工厂的正常安全运行。设备的各部分零件应按标准的尺寸和规格制造，相同的零件应能互相更替。</w:t>
      </w:r>
    </w:p>
    <w:p w14:paraId="22DC7A18">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③材质应适合各种操作情况，选择金属材料要考虑其强度、延伸性及耐用性。铸铁应结构致密，不得有气孔、缺陷和龟裂；承受应力的锻件应是细质的、均匀的。</w:t>
      </w:r>
    </w:p>
    <w:p w14:paraId="19E1F798">
      <w:pPr>
        <w:adjustRightInd w:val="0"/>
        <w:snapToGrid w:val="0"/>
        <w:spacing w:line="360" w:lineRule="auto"/>
        <w:rPr>
          <w:rFonts w:hint="eastAsia" w:ascii="宋体" w:hAnsi="宋体" w:eastAsia="宋体" w:cs="宋体"/>
          <w:szCs w:val="21"/>
        </w:rPr>
      </w:pPr>
      <w:bookmarkStart w:id="10" w:name="_Toc153271863"/>
      <w:bookmarkStart w:id="11" w:name="_Toc409452897"/>
      <w:bookmarkStart w:id="12" w:name="_Toc406663053"/>
      <w:bookmarkStart w:id="13" w:name="_Toc163462542"/>
      <w:bookmarkStart w:id="14" w:name="_Toc10064"/>
      <w:r>
        <w:rPr>
          <w:rFonts w:hint="eastAsia" w:ascii="宋体" w:hAnsi="宋体" w:eastAsia="宋体" w:cs="宋体"/>
          <w:szCs w:val="21"/>
        </w:rPr>
        <w:t>（2）安全防护</w:t>
      </w:r>
      <w:bookmarkEnd w:id="10"/>
      <w:bookmarkEnd w:id="11"/>
      <w:bookmarkEnd w:id="12"/>
      <w:bookmarkEnd w:id="13"/>
      <w:bookmarkEnd w:id="14"/>
    </w:p>
    <w:p w14:paraId="263E2C7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①所有设备的联轴、暴露的中心轴以及其他转动部分必须有安全防护盖。</w:t>
      </w:r>
    </w:p>
    <w:p w14:paraId="330447BE">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②安全防护应为制造厂标准产品或电镀、镀锌金属片制造；每一防护设备应易于安装与拆卸，并须附有所需的支撑及附件；户外安全防护设备须能防止雨水溅入。</w:t>
      </w:r>
    </w:p>
    <w:p w14:paraId="2F22A3E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③表面有油漆者，应能防止冲击、磨损、褪色或其他损坏。</w:t>
      </w:r>
    </w:p>
    <w:p w14:paraId="713574E2">
      <w:pPr>
        <w:adjustRightInd w:val="0"/>
        <w:snapToGrid w:val="0"/>
        <w:spacing w:line="360" w:lineRule="auto"/>
        <w:rPr>
          <w:rFonts w:hint="eastAsia" w:ascii="宋体" w:hAnsi="宋体" w:eastAsia="宋体" w:cs="宋体"/>
          <w:szCs w:val="21"/>
        </w:rPr>
      </w:pPr>
      <w:bookmarkStart w:id="15" w:name="_Toc153271864"/>
      <w:bookmarkStart w:id="16" w:name="_Toc406663054"/>
      <w:bookmarkStart w:id="17" w:name="_Toc30633"/>
      <w:bookmarkStart w:id="18" w:name="_Toc409452898"/>
      <w:bookmarkStart w:id="19" w:name="_Toc163462543"/>
      <w:bookmarkStart w:id="20" w:name="_Toc163462544"/>
      <w:bookmarkStart w:id="21" w:name="_Toc23539"/>
      <w:bookmarkStart w:id="22" w:name="_Toc406663055"/>
      <w:bookmarkStart w:id="23" w:name="_Toc153271865"/>
      <w:bookmarkStart w:id="24" w:name="_Toc409452899"/>
      <w:r>
        <w:rPr>
          <w:rFonts w:hint="eastAsia" w:ascii="宋体" w:hAnsi="宋体" w:eastAsia="宋体" w:cs="宋体"/>
          <w:szCs w:val="21"/>
        </w:rPr>
        <w:t>（3）设备基础和底座</w:t>
      </w:r>
      <w:bookmarkEnd w:id="15"/>
      <w:bookmarkEnd w:id="16"/>
      <w:bookmarkEnd w:id="17"/>
      <w:bookmarkEnd w:id="18"/>
      <w:bookmarkEnd w:id="19"/>
    </w:p>
    <w:p w14:paraId="0BFCE772">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除非另有规定，根据安装和使用的需求，设备应配有必要的高强度的铸铁或钢结构的底座。所有钢板间的接口必须可靠焊接及磨平。</w:t>
      </w:r>
    </w:p>
    <w:p w14:paraId="245E26EE">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）紧固件</w:t>
      </w:r>
      <w:bookmarkEnd w:id="20"/>
      <w:bookmarkEnd w:id="21"/>
      <w:bookmarkEnd w:id="22"/>
      <w:bookmarkEnd w:id="23"/>
      <w:bookmarkEnd w:id="24"/>
    </w:p>
    <w:p w14:paraId="3E6F03D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中标人提供设备安装所需要的螺栓、垫圈和螺帽等，紧固件的材质应为SUS304不锈钢。</w:t>
      </w:r>
    </w:p>
    <w:p w14:paraId="24CA53BB">
      <w:pPr>
        <w:adjustRightInd w:val="0"/>
        <w:snapToGrid w:val="0"/>
        <w:spacing w:line="360" w:lineRule="auto"/>
        <w:rPr>
          <w:rFonts w:hint="eastAsia" w:ascii="宋体" w:hAnsi="宋体" w:eastAsia="宋体" w:cs="宋体"/>
          <w:szCs w:val="21"/>
        </w:rPr>
      </w:pPr>
      <w:bookmarkStart w:id="25" w:name="_Toc153271866"/>
      <w:bookmarkStart w:id="26" w:name="_Toc409452900"/>
      <w:bookmarkStart w:id="27" w:name="_Toc163462545"/>
      <w:bookmarkStart w:id="28" w:name="_Toc406663056"/>
      <w:bookmarkStart w:id="29" w:name="_Toc9857"/>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）特殊工具与附属设备</w:t>
      </w:r>
      <w:bookmarkEnd w:id="25"/>
      <w:bookmarkEnd w:id="26"/>
      <w:bookmarkEnd w:id="27"/>
      <w:bookmarkEnd w:id="28"/>
      <w:bookmarkEnd w:id="29"/>
    </w:p>
    <w:p w14:paraId="7BBA921F">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中标人必须提供机械设备周期性维修与调整所需的特殊工具、仪表以及维护所需的附属设备。</w:t>
      </w:r>
    </w:p>
    <w:p w14:paraId="6EDCB2F1">
      <w:pPr>
        <w:adjustRightInd w:val="0"/>
        <w:snapToGrid w:val="0"/>
        <w:spacing w:line="360" w:lineRule="auto"/>
        <w:rPr>
          <w:rFonts w:hint="eastAsia" w:ascii="宋体" w:hAnsi="宋体" w:eastAsia="宋体" w:cs="宋体"/>
          <w:szCs w:val="21"/>
        </w:rPr>
      </w:pPr>
      <w:bookmarkStart w:id="30" w:name="_Toc409452901"/>
      <w:bookmarkStart w:id="31" w:name="_Toc14919"/>
      <w:bookmarkStart w:id="32" w:name="_Toc153271867"/>
      <w:bookmarkStart w:id="33" w:name="_Toc406663057"/>
      <w:bookmarkStart w:id="34" w:name="_Toc163462546"/>
      <w:r>
        <w:rPr>
          <w:rFonts w:hint="eastAsia" w:ascii="宋体" w:hAnsi="宋体" w:eastAsia="宋体" w:cs="宋体"/>
          <w:szCs w:val="21"/>
        </w:rPr>
        <w:t>（</w:t>
      </w:r>
      <w:r>
        <w:rPr>
          <w:rFonts w:hint="eastAsia" w:ascii="宋体" w:hAnsi="宋体" w:eastAsia="宋体" w:cs="宋体"/>
          <w:szCs w:val="21"/>
          <w:lang w:val="en-US" w:eastAsia="zh-CN"/>
        </w:rPr>
        <w:t>6</w:t>
      </w:r>
      <w:r>
        <w:rPr>
          <w:rFonts w:hint="eastAsia" w:ascii="宋体" w:hAnsi="宋体" w:eastAsia="宋体" w:cs="宋体"/>
          <w:szCs w:val="21"/>
        </w:rPr>
        <w:t>）铭牌</w:t>
      </w:r>
      <w:bookmarkEnd w:id="30"/>
      <w:bookmarkEnd w:id="31"/>
      <w:bookmarkEnd w:id="32"/>
      <w:bookmarkEnd w:id="33"/>
      <w:bookmarkEnd w:id="34"/>
    </w:p>
    <w:p w14:paraId="3837CE61">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设备的铭牌应当刻在或贴在金属片上，并紧固在设备外壳上，安装好后能清楚地看到。铭牌上写下述内容：</w:t>
      </w:r>
    </w:p>
    <w:p w14:paraId="6E92BEFA">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①制造厂名称。</w:t>
      </w:r>
    </w:p>
    <w:p w14:paraId="3F72A8CE">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②设备的机型及其规格、性能参数指标等。</w:t>
      </w:r>
    </w:p>
    <w:p w14:paraId="72D3B203">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③序列号。</w:t>
      </w:r>
    </w:p>
    <w:p w14:paraId="7C9EC8E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④出厂年月。</w:t>
      </w:r>
    </w:p>
    <w:p w14:paraId="73E1F216">
      <w:pPr>
        <w:adjustRightInd w:val="0"/>
        <w:snapToGrid w:val="0"/>
        <w:spacing w:line="360" w:lineRule="auto"/>
        <w:rPr>
          <w:rFonts w:hint="eastAsia" w:ascii="宋体" w:hAnsi="宋体" w:eastAsia="宋体" w:cs="宋体"/>
          <w:szCs w:val="21"/>
        </w:rPr>
      </w:pPr>
      <w:bookmarkStart w:id="35" w:name="_Toc153271868"/>
      <w:bookmarkStart w:id="36" w:name="_Toc406663058"/>
      <w:bookmarkStart w:id="37" w:name="_Toc22419"/>
      <w:bookmarkStart w:id="38" w:name="_Toc163462547"/>
      <w:bookmarkStart w:id="39" w:name="_Toc409452902"/>
      <w:r>
        <w:rPr>
          <w:rFonts w:hint="eastAsia" w:ascii="宋体" w:hAnsi="宋体" w:eastAsia="宋体" w:cs="宋体"/>
          <w:szCs w:val="21"/>
        </w:rPr>
        <w:t>（</w:t>
      </w:r>
      <w:r>
        <w:rPr>
          <w:rFonts w:hint="eastAsia" w:ascii="宋体" w:hAnsi="宋体" w:eastAsia="宋体" w:cs="宋体"/>
          <w:szCs w:val="21"/>
          <w:lang w:val="en-US" w:eastAsia="zh-CN"/>
        </w:rPr>
        <w:t>7</w:t>
      </w:r>
      <w:r>
        <w:rPr>
          <w:rFonts w:hint="eastAsia" w:ascii="宋体" w:hAnsi="宋体" w:eastAsia="宋体" w:cs="宋体"/>
          <w:szCs w:val="21"/>
        </w:rPr>
        <w:t>）润滑</w:t>
      </w:r>
      <w:bookmarkEnd w:id="35"/>
      <w:bookmarkEnd w:id="36"/>
      <w:bookmarkEnd w:id="37"/>
      <w:bookmarkEnd w:id="38"/>
      <w:bookmarkEnd w:id="39"/>
    </w:p>
    <w:p w14:paraId="4C208C7A">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①机械设备在连续运转期间应能进行润滑工作。润滑剂的种类应由设备制造厂商建议，并应提供</w:t>
      </w:r>
      <w:r>
        <w:rPr>
          <w:rFonts w:hint="eastAsia" w:ascii="宋体" w:hAnsi="宋体" w:eastAsia="宋体" w:cs="宋体"/>
          <w:szCs w:val="21"/>
          <w:highlight w:val="none"/>
        </w:rPr>
        <w:t>足够</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年连</w:t>
      </w:r>
      <w:r>
        <w:rPr>
          <w:rFonts w:hint="eastAsia" w:ascii="宋体" w:hAnsi="宋体" w:eastAsia="宋体" w:cs="宋体"/>
          <w:szCs w:val="21"/>
        </w:rPr>
        <w:t>续运转所需用量。</w:t>
      </w:r>
    </w:p>
    <w:p w14:paraId="66673E8B">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②中标人应说明机械设备的润滑方式、润滑剂成份以及每年所需的润滑剂量，并建议润滑时间。</w:t>
      </w:r>
    </w:p>
    <w:p w14:paraId="72E664F9">
      <w:pPr>
        <w:adjustRightInd w:val="0"/>
        <w:snapToGrid w:val="0"/>
        <w:spacing w:line="360" w:lineRule="auto"/>
        <w:rPr>
          <w:rFonts w:hint="eastAsia" w:ascii="宋体" w:hAnsi="宋体" w:eastAsia="宋体" w:cs="宋体"/>
          <w:szCs w:val="21"/>
        </w:rPr>
      </w:pPr>
      <w:bookmarkStart w:id="40" w:name="_Toc406663059"/>
      <w:bookmarkStart w:id="41" w:name="_Toc7423"/>
      <w:bookmarkStart w:id="42" w:name="_Toc409452903"/>
      <w:r>
        <w:rPr>
          <w:rFonts w:hint="eastAsia" w:ascii="宋体" w:hAnsi="宋体" w:eastAsia="宋体" w:cs="宋体"/>
          <w:szCs w:val="21"/>
        </w:rPr>
        <w:t>（</w:t>
      </w:r>
      <w:r>
        <w:rPr>
          <w:rFonts w:hint="eastAsia" w:ascii="宋体" w:hAnsi="宋体" w:eastAsia="宋体" w:cs="宋体"/>
          <w:szCs w:val="21"/>
          <w:lang w:val="en-US" w:eastAsia="zh-CN"/>
        </w:rPr>
        <w:t>8</w:t>
      </w:r>
      <w:r>
        <w:rPr>
          <w:rFonts w:hint="eastAsia" w:ascii="宋体" w:hAnsi="宋体" w:eastAsia="宋体" w:cs="宋体"/>
          <w:szCs w:val="21"/>
        </w:rPr>
        <w:t>）防潮措施</w:t>
      </w:r>
      <w:bookmarkEnd w:id="40"/>
      <w:bookmarkEnd w:id="41"/>
      <w:bookmarkEnd w:id="42"/>
    </w:p>
    <w:p w14:paraId="48EA31D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应该采取特别的预防措施，防止由于潮气、降雨和湿气而造成的腐蚀。</w:t>
      </w:r>
    </w:p>
    <w:p w14:paraId="707AA674">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所有安装在墙壁上的设备，都应该装有隔离挡板，以提供最小5mm的间隙。设备上所有的空洞，都应有效的密封，以防止水的进入。所有暴露在空气中或水中的部件，均不得有集水装置，必要时应提供排水孔，防止积水。</w:t>
      </w:r>
    </w:p>
    <w:p w14:paraId="690635F6">
      <w:pPr>
        <w:adjustRightInd w:val="0"/>
        <w:snapToGrid w:val="0"/>
        <w:spacing w:line="360" w:lineRule="auto"/>
        <w:rPr>
          <w:rFonts w:hint="eastAsia" w:ascii="宋体" w:hAnsi="宋体" w:eastAsia="宋体" w:cs="宋体"/>
          <w:szCs w:val="21"/>
        </w:rPr>
      </w:pPr>
      <w:bookmarkStart w:id="43" w:name="_Toc153271870"/>
      <w:bookmarkStart w:id="44" w:name="_Toc406663060"/>
      <w:bookmarkStart w:id="45" w:name="_Toc409452904"/>
      <w:bookmarkStart w:id="46" w:name="_Toc163462549"/>
      <w:bookmarkStart w:id="47" w:name="_Toc16188"/>
      <w:r>
        <w:rPr>
          <w:rFonts w:hint="eastAsia" w:ascii="宋体" w:hAnsi="宋体" w:eastAsia="宋体" w:cs="宋体"/>
          <w:szCs w:val="21"/>
        </w:rPr>
        <w:t>（</w:t>
      </w:r>
      <w:r>
        <w:rPr>
          <w:rFonts w:hint="eastAsia" w:ascii="宋体" w:hAnsi="宋体" w:eastAsia="宋体" w:cs="宋体"/>
          <w:szCs w:val="21"/>
          <w:lang w:val="en-US" w:eastAsia="zh-CN"/>
        </w:rPr>
        <w:t>9</w:t>
      </w:r>
      <w:r>
        <w:rPr>
          <w:rFonts w:hint="eastAsia" w:ascii="宋体" w:hAnsi="宋体" w:eastAsia="宋体" w:cs="宋体"/>
          <w:szCs w:val="21"/>
        </w:rPr>
        <w:t>）材料的防腐蚀</w:t>
      </w:r>
      <w:bookmarkEnd w:id="43"/>
      <w:bookmarkEnd w:id="44"/>
      <w:bookmarkEnd w:id="45"/>
      <w:bookmarkEnd w:id="46"/>
      <w:bookmarkEnd w:id="47"/>
    </w:p>
    <w:p w14:paraId="518E7864">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设备中所有在</w:t>
      </w:r>
      <w:r>
        <w:rPr>
          <w:rFonts w:hint="eastAsia" w:ascii="宋体" w:hAnsi="宋体" w:eastAsia="宋体" w:cs="宋体"/>
          <w:color w:val="000000" w:themeColor="text1"/>
          <w:szCs w:val="21"/>
          <w:lang w:val="en-US" w:eastAsia="zh-CN"/>
          <w14:textFill>
            <w14:solidFill>
              <w14:schemeClr w14:val="tx1"/>
            </w14:solidFill>
          </w14:textFill>
        </w:rPr>
        <w:t>污泥</w:t>
      </w:r>
      <w:r>
        <w:rPr>
          <w:rFonts w:hint="eastAsia" w:ascii="宋体" w:hAnsi="宋体" w:eastAsia="宋体" w:cs="宋体"/>
          <w:color w:val="000000" w:themeColor="text1"/>
          <w:szCs w:val="21"/>
          <w14:textFill>
            <w14:solidFill>
              <w14:schemeClr w14:val="tx1"/>
            </w14:solidFill>
          </w14:textFill>
        </w:rPr>
        <w:t>下</w:t>
      </w:r>
      <w:r>
        <w:rPr>
          <w:rFonts w:hint="eastAsia" w:ascii="宋体" w:hAnsi="宋体" w:eastAsia="宋体" w:cs="宋体"/>
          <w:szCs w:val="21"/>
        </w:rPr>
        <w:t>运行的部件，或在</w:t>
      </w:r>
      <w:r>
        <w:rPr>
          <w:rFonts w:hint="eastAsia" w:ascii="宋体" w:hAnsi="宋体" w:eastAsia="宋体" w:cs="宋体"/>
          <w:color w:val="000000" w:themeColor="text1"/>
          <w:szCs w:val="21"/>
          <w:lang w:val="en-US" w:eastAsia="zh-CN"/>
          <w14:textFill>
            <w14:solidFill>
              <w14:schemeClr w14:val="tx1"/>
            </w14:solidFill>
          </w14:textFill>
        </w:rPr>
        <w:t>污泥、</w:t>
      </w:r>
      <w:r>
        <w:rPr>
          <w:rFonts w:hint="eastAsia" w:ascii="宋体" w:hAnsi="宋体" w:eastAsia="宋体" w:cs="宋体"/>
          <w:szCs w:val="21"/>
        </w:rPr>
        <w:t>有毒有害气体界面中的部件，或那些与化学品直接接触的所有部件，应具有抗腐蚀性和抗侵蚀性能。上述部件如在保证期间内出现腐蚀的迹象应由中标人将其更换成具有防腐性能的、合格的防锈材料，以满足长期使用的要求。</w:t>
      </w:r>
    </w:p>
    <w:p w14:paraId="4E9D27B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中标人应特别注意由于不同种类金属的紧密连接面引起的锈蚀问题，应防止此类问题发生。当必须使用不同类金属相接触时，应使电化</w:t>
      </w:r>
      <w:r>
        <w:rPr>
          <w:rFonts w:hint="eastAsia" w:ascii="宋体" w:hAnsi="宋体" w:eastAsia="宋体" w:cs="宋体"/>
          <w:szCs w:val="21"/>
          <w:lang w:val="en-US" w:eastAsia="zh-CN"/>
        </w:rPr>
        <w:t>学</w:t>
      </w:r>
      <w:r>
        <w:rPr>
          <w:rFonts w:hint="eastAsia" w:ascii="宋体" w:hAnsi="宋体" w:eastAsia="宋体" w:cs="宋体"/>
          <w:szCs w:val="21"/>
        </w:rPr>
        <w:t>势不大于0.5mV。</w:t>
      </w:r>
    </w:p>
    <w:p w14:paraId="4243F107">
      <w:pPr>
        <w:adjustRightInd w:val="0"/>
        <w:snapToGrid w:val="0"/>
        <w:spacing w:line="360" w:lineRule="auto"/>
        <w:rPr>
          <w:rFonts w:hint="eastAsia" w:ascii="宋体" w:hAnsi="宋体" w:eastAsia="宋体" w:cs="宋体"/>
          <w:szCs w:val="21"/>
        </w:rPr>
      </w:pPr>
      <w:bookmarkStart w:id="48" w:name="_Toc406663061"/>
      <w:bookmarkStart w:id="49" w:name="_Toc409452905"/>
      <w:bookmarkStart w:id="50" w:name="_Toc25013"/>
      <w:r>
        <w:rPr>
          <w:rFonts w:hint="eastAsia" w:ascii="宋体" w:hAnsi="宋体" w:eastAsia="宋体" w:cs="宋体"/>
          <w:szCs w:val="21"/>
        </w:rPr>
        <w:t>（</w:t>
      </w:r>
      <w:r>
        <w:rPr>
          <w:rFonts w:hint="eastAsia" w:ascii="宋体" w:hAnsi="宋体" w:eastAsia="宋体" w:cs="宋体"/>
          <w:szCs w:val="21"/>
          <w:lang w:val="en-US" w:eastAsia="zh-CN"/>
        </w:rPr>
        <w:t>10</w:t>
      </w:r>
      <w:r>
        <w:rPr>
          <w:rFonts w:hint="eastAsia" w:ascii="宋体" w:hAnsi="宋体" w:eastAsia="宋体" w:cs="宋体"/>
          <w:szCs w:val="21"/>
        </w:rPr>
        <w:t>）噪音和震动</w:t>
      </w:r>
      <w:bookmarkEnd w:id="48"/>
      <w:bookmarkEnd w:id="49"/>
      <w:bookmarkEnd w:id="50"/>
    </w:p>
    <w:p w14:paraId="4F213D6A">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在装置的设计中，应包括有关隔音材料、防震装置和其他适当的设施和设计，以保证设备在最终安装位置</w:t>
      </w:r>
      <w:r>
        <w:rPr>
          <w:rFonts w:hint="eastAsia" w:ascii="宋体" w:hAnsi="宋体" w:eastAsia="宋体" w:cs="宋体"/>
          <w:szCs w:val="21"/>
          <w:highlight w:val="none"/>
        </w:rPr>
        <w:t>运行时，没有超过标准规定的噪音和振动要求值。在厂区内（车间外）任意一点听到机械噪音，都不能大于35分贝。而单个设备在距离其表面1米的地方，所听到噪音不能大于</w:t>
      </w:r>
      <w:r>
        <w:rPr>
          <w:rFonts w:hint="eastAsia" w:ascii="宋体" w:hAnsi="宋体" w:eastAsia="宋体" w:cs="宋体"/>
          <w:szCs w:val="21"/>
          <w:highlight w:val="none"/>
          <w:lang w:val="en-US" w:eastAsia="zh-CN"/>
        </w:rPr>
        <w:t>70</w:t>
      </w:r>
      <w:r>
        <w:rPr>
          <w:rFonts w:hint="eastAsia" w:ascii="宋体" w:hAnsi="宋体" w:eastAsia="宋体" w:cs="宋体"/>
          <w:szCs w:val="21"/>
          <w:highlight w:val="none"/>
        </w:rPr>
        <w:t>分贝。中标人应该采</w:t>
      </w:r>
      <w:r>
        <w:rPr>
          <w:rFonts w:hint="eastAsia" w:ascii="宋体" w:hAnsi="宋体" w:eastAsia="宋体" w:cs="宋体"/>
          <w:szCs w:val="21"/>
        </w:rPr>
        <w:t>取所规定的所有噪音防护设施。</w:t>
      </w:r>
    </w:p>
    <w:p w14:paraId="17CDBE6D">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所有传动部件，均必须做静平衡和动平衡，以便在部件在加速运行、全速运行以及在最大负荷状态运行的任意一种情况，机器本身的任何部位以及机器相邻的任何结构，都没有超过标准规定的振动要求值。</w:t>
      </w:r>
    </w:p>
    <w:p w14:paraId="0E31D001">
      <w:pPr>
        <w:adjustRightInd w:val="0"/>
        <w:snapToGrid w:val="0"/>
        <w:spacing w:line="360" w:lineRule="auto"/>
        <w:rPr>
          <w:rFonts w:hint="eastAsia" w:ascii="宋体" w:hAnsi="宋体" w:eastAsia="宋体" w:cs="宋体"/>
          <w:szCs w:val="21"/>
          <w:highlight w:val="none"/>
        </w:rPr>
      </w:pPr>
      <w:bookmarkStart w:id="51" w:name="_Toc2161404"/>
      <w:bookmarkStart w:id="52" w:name="_Toc130477385"/>
      <w:r>
        <w:rPr>
          <w:rFonts w:hint="eastAsia" w:ascii="宋体" w:hAnsi="宋体" w:eastAsia="宋体" w:cs="宋体"/>
          <w:szCs w:val="21"/>
          <w:highlight w:val="none"/>
        </w:rPr>
        <w:t>2、旋转电动机</w:t>
      </w:r>
      <w:bookmarkEnd w:id="51"/>
      <w:bookmarkEnd w:id="52"/>
    </w:p>
    <w:p w14:paraId="2FEAD43B">
      <w:pPr>
        <w:adjustRightInd w:val="0"/>
        <w:snapToGrid w:val="0"/>
        <w:spacing w:line="360" w:lineRule="auto"/>
        <w:rPr>
          <w:rFonts w:hint="eastAsia" w:ascii="宋体" w:hAnsi="宋体" w:eastAsia="宋体" w:cs="宋体"/>
          <w:szCs w:val="21"/>
        </w:rPr>
      </w:pPr>
      <w:bookmarkStart w:id="53" w:name="_Toc2161405"/>
      <w:r>
        <w:rPr>
          <w:rFonts w:hint="eastAsia" w:ascii="宋体" w:hAnsi="宋体" w:eastAsia="宋体" w:cs="宋体"/>
          <w:szCs w:val="21"/>
        </w:rPr>
        <w:t>（1）一般电气要求</w:t>
      </w:r>
      <w:bookmarkEnd w:id="53"/>
    </w:p>
    <w:p w14:paraId="448F636B">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机械设备制造商必须选择并提供与机械相配的所有电动机。</w:t>
      </w:r>
    </w:p>
    <w:p w14:paraId="4F6D3AAA">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电动机的设计、制造、安装、测试应服从IEC和国家标准，电机效率不低于《GB18613-2020电动机能效限定及能效等级》</w:t>
      </w:r>
      <w:r>
        <w:rPr>
          <w:rFonts w:hint="eastAsia" w:ascii="宋体" w:hAnsi="宋体" w:eastAsia="宋体" w:cs="宋体"/>
          <w:szCs w:val="21"/>
          <w:lang w:val="en-US" w:eastAsia="zh-CN"/>
        </w:rPr>
        <w:t>2</w:t>
      </w:r>
      <w:r>
        <w:rPr>
          <w:rFonts w:hint="eastAsia" w:ascii="宋体" w:hAnsi="宋体" w:eastAsia="宋体" w:cs="宋体"/>
          <w:szCs w:val="21"/>
        </w:rPr>
        <w:t>级能效要求。</w:t>
      </w:r>
    </w:p>
    <w:p w14:paraId="4DA997D5">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①每一电动机的机械特性，必须适合被驱动设备的负载特性。</w:t>
      </w:r>
    </w:p>
    <w:p w14:paraId="75A80654">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②电动机功率</w:t>
      </w:r>
    </w:p>
    <w:p w14:paraId="35CF68F6">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电动机功率不得小于每个被驱动机械在驱动范围内所需功率，其储备系数须为1.3。</w:t>
      </w:r>
    </w:p>
    <w:p w14:paraId="56E1B31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电动机功率小于50KW时，采用直接起动。</w:t>
      </w:r>
    </w:p>
    <w:p w14:paraId="32DDA504">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如所估最低功率不足以符合上述要求或其他需要，中标人应提供较大功率的电动机，因增加电动机功率而引起的一切变更，如增加起动器电流、增大的电气开关、增加导管及导线等，均应由中标人自行负责，而不再向买方要求增加任何费用。</w:t>
      </w:r>
    </w:p>
    <w:p w14:paraId="4ECB4483">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③施工与标准件</w:t>
      </w:r>
    </w:p>
    <w:p w14:paraId="603B4F98">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所有电动机必须依照最新版中国国家标准（或IEC标准）或等同的其他标准而设计、制造、试车及测试。</w:t>
      </w:r>
    </w:p>
    <w:p w14:paraId="1137D25E">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每部电动机须安装一永久性、不会腐蚀的铭牌，该铭牌应安装在明显位置，所有的电动机资料均应以中文记载在铭牌上。</w:t>
      </w:r>
    </w:p>
    <w:p w14:paraId="7218AE0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如电源电压小于电动机铭牌记载电压的10%，该电动机也必须有足够的扭力。</w:t>
      </w:r>
    </w:p>
    <w:p w14:paraId="3FA5458A">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除非另有注明，所有电动机在满载时须能连续运转。</w:t>
      </w:r>
    </w:p>
    <w:p w14:paraId="125E369E">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小于30KW的电动机应使用预先润滑的滚珠轴承。</w:t>
      </w:r>
    </w:p>
    <w:p w14:paraId="5574E062">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大于30KW的水平式电动机应装设有抗磨的轴承，而且必须有油脂入口与出口栓塞，应当可以随时润滑，并允许排除润滑废油而不需作任何拆卸。</w:t>
      </w:r>
    </w:p>
    <w:p w14:paraId="3019BA3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每一部垂直式电动机必须装设有滚柱或滚珠状的推力轴承，应足以承受自重及操作时所产生的推力。</w:t>
      </w:r>
    </w:p>
    <w:p w14:paraId="7709FAA8">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每部电动机必须有一铭牌说明其轴承和润滑方法。</w:t>
      </w:r>
    </w:p>
    <w:p w14:paraId="15839CDC">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轴承的设计应于电动机在100%的负载下操作时，能达到五年运转寿命。</w:t>
      </w:r>
    </w:p>
    <w:p w14:paraId="7F0B82B8">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④绝缘等级与温升</w:t>
      </w:r>
    </w:p>
    <w:p w14:paraId="5830AB18">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每部电动机必须有IEC标准或等同标准规定的F级或接近H级材质绝缘。</w:t>
      </w:r>
    </w:p>
    <w:p w14:paraId="0C1AA5AA">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为使电动机能有一较长的使用寿命，当电动机在满载而不超载连续运转的情况下，该电动机的升温必须不超过GB755-20</w:t>
      </w:r>
      <w:r>
        <w:rPr>
          <w:rFonts w:hint="eastAsia" w:ascii="宋体" w:hAnsi="宋体" w:eastAsia="宋体" w:cs="宋体"/>
          <w:szCs w:val="21"/>
          <w:lang w:val="en-US" w:eastAsia="zh-CN"/>
        </w:rPr>
        <w:t>19</w:t>
      </w:r>
      <w:r>
        <w:rPr>
          <w:rFonts w:hint="eastAsia" w:ascii="宋体" w:hAnsi="宋体" w:eastAsia="宋体" w:cs="宋体"/>
          <w:szCs w:val="21"/>
        </w:rPr>
        <w:t>或等同标准绝缘材质所规定的限度。</w:t>
      </w:r>
    </w:p>
    <w:p w14:paraId="4C80EEEE">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电动机周围的气温加上运转时温度上升的总温度不得超过采用标准所规定的限度。（</w:t>
      </w:r>
      <w:r>
        <w:rPr>
          <w:rFonts w:hint="eastAsia" w:ascii="宋体" w:hAnsi="宋体" w:eastAsia="宋体" w:cs="宋体"/>
          <w:szCs w:val="21"/>
          <w:lang w:val="en-US" w:eastAsia="zh-CN"/>
        </w:rPr>
        <w:t>试验基地</w:t>
      </w:r>
      <w:r>
        <w:rPr>
          <w:rFonts w:hint="eastAsia" w:ascii="宋体" w:hAnsi="宋体" w:eastAsia="宋体" w:cs="宋体"/>
          <w:szCs w:val="21"/>
        </w:rPr>
        <w:t>白天气温可能高达40℃）</w:t>
      </w:r>
    </w:p>
    <w:p w14:paraId="402347BA">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设备运到现场后，电动机绝缘必须依照采用的标准规定的方法进行试验，如电动机有任何缺陷或绝缘抵抗力未达到标准规定，中标人必须无偿更换一部新电动机。</w:t>
      </w:r>
    </w:p>
    <w:p w14:paraId="23AE9C11">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电动机绕组应是由绝缘铜线绕制的、经真空压力浸漆的绝缘线圈，绝缘等级为F级，绕组温升等级为B级，最大工作温度可达155℃。</w:t>
      </w:r>
    </w:p>
    <w:p w14:paraId="7346E84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⑤电流平衡</w:t>
      </w:r>
    </w:p>
    <w:p w14:paraId="08D0AF94">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当电动机在其正常使用范围内之任何负载情况下运转，且是一个平衡电压供给系统时，多相电动机各极的不平衡电流不得超过以下所列数值：</w:t>
      </w:r>
    </w:p>
    <w:p w14:paraId="0456E613">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30KW以下5%（不平衡度）</w:t>
      </w:r>
    </w:p>
    <w:p w14:paraId="78E34CE2">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30KW或以上2%（不平衡度）</w:t>
      </w:r>
    </w:p>
    <w:p w14:paraId="593AA61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虽然不平衡电流小于上表所列，但如果不平衡电流仍引起机械震动，中标人应负责修正该问题。</w:t>
      </w:r>
    </w:p>
    <w:p w14:paraId="3064490A">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⑥其他</w:t>
      </w:r>
    </w:p>
    <w:p w14:paraId="1C795CD1">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所有电动机应有外壳、轴承托架、风扇盖以及电线管，防水和完全密闭式电动机，在电动机接线盒与电线管之间必须安装有硅质橡胶衬垫。</w:t>
      </w:r>
    </w:p>
    <w:p w14:paraId="26A7381F">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所有金属零件必须抗腐蚀，电动机必须依照制造厂商的标准涂装。</w:t>
      </w:r>
    </w:p>
    <w:p w14:paraId="5FEEFF75">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电动机的风扇为耐腐蚀材质，须适合任何方向的旋转，并且在装配经过精确的平衡。风扇外壳不得采用非金属材料。</w:t>
      </w:r>
    </w:p>
    <w:p w14:paraId="65AE5C7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电动机的转子须经过动平衡校正，最大振幅在低于1800rpm时，不得超过0.04mm；在同步转速为3600rpm时，不得超过0.03mm。</w:t>
      </w:r>
    </w:p>
    <w:p w14:paraId="06FAED52">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电动机能在频率为49-51Hz，电压在正常额定电压下波动5%变化中连续运行。</w:t>
      </w:r>
    </w:p>
    <w:p w14:paraId="4FF5C01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当频率正常而电压为0.8</w:t>
      </w:r>
      <w:r>
        <w:rPr>
          <w:rFonts w:hint="eastAsia" w:ascii="宋体" w:hAnsi="宋体" w:eastAsia="宋体" w:cs="宋体"/>
          <w:szCs w:val="21"/>
          <w:lang w:val="en-US" w:eastAsia="zh-CN"/>
        </w:rPr>
        <w:t>U</w:t>
      </w:r>
      <w:r>
        <w:rPr>
          <w:rFonts w:hint="eastAsia" w:ascii="宋体" w:hAnsi="宋体" w:eastAsia="宋体" w:cs="宋体"/>
          <w:szCs w:val="21"/>
        </w:rPr>
        <w:t>e时，电动机和接触器能继续运行5min</w:t>
      </w:r>
      <w:r>
        <w:rPr>
          <w:rFonts w:hint="eastAsia" w:ascii="宋体" w:hAnsi="宋体" w:eastAsia="宋体" w:cs="宋体"/>
          <w:szCs w:val="21"/>
          <w:lang w:eastAsia="zh-CN"/>
        </w:rPr>
        <w:t>，</w:t>
      </w:r>
      <w:r>
        <w:rPr>
          <w:rFonts w:hint="eastAsia" w:ascii="宋体" w:hAnsi="宋体" w:eastAsia="宋体" w:cs="宋体"/>
          <w:szCs w:val="21"/>
        </w:rPr>
        <w:t>而不产生有害过热，且能在相间电压产生2%的不平衡电压情况下继续运行。</w:t>
      </w:r>
    </w:p>
    <w:p w14:paraId="1794915B">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应保证电动机额定负荷条件下的功率因数不低于0.85。</w:t>
      </w:r>
    </w:p>
    <w:p w14:paraId="5889A30E">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要求电动机在额定工况下连续运行的平均寿命不少于10年。</w:t>
      </w:r>
    </w:p>
    <w:p w14:paraId="6C4868DC">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要求电动机为低噪声，符合IEC和中国标准。</w:t>
      </w:r>
    </w:p>
    <w:p w14:paraId="57595B65">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电动机全部轴承都要求带有润滑油或润滑剂。</w:t>
      </w:r>
    </w:p>
    <w:p w14:paraId="1C53FBE2">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要求电动机外壳带有提升环和接地螺丝。</w:t>
      </w:r>
    </w:p>
    <w:p w14:paraId="68BF7F2F">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电缆接线盒与电动机的外壳框架稳固安装在一起或铸为一体，全封闭防水、防潮、防盐雾、耐腐蚀，经得起冲撞，盒内应有联接电动机绕组抽头的端子，它们是大小适当的双头螺钉，且按标准标明端子之间的关系，电缆是由接线盒的底部进入并用密封垫圈加以密封，用于电动机绕组测温元件引出的接点端子应与电动机绕组电缆接线的端子适当隔离。</w:t>
      </w:r>
    </w:p>
    <w:p w14:paraId="6B461A16">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所有电动机都要根据要求对外壳进行接地，接地线和接地端子由中标人随每台电动机设备一起提供。</w:t>
      </w:r>
    </w:p>
    <w:p w14:paraId="3C9C14CA">
      <w:pPr>
        <w:adjustRightInd w:val="0"/>
        <w:snapToGrid w:val="0"/>
        <w:spacing w:line="360" w:lineRule="auto"/>
        <w:rPr>
          <w:rFonts w:hint="eastAsia" w:ascii="宋体" w:hAnsi="宋体" w:eastAsia="宋体" w:cs="宋体"/>
          <w:szCs w:val="21"/>
        </w:rPr>
      </w:pPr>
      <w:bookmarkStart w:id="54" w:name="_Toc17695"/>
      <w:bookmarkStart w:id="55" w:name="_Toc409452909"/>
      <w:bookmarkStart w:id="56" w:name="_Toc130477387"/>
      <w:bookmarkStart w:id="57" w:name="_Toc163462561"/>
      <w:bookmarkStart w:id="58" w:name="_Toc153271883"/>
      <w:bookmarkStart w:id="59" w:name="_Toc406663065"/>
      <w:r>
        <w:rPr>
          <w:rFonts w:hint="eastAsia" w:ascii="宋体" w:hAnsi="宋体" w:eastAsia="宋体" w:cs="宋体"/>
          <w:szCs w:val="21"/>
        </w:rPr>
        <w:t>3、防蚀与涂装</w:t>
      </w:r>
      <w:bookmarkEnd w:id="54"/>
      <w:bookmarkEnd w:id="55"/>
      <w:bookmarkEnd w:id="56"/>
      <w:bookmarkEnd w:id="57"/>
      <w:bookmarkEnd w:id="58"/>
      <w:bookmarkEnd w:id="59"/>
      <w:bookmarkStart w:id="60" w:name="_Toc163462562"/>
      <w:bookmarkStart w:id="61" w:name="_Toc153271884"/>
    </w:p>
    <w:p w14:paraId="7C6D05B7">
      <w:pPr>
        <w:adjustRightInd w:val="0"/>
        <w:snapToGrid w:val="0"/>
        <w:spacing w:line="360" w:lineRule="auto"/>
        <w:rPr>
          <w:rFonts w:hint="eastAsia" w:ascii="宋体" w:hAnsi="宋体" w:eastAsia="宋体" w:cs="宋体"/>
          <w:szCs w:val="21"/>
        </w:rPr>
      </w:pPr>
      <w:bookmarkStart w:id="62" w:name="_Toc406663066"/>
      <w:bookmarkStart w:id="63" w:name="_Toc409452910"/>
      <w:bookmarkStart w:id="64" w:name="_Toc3508"/>
      <w:r>
        <w:rPr>
          <w:rFonts w:hint="eastAsia" w:ascii="宋体" w:hAnsi="宋体" w:eastAsia="宋体" w:cs="宋体"/>
          <w:szCs w:val="21"/>
        </w:rPr>
        <w:t>（1）工厂内涂装</w:t>
      </w:r>
      <w:bookmarkEnd w:id="60"/>
      <w:bookmarkEnd w:id="61"/>
      <w:bookmarkEnd w:id="62"/>
      <w:bookmarkEnd w:id="63"/>
      <w:bookmarkEnd w:id="64"/>
    </w:p>
    <w:p w14:paraId="4E1F3061">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①除非另有规定，所有机械和电气的设备，以及黑色金属所制造的设备，都应在制作现场进行涂装。</w:t>
      </w:r>
    </w:p>
    <w:p w14:paraId="3620AFC2">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除非另有规定，设备的表面防腐处理可以根据制造商的设备防护涂层系统进行工程准备、打光和完成涂层，要求设备的表面防腐处理应具有优良的耐腐蚀性，制造商应提供该设备表面处理的方法、涂层名称、厚度等技术说明，并提供防腐寿命的年限。</w:t>
      </w:r>
    </w:p>
    <w:p w14:paraId="6353B1DD">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工厂涂装过的构件，要等到干燥期结束后，才可搬运。工厂内的涂装包括除锈打底漆和涂面漆。</w:t>
      </w:r>
    </w:p>
    <w:p w14:paraId="75028CE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②所有的构造钢件、金属外壳以及其他的黑色金属构件，应当在工厂内除锈打底漆。</w:t>
      </w:r>
    </w:p>
    <w:p w14:paraId="1475E9C6">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③工厂内涂装面层习惯上要做搪瓷表层的所有设备，或者需要做标准性工厂内的最后一道面层的所有设备，都应很好地进行涂装，以增强海洋运输或存放期过长时的保护作用。</w:t>
      </w:r>
    </w:p>
    <w:p w14:paraId="3CC0B13C">
      <w:pPr>
        <w:adjustRightInd w:val="0"/>
        <w:snapToGrid w:val="0"/>
        <w:spacing w:line="360" w:lineRule="auto"/>
        <w:rPr>
          <w:rFonts w:hint="eastAsia" w:ascii="宋体" w:hAnsi="宋体" w:eastAsia="宋体" w:cs="宋体"/>
          <w:szCs w:val="21"/>
        </w:rPr>
      </w:pPr>
      <w:bookmarkStart w:id="65" w:name="_Toc6441"/>
      <w:bookmarkStart w:id="66" w:name="_Toc406663067"/>
      <w:bookmarkStart w:id="67" w:name="_Toc163462563"/>
      <w:bookmarkStart w:id="68" w:name="_Toc409452911"/>
      <w:bookmarkStart w:id="69" w:name="_Toc153271885"/>
      <w:r>
        <w:rPr>
          <w:rFonts w:hint="eastAsia" w:ascii="宋体" w:hAnsi="宋体" w:eastAsia="宋体" w:cs="宋体"/>
          <w:szCs w:val="21"/>
        </w:rPr>
        <w:t>（2）涂料体系标准</w:t>
      </w:r>
      <w:bookmarkEnd w:id="65"/>
      <w:bookmarkEnd w:id="66"/>
      <w:bookmarkEnd w:id="67"/>
      <w:bookmarkEnd w:id="68"/>
      <w:bookmarkEnd w:id="69"/>
    </w:p>
    <w:p w14:paraId="77F4783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本文件所规定的需进行的涂料体系，都要进行涂装前的表面处理工作。表面处理应遵守中国标准GB/T8923.1-2011的规定或国际上等同或优于标准，</w:t>
      </w:r>
      <w:r>
        <w:rPr>
          <w:rFonts w:hint="eastAsia" w:ascii="宋体" w:hAnsi="宋体" w:eastAsia="宋体" w:cs="宋体"/>
          <w:szCs w:val="21"/>
          <w:lang w:val="en-US" w:eastAsia="zh-CN"/>
        </w:rPr>
        <w:t>粗糙</w:t>
      </w:r>
      <w:r>
        <w:rPr>
          <w:rFonts w:hint="eastAsia" w:ascii="宋体" w:hAnsi="宋体" w:eastAsia="宋体" w:cs="宋体"/>
          <w:szCs w:val="21"/>
        </w:rPr>
        <w:t>度不超过100μm。</w:t>
      </w:r>
    </w:p>
    <w:p w14:paraId="0BB37B24">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体系A（环氧树脂漆体系）</w:t>
      </w:r>
    </w:p>
    <w:p w14:paraId="5B71D92C">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drawing>
          <wp:inline distT="0" distB="0" distL="114300" distR="114300">
            <wp:extent cx="5270500" cy="1705610"/>
            <wp:effectExtent l="0" t="0" r="635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0500" cy="1705610"/>
                    </a:xfrm>
                    <a:prstGeom prst="rect">
                      <a:avLst/>
                    </a:prstGeom>
                    <a:noFill/>
                    <a:ln>
                      <a:noFill/>
                    </a:ln>
                  </pic:spPr>
                </pic:pic>
              </a:graphicData>
            </a:graphic>
          </wp:inline>
        </w:drawing>
      </w:r>
    </w:p>
    <w:p w14:paraId="160A016B">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体系B（沥青环氧树脂漆体系）</w:t>
      </w:r>
    </w:p>
    <w:p w14:paraId="1C5D6EA0">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drawing>
          <wp:inline distT="0" distB="0" distL="114300" distR="114300">
            <wp:extent cx="5271770" cy="1512570"/>
            <wp:effectExtent l="0" t="0" r="5080" b="11430"/>
            <wp:docPr id="460981502" name="图片 46098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981502" name="图片 460981502"/>
                    <pic:cNvPicPr>
                      <a:picLocks noChangeAspect="1"/>
                    </pic:cNvPicPr>
                  </pic:nvPicPr>
                  <pic:blipFill>
                    <a:blip r:embed="rId5"/>
                    <a:stretch>
                      <a:fillRect/>
                    </a:stretch>
                  </pic:blipFill>
                  <pic:spPr>
                    <a:xfrm>
                      <a:off x="0" y="0"/>
                      <a:ext cx="5271770" cy="1512570"/>
                    </a:xfrm>
                    <a:prstGeom prst="rect">
                      <a:avLst/>
                    </a:prstGeom>
                    <a:noFill/>
                    <a:ln>
                      <a:noFill/>
                    </a:ln>
                  </pic:spPr>
                </pic:pic>
              </a:graphicData>
            </a:graphic>
          </wp:inline>
        </w:drawing>
      </w:r>
    </w:p>
    <w:p w14:paraId="27B4E340">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体系C（镀锌面的涂料体系）</w:t>
      </w:r>
    </w:p>
    <w:p w14:paraId="0A4B1322">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①表面处理和底漆。表面应当无潮气，无尘埃和其他的污染物质，应当用溶剂清洁剂来洗净表面，缺损的镀锌表面可用手动或电动的工具来刷净，应当遵守GB/T8923.1-2011或等同标准的规定来做表面处理和涂上蚀刻底漆，干化后的蚀刻底漆最小厚度为20μm。</w:t>
      </w:r>
    </w:p>
    <w:p w14:paraId="2D4729E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②涂层。表面处理过程结束后，体系A、B、C的涂料层即可实施，除非另有说明。</w:t>
      </w:r>
    </w:p>
    <w:p w14:paraId="1742B803">
      <w:pPr>
        <w:adjustRightInd w:val="0"/>
        <w:snapToGrid w:val="0"/>
        <w:spacing w:line="360" w:lineRule="auto"/>
        <w:rPr>
          <w:rFonts w:hint="eastAsia" w:ascii="宋体" w:hAnsi="宋体" w:eastAsia="宋体" w:cs="宋体"/>
          <w:szCs w:val="21"/>
        </w:rPr>
      </w:pPr>
      <w:bookmarkStart w:id="70" w:name="_Toc409452912"/>
      <w:bookmarkStart w:id="71" w:name="_Toc153271886"/>
      <w:bookmarkStart w:id="72" w:name="_Toc163462564"/>
      <w:bookmarkStart w:id="73" w:name="_Toc406663068"/>
      <w:bookmarkStart w:id="74" w:name="_Toc1948"/>
      <w:r>
        <w:rPr>
          <w:rFonts w:hint="eastAsia" w:ascii="宋体" w:hAnsi="宋体" w:eastAsia="宋体" w:cs="宋体"/>
          <w:szCs w:val="21"/>
        </w:rPr>
        <w:t>（3）涂装范围</w:t>
      </w:r>
      <w:bookmarkEnd w:id="70"/>
      <w:bookmarkEnd w:id="71"/>
      <w:bookmarkEnd w:id="72"/>
      <w:bookmarkEnd w:id="73"/>
      <w:bookmarkEnd w:id="74"/>
    </w:p>
    <w:p w14:paraId="77D036E1">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①前面规定的涂料体系，应当敷于下列的物体和表面上（除非另有规定）：</w:t>
      </w:r>
    </w:p>
    <w:p w14:paraId="37FB3F3F">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在腐蚀环境下，室内服务的未镀锌黑色金属表面：使用体系A。</w:t>
      </w:r>
    </w:p>
    <w:p w14:paraId="3D49116E">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②浸入水中或间断浸水的钢表面（除不锈钢外）：使用体系B。</w:t>
      </w:r>
    </w:p>
    <w:p w14:paraId="4FFB9D2C">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③浸入水中或间断浸入水中的镀锌钢表面：使用体系C再加体系B。</w:t>
      </w:r>
    </w:p>
    <w:p w14:paraId="17F616B2">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④涂装表面应当采取保护措施，使油漆后的表面不遭受撞击、摩擦、褪色以及其他因素的损伤，在设备被验收前所遭到的损坏，应当消除后再加涂，直到取得招标人的同意后，才算合格。</w:t>
      </w:r>
    </w:p>
    <w:p w14:paraId="75631E1C">
      <w:pPr>
        <w:adjustRightInd w:val="0"/>
        <w:snapToGrid w:val="0"/>
        <w:spacing w:line="360" w:lineRule="auto"/>
        <w:rPr>
          <w:rFonts w:hint="eastAsia" w:ascii="宋体" w:hAnsi="宋体" w:eastAsia="宋体" w:cs="宋体"/>
          <w:szCs w:val="21"/>
        </w:rPr>
      </w:pPr>
      <w:bookmarkStart w:id="75" w:name="_Toc153271894"/>
      <w:bookmarkStart w:id="76" w:name="_Toc406663070"/>
      <w:bookmarkStart w:id="77" w:name="_Toc409452914"/>
      <w:bookmarkStart w:id="78" w:name="_Toc25854"/>
      <w:bookmarkStart w:id="79" w:name="_Toc130477388"/>
      <w:bookmarkStart w:id="80" w:name="_Toc163462571"/>
      <w:r>
        <w:rPr>
          <w:rFonts w:hint="eastAsia" w:ascii="宋体" w:hAnsi="宋体" w:eastAsia="宋体" w:cs="宋体"/>
          <w:szCs w:val="21"/>
        </w:rPr>
        <w:t>4、备品及其他</w:t>
      </w:r>
      <w:bookmarkEnd w:id="75"/>
      <w:bookmarkEnd w:id="76"/>
      <w:bookmarkEnd w:id="77"/>
      <w:bookmarkEnd w:id="78"/>
      <w:bookmarkEnd w:id="79"/>
      <w:bookmarkEnd w:id="80"/>
    </w:p>
    <w:p w14:paraId="114C566A">
      <w:pPr>
        <w:adjustRightInd w:val="0"/>
        <w:snapToGrid w:val="0"/>
        <w:spacing w:line="360" w:lineRule="auto"/>
        <w:rPr>
          <w:rFonts w:hint="eastAsia" w:ascii="宋体" w:hAnsi="宋体" w:eastAsia="宋体" w:cs="宋体"/>
          <w:szCs w:val="21"/>
        </w:rPr>
      </w:pPr>
      <w:bookmarkStart w:id="81" w:name="_Toc406663071"/>
      <w:bookmarkStart w:id="82" w:name="_Toc9773"/>
      <w:bookmarkStart w:id="83" w:name="_Toc409452915"/>
      <w:r>
        <w:rPr>
          <w:rFonts w:hint="eastAsia" w:ascii="宋体" w:hAnsi="宋体" w:eastAsia="宋体" w:cs="宋体"/>
          <w:szCs w:val="21"/>
        </w:rPr>
        <w:t>（1）法兰和螺纹接口</w:t>
      </w:r>
      <w:bookmarkEnd w:id="81"/>
      <w:bookmarkEnd w:id="82"/>
      <w:bookmarkEnd w:id="83"/>
    </w:p>
    <w:p w14:paraId="2A4A16D1">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法兰接口。中标人供货设备及管道之间的法兰连接，其规格必须符合GB/T 91</w:t>
      </w:r>
      <w:r>
        <w:rPr>
          <w:rFonts w:hint="eastAsia" w:ascii="宋体" w:hAnsi="宋体" w:eastAsia="宋体" w:cs="宋体"/>
          <w:szCs w:val="21"/>
          <w:lang w:val="en-US" w:eastAsia="zh-CN"/>
        </w:rPr>
        <w:t>24.1</w:t>
      </w:r>
      <w:r>
        <w:rPr>
          <w:rFonts w:hint="eastAsia" w:ascii="宋体" w:hAnsi="宋体" w:eastAsia="宋体" w:cs="宋体"/>
          <w:szCs w:val="21"/>
        </w:rPr>
        <w:t>-201</w:t>
      </w:r>
      <w:r>
        <w:rPr>
          <w:rFonts w:hint="eastAsia" w:ascii="宋体" w:hAnsi="宋体" w:eastAsia="宋体" w:cs="宋体"/>
          <w:szCs w:val="21"/>
          <w:lang w:val="en-US" w:eastAsia="zh-CN"/>
        </w:rPr>
        <w:t>9、</w:t>
      </w:r>
      <w:r>
        <w:rPr>
          <w:rFonts w:hint="eastAsia" w:ascii="宋体" w:hAnsi="宋体" w:eastAsia="宋体" w:cs="宋体"/>
          <w:szCs w:val="21"/>
        </w:rPr>
        <w:t>GB/T 91</w:t>
      </w:r>
      <w:r>
        <w:rPr>
          <w:rFonts w:hint="eastAsia" w:ascii="宋体" w:hAnsi="宋体" w:eastAsia="宋体" w:cs="宋体"/>
          <w:szCs w:val="21"/>
          <w:lang w:val="en-US" w:eastAsia="zh-CN"/>
        </w:rPr>
        <w:t>24.2</w:t>
      </w:r>
      <w:r>
        <w:rPr>
          <w:rFonts w:hint="eastAsia" w:ascii="宋体" w:hAnsi="宋体" w:eastAsia="宋体" w:cs="宋体"/>
          <w:szCs w:val="21"/>
        </w:rPr>
        <w:t>-201</w:t>
      </w:r>
      <w:r>
        <w:rPr>
          <w:rFonts w:hint="eastAsia" w:ascii="宋体" w:hAnsi="宋体" w:eastAsia="宋体" w:cs="宋体"/>
          <w:szCs w:val="21"/>
          <w:lang w:val="en-US" w:eastAsia="zh-CN"/>
        </w:rPr>
        <w:t>9</w:t>
      </w:r>
      <w:r>
        <w:rPr>
          <w:rFonts w:hint="eastAsia" w:ascii="宋体" w:hAnsi="宋体" w:eastAsia="宋体" w:cs="宋体"/>
          <w:szCs w:val="21"/>
        </w:rPr>
        <w:t>标准。</w:t>
      </w:r>
    </w:p>
    <w:p w14:paraId="0FFCACD6">
      <w:pPr>
        <w:adjustRightInd w:val="0"/>
        <w:snapToGrid w:val="0"/>
        <w:spacing w:line="360" w:lineRule="auto"/>
        <w:rPr>
          <w:rFonts w:hint="eastAsia" w:ascii="宋体" w:hAnsi="宋体" w:eastAsia="宋体" w:cs="宋体"/>
          <w:szCs w:val="21"/>
        </w:rPr>
      </w:pPr>
      <w:bookmarkStart w:id="84" w:name="_Toc16938"/>
      <w:bookmarkStart w:id="85" w:name="_Toc406663072"/>
      <w:bookmarkStart w:id="86" w:name="_Toc409452916"/>
      <w:r>
        <w:rPr>
          <w:rFonts w:hint="eastAsia" w:ascii="宋体" w:hAnsi="宋体" w:eastAsia="宋体" w:cs="宋体"/>
          <w:szCs w:val="21"/>
        </w:rPr>
        <w:t>（2）备件</w:t>
      </w:r>
      <w:bookmarkEnd w:id="84"/>
      <w:bookmarkEnd w:id="85"/>
      <w:bookmarkEnd w:id="86"/>
    </w:p>
    <w:p w14:paraId="11B8BFC8">
      <w:pPr>
        <w:adjustRightInd w:val="0"/>
        <w:snapToGrid w:val="0"/>
        <w:spacing w:line="360" w:lineRule="auto"/>
        <w:ind w:firstLine="420" w:firstLineChars="200"/>
        <w:rPr>
          <w:rFonts w:hint="eastAsia" w:ascii="宋体" w:hAnsi="宋体" w:eastAsia="宋体" w:cs="宋体"/>
        </w:rPr>
      </w:pPr>
      <w:r>
        <w:rPr>
          <w:rFonts w:hint="eastAsia" w:ascii="宋体" w:hAnsi="宋体" w:eastAsia="宋体" w:cs="宋体"/>
          <w:szCs w:val="21"/>
        </w:rPr>
        <w:t>中标人应当提供所供设备的随机备件和必备附件、专用工具，并列出详细清单。提供的所有备件应是全新的、未使用过的，并与所需更换的备件完全吻合。这些备件应经过处理和包装，能在工地气候条件下长期有效储存。在每个备件的包装侧面应明显标出备件的名称、用途或标出编号。如果在一箱或其他集装箱内有一种以上的备件，在箱子或集装箱侧面应标明内装备件的概括说明。在箱内应有包装清单。所有箱子、集装箱或其他包装，当要求检查时应容易拆开。同时，包装的设计应便于开启，然后再包装。</w:t>
      </w:r>
    </w:p>
    <w:p w14:paraId="72D194E4">
      <w:pPr>
        <w:numPr>
          <w:ilvl w:val="0"/>
          <w:numId w:val="2"/>
        </w:num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报价要求</w:t>
      </w:r>
    </w:p>
    <w:p w14:paraId="3FA4AEBD">
      <w:pPr>
        <w:adjustRightInd w:val="0"/>
        <w:snapToGrid w:val="0"/>
        <w:spacing w:line="360" w:lineRule="auto"/>
        <w:ind w:firstLine="420" w:firstLineChars="200"/>
        <w:rPr>
          <w:rFonts w:hint="eastAsia" w:ascii="宋体" w:hAnsi="宋体" w:eastAsia="宋体" w:cs="宋体"/>
          <w:szCs w:val="21"/>
        </w:rPr>
      </w:pPr>
      <w:bookmarkStart w:id="87" w:name="_Hlk145087345"/>
      <w:r>
        <w:rPr>
          <w:rFonts w:hint="eastAsia" w:ascii="宋体" w:hAnsi="宋体" w:eastAsia="宋体" w:cs="宋体"/>
          <w:szCs w:val="21"/>
        </w:rPr>
        <w:t>（1）本次投标采用总价包干。</w:t>
      </w:r>
      <w:r>
        <w:rPr>
          <w:rFonts w:hint="eastAsia" w:cs="宋体"/>
          <w:szCs w:val="21"/>
        </w:rPr>
        <w:t>投标总价被视为包括但不限于货物的价格；深化设计；</w:t>
      </w:r>
      <w:r>
        <w:rPr>
          <w:szCs w:val="21"/>
        </w:rPr>
        <w:t>工厂试验费</w:t>
      </w:r>
      <w:r>
        <w:rPr>
          <w:rFonts w:hint="eastAsia"/>
          <w:szCs w:val="21"/>
        </w:rPr>
        <w:t>；</w:t>
      </w:r>
      <w:r>
        <w:rPr>
          <w:szCs w:val="21"/>
        </w:rPr>
        <w:t>技术联络及培训费；</w:t>
      </w:r>
      <w:r>
        <w:rPr>
          <w:rFonts w:hint="eastAsia"/>
          <w:szCs w:val="21"/>
        </w:rPr>
        <w:t>包装</w:t>
      </w:r>
      <w:r>
        <w:rPr>
          <w:szCs w:val="21"/>
        </w:rPr>
        <w:t>费；运输</w:t>
      </w:r>
      <w:r>
        <w:rPr>
          <w:rFonts w:hint="eastAsia"/>
          <w:szCs w:val="21"/>
        </w:rPr>
        <w:t>保险费；</w:t>
      </w:r>
      <w:r>
        <w:rPr>
          <w:rFonts w:hint="eastAsia"/>
          <w:szCs w:val="21"/>
          <w:lang w:val="en-US" w:eastAsia="zh-CN"/>
        </w:rPr>
        <w:t>组装、</w:t>
      </w:r>
      <w:r>
        <w:rPr>
          <w:rFonts w:hint="eastAsia"/>
          <w:szCs w:val="21"/>
        </w:rPr>
        <w:t>安装、</w:t>
      </w:r>
      <w:r>
        <w:rPr>
          <w:szCs w:val="21"/>
        </w:rPr>
        <w:t>调试费</w:t>
      </w:r>
      <w:r>
        <w:rPr>
          <w:rFonts w:hint="eastAsia"/>
          <w:szCs w:val="21"/>
        </w:rPr>
        <w:t>；</w:t>
      </w:r>
      <w:r>
        <w:rPr>
          <w:szCs w:val="21"/>
        </w:rPr>
        <w:t>试运行费</w:t>
      </w:r>
      <w:r>
        <w:rPr>
          <w:rFonts w:hint="eastAsia"/>
          <w:kern w:val="0"/>
          <w:szCs w:val="21"/>
        </w:rPr>
        <w:t>（含但不限于试运行期内的油品）</w:t>
      </w:r>
      <w:r>
        <w:rPr>
          <w:rFonts w:hint="eastAsia"/>
          <w:szCs w:val="21"/>
        </w:rPr>
        <w:t>；质</w:t>
      </w:r>
      <w:r>
        <w:rPr>
          <w:szCs w:val="21"/>
        </w:rPr>
        <w:t>保期内所有</w:t>
      </w:r>
      <w:r>
        <w:rPr>
          <w:rFonts w:hint="eastAsia"/>
          <w:szCs w:val="21"/>
        </w:rPr>
        <w:t>备</w:t>
      </w:r>
      <w:r>
        <w:rPr>
          <w:szCs w:val="21"/>
        </w:rPr>
        <w:t>品备件等</w:t>
      </w:r>
      <w:r>
        <w:rPr>
          <w:rFonts w:hint="eastAsia"/>
          <w:szCs w:val="21"/>
        </w:rPr>
        <w:t>等全过程所产生的所有成本以及保险、管理费、利润、规费、税金（包含1</w:t>
      </w:r>
      <w:r>
        <w:rPr>
          <w:szCs w:val="21"/>
        </w:rPr>
        <w:t>3</w:t>
      </w:r>
      <w:r>
        <w:rPr>
          <w:rFonts w:hint="eastAsia"/>
          <w:szCs w:val="21"/>
        </w:rPr>
        <w:t>%的增值税）、原材料价格变动及供货期变化等风险</w:t>
      </w:r>
      <w:r>
        <w:rPr>
          <w:rFonts w:hint="eastAsia" w:cs="宋体"/>
          <w:szCs w:val="21"/>
        </w:rPr>
        <w:t>。</w:t>
      </w:r>
    </w:p>
    <w:bookmarkEnd w:id="87"/>
    <w:p w14:paraId="47538F8A">
      <w:pPr>
        <w:adjustRightInd w:val="0"/>
        <w:snapToGrid w:val="0"/>
        <w:spacing w:line="360" w:lineRule="auto"/>
        <w:ind w:firstLine="420" w:firstLineChars="200"/>
        <w:rPr>
          <w:rFonts w:hint="eastAsia" w:ascii="宋体" w:hAnsi="宋体" w:eastAsia="宋体" w:cs="宋体"/>
          <w:szCs w:val="21"/>
        </w:rPr>
      </w:pPr>
      <w:bookmarkStart w:id="88" w:name="_Hlk145087366"/>
      <w:r>
        <w:rPr>
          <w:rFonts w:hint="eastAsia" w:ascii="宋体" w:hAnsi="宋体" w:eastAsia="宋体" w:cs="宋体"/>
          <w:szCs w:val="21"/>
        </w:rPr>
        <w:t>（2）投标人已充分考虑停电、停水、扰民等所有因素对供货期造成的影响，并已在合同单价中综合考虑了各种因素影响所增加的费用。在</w:t>
      </w:r>
      <w:r>
        <w:rPr>
          <w:rFonts w:hint="eastAsia" w:ascii="宋体" w:hAnsi="宋体" w:eastAsia="宋体" w:cs="宋体"/>
          <w:szCs w:val="21"/>
          <w:lang w:val="en-US" w:eastAsia="zh-CN"/>
        </w:rPr>
        <w:t>组装、</w:t>
      </w:r>
      <w:r>
        <w:rPr>
          <w:rFonts w:hint="eastAsia" w:ascii="宋体" w:hAnsi="宋体" w:eastAsia="宋体" w:cs="宋体"/>
          <w:szCs w:val="21"/>
        </w:rPr>
        <w:t>安装、指导调试过程中，如发现有漏项、缺件，投标人应无条件无偿补齐，所发生的一切费用，视为已全部包含在报价之中，且并不因此而影响交付招标人使用的时间</w:t>
      </w:r>
      <w:bookmarkEnd w:id="88"/>
      <w:r>
        <w:rPr>
          <w:rFonts w:hint="eastAsia" w:ascii="宋体" w:hAnsi="宋体" w:eastAsia="宋体" w:cs="宋体"/>
          <w:szCs w:val="21"/>
        </w:rPr>
        <w:t>。</w:t>
      </w:r>
    </w:p>
    <w:p w14:paraId="0C7D960D">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后续签订合同后，本项目合同总金额的不含增值税价格（未税单价）不因税率变化而提高，若在合同履行期间，如国家相关政策对相关的增值税税率进行调整的，则双方应根据最新适用的增值税税率，按照固定不变的不含税价调整合同总金额。</w:t>
      </w:r>
    </w:p>
    <w:p w14:paraId="2E129A15">
      <w:pPr>
        <w:numPr>
          <w:ilvl w:val="0"/>
          <w:numId w:val="2"/>
        </w:num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供货期</w:t>
      </w:r>
    </w:p>
    <w:p w14:paraId="5CC2163A">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中标结果公告发布之日起，</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个日历天内供货到招标人指定地点，到货后7个日历天内完成</w:t>
      </w:r>
      <w:r>
        <w:rPr>
          <w:rFonts w:hint="eastAsia" w:ascii="宋体" w:hAnsi="宋体" w:eastAsia="宋体" w:cs="宋体"/>
          <w:szCs w:val="21"/>
          <w:highlight w:val="none"/>
          <w:lang w:val="en-US" w:eastAsia="zh-CN"/>
        </w:rPr>
        <w:t>组装、</w:t>
      </w:r>
      <w:r>
        <w:rPr>
          <w:rFonts w:hint="eastAsia" w:ascii="宋体" w:hAnsi="宋体" w:eastAsia="宋体" w:cs="宋体"/>
          <w:szCs w:val="21"/>
          <w:highlight w:val="none"/>
        </w:rPr>
        <w:t>调试</w:t>
      </w:r>
      <w:r>
        <w:rPr>
          <w:rFonts w:hint="eastAsia" w:ascii="宋体" w:hAnsi="宋体" w:eastAsia="宋体" w:cs="宋体"/>
          <w:szCs w:val="21"/>
          <w:highlight w:val="none"/>
          <w:lang w:val="en-US" w:eastAsia="zh-CN"/>
        </w:rPr>
        <w:t>及试运行</w:t>
      </w:r>
      <w:r>
        <w:rPr>
          <w:rFonts w:hint="eastAsia" w:ascii="宋体" w:hAnsi="宋体" w:eastAsia="宋体" w:cs="宋体"/>
          <w:szCs w:val="21"/>
          <w:highlight w:val="none"/>
        </w:rPr>
        <w:t>。</w:t>
      </w:r>
    </w:p>
    <w:p w14:paraId="4D6A55EE">
      <w:pPr>
        <w:numPr>
          <w:ilvl w:val="0"/>
          <w:numId w:val="2"/>
        </w:numPr>
        <w:spacing w:line="360" w:lineRule="auto"/>
        <w:ind w:firstLine="422" w:firstLineChars="20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付款方式</w:t>
      </w:r>
    </w:p>
    <w:p w14:paraId="7C7312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Cs w:val="21"/>
        </w:rPr>
      </w:pPr>
      <w:r>
        <w:rPr>
          <w:rFonts w:hint="eastAsia" w:ascii="宋体" w:hAnsi="宋体" w:eastAsia="宋体" w:cs="宋体"/>
          <w:szCs w:val="21"/>
        </w:rPr>
        <w:t>（1）预付款：合同签订后，乙方提供按照合同总金额的</w:t>
      </w:r>
      <w:r>
        <w:rPr>
          <w:rFonts w:hint="eastAsia" w:ascii="宋体" w:hAnsi="宋体" w:eastAsia="宋体" w:cs="宋体"/>
          <w:color w:val="000000" w:themeColor="text1"/>
          <w:szCs w:val="21"/>
          <w14:textFill>
            <w14:solidFill>
              <w14:schemeClr w14:val="tx1"/>
            </w14:solidFill>
          </w14:textFill>
        </w:rPr>
        <w:t>30%</w:t>
      </w:r>
      <w:r>
        <w:rPr>
          <w:rFonts w:hint="eastAsia" w:ascii="宋体" w:hAnsi="宋体" w:eastAsia="宋体" w:cs="宋体"/>
          <w:szCs w:val="21"/>
        </w:rPr>
        <w:t>开具增值税专用发票，甲方在收到乙方提供的按照合同总金额的</w:t>
      </w:r>
      <w:r>
        <w:rPr>
          <w:rFonts w:hint="eastAsia" w:ascii="宋体" w:hAnsi="宋体" w:eastAsia="宋体" w:cs="宋体"/>
          <w:color w:val="000000" w:themeColor="text1"/>
          <w:szCs w:val="21"/>
          <w14:textFill>
            <w14:solidFill>
              <w14:schemeClr w14:val="tx1"/>
            </w14:solidFill>
          </w14:textFill>
        </w:rPr>
        <w:t>30%</w:t>
      </w:r>
      <w:r>
        <w:rPr>
          <w:rFonts w:hint="eastAsia" w:ascii="宋体" w:hAnsi="宋体" w:eastAsia="宋体" w:cs="宋体"/>
          <w:szCs w:val="21"/>
        </w:rPr>
        <w:t>开具的增值税专用发票</w:t>
      </w:r>
      <w:r>
        <w:rPr>
          <w:rFonts w:hint="eastAsia" w:ascii="宋体" w:hAnsi="宋体" w:eastAsia="宋体" w:cs="宋体"/>
          <w:szCs w:val="21"/>
          <w:lang w:val="en-US" w:eastAsia="zh-CN"/>
        </w:rPr>
        <w:t>后15个工作日内</w:t>
      </w:r>
      <w:r>
        <w:rPr>
          <w:rFonts w:hint="eastAsia" w:ascii="宋体" w:hAnsi="宋体" w:eastAsia="宋体" w:cs="宋体"/>
          <w:szCs w:val="21"/>
        </w:rPr>
        <w:t>，甲方向乙方支付合同总金额的</w:t>
      </w:r>
      <w:r>
        <w:rPr>
          <w:rFonts w:hint="eastAsia" w:ascii="宋体" w:hAnsi="宋体" w:eastAsia="宋体" w:cs="宋体"/>
          <w:color w:val="000000" w:themeColor="text1"/>
          <w:szCs w:val="21"/>
          <w14:textFill>
            <w14:solidFill>
              <w14:schemeClr w14:val="tx1"/>
            </w14:solidFill>
          </w14:textFill>
        </w:rPr>
        <w:t>30%</w:t>
      </w:r>
      <w:r>
        <w:rPr>
          <w:rFonts w:hint="eastAsia" w:ascii="宋体" w:hAnsi="宋体" w:eastAsia="宋体" w:cs="宋体"/>
          <w:szCs w:val="21"/>
        </w:rPr>
        <w:t>作为预付款</w:t>
      </w:r>
      <w:r>
        <w:rPr>
          <w:rFonts w:hint="eastAsia" w:ascii="宋体" w:hAnsi="宋体" w:eastAsia="宋体" w:cs="宋体"/>
          <w:szCs w:val="21"/>
          <w:lang w:val="zh-CN"/>
        </w:rPr>
        <w:t>。</w:t>
      </w:r>
    </w:p>
    <w:p w14:paraId="5B1D3B3C">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验收</w:t>
      </w:r>
      <w:r>
        <w:rPr>
          <w:rFonts w:hint="eastAsia" w:ascii="宋体" w:hAnsi="宋体" w:eastAsia="宋体" w:cs="宋体"/>
          <w:szCs w:val="21"/>
        </w:rPr>
        <w:t>款：合同签订后，</w:t>
      </w:r>
      <w:r>
        <w:rPr>
          <w:rFonts w:hint="eastAsia" w:ascii="宋体" w:hAnsi="宋体" w:eastAsia="宋体" w:cs="宋体"/>
          <w:szCs w:val="21"/>
          <w:lang w:val="en-US" w:eastAsia="zh-CN"/>
        </w:rPr>
        <w:t>乙方</w:t>
      </w:r>
      <w:r>
        <w:rPr>
          <w:rFonts w:hint="eastAsia" w:ascii="宋体" w:hAnsi="宋体" w:eastAsia="宋体" w:cs="宋体"/>
          <w:szCs w:val="21"/>
        </w:rPr>
        <w:t>将货物运至</w:t>
      </w:r>
      <w:r>
        <w:rPr>
          <w:rFonts w:hint="eastAsia" w:ascii="宋体" w:hAnsi="宋体" w:eastAsia="宋体" w:cs="宋体"/>
          <w:szCs w:val="21"/>
          <w:lang w:val="en-US" w:eastAsia="zh-CN"/>
        </w:rPr>
        <w:t>甲方</w:t>
      </w:r>
      <w:r>
        <w:rPr>
          <w:rFonts w:hint="eastAsia" w:ascii="宋体" w:hAnsi="宋体" w:eastAsia="宋体" w:cs="宋体"/>
          <w:szCs w:val="21"/>
        </w:rPr>
        <w:t>指定地点，</w:t>
      </w:r>
      <w:r>
        <w:rPr>
          <w:rFonts w:hint="eastAsia" w:ascii="宋体" w:hAnsi="宋体" w:eastAsia="宋体" w:cs="宋体"/>
          <w:szCs w:val="21"/>
          <w:lang w:val="en-US" w:eastAsia="zh-CN"/>
        </w:rPr>
        <w:t>并进行设备安装调试，完成后</w:t>
      </w:r>
      <w:r>
        <w:rPr>
          <w:rFonts w:hint="eastAsia" w:ascii="宋体" w:hAnsi="宋体" w:eastAsia="宋体" w:cs="宋体"/>
          <w:szCs w:val="21"/>
        </w:rPr>
        <w:t>经</w:t>
      </w:r>
      <w:r>
        <w:rPr>
          <w:rFonts w:hint="eastAsia" w:ascii="宋体" w:hAnsi="宋体" w:eastAsia="宋体" w:cs="宋体"/>
          <w:szCs w:val="21"/>
          <w:lang w:val="en-US" w:eastAsia="zh-CN"/>
        </w:rPr>
        <w:t>甲方</w:t>
      </w:r>
      <w:r>
        <w:rPr>
          <w:rFonts w:hint="eastAsia" w:ascii="宋体" w:hAnsi="宋体" w:eastAsia="宋体" w:cs="宋体"/>
          <w:szCs w:val="21"/>
        </w:rPr>
        <w:t>验收合格</w:t>
      </w:r>
      <w:r>
        <w:rPr>
          <w:rFonts w:hint="eastAsia" w:ascii="宋体" w:hAnsi="宋体" w:eastAsia="宋体" w:cs="宋体"/>
          <w:szCs w:val="21"/>
          <w:lang w:val="en-US" w:eastAsia="zh-CN"/>
        </w:rPr>
        <w:t>并签订验收单后</w:t>
      </w:r>
      <w:r>
        <w:rPr>
          <w:rFonts w:hint="eastAsia" w:ascii="宋体" w:hAnsi="宋体" w:eastAsia="宋体" w:cs="宋体"/>
          <w:szCs w:val="21"/>
        </w:rPr>
        <w:t>，甲方在收到乙方提供的按照合同总金额的</w:t>
      </w:r>
      <w:r>
        <w:rPr>
          <w:rFonts w:hint="eastAsia" w:ascii="宋体" w:hAnsi="宋体" w:eastAsia="宋体" w:cs="宋体"/>
          <w:color w:val="000000" w:themeColor="text1"/>
          <w:szCs w:val="21"/>
          <w:lang w:val="en-US" w:eastAsia="zh-CN"/>
          <w14:textFill>
            <w14:solidFill>
              <w14:schemeClr w14:val="tx1"/>
            </w14:solidFill>
          </w14:textFill>
        </w:rPr>
        <w:t>65</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szCs w:val="21"/>
        </w:rPr>
        <w:t>开具的增值税专用发票后</w:t>
      </w:r>
      <w:r>
        <w:rPr>
          <w:rFonts w:hint="eastAsia" w:ascii="宋体" w:hAnsi="宋体" w:eastAsia="宋体" w:cs="宋体"/>
          <w:szCs w:val="21"/>
          <w:lang w:val="en-US" w:eastAsia="zh-CN"/>
        </w:rPr>
        <w:t>15个工作日内</w:t>
      </w:r>
      <w:r>
        <w:rPr>
          <w:rFonts w:hint="eastAsia" w:ascii="宋体" w:hAnsi="宋体" w:eastAsia="宋体" w:cs="宋体"/>
          <w:szCs w:val="21"/>
          <w:lang w:eastAsia="zh-CN"/>
        </w:rPr>
        <w:t>，</w:t>
      </w:r>
      <w:r>
        <w:rPr>
          <w:rFonts w:hint="eastAsia" w:ascii="宋体" w:hAnsi="宋体" w:eastAsia="宋体" w:cs="宋体"/>
          <w:szCs w:val="21"/>
          <w:lang w:val="en-US" w:eastAsia="zh-CN"/>
        </w:rPr>
        <w:t>甲方向乙方</w:t>
      </w:r>
      <w:r>
        <w:rPr>
          <w:rFonts w:hint="eastAsia" w:ascii="宋体" w:hAnsi="宋体" w:eastAsia="宋体" w:cs="宋体"/>
          <w:szCs w:val="21"/>
        </w:rPr>
        <w:t>支付</w:t>
      </w:r>
      <w:r>
        <w:rPr>
          <w:rFonts w:hint="eastAsia" w:ascii="宋体" w:hAnsi="宋体" w:eastAsia="宋体" w:cs="宋体"/>
          <w:szCs w:val="21"/>
          <w:lang w:val="en-US" w:eastAsia="zh-CN"/>
        </w:rPr>
        <w:t>合同总额的</w:t>
      </w:r>
      <w:r>
        <w:rPr>
          <w:rFonts w:hint="eastAsia" w:ascii="宋体" w:hAnsi="宋体" w:eastAsia="宋体" w:cs="宋体"/>
          <w:color w:val="000000" w:themeColor="text1"/>
          <w:szCs w:val="21"/>
          <w:lang w:val="en-US" w:eastAsia="zh-CN"/>
          <w14:textFill>
            <w14:solidFill>
              <w14:schemeClr w14:val="tx1"/>
            </w14:solidFill>
          </w14:textFill>
        </w:rPr>
        <w:t>65%</w:t>
      </w:r>
      <w:r>
        <w:rPr>
          <w:rFonts w:hint="eastAsia" w:ascii="宋体" w:hAnsi="宋体" w:eastAsia="宋体" w:cs="宋体"/>
          <w:szCs w:val="21"/>
          <w:lang w:val="en-US" w:eastAsia="zh-CN"/>
        </w:rPr>
        <w:t>作为验收款；</w:t>
      </w:r>
    </w:p>
    <w:p w14:paraId="4750CB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Cs w:val="21"/>
          <w:lang w:val="zh-CN"/>
        </w:rPr>
      </w:pPr>
      <w:r>
        <w:rPr>
          <w:rFonts w:hint="eastAsia" w:ascii="宋体" w:hAnsi="宋体" w:eastAsia="宋体" w:cs="宋体"/>
          <w:szCs w:val="21"/>
          <w:lang w:eastAsia="zh-CN"/>
        </w:rPr>
        <w:t>（</w:t>
      </w:r>
      <w:r>
        <w:rPr>
          <w:rFonts w:hint="eastAsia" w:ascii="宋体" w:hAnsi="宋体" w:eastAsia="宋体" w:cs="宋体"/>
          <w:szCs w:val="21"/>
          <w:lang w:val="en-US" w:eastAsia="zh-CN"/>
        </w:rPr>
        <w:t>3</w:t>
      </w:r>
      <w:r>
        <w:rPr>
          <w:rFonts w:hint="eastAsia" w:ascii="宋体" w:hAnsi="宋体" w:eastAsia="宋体" w:cs="宋体"/>
          <w:szCs w:val="21"/>
          <w:lang w:eastAsia="zh-CN"/>
        </w:rPr>
        <w:t>）</w:t>
      </w:r>
      <w:r>
        <w:rPr>
          <w:rFonts w:hint="eastAsia" w:ascii="宋体" w:hAnsi="宋体" w:eastAsia="宋体" w:cs="宋体"/>
          <w:szCs w:val="21"/>
        </w:rPr>
        <w:t>质保金：质保期届满后，经甲方确认已完成质保任务，并办理相关手续，甲方在收到乙方提供的合同总金额</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szCs w:val="21"/>
        </w:rPr>
        <w:t>开具的增值税专用发票后15个工作日内，甲方向乙方支付合同总金额</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szCs w:val="21"/>
        </w:rPr>
        <w:t>的合同款</w:t>
      </w:r>
      <w:r>
        <w:rPr>
          <w:rFonts w:hint="eastAsia" w:ascii="宋体" w:hAnsi="宋体" w:eastAsia="宋体" w:cs="宋体"/>
          <w:szCs w:val="21"/>
          <w:lang w:val="zh-CN"/>
        </w:rPr>
        <w:t>。</w:t>
      </w:r>
    </w:p>
    <w:p w14:paraId="1882DE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Cs w:val="21"/>
          <w:lang w:val="zh-CN"/>
        </w:rPr>
      </w:pPr>
      <w:r>
        <w:rPr>
          <w:rFonts w:hint="eastAsia" w:ascii="宋体" w:hAnsi="宋体" w:eastAsia="宋体" w:cs="宋体"/>
          <w:szCs w:val="21"/>
          <w:lang w:eastAsia="zh-CN"/>
        </w:rPr>
        <w:t>（</w:t>
      </w:r>
      <w:r>
        <w:rPr>
          <w:rFonts w:hint="eastAsia" w:ascii="宋体" w:hAnsi="宋体" w:eastAsia="宋体" w:cs="宋体"/>
          <w:szCs w:val="21"/>
          <w:lang w:val="en-US" w:eastAsia="zh-CN"/>
        </w:rPr>
        <w:t>4</w:t>
      </w:r>
      <w:r>
        <w:rPr>
          <w:rFonts w:hint="eastAsia" w:ascii="宋体" w:hAnsi="宋体" w:eastAsia="宋体" w:cs="宋体"/>
          <w:szCs w:val="21"/>
          <w:lang w:eastAsia="zh-CN"/>
        </w:rPr>
        <w:t>）</w:t>
      </w:r>
      <w:r>
        <w:rPr>
          <w:rFonts w:hint="eastAsia" w:ascii="宋体" w:hAnsi="宋体" w:eastAsia="宋体" w:cs="宋体"/>
          <w:szCs w:val="21"/>
        </w:rPr>
        <w:t>双方因本合同发生的一切费用均以人民币结算及支付</w:t>
      </w:r>
      <w:r>
        <w:rPr>
          <w:rFonts w:hint="eastAsia" w:ascii="宋体" w:hAnsi="宋体" w:eastAsia="宋体" w:cs="宋体"/>
          <w:szCs w:val="21"/>
          <w:lang w:eastAsia="zh-CN"/>
        </w:rPr>
        <w:t>。</w:t>
      </w:r>
    </w:p>
    <w:p w14:paraId="08207C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5</w:t>
      </w:r>
      <w:r>
        <w:rPr>
          <w:rFonts w:hint="eastAsia" w:ascii="宋体" w:hAnsi="宋体" w:eastAsia="宋体" w:cs="宋体"/>
          <w:szCs w:val="21"/>
          <w:lang w:eastAsia="zh-CN"/>
        </w:rPr>
        <w:t>）</w:t>
      </w:r>
      <w:r>
        <w:rPr>
          <w:rFonts w:hint="eastAsia" w:ascii="宋体" w:hAnsi="宋体" w:eastAsia="宋体" w:cs="宋体"/>
          <w:szCs w:val="21"/>
        </w:rPr>
        <w:t>甲方有权从应付款项中直接扣减乙方</w:t>
      </w:r>
      <w:r>
        <w:rPr>
          <w:rFonts w:hint="eastAsia" w:ascii="宋体" w:hAnsi="宋体" w:eastAsia="宋体" w:cs="宋体"/>
          <w:szCs w:val="21"/>
          <w:lang w:eastAsia="zh-CN"/>
        </w:rPr>
        <w:t>依</w:t>
      </w:r>
      <w:r>
        <w:rPr>
          <w:rFonts w:hint="eastAsia" w:ascii="宋体" w:hAnsi="宋体" w:eastAsia="宋体" w:cs="宋体"/>
          <w:szCs w:val="21"/>
        </w:rPr>
        <w:t>合同规定应付的违约金、赔偿金及其他费用</w:t>
      </w:r>
      <w:r>
        <w:rPr>
          <w:rFonts w:hint="eastAsia" w:ascii="宋体" w:hAnsi="宋体" w:eastAsia="宋体" w:cs="宋体"/>
          <w:szCs w:val="21"/>
          <w:lang w:eastAsia="zh-CN"/>
        </w:rPr>
        <w:t>。</w:t>
      </w:r>
    </w:p>
    <w:p w14:paraId="17F26D5E">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（6）在甲方完成付款义务后，乙方不向甲方就该款项主张任何逾期违约金及相应利息。</w:t>
      </w:r>
    </w:p>
    <w:p w14:paraId="0D40D99A">
      <w:pPr>
        <w:numPr>
          <w:ilvl w:val="0"/>
          <w:numId w:val="2"/>
        </w:num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验收要求</w:t>
      </w:r>
    </w:p>
    <w:p w14:paraId="7D7CE486">
      <w:pPr>
        <w:adjustRightInd w:val="0"/>
        <w:snapToGrid w:val="0"/>
        <w:spacing w:line="360" w:lineRule="auto"/>
        <w:ind w:firstLine="420" w:firstLineChars="200"/>
        <w:rPr>
          <w:rFonts w:hint="eastAsia" w:ascii="宋体" w:hAnsi="宋体" w:eastAsia="宋体" w:cs="宋体"/>
          <w:szCs w:val="21"/>
        </w:rPr>
      </w:pPr>
      <w:bookmarkStart w:id="89" w:name="_Hlk145087451"/>
      <w:r>
        <w:rPr>
          <w:rFonts w:hint="eastAsia" w:ascii="宋体" w:hAnsi="宋体" w:eastAsia="宋体" w:cs="宋体"/>
          <w:szCs w:val="21"/>
        </w:rPr>
        <w:t>（1）乙方在将设备出厂前完成出厂检验并提供相关报告；</w:t>
      </w:r>
    </w:p>
    <w:p w14:paraId="4D30273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（2）乙方已完成所有供货、安装、</w:t>
      </w:r>
      <w:r>
        <w:rPr>
          <w:rFonts w:hint="eastAsia" w:ascii="宋体" w:hAnsi="宋体" w:eastAsia="宋体" w:cs="宋体"/>
          <w:szCs w:val="21"/>
          <w:lang w:val="en-US" w:eastAsia="zh-CN"/>
        </w:rPr>
        <w:t>组装、</w:t>
      </w:r>
      <w:r>
        <w:rPr>
          <w:rFonts w:hint="eastAsia" w:ascii="宋体" w:hAnsi="宋体" w:eastAsia="宋体" w:cs="宋体"/>
          <w:szCs w:val="21"/>
        </w:rPr>
        <w:t>调试过程，满足询价文件、技术要求及相关附件及合同要求，需要整改的项目均已完成，并已交付甲方使用</w:t>
      </w:r>
      <w:bookmarkEnd w:id="89"/>
      <w:r>
        <w:rPr>
          <w:rFonts w:hint="eastAsia" w:ascii="宋体" w:hAnsi="宋体" w:eastAsia="宋体" w:cs="宋体"/>
          <w:szCs w:val="21"/>
        </w:rPr>
        <w:t>；</w:t>
      </w:r>
    </w:p>
    <w:p w14:paraId="16151C2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（3）乙方已按照合同规定提供了全部产品及完整的技术资料（如出厂检测报告、产品合格证、设备图纸、安装图纸、产品操作手册、维护保养手册等）；</w:t>
      </w:r>
    </w:p>
    <w:p w14:paraId="55253A2B">
      <w:pPr>
        <w:adjustRightInd w:val="0"/>
        <w:snapToGrid w:val="0"/>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（4）产品符合询价文件相关使用要求，性能满足技术要求</w:t>
      </w:r>
      <w:r>
        <w:rPr>
          <w:rFonts w:hint="eastAsia" w:ascii="宋体" w:hAnsi="宋体" w:eastAsia="宋体" w:cs="宋体"/>
          <w:szCs w:val="21"/>
          <w:lang w:eastAsia="zh-CN"/>
        </w:rPr>
        <w:t>，</w:t>
      </w:r>
      <w:r>
        <w:rPr>
          <w:rFonts w:hint="eastAsia" w:ascii="宋体" w:hAnsi="宋体" w:eastAsia="宋体" w:cs="宋体"/>
          <w:szCs w:val="21"/>
        </w:rPr>
        <w:t>所有指标验收必须由甲方确认</w:t>
      </w:r>
      <w:r>
        <w:rPr>
          <w:rFonts w:hint="eastAsia" w:ascii="宋体" w:hAnsi="宋体" w:eastAsia="宋体" w:cs="宋体"/>
          <w:szCs w:val="21"/>
          <w:lang w:eastAsia="zh-CN"/>
        </w:rPr>
        <w:t>；</w:t>
      </w:r>
    </w:p>
    <w:p w14:paraId="65E177AD">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）在最终验收前对甲方现场人员进行操作维护培训。</w:t>
      </w:r>
    </w:p>
    <w:p w14:paraId="00EF8B2D">
      <w:pPr>
        <w:numPr>
          <w:ilvl w:val="0"/>
          <w:numId w:val="2"/>
        </w:num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质保期</w:t>
      </w:r>
    </w:p>
    <w:p w14:paraId="757DE9C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质保期应不少于</w:t>
      </w:r>
      <w:r>
        <w:rPr>
          <w:rFonts w:hint="eastAsia" w:ascii="宋体" w:hAnsi="宋体" w:eastAsia="宋体" w:cs="宋体"/>
          <w:szCs w:val="21"/>
          <w:highlight w:val="none"/>
        </w:rPr>
        <w:t>12个月</w:t>
      </w:r>
      <w:r>
        <w:rPr>
          <w:rFonts w:hint="eastAsia" w:ascii="宋体" w:hAnsi="宋体" w:eastAsia="宋体" w:cs="宋体"/>
          <w:szCs w:val="21"/>
        </w:rPr>
        <w:t>（含易损件，消耗油品除外），自整体设备验收报告记载的验收合格之日起算。质保期内，乙方应承担保修责任，在质保期内若货物及安装质量出现问题，乙方应无条件接收甲方意见进行整改补救措施，并在质保金中扣除甲方因乙方质量问题造成的损失。</w:t>
      </w:r>
    </w:p>
    <w:p w14:paraId="09157443">
      <w:pPr>
        <w:numPr>
          <w:ilvl w:val="0"/>
          <w:numId w:val="2"/>
        </w:num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其他要求</w:t>
      </w:r>
    </w:p>
    <w:p w14:paraId="41434A5D">
      <w:pPr>
        <w:adjustRightInd w:val="0"/>
        <w:snapToGrid w:val="0"/>
        <w:spacing w:line="360" w:lineRule="auto"/>
        <w:ind w:firstLine="420" w:firstLineChars="200"/>
        <w:rPr>
          <w:rFonts w:hint="eastAsia" w:ascii="宋体" w:hAnsi="宋体" w:eastAsia="宋体" w:cs="宋体"/>
          <w:szCs w:val="21"/>
        </w:rPr>
      </w:pPr>
      <w:bookmarkStart w:id="90" w:name="_Toc53088896"/>
      <w:bookmarkStart w:id="91" w:name="_Toc52363203"/>
      <w:r>
        <w:rPr>
          <w:rFonts w:hint="eastAsia" w:ascii="宋体" w:hAnsi="宋体" w:eastAsia="宋体" w:cs="宋体"/>
          <w:szCs w:val="21"/>
        </w:rPr>
        <w:t>（1）如果乙方未能按合同规定的时间供货，每逾期一天，甲方有权要求乙方合同金额的</w:t>
      </w:r>
      <w:r>
        <w:rPr>
          <w:rFonts w:hint="eastAsia" w:ascii="宋体" w:hAnsi="宋体" w:eastAsia="宋体" w:cs="宋体"/>
          <w:szCs w:val="21"/>
          <w:lang w:val="en-US" w:eastAsia="zh-CN"/>
        </w:rPr>
        <w:t>2</w:t>
      </w:r>
      <w:r>
        <w:rPr>
          <w:rFonts w:hint="eastAsia" w:ascii="宋体" w:hAnsi="宋体" w:eastAsia="宋体" w:cs="宋体"/>
          <w:szCs w:val="21"/>
        </w:rPr>
        <w:t>%作为违约金，甲方有权从当期应支付给乙方的货款中直接扣减违约金，违约金的最高限额不超过合同金额的</w:t>
      </w:r>
      <w:r>
        <w:rPr>
          <w:rFonts w:hint="eastAsia" w:ascii="宋体" w:hAnsi="宋体" w:eastAsia="宋体" w:cs="宋体"/>
          <w:szCs w:val="21"/>
          <w:lang w:val="en-US" w:eastAsia="zh-CN"/>
        </w:rPr>
        <w:t>20</w:t>
      </w:r>
      <w:r>
        <w:rPr>
          <w:rFonts w:hint="eastAsia" w:ascii="宋体" w:hAnsi="宋体" w:eastAsia="宋体" w:cs="宋体"/>
          <w:szCs w:val="21"/>
        </w:rPr>
        <w:t>%。乙方支付违约金后，并不解除其按照合同继续交货的义务，一旦违约金超过最高限额，甲方有权终止合同，但不影响乙方上述违约金的支付。</w:t>
      </w:r>
    </w:p>
    <w:p w14:paraId="7F4B9AE3">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b/>
          <w:bCs/>
          <w:kern w:val="0"/>
          <w:szCs w:val="21"/>
        </w:rPr>
        <w:t>乙方提供的产品无法达到双方预定的设计性能要求，乙方需负责无偿改造，直至达到预定要求；若经过多轮改造，仍未达到预定要求，甲方有权不予支付货款，且货物需由乙方在约定时间内自行拆除、装卸并运回，产生相关费用由乙方自理</w:t>
      </w:r>
      <w:r>
        <w:rPr>
          <w:rFonts w:hint="eastAsia" w:ascii="宋体" w:hAnsi="宋体" w:eastAsia="宋体" w:cs="宋体"/>
          <w:szCs w:val="21"/>
        </w:rPr>
        <w:t>。</w:t>
      </w:r>
    </w:p>
    <w:p w14:paraId="6161D49F">
      <w:pPr>
        <w:keepNext/>
        <w:keepLines/>
        <w:spacing w:before="260"/>
        <w:jc w:val="left"/>
        <w:outlineLvl w:val="1"/>
        <w:rPr>
          <w:rFonts w:hint="eastAsia" w:ascii="宋体" w:hAnsi="宋体" w:eastAsia="宋体" w:cs="宋体"/>
          <w:b/>
          <w:bCs/>
          <w:szCs w:val="21"/>
        </w:rPr>
      </w:pPr>
      <w:r>
        <w:rPr>
          <w:rFonts w:hint="eastAsia" w:ascii="宋体" w:hAnsi="宋体" w:eastAsia="宋体" w:cs="宋体"/>
          <w:b/>
          <w:bCs/>
          <w:szCs w:val="21"/>
        </w:rPr>
        <w:t>三、</w:t>
      </w:r>
      <w:bookmarkEnd w:id="90"/>
      <w:bookmarkEnd w:id="91"/>
      <w:r>
        <w:rPr>
          <w:rFonts w:hint="eastAsia" w:ascii="宋体" w:hAnsi="宋体" w:eastAsia="宋体" w:cs="宋体"/>
          <w:b/>
          <w:bCs/>
          <w:szCs w:val="21"/>
        </w:rPr>
        <w:t>报价方式</w:t>
      </w:r>
    </w:p>
    <w:p w14:paraId="17504B36">
      <w:pPr>
        <w:adjustRightInd w:val="0"/>
        <w:spacing w:before="100"/>
        <w:ind w:firstLine="420" w:firstLineChars="200"/>
        <w:rPr>
          <w:rFonts w:hint="eastAsia" w:ascii="宋体" w:hAnsi="宋体" w:eastAsia="宋体" w:cs="宋体"/>
          <w:kern w:val="0"/>
          <w:szCs w:val="21"/>
        </w:rPr>
      </w:pPr>
      <w:bookmarkStart w:id="92" w:name="_Toc52363204"/>
      <w:bookmarkStart w:id="93" w:name="_Toc53088897"/>
      <w:r>
        <w:rPr>
          <w:rFonts w:hint="eastAsia" w:ascii="宋体" w:hAnsi="宋体" w:eastAsia="宋体" w:cs="宋体"/>
          <w:kern w:val="0"/>
          <w:szCs w:val="21"/>
        </w:rPr>
        <w:t>有意向参与本次公开询价的潜在供应商，应按以下方式提交报价文件：</w:t>
      </w:r>
    </w:p>
    <w:p w14:paraId="4D612BFC">
      <w:pPr>
        <w:pStyle w:val="24"/>
        <w:numPr>
          <w:ilvl w:val="0"/>
          <w:numId w:val="3"/>
        </w:numPr>
        <w:adjustRightInd w:val="0"/>
        <w:spacing w:before="100"/>
        <w:ind w:firstLineChars="0"/>
        <w:rPr>
          <w:rFonts w:hint="eastAsia" w:ascii="宋体" w:hAnsi="宋体" w:eastAsia="宋体" w:cs="宋体"/>
          <w:kern w:val="0"/>
          <w:szCs w:val="21"/>
        </w:rPr>
      </w:pPr>
      <w:r>
        <w:rPr>
          <w:rFonts w:hint="eastAsia" w:ascii="宋体" w:hAnsi="宋体" w:eastAsia="宋体" w:cs="宋体"/>
          <w:b/>
          <w:kern w:val="0"/>
          <w:szCs w:val="21"/>
        </w:rPr>
        <w:t>截止时间：</w:t>
      </w:r>
      <w:r>
        <w:rPr>
          <w:rFonts w:hint="eastAsia" w:ascii="宋体" w:hAnsi="宋体" w:eastAsia="宋体" w:cs="宋体"/>
          <w:kern w:val="0"/>
          <w:szCs w:val="21"/>
          <w:highlight w:val="none"/>
        </w:rPr>
        <w:t>202</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val="en-US" w:eastAsia="zh-CN"/>
        </w:rPr>
        <w:t>10</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24</w:t>
      </w:r>
      <w:r>
        <w:rPr>
          <w:rFonts w:hint="eastAsia" w:ascii="宋体" w:hAnsi="宋体" w:eastAsia="宋体" w:cs="宋体"/>
          <w:kern w:val="0"/>
          <w:szCs w:val="21"/>
          <w:highlight w:val="none"/>
        </w:rPr>
        <w:t>日</w:t>
      </w:r>
      <w:r>
        <w:rPr>
          <w:rFonts w:hint="eastAsia" w:ascii="宋体" w:hAnsi="宋体" w:eastAsia="宋体" w:cs="宋体"/>
          <w:kern w:val="0"/>
          <w:szCs w:val="21"/>
          <w:highlight w:val="none"/>
          <w:lang w:val="en-US" w:eastAsia="zh-CN"/>
        </w:rPr>
        <w:t>18</w:t>
      </w:r>
      <w:r>
        <w:rPr>
          <w:rFonts w:hint="eastAsia" w:ascii="宋体" w:hAnsi="宋体" w:eastAsia="宋体" w:cs="宋体"/>
          <w:kern w:val="0"/>
          <w:szCs w:val="21"/>
          <w:highlight w:val="none"/>
        </w:rPr>
        <w:t>:00。</w:t>
      </w:r>
    </w:p>
    <w:p w14:paraId="242677E1">
      <w:pPr>
        <w:pStyle w:val="24"/>
        <w:numPr>
          <w:ilvl w:val="0"/>
          <w:numId w:val="3"/>
        </w:numPr>
        <w:adjustRightInd w:val="0"/>
        <w:spacing w:before="100"/>
        <w:ind w:firstLineChars="0"/>
        <w:rPr>
          <w:rFonts w:hint="eastAsia" w:ascii="宋体" w:hAnsi="宋体" w:eastAsia="宋体" w:cs="宋体"/>
          <w:kern w:val="0"/>
          <w:szCs w:val="21"/>
        </w:rPr>
      </w:pPr>
      <w:r>
        <w:rPr>
          <w:rFonts w:hint="eastAsia" w:ascii="宋体" w:hAnsi="宋体" w:eastAsia="宋体" w:cs="宋体"/>
          <w:b/>
          <w:kern w:val="0"/>
          <w:szCs w:val="21"/>
        </w:rPr>
        <w:t>提交资料：</w:t>
      </w:r>
      <w:r>
        <w:rPr>
          <w:rFonts w:hint="eastAsia" w:ascii="宋体" w:hAnsi="宋体" w:eastAsia="宋体" w:cs="宋体"/>
          <w:kern w:val="0"/>
          <w:szCs w:val="21"/>
        </w:rPr>
        <w:t>加盖公章的报价函、承诺函、营业执照、</w:t>
      </w:r>
      <w:r>
        <w:rPr>
          <w:rFonts w:hint="eastAsia" w:ascii="宋体" w:hAnsi="宋体" w:eastAsia="宋体" w:cs="宋体"/>
          <w:kern w:val="0"/>
          <w:szCs w:val="21"/>
          <w:lang w:val="en-US" w:eastAsia="zh-CN"/>
        </w:rPr>
        <w:t>资质证明、</w:t>
      </w:r>
      <w:r>
        <w:rPr>
          <w:rFonts w:hint="eastAsia" w:ascii="宋体" w:hAnsi="宋体" w:eastAsia="宋体" w:cs="宋体"/>
          <w:kern w:val="0"/>
          <w:szCs w:val="21"/>
        </w:rPr>
        <w:t>业绩证明、法人资格证明书、法人委托证明书。相关格式详见附件。</w:t>
      </w:r>
    </w:p>
    <w:p w14:paraId="2EC35EE2">
      <w:pPr>
        <w:pStyle w:val="24"/>
        <w:numPr>
          <w:ilvl w:val="0"/>
          <w:numId w:val="3"/>
        </w:numPr>
        <w:adjustRightInd w:val="0"/>
        <w:spacing w:before="100"/>
        <w:ind w:firstLineChars="0"/>
        <w:rPr>
          <w:rFonts w:hint="eastAsia" w:ascii="宋体" w:hAnsi="宋体" w:eastAsia="宋体" w:cs="宋体"/>
          <w:kern w:val="0"/>
          <w:szCs w:val="21"/>
        </w:rPr>
      </w:pPr>
      <w:r>
        <w:rPr>
          <w:rFonts w:hint="eastAsia" w:ascii="宋体" w:hAnsi="宋体" w:eastAsia="宋体" w:cs="宋体"/>
          <w:b/>
          <w:kern w:val="0"/>
          <w:szCs w:val="21"/>
        </w:rPr>
        <w:t>提交方式：</w:t>
      </w:r>
      <w:r>
        <w:rPr>
          <w:rFonts w:hint="eastAsia" w:ascii="宋体" w:hAnsi="宋体" w:eastAsia="宋体" w:cs="宋体"/>
          <w:kern w:val="0"/>
          <w:szCs w:val="21"/>
        </w:rPr>
        <w:t>发送至</w:t>
      </w:r>
      <w:r>
        <w:rPr>
          <w:rFonts w:hint="eastAsia" w:ascii="宋体" w:hAnsi="宋体" w:eastAsia="宋体" w:cs="宋体"/>
          <w:kern w:val="0"/>
          <w:szCs w:val="21"/>
          <w:lang w:val="en-US" w:eastAsia="zh-CN"/>
        </w:rPr>
        <w:t>tong</w:t>
      </w:r>
      <w:r>
        <w:rPr>
          <w:rFonts w:hint="eastAsia" w:ascii="宋体" w:hAnsi="宋体" w:eastAsia="宋体" w:cs="宋体"/>
          <w:sz w:val="24"/>
          <w:szCs w:val="24"/>
        </w:rPr>
        <w:t>.</w:t>
      </w:r>
      <w:r>
        <w:rPr>
          <w:rFonts w:hint="eastAsia" w:ascii="宋体" w:hAnsi="宋体" w:eastAsia="宋体" w:cs="宋体"/>
          <w:sz w:val="24"/>
          <w:szCs w:val="24"/>
          <w:lang w:val="en-US" w:eastAsia="zh-CN"/>
        </w:rPr>
        <w:t>guobin</w:t>
      </w:r>
      <w:r>
        <w:rPr>
          <w:rFonts w:hint="eastAsia" w:ascii="宋体" w:hAnsi="宋体" w:eastAsia="宋体" w:cs="宋体"/>
          <w:sz w:val="24"/>
          <w:szCs w:val="24"/>
        </w:rPr>
        <w:t>@szwatereco.com</w:t>
      </w:r>
    </w:p>
    <w:bookmarkEnd w:id="92"/>
    <w:bookmarkEnd w:id="93"/>
    <w:p w14:paraId="1A8D9269">
      <w:pPr>
        <w:keepNext/>
        <w:keepLines/>
        <w:spacing w:before="260"/>
        <w:jc w:val="left"/>
        <w:outlineLvl w:val="1"/>
        <w:rPr>
          <w:rFonts w:hint="eastAsia" w:ascii="宋体" w:hAnsi="宋体" w:eastAsia="宋体" w:cs="宋体"/>
          <w:b/>
          <w:bCs/>
          <w:szCs w:val="21"/>
        </w:rPr>
      </w:pPr>
      <w:bookmarkStart w:id="94" w:name="_Toc53088900"/>
      <w:bookmarkStart w:id="95" w:name="_Toc52363207"/>
      <w:r>
        <w:rPr>
          <w:rFonts w:hint="eastAsia" w:ascii="宋体" w:hAnsi="宋体" w:eastAsia="宋体" w:cs="宋体"/>
          <w:b/>
          <w:bCs/>
          <w:szCs w:val="21"/>
        </w:rPr>
        <w:t>四、联系方式</w:t>
      </w:r>
      <w:bookmarkEnd w:id="94"/>
      <w:bookmarkEnd w:id="95"/>
    </w:p>
    <w:p w14:paraId="382B4E73">
      <w:pPr>
        <w:adjustRightInd w:val="0"/>
        <w:spacing w:before="100"/>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联系人：</w:t>
      </w:r>
      <w:r>
        <w:rPr>
          <w:rFonts w:hint="eastAsia" w:ascii="宋体" w:hAnsi="宋体" w:eastAsia="宋体" w:cs="宋体"/>
          <w:kern w:val="0"/>
          <w:szCs w:val="21"/>
          <w:lang w:val="en-US" w:eastAsia="zh-CN"/>
        </w:rPr>
        <w:t>童国斌</w:t>
      </w:r>
    </w:p>
    <w:p w14:paraId="47382BA2">
      <w:pPr>
        <w:adjustRightInd w:val="0"/>
        <w:spacing w:before="100"/>
        <w:ind w:firstLine="420" w:firstLineChars="200"/>
        <w:jc w:val="left"/>
        <w:rPr>
          <w:rFonts w:hint="default" w:ascii="宋体" w:hAnsi="宋体" w:eastAsia="宋体" w:cs="宋体"/>
          <w:kern w:val="0"/>
          <w:szCs w:val="21"/>
          <w:lang w:val="en-US" w:eastAsia="zh-CN"/>
        </w:rPr>
      </w:pPr>
      <w:r>
        <w:rPr>
          <w:rFonts w:hint="eastAsia" w:ascii="宋体" w:hAnsi="宋体" w:eastAsia="宋体" w:cs="宋体"/>
          <w:kern w:val="0"/>
          <w:szCs w:val="21"/>
        </w:rPr>
        <w:t>电　话：1</w:t>
      </w:r>
      <w:r>
        <w:rPr>
          <w:rFonts w:hint="eastAsia" w:ascii="宋体" w:hAnsi="宋体" w:eastAsia="宋体" w:cs="宋体"/>
          <w:kern w:val="0"/>
          <w:szCs w:val="21"/>
          <w:lang w:val="en-US" w:eastAsia="zh-CN"/>
        </w:rPr>
        <w:t>3600194510</w:t>
      </w:r>
    </w:p>
    <w:p w14:paraId="5645F1A0">
      <w:pPr>
        <w:adjustRightInd w:val="0"/>
        <w:spacing w:before="100"/>
        <w:jc w:val="left"/>
        <w:rPr>
          <w:rFonts w:hint="eastAsia" w:ascii="宋体" w:hAnsi="宋体" w:eastAsia="宋体" w:cs="宋体"/>
          <w:kern w:val="0"/>
          <w:szCs w:val="21"/>
          <w:u w:val="single"/>
        </w:rPr>
      </w:pPr>
    </w:p>
    <w:p w14:paraId="0C34379F">
      <w:pPr>
        <w:adjustRightInd w:val="0"/>
        <w:jc w:val="left"/>
        <w:rPr>
          <w:rFonts w:hint="eastAsia" w:ascii="宋体" w:hAnsi="宋体" w:eastAsia="宋体" w:cs="宋体"/>
          <w:kern w:val="0"/>
          <w:szCs w:val="21"/>
        </w:rPr>
      </w:pPr>
    </w:p>
    <w:p w14:paraId="6F8BE85B">
      <w:pPr>
        <w:adjustRightInd w:val="0"/>
        <w:ind w:firstLine="420" w:firstLineChars="200"/>
        <w:jc w:val="right"/>
        <w:rPr>
          <w:rFonts w:hint="eastAsia" w:ascii="宋体" w:hAnsi="宋体" w:eastAsia="宋体" w:cs="宋体"/>
          <w:kern w:val="0"/>
          <w:szCs w:val="21"/>
        </w:rPr>
      </w:pPr>
      <w:r>
        <w:rPr>
          <w:rFonts w:hint="eastAsia" w:ascii="宋体" w:hAnsi="宋体" w:eastAsia="宋体" w:cs="宋体"/>
          <w:kern w:val="0"/>
          <w:szCs w:val="21"/>
        </w:rPr>
        <w:t>深圳市深水生态环境技术有限公司</w:t>
      </w:r>
    </w:p>
    <w:p w14:paraId="0C3AC3BA">
      <w:pPr>
        <w:adjustRightInd w:val="0"/>
        <w:ind w:firstLine="420" w:firstLineChars="200"/>
        <w:jc w:val="right"/>
        <w:rPr>
          <w:rFonts w:hint="eastAsia" w:ascii="宋体" w:hAnsi="宋体" w:eastAsia="宋体" w:cs="宋体"/>
          <w:kern w:val="0"/>
          <w:szCs w:val="21"/>
        </w:rPr>
      </w:pPr>
      <w:r>
        <w:rPr>
          <w:rFonts w:hint="eastAsia"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10</w:t>
      </w:r>
      <w:r>
        <w:rPr>
          <w:rFonts w:hint="eastAsia" w:ascii="宋体" w:hAnsi="宋体" w:eastAsia="宋体" w:cs="宋体"/>
          <w:kern w:val="0"/>
          <w:szCs w:val="21"/>
        </w:rPr>
        <w:t>月</w:t>
      </w:r>
      <w:r>
        <w:rPr>
          <w:rFonts w:hint="eastAsia" w:ascii="宋体" w:hAnsi="宋体" w:eastAsia="宋体" w:cs="宋体"/>
          <w:kern w:val="0"/>
          <w:szCs w:val="21"/>
          <w:lang w:val="en-US" w:eastAsia="zh-CN"/>
        </w:rPr>
        <w:t>21</w:t>
      </w:r>
      <w:r>
        <w:rPr>
          <w:rFonts w:hint="eastAsia" w:ascii="宋体" w:hAnsi="宋体" w:eastAsia="宋体" w:cs="宋体"/>
          <w:kern w:val="0"/>
          <w:szCs w:val="21"/>
        </w:rPr>
        <w:t>日</w:t>
      </w:r>
    </w:p>
    <w:p w14:paraId="22F09B6C">
      <w:pPr>
        <w:pStyle w:val="6"/>
        <w:rPr>
          <w:rFonts w:hint="eastAsia" w:ascii="宋体" w:hAnsi="宋体" w:eastAsia="宋体" w:cs="宋体"/>
        </w:rPr>
      </w:pPr>
    </w:p>
    <w:p w14:paraId="0C9AF37E">
      <w:pPr>
        <w:rPr>
          <w:rFonts w:hint="eastAsia" w:ascii="宋体" w:hAnsi="宋体" w:eastAsia="宋体" w:cs="宋体"/>
          <w:bCs/>
          <w:kern w:val="36"/>
          <w:sz w:val="36"/>
          <w:szCs w:val="44"/>
        </w:rPr>
      </w:pPr>
      <w:r>
        <w:rPr>
          <w:rFonts w:hint="eastAsia" w:ascii="宋体" w:hAnsi="宋体" w:eastAsia="宋体" w:cs="宋体"/>
          <w:bCs/>
          <w:kern w:val="36"/>
          <w:sz w:val="36"/>
          <w:szCs w:val="44"/>
        </w:rPr>
        <w:br w:type="page"/>
      </w:r>
    </w:p>
    <w:p w14:paraId="59F3137C">
      <w:pPr>
        <w:widowControl/>
        <w:adjustRightInd w:val="0"/>
        <w:spacing w:before="100" w:beforeAutospacing="1" w:after="100" w:afterAutospacing="1" w:line="360" w:lineRule="auto"/>
        <w:jc w:val="left"/>
        <w:outlineLvl w:val="0"/>
        <w:rPr>
          <w:rFonts w:hint="eastAsia" w:ascii="宋体" w:hAnsi="宋体" w:eastAsia="宋体" w:cs="宋体"/>
          <w:bCs/>
          <w:kern w:val="36"/>
          <w:sz w:val="36"/>
          <w:szCs w:val="44"/>
        </w:rPr>
        <w:sectPr>
          <w:pgSz w:w="11906" w:h="16838"/>
          <w:pgMar w:top="1440" w:right="1800" w:bottom="1440" w:left="1800" w:header="851" w:footer="992" w:gutter="0"/>
          <w:cols w:space="425" w:num="1"/>
          <w:docGrid w:type="lines" w:linePitch="312" w:charSpace="0"/>
        </w:sectPr>
      </w:pPr>
    </w:p>
    <w:p w14:paraId="1A9FB44C">
      <w:pPr>
        <w:widowControl/>
        <w:adjustRightInd w:val="0"/>
        <w:spacing w:before="100" w:beforeAutospacing="1" w:after="100" w:afterAutospacing="1" w:line="360" w:lineRule="auto"/>
        <w:jc w:val="left"/>
        <w:outlineLvl w:val="0"/>
        <w:rPr>
          <w:rFonts w:hint="eastAsia" w:ascii="宋体" w:hAnsi="宋体" w:eastAsia="宋体" w:cs="宋体"/>
        </w:rPr>
      </w:pPr>
      <w:r>
        <w:rPr>
          <w:rFonts w:hint="eastAsia" w:ascii="宋体" w:hAnsi="宋体" w:eastAsia="宋体" w:cs="宋体"/>
          <w:bCs/>
          <w:kern w:val="36"/>
          <w:sz w:val="36"/>
          <w:szCs w:val="44"/>
        </w:rPr>
        <w:t>公告附件</w:t>
      </w:r>
    </w:p>
    <w:p w14:paraId="189C0FD2">
      <w:pPr>
        <w:keepNext/>
        <w:keepLines/>
        <w:numPr>
          <w:ilvl w:val="0"/>
          <w:numId w:val="4"/>
        </w:numPr>
        <w:spacing w:before="280" w:after="290" w:line="377" w:lineRule="auto"/>
        <w:jc w:val="center"/>
        <w:outlineLvl w:val="3"/>
        <w:rPr>
          <w:rFonts w:hint="eastAsia" w:ascii="宋体" w:hAnsi="宋体" w:eastAsia="宋体" w:cs="宋体"/>
          <w:b/>
          <w:bCs/>
          <w:sz w:val="28"/>
          <w:szCs w:val="28"/>
        </w:rPr>
      </w:pPr>
      <w:r>
        <w:rPr>
          <w:rFonts w:hint="eastAsia" w:ascii="宋体" w:hAnsi="宋体" w:eastAsia="宋体" w:cs="宋体"/>
          <w:b/>
          <w:bCs/>
          <w:sz w:val="28"/>
          <w:szCs w:val="28"/>
        </w:rPr>
        <w:t>报价函</w:t>
      </w:r>
    </w:p>
    <w:tbl>
      <w:tblPr>
        <w:tblStyle w:val="15"/>
        <w:tblW w:w="13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130"/>
        <w:gridCol w:w="4068"/>
        <w:gridCol w:w="1228"/>
        <w:gridCol w:w="1173"/>
        <w:gridCol w:w="1577"/>
        <w:gridCol w:w="1555"/>
        <w:gridCol w:w="2323"/>
      </w:tblGrid>
      <w:tr w14:paraId="462C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3" w:type="dxa"/>
            <w:vAlign w:val="center"/>
          </w:tcPr>
          <w:p w14:paraId="04E4C93D">
            <w:pPr>
              <w:jc w:val="center"/>
              <w:rPr>
                <w:rFonts w:hint="eastAsia" w:ascii="宋体" w:hAnsi="宋体" w:eastAsia="宋体" w:cs="宋体"/>
                <w:sz w:val="22"/>
              </w:rPr>
            </w:pPr>
            <w:r>
              <w:rPr>
                <w:rFonts w:hint="eastAsia" w:ascii="宋体" w:hAnsi="宋体" w:eastAsia="宋体" w:cs="宋体"/>
                <w:sz w:val="22"/>
              </w:rPr>
              <w:t>序号</w:t>
            </w:r>
          </w:p>
        </w:tc>
        <w:tc>
          <w:tcPr>
            <w:tcW w:w="1130" w:type="dxa"/>
            <w:vAlign w:val="center"/>
          </w:tcPr>
          <w:p w14:paraId="15A22EA3">
            <w:pPr>
              <w:jc w:val="center"/>
              <w:rPr>
                <w:rFonts w:hint="eastAsia" w:ascii="宋体" w:hAnsi="宋体" w:eastAsia="宋体" w:cs="宋体"/>
                <w:sz w:val="22"/>
              </w:rPr>
            </w:pPr>
            <w:r>
              <w:rPr>
                <w:rFonts w:hint="eastAsia" w:ascii="宋体" w:hAnsi="宋体" w:eastAsia="宋体" w:cs="宋体"/>
                <w:sz w:val="22"/>
              </w:rPr>
              <w:t>设备名称</w:t>
            </w:r>
          </w:p>
        </w:tc>
        <w:tc>
          <w:tcPr>
            <w:tcW w:w="4068" w:type="dxa"/>
            <w:vAlign w:val="center"/>
          </w:tcPr>
          <w:p w14:paraId="5CB58D8D">
            <w:pPr>
              <w:jc w:val="center"/>
              <w:rPr>
                <w:rFonts w:hint="eastAsia" w:ascii="宋体" w:hAnsi="宋体" w:eastAsia="宋体" w:cs="宋体"/>
                <w:sz w:val="22"/>
              </w:rPr>
            </w:pPr>
            <w:r>
              <w:rPr>
                <w:rFonts w:hint="eastAsia" w:ascii="宋体" w:hAnsi="宋体" w:eastAsia="宋体" w:cs="宋体"/>
                <w:sz w:val="22"/>
              </w:rPr>
              <w:t>规格参数</w:t>
            </w:r>
          </w:p>
        </w:tc>
        <w:tc>
          <w:tcPr>
            <w:tcW w:w="1228" w:type="dxa"/>
            <w:vAlign w:val="center"/>
          </w:tcPr>
          <w:p w14:paraId="7A89AC63">
            <w:pPr>
              <w:jc w:val="center"/>
              <w:rPr>
                <w:rFonts w:hint="eastAsia" w:ascii="宋体" w:hAnsi="宋体" w:eastAsia="宋体" w:cs="宋体"/>
                <w:sz w:val="22"/>
              </w:rPr>
            </w:pPr>
            <w:r>
              <w:rPr>
                <w:rFonts w:hint="eastAsia" w:ascii="宋体" w:hAnsi="宋体" w:eastAsia="宋体" w:cs="宋体"/>
                <w:sz w:val="22"/>
              </w:rPr>
              <w:t>数量</w:t>
            </w:r>
          </w:p>
        </w:tc>
        <w:tc>
          <w:tcPr>
            <w:tcW w:w="1173" w:type="dxa"/>
            <w:vAlign w:val="center"/>
          </w:tcPr>
          <w:p w14:paraId="49A92184">
            <w:pPr>
              <w:jc w:val="center"/>
              <w:rPr>
                <w:rFonts w:hint="eastAsia" w:ascii="宋体" w:hAnsi="宋体" w:eastAsia="宋体" w:cs="宋体"/>
                <w:sz w:val="22"/>
              </w:rPr>
            </w:pPr>
            <w:r>
              <w:rPr>
                <w:rFonts w:hint="eastAsia" w:ascii="宋体" w:hAnsi="宋体" w:eastAsia="宋体" w:cs="宋体"/>
                <w:sz w:val="22"/>
              </w:rPr>
              <w:t>单位</w:t>
            </w:r>
          </w:p>
        </w:tc>
        <w:tc>
          <w:tcPr>
            <w:tcW w:w="1577" w:type="dxa"/>
            <w:vAlign w:val="center"/>
          </w:tcPr>
          <w:p w14:paraId="1162CA38">
            <w:pPr>
              <w:jc w:val="center"/>
              <w:rPr>
                <w:rFonts w:hint="eastAsia" w:ascii="宋体" w:hAnsi="宋体" w:eastAsia="宋体" w:cs="宋体"/>
                <w:sz w:val="22"/>
              </w:rPr>
            </w:pPr>
            <w:r>
              <w:rPr>
                <w:rFonts w:hint="eastAsia" w:ascii="宋体" w:hAnsi="宋体" w:eastAsia="宋体" w:cs="宋体"/>
                <w:sz w:val="22"/>
              </w:rPr>
              <w:t>单项（万元，含13%税）</w:t>
            </w:r>
          </w:p>
        </w:tc>
        <w:tc>
          <w:tcPr>
            <w:tcW w:w="1555" w:type="dxa"/>
            <w:vAlign w:val="center"/>
          </w:tcPr>
          <w:p w14:paraId="1D67FE00">
            <w:pPr>
              <w:jc w:val="center"/>
              <w:rPr>
                <w:rFonts w:hint="eastAsia" w:ascii="宋体" w:hAnsi="宋体" w:eastAsia="宋体" w:cs="宋体"/>
                <w:sz w:val="22"/>
              </w:rPr>
            </w:pPr>
            <w:r>
              <w:rPr>
                <w:rFonts w:hint="eastAsia" w:ascii="宋体" w:hAnsi="宋体" w:eastAsia="宋体" w:cs="宋体"/>
                <w:sz w:val="22"/>
              </w:rPr>
              <w:t>小计（万元，含13%税）</w:t>
            </w:r>
          </w:p>
        </w:tc>
        <w:tc>
          <w:tcPr>
            <w:tcW w:w="2323" w:type="dxa"/>
            <w:vAlign w:val="center"/>
          </w:tcPr>
          <w:p w14:paraId="7E7AB90F">
            <w:pPr>
              <w:jc w:val="center"/>
              <w:rPr>
                <w:rFonts w:hint="eastAsia" w:ascii="宋体" w:hAnsi="宋体" w:eastAsia="宋体" w:cs="宋体"/>
                <w:sz w:val="22"/>
              </w:rPr>
            </w:pPr>
            <w:r>
              <w:rPr>
                <w:rFonts w:hint="eastAsia" w:ascii="宋体" w:hAnsi="宋体" w:eastAsia="宋体" w:cs="宋体"/>
                <w:sz w:val="22"/>
              </w:rPr>
              <w:t>备注</w:t>
            </w:r>
          </w:p>
        </w:tc>
      </w:tr>
      <w:tr w14:paraId="762E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3" w:type="dxa"/>
            <w:vAlign w:val="center"/>
          </w:tcPr>
          <w:p w14:paraId="71797C92">
            <w:pPr>
              <w:adjustRightInd w:val="0"/>
              <w:snapToGrid w:val="0"/>
              <w:jc w:val="center"/>
              <w:rPr>
                <w:rFonts w:hint="eastAsia" w:ascii="宋体" w:hAnsi="宋体" w:eastAsia="宋体" w:cs="宋体"/>
                <w:sz w:val="22"/>
              </w:rPr>
            </w:pPr>
            <w:r>
              <w:rPr>
                <w:rFonts w:hint="eastAsia" w:ascii="宋体" w:hAnsi="宋体" w:eastAsia="宋体" w:cs="宋体"/>
                <w:szCs w:val="21"/>
                <w:lang w:val="en-US" w:eastAsia="zh-CN"/>
              </w:rPr>
              <w:t>1</w:t>
            </w:r>
          </w:p>
        </w:tc>
        <w:tc>
          <w:tcPr>
            <w:tcW w:w="1130" w:type="dxa"/>
            <w:vAlign w:val="center"/>
          </w:tcPr>
          <w:p w14:paraId="182832DD">
            <w:pPr>
              <w:adjustRightInd w:val="0"/>
              <w:snapToGrid w:val="0"/>
              <w:jc w:val="center"/>
              <w:rPr>
                <w:rFonts w:hint="eastAsia" w:ascii="宋体" w:hAnsi="宋体" w:eastAsia="宋体" w:cs="宋体"/>
                <w:sz w:val="22"/>
              </w:rPr>
            </w:pPr>
            <w:r>
              <w:rPr>
                <w:rFonts w:hint="default" w:ascii="Times New Roman" w:hAnsi="Times New Roman" w:eastAsia="宋体" w:cs="Times New Roman"/>
                <w:kern w:val="0"/>
                <w:szCs w:val="21"/>
                <w:lang w:val="en-US" w:eastAsia="zh-CN"/>
              </w:rPr>
              <w:t>闭式冷却塔</w:t>
            </w:r>
          </w:p>
        </w:tc>
        <w:tc>
          <w:tcPr>
            <w:tcW w:w="4068" w:type="dxa"/>
            <w:vAlign w:val="center"/>
          </w:tcPr>
          <w:p w14:paraId="50E9C679">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1）冷却水量：60m3/h，设计进出水温度：37/32℃；</w:t>
            </w:r>
          </w:p>
          <w:p w14:paraId="4DD82945">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2）换热盘管材质316L不锈钢，壁厚≥0.8mm，上箱体、下箱体及内部结构件材质304不锈钢，壁厚≥2mm；</w:t>
            </w:r>
          </w:p>
          <w:p w14:paraId="21F517C3">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default"/>
                <w:lang w:val="en-US"/>
              </w:rPr>
            </w:pPr>
            <w:r>
              <w:rPr>
                <w:rFonts w:hint="default" w:ascii="Times New Roman" w:hAnsi="Times New Roman" w:eastAsia="宋体" w:cs="Times New Roman"/>
                <w:b w:val="0"/>
                <w:bCs w:val="0"/>
                <w:highlight w:val="none"/>
                <w:lang w:val="en-US" w:eastAsia="zh-CN"/>
              </w:rPr>
              <w:t>3）风筒材质为304不锈钢，带304不锈钢网罩，电机防护等级为IP55。</w:t>
            </w:r>
          </w:p>
        </w:tc>
        <w:tc>
          <w:tcPr>
            <w:tcW w:w="1228" w:type="dxa"/>
            <w:vAlign w:val="center"/>
          </w:tcPr>
          <w:p w14:paraId="4D3C1BA2">
            <w:pPr>
              <w:adjustRightInd w:val="0"/>
              <w:snapToGrid w:val="0"/>
              <w:jc w:val="center"/>
              <w:rPr>
                <w:rFonts w:hint="eastAsia" w:ascii="宋体" w:hAnsi="宋体" w:eastAsia="宋体" w:cs="宋体"/>
                <w:sz w:val="22"/>
              </w:rPr>
            </w:pPr>
            <w:r>
              <w:rPr>
                <w:rFonts w:hint="eastAsia" w:ascii="宋体" w:hAnsi="宋体" w:eastAsia="宋体" w:cs="宋体"/>
                <w:szCs w:val="21"/>
                <w:lang w:val="en-US" w:eastAsia="zh-CN"/>
              </w:rPr>
              <w:t>1</w:t>
            </w:r>
          </w:p>
        </w:tc>
        <w:tc>
          <w:tcPr>
            <w:tcW w:w="1173" w:type="dxa"/>
            <w:vAlign w:val="center"/>
          </w:tcPr>
          <w:p w14:paraId="1762E6EA">
            <w:pPr>
              <w:adjustRightInd w:val="0"/>
              <w:snapToGrid w:val="0"/>
              <w:jc w:val="center"/>
              <w:rPr>
                <w:rFonts w:hint="eastAsia" w:ascii="宋体" w:hAnsi="宋体" w:eastAsia="宋体" w:cs="宋体"/>
                <w:sz w:val="22"/>
              </w:rPr>
            </w:pPr>
            <w:r>
              <w:rPr>
                <w:rFonts w:hint="eastAsia" w:ascii="宋体" w:hAnsi="宋体" w:eastAsia="宋体" w:cs="宋体"/>
                <w:szCs w:val="21"/>
                <w:lang w:val="en-US" w:eastAsia="zh-CN"/>
              </w:rPr>
              <w:t>套</w:t>
            </w:r>
          </w:p>
        </w:tc>
        <w:tc>
          <w:tcPr>
            <w:tcW w:w="1577" w:type="dxa"/>
            <w:vAlign w:val="center"/>
          </w:tcPr>
          <w:p w14:paraId="69A9E24D">
            <w:pPr>
              <w:adjustRightInd w:val="0"/>
              <w:snapToGrid w:val="0"/>
              <w:jc w:val="center"/>
              <w:rPr>
                <w:rFonts w:hint="eastAsia" w:ascii="宋体" w:hAnsi="宋体" w:eastAsia="宋体" w:cs="宋体"/>
                <w:sz w:val="22"/>
              </w:rPr>
            </w:pPr>
          </w:p>
        </w:tc>
        <w:tc>
          <w:tcPr>
            <w:tcW w:w="1555" w:type="dxa"/>
            <w:vAlign w:val="center"/>
          </w:tcPr>
          <w:p w14:paraId="325808EA">
            <w:pPr>
              <w:jc w:val="center"/>
              <w:rPr>
                <w:rFonts w:hint="eastAsia" w:ascii="宋体" w:hAnsi="宋体" w:eastAsia="宋体" w:cs="宋体"/>
                <w:sz w:val="22"/>
              </w:rPr>
            </w:pPr>
          </w:p>
        </w:tc>
        <w:tc>
          <w:tcPr>
            <w:tcW w:w="2323" w:type="dxa"/>
            <w:vAlign w:val="center"/>
          </w:tcPr>
          <w:p w14:paraId="7F3CBB50">
            <w:pPr>
              <w:adjustRightInd w:val="0"/>
              <w:snapToGrid w:val="0"/>
              <w:jc w:val="center"/>
              <w:rPr>
                <w:rFonts w:hint="default" w:ascii="宋体" w:hAnsi="宋体" w:eastAsia="宋体" w:cs="宋体"/>
                <w:color w:val="000000"/>
                <w:kern w:val="2"/>
                <w:sz w:val="21"/>
                <w:szCs w:val="21"/>
                <w:lang w:val="en-US" w:eastAsia="zh-CN" w:bidi="ar-SA"/>
              </w:rPr>
            </w:pPr>
            <w:r>
              <w:rPr>
                <w:rFonts w:hint="default" w:ascii="Times New Roman" w:hAnsi="Times New Roman" w:eastAsia="宋体" w:cs="Times New Roman"/>
                <w:b w:val="0"/>
                <w:bCs w:val="0"/>
                <w:lang w:val="en-US" w:eastAsia="zh-CN"/>
              </w:rPr>
              <w:t>换热盘管外冷却水采用罗芳水质净化厂中水</w:t>
            </w:r>
          </w:p>
        </w:tc>
      </w:tr>
      <w:tr w14:paraId="0140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3" w:type="dxa"/>
            <w:vAlign w:val="center"/>
          </w:tcPr>
          <w:p w14:paraId="7E542E1A">
            <w:pPr>
              <w:adjustRightInd w:val="0"/>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1130" w:type="dxa"/>
            <w:vAlign w:val="center"/>
          </w:tcPr>
          <w:p w14:paraId="2083727C">
            <w:pPr>
              <w:adjustRightInd w:val="0"/>
              <w:snapToGrid w:val="0"/>
              <w:jc w:val="center"/>
              <w:rPr>
                <w:rFonts w:hint="eastAsia" w:ascii="宋体" w:hAnsi="宋体" w:eastAsia="宋体" w:cs="宋体"/>
                <w:kern w:val="0"/>
                <w:szCs w:val="21"/>
                <w:lang w:val="en-US" w:eastAsia="zh-CN"/>
              </w:rPr>
            </w:pPr>
            <w:r>
              <w:rPr>
                <w:rFonts w:hint="default" w:ascii="Times New Roman" w:hAnsi="Times New Roman" w:eastAsia="宋体" w:cs="Times New Roman"/>
                <w:kern w:val="0"/>
                <w:szCs w:val="21"/>
                <w:lang w:val="en-US" w:eastAsia="zh-CN"/>
              </w:rPr>
              <w:t>可拆洗板式换热器</w:t>
            </w:r>
          </w:p>
        </w:tc>
        <w:tc>
          <w:tcPr>
            <w:tcW w:w="4068" w:type="dxa"/>
            <w:vAlign w:val="center"/>
          </w:tcPr>
          <w:p w14:paraId="7494591D">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1）换热量：150kW，工作压力1.0MPa；</w:t>
            </w:r>
          </w:p>
          <w:p w14:paraId="4549BC9D">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2）一次侧工作温度：70/65℃，工作水源为自来水；</w:t>
            </w:r>
          </w:p>
          <w:p w14:paraId="406B9EAC">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3）二次侧工作温度：35/40℃，工作水源为罗芳水质净化厂中水；</w:t>
            </w:r>
          </w:p>
          <w:p w14:paraId="66EA8960">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4）盘片材质316L不锈钢。</w:t>
            </w:r>
          </w:p>
        </w:tc>
        <w:tc>
          <w:tcPr>
            <w:tcW w:w="1228" w:type="dxa"/>
            <w:vAlign w:val="center"/>
          </w:tcPr>
          <w:p w14:paraId="5325A835">
            <w:pPr>
              <w:adjustRightInd w:val="0"/>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1</w:t>
            </w:r>
          </w:p>
        </w:tc>
        <w:tc>
          <w:tcPr>
            <w:tcW w:w="1173" w:type="dxa"/>
            <w:vAlign w:val="center"/>
          </w:tcPr>
          <w:p w14:paraId="432DF4CD">
            <w:pPr>
              <w:adjustRightInd w:val="0"/>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套</w:t>
            </w:r>
          </w:p>
        </w:tc>
        <w:tc>
          <w:tcPr>
            <w:tcW w:w="1577" w:type="dxa"/>
            <w:vAlign w:val="center"/>
          </w:tcPr>
          <w:p w14:paraId="4C02FE6D">
            <w:pPr>
              <w:adjustRightInd w:val="0"/>
              <w:snapToGrid w:val="0"/>
              <w:jc w:val="center"/>
              <w:rPr>
                <w:rFonts w:hint="eastAsia" w:ascii="宋体" w:hAnsi="宋体" w:eastAsia="宋体" w:cs="宋体"/>
                <w:sz w:val="22"/>
              </w:rPr>
            </w:pPr>
          </w:p>
        </w:tc>
        <w:tc>
          <w:tcPr>
            <w:tcW w:w="1555" w:type="dxa"/>
            <w:vAlign w:val="center"/>
          </w:tcPr>
          <w:p w14:paraId="324C6B37">
            <w:pPr>
              <w:jc w:val="center"/>
              <w:rPr>
                <w:rFonts w:hint="eastAsia" w:ascii="宋体" w:hAnsi="宋体" w:eastAsia="宋体" w:cs="宋体"/>
                <w:sz w:val="22"/>
              </w:rPr>
            </w:pPr>
          </w:p>
        </w:tc>
        <w:tc>
          <w:tcPr>
            <w:tcW w:w="2323" w:type="dxa"/>
            <w:vAlign w:val="center"/>
          </w:tcPr>
          <w:p w14:paraId="30BB4164">
            <w:pPr>
              <w:adjustRightInd w:val="0"/>
              <w:snapToGrid w:val="0"/>
              <w:jc w:val="center"/>
              <w:rPr>
                <w:rFonts w:hint="default" w:ascii="Times New Roman" w:hAnsi="Times New Roman" w:eastAsia="宋体" w:cs="Times New Roman"/>
                <w:b w:val="0"/>
                <w:bCs w:val="0"/>
                <w:lang w:val="en-US" w:eastAsia="zh-CN"/>
              </w:rPr>
            </w:pPr>
          </w:p>
        </w:tc>
      </w:tr>
      <w:tr w14:paraId="5F34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3" w:type="dxa"/>
            <w:vAlign w:val="center"/>
          </w:tcPr>
          <w:p w14:paraId="0B30EEB4">
            <w:pPr>
              <w:adjustRightInd w:val="0"/>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3</w:t>
            </w:r>
          </w:p>
        </w:tc>
        <w:tc>
          <w:tcPr>
            <w:tcW w:w="1130" w:type="dxa"/>
            <w:shd w:val="clear"/>
            <w:vAlign w:val="center"/>
          </w:tcPr>
          <w:p w14:paraId="3B4B2BC0">
            <w:pPr>
              <w:adjustRightInd w:val="0"/>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Cs w:val="21"/>
                <w:lang w:val="en-US" w:eastAsia="zh-CN"/>
              </w:rPr>
              <w:t>钢结构平台</w:t>
            </w:r>
          </w:p>
        </w:tc>
        <w:tc>
          <w:tcPr>
            <w:tcW w:w="4068" w:type="dxa"/>
            <w:shd w:val="clear"/>
            <w:vAlign w:val="center"/>
          </w:tcPr>
          <w:p w14:paraId="6469FA3A">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1）钢结构平台面积~4.5mX4m，离地高度~2.5m；</w:t>
            </w:r>
          </w:p>
          <w:p w14:paraId="24D97770">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2）平台承重~4吨；</w:t>
            </w:r>
          </w:p>
          <w:p w14:paraId="2D9E1E37">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default" w:ascii="Times New Roman" w:hAnsi="Times New Roman" w:eastAsia="宋体" w:cs="Times New Roman"/>
                <w:b w:val="0"/>
                <w:bCs w:val="0"/>
                <w:kern w:val="2"/>
                <w:sz w:val="21"/>
                <w:szCs w:val="22"/>
                <w:highlight w:val="none"/>
                <w:lang w:val="en-US" w:eastAsia="zh-CN" w:bidi="ar-SA"/>
              </w:rPr>
            </w:pPr>
            <w:r>
              <w:rPr>
                <w:rFonts w:hint="default" w:ascii="Times New Roman" w:hAnsi="Times New Roman" w:eastAsia="宋体" w:cs="Times New Roman"/>
                <w:b w:val="0"/>
                <w:bCs w:val="0"/>
                <w:highlight w:val="none"/>
                <w:lang w:val="en-US" w:eastAsia="zh-CN"/>
              </w:rPr>
              <w:t>3）平台配置防护栏杆及爬梯。</w:t>
            </w:r>
          </w:p>
        </w:tc>
        <w:tc>
          <w:tcPr>
            <w:tcW w:w="1228" w:type="dxa"/>
            <w:shd w:val="clear"/>
            <w:vAlign w:val="center"/>
          </w:tcPr>
          <w:p w14:paraId="673EFE0A">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1</w:t>
            </w:r>
          </w:p>
        </w:tc>
        <w:tc>
          <w:tcPr>
            <w:tcW w:w="1173" w:type="dxa"/>
            <w:shd w:val="clear"/>
            <w:vAlign w:val="center"/>
          </w:tcPr>
          <w:p w14:paraId="7A1BFCD7">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套</w:t>
            </w:r>
          </w:p>
        </w:tc>
        <w:tc>
          <w:tcPr>
            <w:tcW w:w="1577" w:type="dxa"/>
            <w:vAlign w:val="center"/>
          </w:tcPr>
          <w:p w14:paraId="2B55E28F">
            <w:pPr>
              <w:adjustRightInd w:val="0"/>
              <w:snapToGrid w:val="0"/>
              <w:jc w:val="center"/>
              <w:rPr>
                <w:rFonts w:hint="eastAsia" w:ascii="宋体" w:hAnsi="宋体" w:eastAsia="宋体" w:cs="宋体"/>
                <w:sz w:val="22"/>
              </w:rPr>
            </w:pPr>
          </w:p>
        </w:tc>
        <w:tc>
          <w:tcPr>
            <w:tcW w:w="1555" w:type="dxa"/>
            <w:vAlign w:val="center"/>
          </w:tcPr>
          <w:p w14:paraId="4A01FC2D">
            <w:pPr>
              <w:jc w:val="center"/>
              <w:rPr>
                <w:rFonts w:hint="eastAsia" w:ascii="宋体" w:hAnsi="宋体" w:eastAsia="宋体" w:cs="宋体"/>
                <w:sz w:val="22"/>
              </w:rPr>
            </w:pPr>
          </w:p>
        </w:tc>
        <w:tc>
          <w:tcPr>
            <w:tcW w:w="2323" w:type="dxa"/>
            <w:shd w:val="clear"/>
            <w:vAlign w:val="center"/>
          </w:tcPr>
          <w:p w14:paraId="6A2E58F1">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Cs w:val="21"/>
                <w:lang w:val="en-US"/>
              </w:rPr>
              <w:t>拟放置平台位置地面为水泥硬化地面，钢结构平台施工需考虑地面承载力不够加固</w:t>
            </w:r>
          </w:p>
        </w:tc>
      </w:tr>
      <w:tr w14:paraId="1610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3" w:type="dxa"/>
            <w:vAlign w:val="center"/>
          </w:tcPr>
          <w:p w14:paraId="184C218D">
            <w:pPr>
              <w:adjustRightInd w:val="0"/>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1130" w:type="dxa"/>
            <w:shd w:val="clear"/>
            <w:vAlign w:val="center"/>
          </w:tcPr>
          <w:p w14:paraId="52F39DBE">
            <w:pPr>
              <w:adjustRightInd w:val="0"/>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Cs w:val="21"/>
                <w:lang w:val="en-US" w:eastAsia="zh-CN"/>
              </w:rPr>
              <w:t>电动三通阀</w:t>
            </w:r>
          </w:p>
        </w:tc>
        <w:tc>
          <w:tcPr>
            <w:tcW w:w="4068" w:type="dxa"/>
            <w:shd w:val="clear"/>
            <w:vAlign w:val="center"/>
          </w:tcPr>
          <w:p w14:paraId="0EAE1F3D">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1）管径DN150；</w:t>
            </w:r>
          </w:p>
          <w:p w14:paraId="3009E288">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2）工作水温：20~80℃、工作压力：1.0MPa；</w:t>
            </w:r>
          </w:p>
          <w:p w14:paraId="4E8C86ED">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default" w:ascii="Times New Roman" w:hAnsi="Times New Roman" w:eastAsia="宋体" w:cs="Times New Roman"/>
                <w:b w:val="0"/>
                <w:bCs w:val="0"/>
                <w:kern w:val="2"/>
                <w:sz w:val="21"/>
                <w:szCs w:val="22"/>
                <w:highlight w:val="none"/>
                <w:lang w:val="en-US" w:eastAsia="zh-CN" w:bidi="ar-SA"/>
              </w:rPr>
            </w:pPr>
            <w:r>
              <w:rPr>
                <w:rFonts w:hint="default" w:ascii="Times New Roman" w:hAnsi="Times New Roman" w:eastAsia="宋体" w:cs="Times New Roman"/>
                <w:b w:val="0"/>
                <w:bCs w:val="0"/>
                <w:highlight w:val="none"/>
                <w:lang w:val="en-US" w:eastAsia="zh-CN"/>
              </w:rPr>
              <w:t>3）工作水源：自来水。</w:t>
            </w:r>
          </w:p>
        </w:tc>
        <w:tc>
          <w:tcPr>
            <w:tcW w:w="1228" w:type="dxa"/>
            <w:shd w:val="clear"/>
            <w:vAlign w:val="center"/>
          </w:tcPr>
          <w:p w14:paraId="3390DD66">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2</w:t>
            </w:r>
          </w:p>
        </w:tc>
        <w:tc>
          <w:tcPr>
            <w:tcW w:w="1173" w:type="dxa"/>
            <w:shd w:val="clear"/>
            <w:vAlign w:val="center"/>
          </w:tcPr>
          <w:p w14:paraId="758F9E87">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个</w:t>
            </w:r>
          </w:p>
        </w:tc>
        <w:tc>
          <w:tcPr>
            <w:tcW w:w="1577" w:type="dxa"/>
            <w:vAlign w:val="center"/>
          </w:tcPr>
          <w:p w14:paraId="6A78A687">
            <w:pPr>
              <w:adjustRightInd w:val="0"/>
              <w:snapToGrid w:val="0"/>
              <w:jc w:val="center"/>
              <w:rPr>
                <w:rFonts w:hint="eastAsia" w:ascii="宋体" w:hAnsi="宋体" w:eastAsia="宋体" w:cs="宋体"/>
                <w:sz w:val="22"/>
              </w:rPr>
            </w:pPr>
          </w:p>
        </w:tc>
        <w:tc>
          <w:tcPr>
            <w:tcW w:w="1555" w:type="dxa"/>
            <w:vAlign w:val="center"/>
          </w:tcPr>
          <w:p w14:paraId="4C37E2F2">
            <w:pPr>
              <w:jc w:val="center"/>
              <w:rPr>
                <w:rFonts w:hint="eastAsia" w:ascii="宋体" w:hAnsi="宋体" w:eastAsia="宋体" w:cs="宋体"/>
                <w:sz w:val="22"/>
              </w:rPr>
            </w:pPr>
          </w:p>
        </w:tc>
        <w:tc>
          <w:tcPr>
            <w:tcW w:w="2323" w:type="dxa"/>
            <w:shd w:val="clear"/>
            <w:vAlign w:val="center"/>
          </w:tcPr>
          <w:p w14:paraId="2026B173">
            <w:pPr>
              <w:adjustRightInd w:val="0"/>
              <w:snapToGrid w:val="0"/>
              <w:jc w:val="center"/>
              <w:rPr>
                <w:rFonts w:hint="default" w:ascii="Times New Roman" w:hAnsi="Times New Roman" w:eastAsia="宋体" w:cs="Times New Roman"/>
                <w:color w:val="000000"/>
                <w:kern w:val="2"/>
                <w:sz w:val="21"/>
                <w:szCs w:val="21"/>
                <w:lang w:val="en-US" w:eastAsia="zh-CN" w:bidi="ar-SA"/>
              </w:rPr>
            </w:pPr>
          </w:p>
        </w:tc>
      </w:tr>
      <w:tr w14:paraId="06AC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3" w:type="dxa"/>
            <w:vAlign w:val="center"/>
          </w:tcPr>
          <w:p w14:paraId="43DE6386">
            <w:pPr>
              <w:adjustRightInd w:val="0"/>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5</w:t>
            </w:r>
          </w:p>
        </w:tc>
        <w:tc>
          <w:tcPr>
            <w:tcW w:w="1130" w:type="dxa"/>
            <w:shd w:val="clear"/>
            <w:vAlign w:val="center"/>
          </w:tcPr>
          <w:p w14:paraId="457C2F3C">
            <w:pPr>
              <w:adjustRightInd w:val="0"/>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Cs w:val="21"/>
                <w:lang w:val="en-US" w:eastAsia="zh-CN"/>
              </w:rPr>
              <w:t>电气部分改造</w:t>
            </w:r>
          </w:p>
        </w:tc>
        <w:tc>
          <w:tcPr>
            <w:tcW w:w="4068" w:type="dxa"/>
            <w:shd w:val="clear"/>
            <w:vAlign w:val="center"/>
          </w:tcPr>
          <w:p w14:paraId="09AF87E6">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1）电控柜至冷却塔配电，额定功率~6KW，穿线管安装；</w:t>
            </w:r>
          </w:p>
          <w:p w14:paraId="09F99450">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default" w:ascii="Times New Roman" w:hAnsi="Times New Roman" w:eastAsia="宋体" w:cs="Times New Roman"/>
                <w:b w:val="0"/>
                <w:bCs w:val="0"/>
                <w:kern w:val="2"/>
                <w:sz w:val="21"/>
                <w:szCs w:val="22"/>
                <w:highlight w:val="none"/>
                <w:lang w:val="en-US" w:eastAsia="zh-CN" w:bidi="ar-SA"/>
              </w:rPr>
            </w:pPr>
            <w:r>
              <w:rPr>
                <w:rFonts w:hint="default" w:ascii="Times New Roman" w:hAnsi="Times New Roman" w:eastAsia="宋体" w:cs="Times New Roman"/>
                <w:b w:val="0"/>
                <w:bCs w:val="0"/>
                <w:highlight w:val="none"/>
                <w:lang w:val="en-US" w:eastAsia="zh-CN"/>
              </w:rPr>
              <w:t>2）电控柜至电动阀配电及信号电缆。</w:t>
            </w:r>
          </w:p>
        </w:tc>
        <w:tc>
          <w:tcPr>
            <w:tcW w:w="1228" w:type="dxa"/>
            <w:shd w:val="clear"/>
            <w:vAlign w:val="center"/>
          </w:tcPr>
          <w:p w14:paraId="15BFCEC5">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1</w:t>
            </w:r>
          </w:p>
        </w:tc>
        <w:tc>
          <w:tcPr>
            <w:tcW w:w="1173" w:type="dxa"/>
            <w:shd w:val="clear"/>
            <w:vAlign w:val="center"/>
          </w:tcPr>
          <w:p w14:paraId="205CEEA9">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项</w:t>
            </w:r>
          </w:p>
        </w:tc>
        <w:tc>
          <w:tcPr>
            <w:tcW w:w="1577" w:type="dxa"/>
            <w:vAlign w:val="center"/>
          </w:tcPr>
          <w:p w14:paraId="5C07E1BA">
            <w:pPr>
              <w:adjustRightInd w:val="0"/>
              <w:snapToGrid w:val="0"/>
              <w:jc w:val="center"/>
              <w:rPr>
                <w:rFonts w:hint="eastAsia" w:ascii="宋体" w:hAnsi="宋体" w:eastAsia="宋体" w:cs="宋体"/>
                <w:sz w:val="22"/>
              </w:rPr>
            </w:pPr>
          </w:p>
        </w:tc>
        <w:tc>
          <w:tcPr>
            <w:tcW w:w="1555" w:type="dxa"/>
            <w:vAlign w:val="center"/>
          </w:tcPr>
          <w:p w14:paraId="7DE08648">
            <w:pPr>
              <w:jc w:val="center"/>
              <w:rPr>
                <w:rFonts w:hint="eastAsia" w:ascii="宋体" w:hAnsi="宋体" w:eastAsia="宋体" w:cs="宋体"/>
                <w:sz w:val="22"/>
              </w:rPr>
            </w:pPr>
          </w:p>
        </w:tc>
        <w:tc>
          <w:tcPr>
            <w:tcW w:w="2323" w:type="dxa"/>
            <w:shd w:val="clear"/>
            <w:vAlign w:val="center"/>
          </w:tcPr>
          <w:p w14:paraId="74C116D9">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Cs w:val="21"/>
                <w:lang w:val="en-US"/>
              </w:rPr>
              <w:t>含新增冷却塔、电动阀控制程序优化，控制柜到上述设备距离按10m计</w:t>
            </w:r>
          </w:p>
        </w:tc>
      </w:tr>
      <w:tr w14:paraId="4ACF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3" w:type="dxa"/>
            <w:vAlign w:val="center"/>
          </w:tcPr>
          <w:p w14:paraId="40D07FA8">
            <w:pPr>
              <w:adjustRightInd w:val="0"/>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6</w:t>
            </w:r>
          </w:p>
        </w:tc>
        <w:tc>
          <w:tcPr>
            <w:tcW w:w="1130" w:type="dxa"/>
            <w:shd w:val="clear"/>
            <w:vAlign w:val="center"/>
          </w:tcPr>
          <w:p w14:paraId="035DA188">
            <w:pPr>
              <w:adjustRightInd w:val="0"/>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Cs w:val="21"/>
                <w:lang w:val="en-US" w:eastAsia="zh-CN"/>
              </w:rPr>
              <w:t>管道1</w:t>
            </w:r>
          </w:p>
        </w:tc>
        <w:tc>
          <w:tcPr>
            <w:tcW w:w="4068" w:type="dxa"/>
            <w:shd w:val="clear"/>
            <w:vAlign w:val="center"/>
          </w:tcPr>
          <w:p w14:paraId="7B8CD67C">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1）管径De110，材质为PVC；</w:t>
            </w:r>
          </w:p>
          <w:p w14:paraId="7617E864">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default" w:ascii="Times New Roman" w:hAnsi="Times New Roman" w:eastAsia="宋体" w:cs="Times New Roman"/>
                <w:b w:val="0"/>
                <w:bCs w:val="0"/>
                <w:kern w:val="2"/>
                <w:sz w:val="21"/>
                <w:szCs w:val="22"/>
                <w:highlight w:val="none"/>
                <w:lang w:val="en-US" w:eastAsia="zh-CN" w:bidi="ar-SA"/>
              </w:rPr>
            </w:pPr>
            <w:r>
              <w:rPr>
                <w:rFonts w:hint="default" w:ascii="Times New Roman" w:hAnsi="Times New Roman" w:eastAsia="宋体" w:cs="Times New Roman"/>
                <w:b w:val="0"/>
                <w:bCs w:val="0"/>
                <w:highlight w:val="none"/>
                <w:lang w:val="en-US" w:eastAsia="zh-CN"/>
              </w:rPr>
              <w:t>2）工作温度：20~50℃，工作压力：1.0MPa。</w:t>
            </w:r>
          </w:p>
        </w:tc>
        <w:tc>
          <w:tcPr>
            <w:tcW w:w="1228" w:type="dxa"/>
            <w:shd w:val="clear"/>
            <w:vAlign w:val="center"/>
          </w:tcPr>
          <w:p w14:paraId="7DA4DD5E">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50</w:t>
            </w:r>
          </w:p>
        </w:tc>
        <w:tc>
          <w:tcPr>
            <w:tcW w:w="1173" w:type="dxa"/>
            <w:shd w:val="clear"/>
            <w:vAlign w:val="center"/>
          </w:tcPr>
          <w:p w14:paraId="461DE9CF">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米</w:t>
            </w:r>
          </w:p>
        </w:tc>
        <w:tc>
          <w:tcPr>
            <w:tcW w:w="1577" w:type="dxa"/>
            <w:vAlign w:val="center"/>
          </w:tcPr>
          <w:p w14:paraId="6D82AA1C">
            <w:pPr>
              <w:adjustRightInd w:val="0"/>
              <w:snapToGrid w:val="0"/>
              <w:jc w:val="center"/>
              <w:rPr>
                <w:rFonts w:hint="eastAsia" w:ascii="宋体" w:hAnsi="宋体" w:eastAsia="宋体" w:cs="宋体"/>
                <w:sz w:val="22"/>
              </w:rPr>
            </w:pPr>
          </w:p>
        </w:tc>
        <w:tc>
          <w:tcPr>
            <w:tcW w:w="1555" w:type="dxa"/>
            <w:vAlign w:val="center"/>
          </w:tcPr>
          <w:p w14:paraId="77E6981A">
            <w:pPr>
              <w:jc w:val="center"/>
              <w:rPr>
                <w:rFonts w:hint="eastAsia" w:ascii="宋体" w:hAnsi="宋体" w:eastAsia="宋体" w:cs="宋体"/>
                <w:sz w:val="22"/>
              </w:rPr>
            </w:pPr>
          </w:p>
        </w:tc>
        <w:tc>
          <w:tcPr>
            <w:tcW w:w="2323" w:type="dxa"/>
            <w:shd w:val="clear"/>
            <w:vAlign w:val="center"/>
          </w:tcPr>
          <w:p w14:paraId="06F7FA5D">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Cs w:val="21"/>
                <w:lang w:val="en-US"/>
              </w:rPr>
              <w:t>含管件、管道支架</w:t>
            </w:r>
          </w:p>
        </w:tc>
      </w:tr>
      <w:tr w14:paraId="7F29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3" w:type="dxa"/>
            <w:vAlign w:val="center"/>
          </w:tcPr>
          <w:p w14:paraId="580BC3BA">
            <w:pPr>
              <w:adjustRightInd w:val="0"/>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7</w:t>
            </w:r>
          </w:p>
        </w:tc>
        <w:tc>
          <w:tcPr>
            <w:tcW w:w="1130" w:type="dxa"/>
            <w:shd w:val="clear"/>
            <w:vAlign w:val="center"/>
          </w:tcPr>
          <w:p w14:paraId="3F4418E5">
            <w:pPr>
              <w:adjustRightInd w:val="0"/>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Cs w:val="21"/>
                <w:lang w:val="en-US" w:eastAsia="zh-CN"/>
              </w:rPr>
              <w:t>管道2</w:t>
            </w:r>
          </w:p>
        </w:tc>
        <w:tc>
          <w:tcPr>
            <w:tcW w:w="4068" w:type="dxa"/>
            <w:shd w:val="clear"/>
            <w:vAlign w:val="center"/>
          </w:tcPr>
          <w:p w14:paraId="5EB7B6B1">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1）管径De90，材质为PPR；</w:t>
            </w:r>
          </w:p>
          <w:p w14:paraId="11B31347">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2）工作温度：60~80℃，工作压力：1.0MPa；</w:t>
            </w:r>
          </w:p>
          <w:p w14:paraId="7741C31C">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default" w:ascii="Times New Roman" w:hAnsi="Times New Roman" w:eastAsia="宋体" w:cs="Times New Roman"/>
                <w:b w:val="0"/>
                <w:bCs w:val="0"/>
                <w:kern w:val="2"/>
                <w:sz w:val="21"/>
                <w:szCs w:val="22"/>
                <w:highlight w:val="none"/>
                <w:lang w:val="en-US" w:eastAsia="zh-CN" w:bidi="ar-SA"/>
              </w:rPr>
            </w:pPr>
            <w:r>
              <w:rPr>
                <w:rFonts w:hint="default" w:ascii="Times New Roman" w:hAnsi="Times New Roman" w:eastAsia="宋体" w:cs="Times New Roman"/>
                <w:b w:val="0"/>
                <w:bCs w:val="0"/>
                <w:highlight w:val="none"/>
                <w:lang w:val="en-US" w:eastAsia="zh-CN"/>
              </w:rPr>
              <w:t>3）保温处理。</w:t>
            </w:r>
          </w:p>
        </w:tc>
        <w:tc>
          <w:tcPr>
            <w:tcW w:w="1228" w:type="dxa"/>
            <w:shd w:val="clear"/>
            <w:vAlign w:val="center"/>
          </w:tcPr>
          <w:p w14:paraId="24EDF814">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30</w:t>
            </w:r>
          </w:p>
        </w:tc>
        <w:tc>
          <w:tcPr>
            <w:tcW w:w="1173" w:type="dxa"/>
            <w:shd w:val="clear"/>
            <w:vAlign w:val="center"/>
          </w:tcPr>
          <w:p w14:paraId="691D50F8">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米</w:t>
            </w:r>
          </w:p>
        </w:tc>
        <w:tc>
          <w:tcPr>
            <w:tcW w:w="1577" w:type="dxa"/>
            <w:vAlign w:val="center"/>
          </w:tcPr>
          <w:p w14:paraId="40EED03F">
            <w:pPr>
              <w:adjustRightInd w:val="0"/>
              <w:snapToGrid w:val="0"/>
              <w:jc w:val="center"/>
              <w:rPr>
                <w:rFonts w:hint="eastAsia" w:ascii="宋体" w:hAnsi="宋体" w:eastAsia="宋体" w:cs="宋体"/>
                <w:sz w:val="22"/>
              </w:rPr>
            </w:pPr>
          </w:p>
        </w:tc>
        <w:tc>
          <w:tcPr>
            <w:tcW w:w="1555" w:type="dxa"/>
            <w:vAlign w:val="center"/>
          </w:tcPr>
          <w:p w14:paraId="27EEA5A0">
            <w:pPr>
              <w:jc w:val="center"/>
              <w:rPr>
                <w:rFonts w:hint="eastAsia" w:ascii="宋体" w:hAnsi="宋体" w:eastAsia="宋体" w:cs="宋体"/>
                <w:sz w:val="22"/>
              </w:rPr>
            </w:pPr>
          </w:p>
        </w:tc>
        <w:tc>
          <w:tcPr>
            <w:tcW w:w="2323" w:type="dxa"/>
            <w:shd w:val="clear"/>
            <w:vAlign w:val="center"/>
          </w:tcPr>
          <w:p w14:paraId="74F9F4D1">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Cs w:val="21"/>
                <w:lang w:val="en-US"/>
              </w:rPr>
              <w:t>含管件、管道支架</w:t>
            </w:r>
          </w:p>
        </w:tc>
      </w:tr>
      <w:tr w14:paraId="4D34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3" w:type="dxa"/>
            <w:vAlign w:val="center"/>
          </w:tcPr>
          <w:p w14:paraId="5F79D8ED">
            <w:pPr>
              <w:adjustRightInd w:val="0"/>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8</w:t>
            </w:r>
          </w:p>
        </w:tc>
        <w:tc>
          <w:tcPr>
            <w:tcW w:w="1130" w:type="dxa"/>
            <w:shd w:val="clear"/>
            <w:vAlign w:val="center"/>
          </w:tcPr>
          <w:p w14:paraId="7DB20EEE">
            <w:pPr>
              <w:adjustRightInd w:val="0"/>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Cs w:val="21"/>
                <w:lang w:val="en-US" w:eastAsia="zh-CN"/>
              </w:rPr>
              <w:t>管道3</w:t>
            </w:r>
          </w:p>
        </w:tc>
        <w:tc>
          <w:tcPr>
            <w:tcW w:w="4068" w:type="dxa"/>
            <w:shd w:val="clear"/>
            <w:vAlign w:val="center"/>
          </w:tcPr>
          <w:p w14:paraId="62C35A13">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1）管径De160，材质为PVC；</w:t>
            </w:r>
          </w:p>
          <w:p w14:paraId="58078544">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default" w:ascii="Times New Roman" w:hAnsi="Times New Roman" w:eastAsia="宋体" w:cs="Times New Roman"/>
                <w:b w:val="0"/>
                <w:bCs w:val="0"/>
                <w:kern w:val="2"/>
                <w:sz w:val="21"/>
                <w:szCs w:val="22"/>
                <w:highlight w:val="none"/>
                <w:lang w:val="en-US" w:eastAsia="zh-CN" w:bidi="ar-SA"/>
              </w:rPr>
            </w:pPr>
            <w:r>
              <w:rPr>
                <w:rFonts w:hint="default" w:ascii="Times New Roman" w:hAnsi="Times New Roman" w:eastAsia="宋体" w:cs="Times New Roman"/>
                <w:b w:val="0"/>
                <w:bCs w:val="0"/>
                <w:highlight w:val="none"/>
                <w:lang w:val="en-US" w:eastAsia="zh-CN"/>
              </w:rPr>
              <w:t>2）工作温度：20~50℃，工作压力：1.0MPa。</w:t>
            </w:r>
          </w:p>
        </w:tc>
        <w:tc>
          <w:tcPr>
            <w:tcW w:w="1228" w:type="dxa"/>
            <w:shd w:val="clear"/>
            <w:vAlign w:val="center"/>
          </w:tcPr>
          <w:p w14:paraId="2C4F7133">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30</w:t>
            </w:r>
          </w:p>
        </w:tc>
        <w:tc>
          <w:tcPr>
            <w:tcW w:w="1173" w:type="dxa"/>
            <w:shd w:val="clear"/>
            <w:vAlign w:val="center"/>
          </w:tcPr>
          <w:p w14:paraId="43827BAD">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米</w:t>
            </w:r>
          </w:p>
        </w:tc>
        <w:tc>
          <w:tcPr>
            <w:tcW w:w="1577" w:type="dxa"/>
            <w:vAlign w:val="center"/>
          </w:tcPr>
          <w:p w14:paraId="5078E7FC">
            <w:pPr>
              <w:adjustRightInd w:val="0"/>
              <w:snapToGrid w:val="0"/>
              <w:jc w:val="center"/>
              <w:rPr>
                <w:rFonts w:hint="eastAsia" w:ascii="宋体" w:hAnsi="宋体" w:eastAsia="宋体" w:cs="宋体"/>
                <w:sz w:val="22"/>
              </w:rPr>
            </w:pPr>
          </w:p>
        </w:tc>
        <w:tc>
          <w:tcPr>
            <w:tcW w:w="1555" w:type="dxa"/>
            <w:vAlign w:val="center"/>
          </w:tcPr>
          <w:p w14:paraId="129FD960">
            <w:pPr>
              <w:jc w:val="center"/>
              <w:rPr>
                <w:rFonts w:hint="eastAsia" w:ascii="宋体" w:hAnsi="宋体" w:eastAsia="宋体" w:cs="宋体"/>
                <w:sz w:val="22"/>
              </w:rPr>
            </w:pPr>
          </w:p>
        </w:tc>
        <w:tc>
          <w:tcPr>
            <w:tcW w:w="2323" w:type="dxa"/>
            <w:shd w:val="clear"/>
            <w:vAlign w:val="center"/>
          </w:tcPr>
          <w:p w14:paraId="764F43CE">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Cs w:val="21"/>
                <w:lang w:val="en-US"/>
              </w:rPr>
              <w:t>含管件、管道支架</w:t>
            </w:r>
          </w:p>
        </w:tc>
      </w:tr>
      <w:tr w14:paraId="3351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3" w:type="dxa"/>
            <w:vAlign w:val="center"/>
          </w:tcPr>
          <w:p w14:paraId="24B95FFA">
            <w:pPr>
              <w:adjustRightInd w:val="0"/>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9</w:t>
            </w:r>
          </w:p>
        </w:tc>
        <w:tc>
          <w:tcPr>
            <w:tcW w:w="1130" w:type="dxa"/>
            <w:shd w:val="clear"/>
            <w:vAlign w:val="center"/>
          </w:tcPr>
          <w:p w14:paraId="57C004C9">
            <w:pPr>
              <w:adjustRightInd w:val="0"/>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Cs w:val="21"/>
                <w:lang w:val="en-US" w:eastAsia="zh-CN"/>
              </w:rPr>
              <w:t>温度变送器</w:t>
            </w:r>
          </w:p>
        </w:tc>
        <w:tc>
          <w:tcPr>
            <w:tcW w:w="4068" w:type="dxa"/>
            <w:shd w:val="clear"/>
            <w:vAlign w:val="center"/>
          </w:tcPr>
          <w:p w14:paraId="17233487">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1）工作温度：20~80℃；</w:t>
            </w:r>
          </w:p>
          <w:p w14:paraId="6E216FFA">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default" w:ascii="Times New Roman" w:hAnsi="Times New Roman" w:eastAsia="宋体" w:cs="Times New Roman"/>
                <w:b w:val="0"/>
                <w:bCs w:val="0"/>
                <w:kern w:val="2"/>
                <w:sz w:val="21"/>
                <w:szCs w:val="22"/>
                <w:highlight w:val="none"/>
                <w:lang w:val="en-US" w:eastAsia="zh-CN" w:bidi="ar-SA"/>
              </w:rPr>
            </w:pPr>
            <w:r>
              <w:rPr>
                <w:rFonts w:hint="default" w:ascii="Times New Roman" w:hAnsi="Times New Roman" w:eastAsia="宋体" w:cs="Times New Roman"/>
                <w:b w:val="0"/>
                <w:bCs w:val="0"/>
                <w:highlight w:val="none"/>
                <w:lang w:val="en-US" w:eastAsia="zh-CN"/>
              </w:rPr>
              <w:t>2）具有就地显示及远传功能。</w:t>
            </w:r>
          </w:p>
        </w:tc>
        <w:tc>
          <w:tcPr>
            <w:tcW w:w="1228" w:type="dxa"/>
            <w:shd w:val="clear"/>
            <w:vAlign w:val="center"/>
          </w:tcPr>
          <w:p w14:paraId="43875DCB">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2</w:t>
            </w:r>
          </w:p>
        </w:tc>
        <w:tc>
          <w:tcPr>
            <w:tcW w:w="1173" w:type="dxa"/>
            <w:shd w:val="clear"/>
            <w:vAlign w:val="center"/>
          </w:tcPr>
          <w:p w14:paraId="3E2B2940">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套</w:t>
            </w:r>
          </w:p>
        </w:tc>
        <w:tc>
          <w:tcPr>
            <w:tcW w:w="1577" w:type="dxa"/>
            <w:vAlign w:val="center"/>
          </w:tcPr>
          <w:p w14:paraId="468AD53C">
            <w:pPr>
              <w:adjustRightInd w:val="0"/>
              <w:snapToGrid w:val="0"/>
              <w:jc w:val="center"/>
              <w:rPr>
                <w:rFonts w:hint="eastAsia" w:ascii="宋体" w:hAnsi="宋体" w:eastAsia="宋体" w:cs="宋体"/>
                <w:sz w:val="22"/>
              </w:rPr>
            </w:pPr>
          </w:p>
        </w:tc>
        <w:tc>
          <w:tcPr>
            <w:tcW w:w="1555" w:type="dxa"/>
            <w:vAlign w:val="center"/>
          </w:tcPr>
          <w:p w14:paraId="41ABB55E">
            <w:pPr>
              <w:jc w:val="center"/>
              <w:rPr>
                <w:rFonts w:hint="eastAsia" w:ascii="宋体" w:hAnsi="宋体" w:eastAsia="宋体" w:cs="宋体"/>
                <w:sz w:val="22"/>
              </w:rPr>
            </w:pPr>
          </w:p>
        </w:tc>
        <w:tc>
          <w:tcPr>
            <w:tcW w:w="2323" w:type="dxa"/>
            <w:shd w:val="clear"/>
            <w:vAlign w:val="center"/>
          </w:tcPr>
          <w:p w14:paraId="12771597">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Cs w:val="21"/>
                <w:lang w:val="en-US"/>
              </w:rPr>
              <w:t>与电动三通阀、冷却塔连锁</w:t>
            </w:r>
          </w:p>
        </w:tc>
      </w:tr>
      <w:tr w14:paraId="0D4F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3" w:type="dxa"/>
            <w:vAlign w:val="center"/>
          </w:tcPr>
          <w:p w14:paraId="6F1BE14E">
            <w:pPr>
              <w:adjustRightInd w:val="0"/>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10</w:t>
            </w:r>
          </w:p>
        </w:tc>
        <w:tc>
          <w:tcPr>
            <w:tcW w:w="1130" w:type="dxa"/>
            <w:shd w:val="clear"/>
            <w:vAlign w:val="center"/>
          </w:tcPr>
          <w:p w14:paraId="32F57D51">
            <w:pPr>
              <w:adjustRightInd w:val="0"/>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Cs w:val="21"/>
                <w:lang w:val="en-US" w:eastAsia="zh-CN"/>
              </w:rPr>
              <w:t>设备安装</w:t>
            </w:r>
          </w:p>
        </w:tc>
        <w:tc>
          <w:tcPr>
            <w:tcW w:w="4068" w:type="dxa"/>
            <w:shd w:val="clear"/>
            <w:vAlign w:val="center"/>
          </w:tcPr>
          <w:p w14:paraId="7A2672BB">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default" w:ascii="Times New Roman" w:hAnsi="Times New Roman" w:eastAsia="宋体" w:cs="Times New Roman"/>
                <w:b w:val="0"/>
                <w:bCs w:val="0"/>
                <w:kern w:val="2"/>
                <w:sz w:val="21"/>
                <w:szCs w:val="22"/>
                <w:highlight w:val="none"/>
                <w:lang w:val="en-US" w:eastAsia="zh-CN" w:bidi="ar-SA"/>
              </w:rPr>
            </w:pPr>
            <w:r>
              <w:rPr>
                <w:rFonts w:hint="default" w:ascii="Times New Roman" w:hAnsi="Times New Roman" w:eastAsia="宋体" w:cs="Times New Roman"/>
                <w:b w:val="0"/>
                <w:bCs w:val="0"/>
                <w:highlight w:val="none"/>
                <w:lang w:val="en-US" w:eastAsia="zh-CN"/>
              </w:rPr>
              <w:t>配套</w:t>
            </w:r>
          </w:p>
        </w:tc>
        <w:tc>
          <w:tcPr>
            <w:tcW w:w="1228" w:type="dxa"/>
            <w:shd w:val="clear"/>
            <w:vAlign w:val="center"/>
          </w:tcPr>
          <w:p w14:paraId="0049E5FC">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1</w:t>
            </w:r>
          </w:p>
        </w:tc>
        <w:tc>
          <w:tcPr>
            <w:tcW w:w="1173" w:type="dxa"/>
            <w:shd w:val="clear"/>
            <w:vAlign w:val="center"/>
          </w:tcPr>
          <w:p w14:paraId="7C5DB802">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项</w:t>
            </w:r>
          </w:p>
        </w:tc>
        <w:tc>
          <w:tcPr>
            <w:tcW w:w="1577" w:type="dxa"/>
            <w:vAlign w:val="center"/>
          </w:tcPr>
          <w:p w14:paraId="2F2B3110">
            <w:pPr>
              <w:adjustRightInd w:val="0"/>
              <w:snapToGrid w:val="0"/>
              <w:jc w:val="center"/>
              <w:rPr>
                <w:rFonts w:hint="eastAsia" w:ascii="宋体" w:hAnsi="宋体" w:eastAsia="宋体" w:cs="宋体"/>
                <w:sz w:val="22"/>
              </w:rPr>
            </w:pPr>
          </w:p>
        </w:tc>
        <w:tc>
          <w:tcPr>
            <w:tcW w:w="1555" w:type="dxa"/>
            <w:vAlign w:val="center"/>
          </w:tcPr>
          <w:p w14:paraId="3B0E30B8">
            <w:pPr>
              <w:jc w:val="center"/>
              <w:rPr>
                <w:rFonts w:hint="eastAsia" w:ascii="宋体" w:hAnsi="宋体" w:eastAsia="宋体" w:cs="宋体"/>
                <w:sz w:val="22"/>
              </w:rPr>
            </w:pPr>
          </w:p>
        </w:tc>
        <w:tc>
          <w:tcPr>
            <w:tcW w:w="2323" w:type="dxa"/>
            <w:vAlign w:val="center"/>
          </w:tcPr>
          <w:p w14:paraId="4442F747">
            <w:pPr>
              <w:adjustRightInd w:val="0"/>
              <w:snapToGrid w:val="0"/>
              <w:jc w:val="center"/>
              <w:rPr>
                <w:rFonts w:hint="default" w:ascii="Times New Roman" w:hAnsi="Times New Roman" w:eastAsia="宋体" w:cs="Times New Roman"/>
                <w:b w:val="0"/>
                <w:bCs w:val="0"/>
                <w:lang w:val="en-US" w:eastAsia="zh-CN"/>
              </w:rPr>
            </w:pPr>
          </w:p>
        </w:tc>
      </w:tr>
      <w:tr w14:paraId="3B82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3" w:type="dxa"/>
            <w:vAlign w:val="center"/>
          </w:tcPr>
          <w:p w14:paraId="3A549A9B">
            <w:pPr>
              <w:adjustRightInd w:val="0"/>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11</w:t>
            </w:r>
          </w:p>
        </w:tc>
        <w:tc>
          <w:tcPr>
            <w:tcW w:w="1130" w:type="dxa"/>
            <w:shd w:val="clear"/>
            <w:vAlign w:val="center"/>
          </w:tcPr>
          <w:p w14:paraId="79B1CE03">
            <w:pPr>
              <w:adjustRightInd w:val="0"/>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Cs w:val="21"/>
                <w:lang w:val="en-US" w:eastAsia="zh-CN"/>
              </w:rPr>
              <w:t>系统调试</w:t>
            </w:r>
          </w:p>
        </w:tc>
        <w:tc>
          <w:tcPr>
            <w:tcW w:w="4068" w:type="dxa"/>
            <w:shd w:val="clear"/>
            <w:vAlign w:val="center"/>
          </w:tcPr>
          <w:p w14:paraId="37D17721">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default" w:ascii="Times New Roman" w:hAnsi="Times New Roman" w:eastAsia="宋体" w:cs="Times New Roman"/>
                <w:b w:val="0"/>
                <w:bCs w:val="0"/>
                <w:kern w:val="2"/>
                <w:sz w:val="21"/>
                <w:szCs w:val="22"/>
                <w:highlight w:val="none"/>
                <w:lang w:val="en-US" w:eastAsia="zh-CN" w:bidi="ar-SA"/>
              </w:rPr>
            </w:pPr>
            <w:r>
              <w:rPr>
                <w:rFonts w:hint="default" w:ascii="Times New Roman" w:hAnsi="Times New Roman" w:eastAsia="宋体" w:cs="Times New Roman"/>
                <w:b w:val="0"/>
                <w:bCs w:val="0"/>
                <w:highlight w:val="none"/>
                <w:lang w:val="en-US" w:eastAsia="zh-CN"/>
              </w:rPr>
              <w:t>配套</w:t>
            </w:r>
          </w:p>
        </w:tc>
        <w:tc>
          <w:tcPr>
            <w:tcW w:w="1228" w:type="dxa"/>
            <w:shd w:val="clear"/>
            <w:vAlign w:val="center"/>
          </w:tcPr>
          <w:p w14:paraId="60647498">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1</w:t>
            </w:r>
          </w:p>
        </w:tc>
        <w:tc>
          <w:tcPr>
            <w:tcW w:w="1173" w:type="dxa"/>
            <w:shd w:val="clear"/>
            <w:vAlign w:val="center"/>
          </w:tcPr>
          <w:p w14:paraId="20E8FA20">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项</w:t>
            </w:r>
          </w:p>
        </w:tc>
        <w:tc>
          <w:tcPr>
            <w:tcW w:w="1577" w:type="dxa"/>
            <w:vAlign w:val="center"/>
          </w:tcPr>
          <w:p w14:paraId="3551F558">
            <w:pPr>
              <w:adjustRightInd w:val="0"/>
              <w:snapToGrid w:val="0"/>
              <w:jc w:val="center"/>
              <w:rPr>
                <w:rFonts w:hint="eastAsia" w:ascii="宋体" w:hAnsi="宋体" w:eastAsia="宋体" w:cs="宋体"/>
                <w:sz w:val="22"/>
              </w:rPr>
            </w:pPr>
          </w:p>
        </w:tc>
        <w:tc>
          <w:tcPr>
            <w:tcW w:w="1555" w:type="dxa"/>
            <w:vAlign w:val="center"/>
          </w:tcPr>
          <w:p w14:paraId="500FC76D">
            <w:pPr>
              <w:jc w:val="center"/>
              <w:rPr>
                <w:rFonts w:hint="eastAsia" w:ascii="宋体" w:hAnsi="宋体" w:eastAsia="宋体" w:cs="宋体"/>
                <w:sz w:val="22"/>
              </w:rPr>
            </w:pPr>
          </w:p>
        </w:tc>
        <w:tc>
          <w:tcPr>
            <w:tcW w:w="2323" w:type="dxa"/>
            <w:vAlign w:val="center"/>
          </w:tcPr>
          <w:p w14:paraId="3F3361C5">
            <w:pPr>
              <w:adjustRightInd w:val="0"/>
              <w:snapToGrid w:val="0"/>
              <w:jc w:val="center"/>
              <w:rPr>
                <w:rFonts w:hint="default" w:ascii="Times New Roman" w:hAnsi="Times New Roman" w:eastAsia="宋体" w:cs="Times New Roman"/>
                <w:b w:val="0"/>
                <w:bCs w:val="0"/>
                <w:lang w:val="en-US" w:eastAsia="zh-CN"/>
              </w:rPr>
            </w:pPr>
          </w:p>
        </w:tc>
      </w:tr>
      <w:tr w14:paraId="0EB6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029" w:type="dxa"/>
            <w:gridSpan w:val="6"/>
            <w:vAlign w:val="center"/>
          </w:tcPr>
          <w:p w14:paraId="1AD5C0CF">
            <w:pPr>
              <w:jc w:val="center"/>
              <w:rPr>
                <w:rFonts w:hint="eastAsia" w:ascii="宋体" w:hAnsi="宋体" w:eastAsia="宋体" w:cs="宋体"/>
                <w:b/>
                <w:bCs/>
                <w:sz w:val="22"/>
              </w:rPr>
            </w:pPr>
            <w:r>
              <w:rPr>
                <w:rFonts w:hint="eastAsia" w:ascii="宋体" w:hAnsi="宋体" w:eastAsia="宋体" w:cs="宋体"/>
                <w:b/>
                <w:bCs/>
                <w:sz w:val="22"/>
              </w:rPr>
              <w:t>总价（万元，含13%税</w:t>
            </w:r>
            <w:r>
              <w:rPr>
                <w:rFonts w:hint="eastAsia" w:ascii="宋体" w:hAnsi="宋体" w:eastAsia="宋体" w:cs="宋体"/>
                <w:b/>
                <w:bCs/>
                <w:sz w:val="22"/>
                <w:lang w:eastAsia="zh-CN"/>
              </w:rPr>
              <w:t>，</w:t>
            </w:r>
            <w:r>
              <w:rPr>
                <w:rFonts w:hint="eastAsia" w:ascii="宋体" w:hAnsi="宋体" w:eastAsia="宋体" w:cs="宋体"/>
                <w:b/>
                <w:bCs/>
                <w:sz w:val="22"/>
                <w:lang w:val="en-US" w:eastAsia="zh-CN"/>
              </w:rPr>
              <w:t>含运费</w:t>
            </w:r>
            <w:r>
              <w:rPr>
                <w:rFonts w:hint="eastAsia" w:ascii="宋体" w:hAnsi="宋体" w:eastAsia="宋体" w:cs="宋体"/>
                <w:b/>
                <w:bCs/>
                <w:sz w:val="22"/>
              </w:rPr>
              <w:t>）</w:t>
            </w:r>
          </w:p>
        </w:tc>
        <w:tc>
          <w:tcPr>
            <w:tcW w:w="1555" w:type="dxa"/>
            <w:vAlign w:val="center"/>
          </w:tcPr>
          <w:p w14:paraId="65C0293C">
            <w:pPr>
              <w:jc w:val="center"/>
              <w:rPr>
                <w:rFonts w:hint="eastAsia" w:ascii="宋体" w:hAnsi="宋体" w:eastAsia="宋体" w:cs="宋体"/>
                <w:sz w:val="22"/>
              </w:rPr>
            </w:pPr>
          </w:p>
        </w:tc>
        <w:tc>
          <w:tcPr>
            <w:tcW w:w="2323" w:type="dxa"/>
            <w:vAlign w:val="center"/>
          </w:tcPr>
          <w:p w14:paraId="4D0F6C52">
            <w:pPr>
              <w:jc w:val="center"/>
              <w:rPr>
                <w:rFonts w:hint="eastAsia" w:ascii="宋体" w:hAnsi="宋体" w:eastAsia="宋体" w:cs="宋体"/>
                <w:sz w:val="22"/>
              </w:rPr>
            </w:pPr>
          </w:p>
        </w:tc>
      </w:tr>
    </w:tbl>
    <w:p w14:paraId="72C11493">
      <w:pPr>
        <w:rPr>
          <w:rFonts w:hint="eastAsia" w:ascii="宋体" w:hAnsi="宋体" w:eastAsia="宋体" w:cs="宋体"/>
          <w:kern w:val="0"/>
          <w:sz w:val="22"/>
        </w:rPr>
      </w:pPr>
      <w:r>
        <w:rPr>
          <w:rFonts w:hint="eastAsia" w:ascii="宋体" w:hAnsi="宋体" w:eastAsia="宋体" w:cs="宋体"/>
          <w:kern w:val="0"/>
          <w:sz w:val="22"/>
        </w:rPr>
        <w:t>注：</w:t>
      </w:r>
    </w:p>
    <w:p w14:paraId="116C875B">
      <w:pPr>
        <w:numPr>
          <w:ilvl w:val="0"/>
          <w:numId w:val="5"/>
        </w:numPr>
        <w:rPr>
          <w:rFonts w:hint="eastAsia" w:ascii="宋体" w:hAnsi="宋体" w:eastAsia="宋体" w:cs="宋体"/>
          <w:kern w:val="0"/>
          <w:sz w:val="22"/>
        </w:rPr>
      </w:pPr>
      <w:r>
        <w:rPr>
          <w:rFonts w:hint="eastAsia" w:ascii="宋体" w:hAnsi="宋体" w:eastAsia="宋体" w:cs="宋体"/>
          <w:kern w:val="0"/>
          <w:sz w:val="22"/>
        </w:rPr>
        <w:t>报价有效期：自公告发布之日起，三个月内。</w:t>
      </w:r>
    </w:p>
    <w:p w14:paraId="24EC45A5">
      <w:pPr>
        <w:numPr>
          <w:ilvl w:val="0"/>
          <w:numId w:val="5"/>
        </w:numPr>
        <w:rPr>
          <w:rFonts w:hint="eastAsia" w:ascii="宋体" w:hAnsi="宋体" w:eastAsia="宋体" w:cs="宋体"/>
          <w:sz w:val="22"/>
        </w:rPr>
      </w:pPr>
      <w:r>
        <w:rPr>
          <w:rFonts w:hint="eastAsia" w:ascii="宋体" w:hAnsi="宋体" w:eastAsia="宋体" w:cs="宋体"/>
          <w:kern w:val="0"/>
          <w:sz w:val="22"/>
        </w:rPr>
        <w:t>货币单位：人民币</w:t>
      </w:r>
      <w:r>
        <w:rPr>
          <w:rFonts w:hint="eastAsia" w:ascii="宋体" w:hAnsi="宋体" w:eastAsia="宋体" w:cs="宋体"/>
          <w:kern w:val="0"/>
          <w:sz w:val="22"/>
          <w:lang w:val="en-US" w:eastAsia="zh-CN"/>
        </w:rPr>
        <w:t>万</w:t>
      </w:r>
      <w:r>
        <w:rPr>
          <w:rFonts w:hint="eastAsia" w:ascii="宋体" w:hAnsi="宋体" w:eastAsia="宋体" w:cs="宋体"/>
          <w:kern w:val="0"/>
          <w:sz w:val="22"/>
        </w:rPr>
        <w:t>元。</w:t>
      </w:r>
    </w:p>
    <w:p w14:paraId="3075FBC2">
      <w:pPr>
        <w:numPr>
          <w:ilvl w:val="0"/>
          <w:numId w:val="5"/>
        </w:numPr>
        <w:rPr>
          <w:rFonts w:hint="eastAsia" w:ascii="宋体" w:hAnsi="宋体" w:eastAsia="宋体" w:cs="宋体"/>
          <w:sz w:val="22"/>
        </w:rPr>
      </w:pPr>
      <w:r>
        <w:rPr>
          <w:rFonts w:hint="eastAsia" w:ascii="宋体" w:hAnsi="宋体" w:eastAsia="宋体" w:cs="宋体"/>
          <w:kern w:val="0"/>
          <w:sz w:val="22"/>
        </w:rPr>
        <w:t>上</w:t>
      </w:r>
      <w:r>
        <w:rPr>
          <w:rFonts w:hint="eastAsia" w:ascii="宋体" w:hAnsi="宋体" w:eastAsia="宋体" w:cs="宋体"/>
          <w:sz w:val="22"/>
        </w:rPr>
        <w:t>表格式仅供参考，报价单位可结合实际情况细化内容及对应报价。</w:t>
      </w:r>
    </w:p>
    <w:p w14:paraId="488269F1">
      <w:pPr>
        <w:spacing w:line="360" w:lineRule="auto"/>
        <w:ind w:firstLine="4180" w:firstLineChars="1900"/>
        <w:jc w:val="left"/>
        <w:rPr>
          <w:rFonts w:hint="eastAsia" w:ascii="宋体" w:hAnsi="宋体" w:eastAsia="宋体" w:cs="宋体"/>
          <w:sz w:val="22"/>
          <w:szCs w:val="24"/>
        </w:rPr>
      </w:pPr>
    </w:p>
    <w:p w14:paraId="09ECCBB1">
      <w:pPr>
        <w:spacing w:line="360" w:lineRule="auto"/>
        <w:ind w:firstLine="10120" w:firstLineChars="4600"/>
        <w:jc w:val="left"/>
        <w:rPr>
          <w:rFonts w:hint="eastAsia" w:ascii="宋体" w:hAnsi="宋体" w:eastAsia="宋体" w:cs="宋体"/>
          <w:sz w:val="22"/>
          <w:szCs w:val="24"/>
        </w:rPr>
      </w:pPr>
      <w:r>
        <w:rPr>
          <w:rFonts w:hint="eastAsia" w:ascii="宋体" w:hAnsi="宋体" w:eastAsia="宋体" w:cs="宋体"/>
          <w:sz w:val="22"/>
          <w:szCs w:val="24"/>
        </w:rPr>
        <w:t>报价单位（</w:t>
      </w:r>
      <w:r>
        <w:rPr>
          <w:rFonts w:hint="eastAsia" w:ascii="宋体" w:hAnsi="宋体" w:eastAsia="宋体" w:cs="宋体"/>
          <w:b/>
          <w:sz w:val="22"/>
          <w:szCs w:val="24"/>
        </w:rPr>
        <w:t>公章</w:t>
      </w:r>
      <w:r>
        <w:rPr>
          <w:rFonts w:hint="eastAsia" w:ascii="宋体" w:hAnsi="宋体" w:eastAsia="宋体" w:cs="宋体"/>
          <w:sz w:val="22"/>
          <w:szCs w:val="24"/>
        </w:rPr>
        <w:t>）：</w:t>
      </w:r>
    </w:p>
    <w:p w14:paraId="10598D7C">
      <w:pPr>
        <w:spacing w:line="360" w:lineRule="auto"/>
        <w:ind w:firstLine="440" w:firstLineChars="200"/>
        <w:jc w:val="right"/>
        <w:rPr>
          <w:rFonts w:hint="eastAsia" w:ascii="宋体" w:hAnsi="宋体" w:eastAsia="宋体" w:cs="宋体"/>
          <w:sz w:val="22"/>
          <w:szCs w:val="24"/>
        </w:rPr>
      </w:pPr>
      <w:r>
        <w:rPr>
          <w:rFonts w:hint="eastAsia" w:ascii="宋体" w:hAnsi="宋体" w:eastAsia="宋体" w:cs="宋体"/>
          <w:sz w:val="22"/>
          <w:szCs w:val="24"/>
        </w:rPr>
        <w:t xml:space="preserve">                                    </w:t>
      </w:r>
      <w:r>
        <w:rPr>
          <w:rFonts w:hint="eastAsia" w:ascii="宋体" w:hAnsi="宋体" w:eastAsia="宋体" w:cs="宋体"/>
          <w:szCs w:val="24"/>
        </w:rPr>
        <w:t xml:space="preserve">           日期：       年  月  日</w:t>
      </w:r>
    </w:p>
    <w:p w14:paraId="04832BFE">
      <w:pPr>
        <w:keepNext/>
        <w:keepLines/>
        <w:pageBreakBefore/>
        <w:spacing w:before="280" w:after="290" w:line="377" w:lineRule="auto"/>
        <w:jc w:val="both"/>
        <w:outlineLvl w:val="3"/>
        <w:rPr>
          <w:rFonts w:hint="eastAsia" w:ascii="宋体" w:hAnsi="宋体" w:eastAsia="宋体" w:cs="宋体"/>
          <w:b/>
          <w:bCs/>
          <w:sz w:val="28"/>
          <w:szCs w:val="28"/>
        </w:rPr>
        <w:sectPr>
          <w:pgSz w:w="16838" w:h="11906" w:orient="landscape"/>
          <w:pgMar w:top="1803" w:right="1440" w:bottom="1803" w:left="1440" w:header="851" w:footer="992" w:gutter="0"/>
          <w:cols w:space="0" w:num="1"/>
          <w:docGrid w:type="lines" w:linePitch="319" w:charSpace="0"/>
        </w:sectPr>
      </w:pPr>
    </w:p>
    <w:p w14:paraId="19E9EFE8">
      <w:pPr>
        <w:keepNext/>
        <w:keepLines/>
        <w:pageBreakBefore/>
        <w:spacing w:before="280" w:after="290" w:line="377" w:lineRule="auto"/>
        <w:jc w:val="center"/>
        <w:outlineLvl w:val="3"/>
        <w:rPr>
          <w:rFonts w:hint="eastAsia" w:ascii="宋体" w:hAnsi="宋体" w:eastAsia="宋体" w:cs="宋体"/>
          <w:b/>
          <w:bCs/>
          <w:sz w:val="28"/>
          <w:szCs w:val="28"/>
        </w:rPr>
      </w:pPr>
      <w:r>
        <w:rPr>
          <w:rFonts w:hint="eastAsia" w:ascii="宋体" w:hAnsi="宋体" w:eastAsia="宋体" w:cs="宋体"/>
          <w:b/>
          <w:bCs/>
          <w:sz w:val="28"/>
          <w:szCs w:val="28"/>
        </w:rPr>
        <w:t>二、承诺函</w:t>
      </w:r>
    </w:p>
    <w:p w14:paraId="5ED4576E">
      <w:pPr>
        <w:rPr>
          <w:rFonts w:hint="eastAsia" w:ascii="宋体" w:hAnsi="宋体" w:eastAsia="宋体" w:cs="宋体"/>
          <w:bCs/>
          <w:szCs w:val="21"/>
        </w:rPr>
      </w:pPr>
      <w:r>
        <w:rPr>
          <w:rFonts w:hint="eastAsia" w:ascii="宋体" w:hAnsi="宋体" w:eastAsia="宋体" w:cs="宋体"/>
          <w:bCs/>
          <w:szCs w:val="21"/>
        </w:rPr>
        <w:t>致深圳市深水生态环境技术有限公司：</w:t>
      </w:r>
    </w:p>
    <w:p w14:paraId="70C25202">
      <w:pPr>
        <w:spacing w:line="360" w:lineRule="auto"/>
        <w:ind w:firstLine="420" w:firstLineChars="200"/>
        <w:rPr>
          <w:rFonts w:hint="eastAsia" w:ascii="宋体" w:hAnsi="宋体" w:eastAsia="宋体" w:cs="宋体"/>
          <w:bCs/>
          <w:szCs w:val="21"/>
        </w:rPr>
      </w:pPr>
    </w:p>
    <w:p w14:paraId="22327D0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据此函，本人代表报价单位保证，所提供的全部资料是真实的。本人承诺：</w:t>
      </w:r>
    </w:p>
    <w:p w14:paraId="5F303C5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（1）我单位符合询价公告中“报价单位资格要求”的全部要求。</w:t>
      </w:r>
    </w:p>
    <w:p w14:paraId="2D2F9FD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我单位已详细阅读询价公告中“项目需求”的全部要求，我单位提供的报价是在满足其全部要求的前提下作出的；如我单位无法全部满足“项目需求”的全部要求，将作出说明（格式自拟）；未作出任何说明的，视为全部满足。</w:t>
      </w:r>
    </w:p>
    <w:p w14:paraId="50DD9485">
      <w:pPr>
        <w:spacing w:line="360" w:lineRule="auto"/>
        <w:ind w:firstLine="420" w:firstLineChars="200"/>
        <w:rPr>
          <w:rFonts w:hint="eastAsia" w:ascii="宋体" w:hAnsi="宋体" w:eastAsia="宋体" w:cs="宋体"/>
        </w:rPr>
      </w:pPr>
      <w:r>
        <w:rPr>
          <w:rFonts w:hint="eastAsia" w:ascii="宋体" w:hAnsi="宋体" w:eastAsia="宋体" w:cs="宋体"/>
          <w:szCs w:val="21"/>
        </w:rPr>
        <w:t>（3）我单位明白，本次询价结果将可能作为</w:t>
      </w:r>
      <w:r>
        <w:rPr>
          <w:rFonts w:hint="eastAsia" w:ascii="宋体" w:hAnsi="宋体" w:eastAsia="宋体" w:cs="宋体"/>
        </w:rPr>
        <w:t>本项目招标控制价设置的参考依据。</w:t>
      </w:r>
    </w:p>
    <w:p w14:paraId="07599363">
      <w:pPr>
        <w:spacing w:line="360" w:lineRule="auto"/>
        <w:ind w:firstLine="420" w:firstLineChars="200"/>
        <w:rPr>
          <w:rFonts w:hint="eastAsia" w:ascii="宋体" w:hAnsi="宋体" w:eastAsia="宋体" w:cs="宋体"/>
        </w:rPr>
      </w:pPr>
      <w:r>
        <w:rPr>
          <w:rFonts w:hint="eastAsia" w:ascii="宋体" w:hAnsi="宋体" w:eastAsia="宋体" w:cs="宋体"/>
        </w:rPr>
        <w:t>（4）我单位承诺，本次提供的全部资料均为真实有效的。如存在恶意提供虚假资料的情形，三年内不得参加</w:t>
      </w:r>
      <w:r>
        <w:rPr>
          <w:rFonts w:hint="eastAsia" w:ascii="宋体" w:hAnsi="宋体" w:eastAsia="宋体" w:cs="宋体"/>
          <w:snapToGrid w:val="0"/>
          <w:szCs w:val="21"/>
        </w:rPr>
        <w:t>深圳市深水生态环境技术有限公司的</w:t>
      </w:r>
      <w:r>
        <w:rPr>
          <w:rFonts w:hint="eastAsia" w:ascii="宋体" w:hAnsi="宋体" w:eastAsia="宋体" w:cs="宋体"/>
        </w:rPr>
        <w:t>采购活动。</w:t>
      </w:r>
    </w:p>
    <w:p w14:paraId="6170EF72">
      <w:pPr>
        <w:spacing w:line="360" w:lineRule="auto"/>
        <w:ind w:firstLine="420" w:firstLineChars="200"/>
        <w:rPr>
          <w:rFonts w:hint="eastAsia" w:ascii="宋体" w:hAnsi="宋体" w:eastAsia="宋体" w:cs="宋体"/>
        </w:rPr>
      </w:pPr>
    </w:p>
    <w:p w14:paraId="3C5F7198">
      <w:pPr>
        <w:autoSpaceDE w:val="0"/>
        <w:autoSpaceDN w:val="0"/>
        <w:adjustRightInd w:val="0"/>
        <w:spacing w:line="360" w:lineRule="auto"/>
        <w:ind w:firstLine="480" w:firstLineChars="200"/>
        <w:jc w:val="left"/>
        <w:rPr>
          <w:rFonts w:hint="eastAsia" w:ascii="宋体" w:hAnsi="宋体" w:eastAsia="宋体" w:cs="宋体"/>
          <w:kern w:val="0"/>
          <w:sz w:val="24"/>
          <w:szCs w:val="24"/>
        </w:rPr>
      </w:pPr>
    </w:p>
    <w:p w14:paraId="61CD9B03">
      <w:pPr>
        <w:spacing w:line="360" w:lineRule="auto"/>
        <w:ind w:firstLine="4180" w:firstLineChars="1900"/>
        <w:jc w:val="left"/>
        <w:rPr>
          <w:rFonts w:hint="eastAsia" w:ascii="宋体" w:hAnsi="宋体" w:eastAsia="宋体" w:cs="宋体"/>
          <w:sz w:val="22"/>
          <w:szCs w:val="24"/>
        </w:rPr>
      </w:pPr>
      <w:r>
        <w:rPr>
          <w:rFonts w:hint="eastAsia" w:ascii="宋体" w:hAnsi="宋体" w:eastAsia="宋体" w:cs="宋体"/>
          <w:sz w:val="22"/>
          <w:szCs w:val="24"/>
        </w:rPr>
        <w:t>报价单位（</w:t>
      </w:r>
      <w:r>
        <w:rPr>
          <w:rFonts w:hint="eastAsia" w:ascii="宋体" w:hAnsi="宋体" w:eastAsia="宋体" w:cs="宋体"/>
          <w:b/>
          <w:sz w:val="22"/>
          <w:szCs w:val="24"/>
        </w:rPr>
        <w:t>公章</w:t>
      </w:r>
      <w:r>
        <w:rPr>
          <w:rFonts w:hint="eastAsia" w:ascii="宋体" w:hAnsi="宋体" w:eastAsia="宋体" w:cs="宋体"/>
          <w:sz w:val="22"/>
          <w:szCs w:val="24"/>
        </w:rPr>
        <w:t>）：</w:t>
      </w:r>
    </w:p>
    <w:p w14:paraId="6C91ED2C">
      <w:pPr>
        <w:spacing w:line="360" w:lineRule="auto"/>
        <w:ind w:firstLine="2520" w:firstLineChars="1200"/>
        <w:jc w:val="left"/>
        <w:rPr>
          <w:rFonts w:hint="eastAsia" w:ascii="宋体" w:hAnsi="宋体" w:eastAsia="宋体" w:cs="宋体"/>
          <w:szCs w:val="24"/>
        </w:rPr>
      </w:pPr>
      <w:r>
        <w:rPr>
          <w:rFonts w:hint="eastAsia" w:ascii="宋体" w:hAnsi="宋体" w:eastAsia="宋体" w:cs="宋体"/>
          <w:szCs w:val="24"/>
        </w:rPr>
        <w:t>法定代表人或其授权委托人（</w:t>
      </w:r>
      <w:r>
        <w:rPr>
          <w:rFonts w:hint="eastAsia" w:ascii="宋体" w:hAnsi="宋体" w:eastAsia="宋体" w:cs="宋体"/>
          <w:b/>
          <w:szCs w:val="24"/>
        </w:rPr>
        <w:t>签名</w:t>
      </w:r>
      <w:r>
        <w:rPr>
          <w:rFonts w:hint="eastAsia" w:ascii="宋体" w:hAnsi="宋体" w:eastAsia="宋体" w:cs="宋体"/>
          <w:szCs w:val="24"/>
        </w:rPr>
        <w:t>）：</w:t>
      </w:r>
    </w:p>
    <w:p w14:paraId="0B69F1AE">
      <w:pPr>
        <w:spacing w:line="360" w:lineRule="auto"/>
        <w:ind w:firstLine="440" w:firstLineChars="200"/>
        <w:rPr>
          <w:rFonts w:hint="eastAsia" w:ascii="宋体" w:hAnsi="宋体" w:eastAsia="宋体" w:cs="宋体"/>
          <w:sz w:val="22"/>
          <w:szCs w:val="24"/>
        </w:rPr>
      </w:pPr>
      <w:r>
        <w:rPr>
          <w:rFonts w:hint="eastAsia" w:ascii="宋体" w:hAnsi="宋体" w:eastAsia="宋体" w:cs="宋体"/>
          <w:sz w:val="22"/>
          <w:szCs w:val="24"/>
        </w:rPr>
        <w:t xml:space="preserve">                                    </w:t>
      </w:r>
      <w:r>
        <w:rPr>
          <w:rFonts w:hint="eastAsia" w:ascii="宋体" w:hAnsi="宋体" w:eastAsia="宋体" w:cs="宋体"/>
          <w:szCs w:val="24"/>
        </w:rPr>
        <w:t xml:space="preserve">           日期：       年  月  日</w:t>
      </w:r>
    </w:p>
    <w:p w14:paraId="368F64C8">
      <w:pPr>
        <w:rPr>
          <w:rFonts w:hint="eastAsia" w:ascii="宋体" w:hAnsi="宋体" w:eastAsia="宋体" w:cs="宋体"/>
        </w:rPr>
      </w:pPr>
    </w:p>
    <w:p w14:paraId="3F06BD95">
      <w:pPr>
        <w:keepNext/>
        <w:keepLines/>
        <w:pageBreakBefore/>
        <w:spacing w:before="280" w:after="290" w:line="377" w:lineRule="auto"/>
        <w:jc w:val="center"/>
        <w:outlineLvl w:val="3"/>
        <w:rPr>
          <w:rFonts w:hint="eastAsia" w:ascii="宋体" w:hAnsi="宋体" w:eastAsia="宋体" w:cs="宋体"/>
          <w:b/>
          <w:bCs/>
          <w:sz w:val="28"/>
          <w:szCs w:val="28"/>
        </w:rPr>
      </w:pPr>
      <w:bookmarkStart w:id="96" w:name="_Toc86250221"/>
      <w:bookmarkStart w:id="97" w:name="_Toc78188135"/>
      <w:bookmarkStart w:id="98" w:name="_Toc76993859"/>
      <w:bookmarkStart w:id="99" w:name="_Toc78188237"/>
      <w:r>
        <w:rPr>
          <w:rFonts w:hint="eastAsia" w:ascii="宋体" w:hAnsi="宋体" w:eastAsia="宋体" w:cs="宋体"/>
          <w:b/>
          <w:bCs/>
          <w:sz w:val="28"/>
          <w:szCs w:val="28"/>
        </w:rPr>
        <w:t>三、营业执照、业绩证明</w:t>
      </w:r>
    </w:p>
    <w:p w14:paraId="16873E7B">
      <w:pPr>
        <w:jc w:val="center"/>
        <w:rPr>
          <w:rFonts w:hint="eastAsia" w:ascii="宋体" w:hAnsi="宋体" w:eastAsia="宋体" w:cs="宋体"/>
        </w:rPr>
      </w:pPr>
      <w:r>
        <w:rPr>
          <w:rFonts w:hint="eastAsia" w:ascii="宋体" w:hAnsi="宋体" w:eastAsia="宋体" w:cs="宋体"/>
        </w:rPr>
        <w:t>（请提供报价单位的营业执照、企业资质扫描件</w:t>
      </w:r>
      <w:r>
        <w:rPr>
          <w:rFonts w:hint="eastAsia" w:ascii="宋体" w:hAnsi="宋体" w:eastAsia="宋体" w:cs="宋体"/>
          <w:lang w:eastAsia="zh-CN"/>
        </w:rPr>
        <w:t>、</w:t>
      </w:r>
      <w:r>
        <w:rPr>
          <w:rFonts w:hint="eastAsia" w:ascii="宋体" w:hAnsi="宋体" w:eastAsia="宋体" w:cs="宋体"/>
          <w:lang w:val="en-US" w:eastAsia="zh-CN"/>
        </w:rPr>
        <w:t>业绩证明文件</w:t>
      </w:r>
      <w:r>
        <w:rPr>
          <w:rFonts w:hint="eastAsia" w:ascii="宋体" w:hAnsi="宋体" w:eastAsia="宋体" w:cs="宋体"/>
        </w:rPr>
        <w:t>并加盖公章）</w:t>
      </w:r>
    </w:p>
    <w:p w14:paraId="0239DDEE">
      <w:pPr>
        <w:keepNext/>
        <w:keepLines/>
        <w:pageBreakBefore/>
        <w:spacing w:before="280" w:after="290" w:line="377" w:lineRule="auto"/>
        <w:jc w:val="center"/>
        <w:outlineLvl w:val="3"/>
        <w:rPr>
          <w:rFonts w:hint="eastAsia" w:ascii="宋体" w:hAnsi="宋体" w:eastAsia="宋体" w:cs="宋体"/>
          <w:b/>
          <w:bCs/>
          <w:sz w:val="32"/>
          <w:szCs w:val="32"/>
        </w:rPr>
      </w:pPr>
      <w:r>
        <w:rPr>
          <w:rFonts w:hint="eastAsia" w:ascii="宋体" w:hAnsi="宋体" w:eastAsia="宋体" w:cs="宋体"/>
          <w:b/>
          <w:bCs/>
          <w:sz w:val="28"/>
          <w:szCs w:val="28"/>
        </w:rPr>
        <w:t>四、法定代表人资格证明书</w:t>
      </w:r>
      <w:bookmarkEnd w:id="96"/>
      <w:bookmarkEnd w:id="97"/>
      <w:bookmarkEnd w:id="98"/>
      <w:bookmarkEnd w:id="99"/>
    </w:p>
    <w:p w14:paraId="73601D78">
      <w:pPr>
        <w:tabs>
          <w:tab w:val="left" w:pos="7560"/>
        </w:tabs>
        <w:snapToGrid w:val="0"/>
        <w:spacing w:line="360" w:lineRule="auto"/>
        <w:ind w:firstLine="480"/>
        <w:jc w:val="center"/>
        <w:rPr>
          <w:rFonts w:hint="eastAsia" w:ascii="宋体" w:hAnsi="宋体" w:eastAsia="宋体" w:cs="宋体"/>
          <w:sz w:val="24"/>
        </w:rPr>
      </w:pPr>
      <w:bookmarkStart w:id="100" w:name="_Toc78188238"/>
      <w:bookmarkStart w:id="101" w:name="_Toc76993860"/>
      <w:bookmarkStart w:id="102" w:name="_Toc78188136"/>
      <w:bookmarkStart w:id="103" w:name="_Toc86250222"/>
      <w:r>
        <w:rPr>
          <w:rFonts w:hint="eastAsia" w:ascii="宋体" w:hAnsi="宋体" w:eastAsia="宋体" w:cs="宋体"/>
          <w:sz w:val="24"/>
        </w:rPr>
        <w:t>法定代表人资格证明书</w:t>
      </w:r>
    </w:p>
    <w:p w14:paraId="18F7886D">
      <w:pPr>
        <w:tabs>
          <w:tab w:val="left" w:pos="7560"/>
        </w:tabs>
        <w:snapToGrid w:val="0"/>
        <w:spacing w:line="360" w:lineRule="auto"/>
        <w:ind w:firstLine="420" w:firstLineChars="200"/>
        <w:rPr>
          <w:rFonts w:hint="eastAsia" w:ascii="宋体" w:hAnsi="宋体" w:eastAsia="宋体" w:cs="宋体"/>
          <w:szCs w:val="21"/>
        </w:rPr>
      </w:pPr>
    </w:p>
    <w:p w14:paraId="2CEED8A1">
      <w:pPr>
        <w:pStyle w:val="13"/>
        <w:snapToGrid w:val="0"/>
        <w:spacing w:after="0" w:line="360" w:lineRule="auto"/>
        <w:rPr>
          <w:rFonts w:hint="eastAsia" w:ascii="宋体" w:hAnsi="宋体" w:eastAsia="宋体" w:cs="宋体"/>
        </w:rPr>
      </w:pPr>
    </w:p>
    <w:p w14:paraId="403976E7">
      <w:pPr>
        <w:tabs>
          <w:tab w:val="left" w:pos="7560"/>
        </w:tabs>
        <w:snapToGrid w:val="0"/>
        <w:spacing w:line="360" w:lineRule="auto"/>
        <w:ind w:firstLine="420" w:firstLineChars="200"/>
        <w:rPr>
          <w:rFonts w:hint="eastAsia" w:ascii="宋体" w:hAnsi="宋体" w:eastAsia="宋体" w:cs="宋体"/>
          <w:szCs w:val="21"/>
        </w:rPr>
      </w:pPr>
    </w:p>
    <w:p w14:paraId="3B2356F8">
      <w:pPr>
        <w:tabs>
          <w:tab w:val="left" w:pos="7560"/>
        </w:tabs>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报价单位名称：</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19B55C57">
      <w:pPr>
        <w:tabs>
          <w:tab w:val="left" w:pos="7560"/>
        </w:tabs>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79CF29B5">
      <w:pPr>
        <w:tabs>
          <w:tab w:val="left" w:pos="7560"/>
        </w:tabs>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r>
        <w:rPr>
          <w:rFonts w:hint="eastAsia" w:ascii="宋体" w:hAnsi="宋体" w:eastAsia="宋体" w:cs="宋体"/>
          <w:szCs w:val="21"/>
        </w:rPr>
        <w:t xml:space="preserve"> 年龄：</w:t>
      </w:r>
      <w:r>
        <w:rPr>
          <w:rFonts w:hint="eastAsia" w:ascii="宋体" w:hAnsi="宋体" w:eastAsia="宋体" w:cs="宋体"/>
          <w:szCs w:val="21"/>
          <w:u w:val="single"/>
        </w:rPr>
        <w:t xml:space="preserve">     </w:t>
      </w:r>
      <w:r>
        <w:rPr>
          <w:rFonts w:hint="eastAsia" w:ascii="宋体" w:hAnsi="宋体" w:eastAsia="宋体" w:cs="宋体"/>
          <w:szCs w:val="21"/>
        </w:rPr>
        <w:t xml:space="preserve"> 职务：</w:t>
      </w:r>
      <w:r>
        <w:rPr>
          <w:rFonts w:hint="eastAsia" w:ascii="宋体" w:hAnsi="宋体" w:eastAsia="宋体" w:cs="宋体"/>
          <w:szCs w:val="21"/>
          <w:u w:val="single"/>
        </w:rPr>
        <w:t xml:space="preserve">   </w:t>
      </w:r>
      <w:r>
        <w:rPr>
          <w:rFonts w:hint="eastAsia" w:ascii="宋体" w:hAnsi="宋体" w:eastAsia="宋体" w:cs="宋体"/>
          <w:szCs w:val="21"/>
          <w:u w:val="single"/>
          <w:bdr w:val="single" w:color="auto" w:sz="4" w:space="0"/>
        </w:rPr>
        <w:t xml:space="preserve">      </w:t>
      </w:r>
      <w:r>
        <w:rPr>
          <w:rFonts w:hint="eastAsia" w:ascii="宋体" w:hAnsi="宋体" w:eastAsia="宋体" w:cs="宋体"/>
          <w:szCs w:val="21"/>
        </w:rPr>
        <w:t xml:space="preserve">      </w:t>
      </w:r>
    </w:p>
    <w:p w14:paraId="048660D1">
      <w:pPr>
        <w:tabs>
          <w:tab w:val="left" w:pos="7560"/>
        </w:tabs>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（投标人名称）的法定代表人（单位负责人）。</w:t>
      </w:r>
    </w:p>
    <w:p w14:paraId="4609A3FC">
      <w:pPr>
        <w:tabs>
          <w:tab w:val="left" w:pos="7560"/>
        </w:tabs>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33FB98A8">
      <w:pPr>
        <w:tabs>
          <w:tab w:val="left" w:pos="7560"/>
        </w:tabs>
        <w:snapToGrid w:val="0"/>
        <w:spacing w:line="360" w:lineRule="auto"/>
        <w:ind w:firstLine="420" w:firstLineChars="200"/>
        <w:rPr>
          <w:rFonts w:hint="eastAsia" w:ascii="宋体" w:hAnsi="宋体" w:eastAsia="宋体" w:cs="宋体"/>
          <w:szCs w:val="21"/>
        </w:rPr>
      </w:pPr>
    </w:p>
    <w:p w14:paraId="6456A013">
      <w:pPr>
        <w:tabs>
          <w:tab w:val="left" w:pos="7560"/>
        </w:tabs>
        <w:snapToGrid w:val="0"/>
        <w:spacing w:line="360" w:lineRule="auto"/>
        <w:ind w:firstLine="420" w:firstLineChars="200"/>
        <w:rPr>
          <w:rFonts w:hint="eastAsia" w:ascii="宋体" w:hAnsi="宋体" w:eastAsia="宋体" w:cs="宋体"/>
          <w:szCs w:val="21"/>
        </w:rPr>
      </w:pPr>
    </w:p>
    <w:p w14:paraId="5B970C1E">
      <w:pPr>
        <w:widowControl/>
        <w:snapToGrid w:val="0"/>
        <w:spacing w:line="360" w:lineRule="auto"/>
        <w:ind w:firstLine="480"/>
        <w:jc w:val="left"/>
        <w:rPr>
          <w:rFonts w:hint="eastAsia" w:ascii="宋体" w:hAnsi="宋体" w:eastAsia="宋体" w:cs="宋体"/>
          <w:kern w:val="0"/>
          <w:szCs w:val="21"/>
        </w:rPr>
      </w:pPr>
    </w:p>
    <w:p w14:paraId="687A2FC8">
      <w:pPr>
        <w:widowControl/>
        <w:snapToGrid w:val="0"/>
        <w:spacing w:line="360" w:lineRule="auto"/>
        <w:ind w:firstLine="480"/>
        <w:jc w:val="center"/>
        <w:rPr>
          <w:rFonts w:hint="eastAsia" w:ascii="宋体" w:hAnsi="宋体" w:eastAsia="宋体" w:cs="宋体"/>
          <w:kern w:val="0"/>
          <w:szCs w:val="21"/>
        </w:rPr>
      </w:pPr>
    </w:p>
    <w:p w14:paraId="16982904">
      <w:pPr>
        <w:widowControl/>
        <w:snapToGrid w:val="0"/>
        <w:spacing w:line="360" w:lineRule="auto"/>
        <w:ind w:firstLine="480"/>
        <w:jc w:val="left"/>
        <w:rPr>
          <w:rFonts w:hint="eastAsia" w:ascii="宋体" w:hAnsi="宋体" w:eastAsia="宋体" w:cs="宋体"/>
          <w:kern w:val="0"/>
          <w:szCs w:val="21"/>
        </w:rPr>
      </w:pPr>
    </w:p>
    <w:p w14:paraId="521ED1BC">
      <w:pPr>
        <w:widowControl/>
        <w:snapToGrid w:val="0"/>
        <w:spacing w:line="360" w:lineRule="auto"/>
        <w:ind w:firstLine="480"/>
        <w:jc w:val="left"/>
        <w:rPr>
          <w:rFonts w:hint="eastAsia" w:ascii="宋体" w:hAnsi="宋体" w:eastAsia="宋体" w:cs="宋体"/>
          <w:kern w:val="0"/>
          <w:szCs w:val="21"/>
        </w:rPr>
      </w:pPr>
    </w:p>
    <w:p w14:paraId="01CD7544">
      <w:pPr>
        <w:widowControl/>
        <w:snapToGrid w:val="0"/>
        <w:spacing w:line="360" w:lineRule="auto"/>
        <w:ind w:firstLine="480"/>
        <w:jc w:val="left"/>
        <w:rPr>
          <w:rFonts w:hint="eastAsia" w:ascii="宋体" w:hAnsi="宋体" w:eastAsia="宋体" w:cs="宋体"/>
          <w:kern w:val="0"/>
          <w:szCs w:val="21"/>
        </w:rPr>
      </w:pPr>
    </w:p>
    <w:p w14:paraId="44DDCEDF">
      <w:pPr>
        <w:widowControl/>
        <w:snapToGrid w:val="0"/>
        <w:spacing w:line="360" w:lineRule="auto"/>
        <w:ind w:firstLine="480"/>
        <w:jc w:val="left"/>
        <w:rPr>
          <w:rFonts w:hint="eastAsia" w:ascii="宋体" w:hAnsi="宋体" w:eastAsia="宋体" w:cs="宋体"/>
          <w:kern w:val="0"/>
          <w:szCs w:val="21"/>
        </w:rPr>
      </w:pPr>
    </w:p>
    <w:p w14:paraId="69E94FDF">
      <w:pPr>
        <w:widowControl/>
        <w:snapToGrid w:val="0"/>
        <w:spacing w:line="360" w:lineRule="auto"/>
        <w:ind w:firstLine="480"/>
        <w:jc w:val="left"/>
        <w:rPr>
          <w:rFonts w:hint="eastAsia" w:ascii="宋体" w:hAnsi="宋体" w:eastAsia="宋体" w:cs="宋体"/>
          <w:kern w:val="0"/>
          <w:szCs w:val="21"/>
        </w:rPr>
      </w:pPr>
    </w:p>
    <w:p w14:paraId="3B5AE755">
      <w:pPr>
        <w:snapToGrid w:val="0"/>
        <w:spacing w:line="360" w:lineRule="auto"/>
        <w:ind w:firstLine="480"/>
        <w:jc w:val="center"/>
        <w:rPr>
          <w:rFonts w:hint="eastAsia" w:ascii="宋体" w:hAnsi="宋体" w:eastAsia="宋体" w:cs="宋体"/>
          <w:szCs w:val="21"/>
        </w:rPr>
      </w:pPr>
      <w:r>
        <w:rPr>
          <w:rFonts w:hint="eastAsia" w:ascii="宋体" w:hAnsi="宋体" w:eastAsia="宋体" w:cs="宋体"/>
          <w:szCs w:val="21"/>
        </w:rPr>
        <w:t>法定代表人身份证复印件（加盖公章）</w:t>
      </w:r>
    </w:p>
    <w:p w14:paraId="770A8FF0">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 xml:space="preserve">                                      正、反面</w:t>
      </w:r>
    </w:p>
    <w:p w14:paraId="74E7DFBC">
      <w:pPr>
        <w:widowControl/>
        <w:snapToGrid w:val="0"/>
        <w:spacing w:line="360" w:lineRule="auto"/>
        <w:ind w:firstLine="480"/>
        <w:jc w:val="left"/>
        <w:rPr>
          <w:rFonts w:hint="eastAsia" w:ascii="宋体" w:hAnsi="宋体" w:eastAsia="宋体" w:cs="宋体"/>
          <w:kern w:val="0"/>
          <w:szCs w:val="21"/>
        </w:rPr>
      </w:pPr>
    </w:p>
    <w:p w14:paraId="4F032701">
      <w:pPr>
        <w:widowControl/>
        <w:snapToGrid w:val="0"/>
        <w:spacing w:line="360" w:lineRule="auto"/>
        <w:ind w:firstLine="480"/>
        <w:jc w:val="left"/>
        <w:rPr>
          <w:rFonts w:hint="eastAsia" w:ascii="宋体" w:hAnsi="宋体" w:eastAsia="宋体" w:cs="宋体"/>
          <w:kern w:val="0"/>
          <w:szCs w:val="21"/>
        </w:rPr>
      </w:pPr>
    </w:p>
    <w:p w14:paraId="5C941AB5">
      <w:pPr>
        <w:tabs>
          <w:tab w:val="left" w:pos="7560"/>
        </w:tabs>
        <w:snapToGrid w:val="0"/>
        <w:spacing w:line="360" w:lineRule="auto"/>
        <w:ind w:firstLine="480"/>
        <w:rPr>
          <w:rFonts w:hint="eastAsia" w:ascii="宋体" w:hAnsi="宋体" w:eastAsia="宋体" w:cs="宋体"/>
          <w:szCs w:val="21"/>
        </w:rPr>
      </w:pPr>
    </w:p>
    <w:p w14:paraId="136D932F">
      <w:pPr>
        <w:tabs>
          <w:tab w:val="left" w:pos="7560"/>
        </w:tabs>
        <w:snapToGrid w:val="0"/>
        <w:spacing w:line="360" w:lineRule="auto"/>
        <w:ind w:firstLine="480"/>
        <w:rPr>
          <w:rFonts w:hint="eastAsia" w:ascii="宋体" w:hAnsi="宋体" w:eastAsia="宋体" w:cs="宋体"/>
          <w:szCs w:val="21"/>
        </w:rPr>
      </w:pPr>
    </w:p>
    <w:p w14:paraId="41A9FE1F">
      <w:pPr>
        <w:tabs>
          <w:tab w:val="left" w:pos="7560"/>
        </w:tabs>
        <w:snapToGrid w:val="0"/>
        <w:spacing w:line="360" w:lineRule="auto"/>
        <w:ind w:firstLine="480"/>
        <w:rPr>
          <w:rFonts w:hint="eastAsia" w:ascii="宋体" w:hAnsi="宋体" w:eastAsia="宋体" w:cs="宋体"/>
          <w:szCs w:val="21"/>
        </w:rPr>
      </w:pPr>
    </w:p>
    <w:p w14:paraId="093D04E2">
      <w:pPr>
        <w:tabs>
          <w:tab w:val="left" w:pos="7560"/>
        </w:tabs>
        <w:snapToGrid w:val="0"/>
        <w:spacing w:line="360" w:lineRule="auto"/>
        <w:ind w:firstLine="480"/>
        <w:rPr>
          <w:rFonts w:hint="eastAsia" w:ascii="宋体" w:hAnsi="宋体" w:eastAsia="宋体" w:cs="宋体"/>
          <w:szCs w:val="21"/>
        </w:rPr>
      </w:pPr>
    </w:p>
    <w:p w14:paraId="6B39DEB7">
      <w:pPr>
        <w:pStyle w:val="13"/>
        <w:snapToGrid w:val="0"/>
        <w:spacing w:after="0" w:line="360" w:lineRule="auto"/>
        <w:rPr>
          <w:rFonts w:hint="eastAsia" w:ascii="宋体" w:hAnsi="宋体" w:eastAsia="宋体" w:cs="宋体"/>
          <w:szCs w:val="21"/>
        </w:rPr>
      </w:pPr>
    </w:p>
    <w:p w14:paraId="15E03EF4">
      <w:pPr>
        <w:tabs>
          <w:tab w:val="left" w:pos="7560"/>
        </w:tabs>
        <w:snapToGrid w:val="0"/>
        <w:spacing w:line="360" w:lineRule="auto"/>
        <w:ind w:firstLine="480"/>
        <w:jc w:val="left"/>
        <w:rPr>
          <w:rFonts w:hint="eastAsia" w:ascii="宋体" w:hAnsi="宋体" w:eastAsia="宋体" w:cs="宋体"/>
          <w:szCs w:val="21"/>
        </w:rPr>
      </w:pPr>
    </w:p>
    <w:p w14:paraId="1771A45C">
      <w:pPr>
        <w:tabs>
          <w:tab w:val="left" w:pos="7560"/>
        </w:tabs>
        <w:snapToGrid w:val="0"/>
        <w:spacing w:line="360" w:lineRule="auto"/>
        <w:ind w:right="1680" w:firstLine="480"/>
        <w:jc w:val="left"/>
        <w:rPr>
          <w:rFonts w:hint="eastAsia" w:ascii="宋体" w:hAnsi="宋体" w:eastAsia="宋体" w:cs="宋体"/>
          <w:szCs w:val="21"/>
        </w:rPr>
      </w:pPr>
      <w:r>
        <w:rPr>
          <w:rFonts w:hint="eastAsia" w:ascii="宋体" w:hAnsi="宋体" w:eastAsia="宋体" w:cs="宋体"/>
          <w:szCs w:val="21"/>
        </w:rPr>
        <w:t>报价（盖章）：</w:t>
      </w:r>
      <w:r>
        <w:rPr>
          <w:rFonts w:hint="eastAsia" w:ascii="宋体" w:hAnsi="宋体" w:eastAsia="宋体" w:cs="宋体"/>
          <w:szCs w:val="21"/>
          <w:u w:val="single"/>
        </w:rPr>
        <w:t xml:space="preserve">                        </w:t>
      </w:r>
    </w:p>
    <w:p w14:paraId="608A8C73">
      <w:pPr>
        <w:tabs>
          <w:tab w:val="left" w:pos="7560"/>
        </w:tabs>
        <w:snapToGrid w:val="0"/>
        <w:spacing w:line="360" w:lineRule="auto"/>
        <w:ind w:firstLine="480"/>
        <w:jc w:val="left"/>
        <w:rPr>
          <w:rFonts w:hint="eastAsia" w:ascii="宋体" w:hAnsi="宋体" w:eastAsia="宋体" w:cs="宋体"/>
          <w:szCs w:val="21"/>
        </w:rPr>
      </w:pPr>
    </w:p>
    <w:p w14:paraId="5AC2065C">
      <w:pPr>
        <w:tabs>
          <w:tab w:val="left" w:pos="7560"/>
        </w:tabs>
        <w:snapToGrid w:val="0"/>
        <w:spacing w:line="360" w:lineRule="auto"/>
        <w:ind w:right="1680" w:firstLine="480"/>
        <w:jc w:val="left"/>
        <w:rPr>
          <w:rFonts w:hint="eastAsia"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7A3F2200">
      <w:pPr>
        <w:keepNext/>
        <w:keepLines/>
        <w:pageBreakBefore/>
        <w:spacing w:before="280" w:after="290" w:line="377" w:lineRule="auto"/>
        <w:jc w:val="center"/>
        <w:outlineLvl w:val="3"/>
        <w:rPr>
          <w:rFonts w:hint="eastAsia" w:ascii="宋体" w:hAnsi="宋体" w:eastAsia="宋体" w:cs="宋体"/>
          <w:bCs/>
          <w:szCs w:val="32"/>
        </w:rPr>
      </w:pPr>
      <w:r>
        <w:rPr>
          <w:rFonts w:hint="eastAsia" w:ascii="宋体" w:hAnsi="宋体" w:eastAsia="宋体" w:cs="宋体"/>
          <w:b/>
          <w:bCs/>
          <w:sz w:val="28"/>
          <w:szCs w:val="28"/>
        </w:rPr>
        <w:t>五、法定代表人授权书</w:t>
      </w:r>
      <w:bookmarkEnd w:id="100"/>
      <w:bookmarkEnd w:id="101"/>
      <w:bookmarkEnd w:id="102"/>
      <w:bookmarkEnd w:id="103"/>
    </w:p>
    <w:p w14:paraId="3037208F">
      <w:pPr>
        <w:rPr>
          <w:rFonts w:hint="eastAsia" w:ascii="宋体" w:hAnsi="宋体" w:eastAsia="宋体" w:cs="宋体"/>
          <w:bCs/>
          <w:szCs w:val="21"/>
        </w:rPr>
      </w:pPr>
      <w:r>
        <w:rPr>
          <w:rFonts w:hint="eastAsia" w:ascii="宋体" w:hAnsi="宋体" w:eastAsia="宋体" w:cs="宋体"/>
          <w:bCs/>
          <w:szCs w:val="21"/>
        </w:rPr>
        <w:t>致深圳市深水生态环境技术有限公司：</w:t>
      </w:r>
    </w:p>
    <w:p w14:paraId="59800CC4">
      <w:pPr>
        <w:rPr>
          <w:rFonts w:hint="eastAsia" w:ascii="宋体" w:hAnsi="宋体" w:eastAsia="宋体" w:cs="宋体"/>
          <w:bCs/>
          <w:szCs w:val="21"/>
        </w:rPr>
      </w:pPr>
    </w:p>
    <w:p w14:paraId="2D7D1DDE">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u w:val="single"/>
        </w:rPr>
        <w:t xml:space="preserve">  （报价单位全称）  </w:t>
      </w:r>
      <w:r>
        <w:rPr>
          <w:rFonts w:hint="eastAsia" w:ascii="宋体" w:hAnsi="宋体" w:eastAsia="宋体" w:cs="宋体"/>
          <w:bCs/>
          <w:szCs w:val="21"/>
        </w:rPr>
        <w:t xml:space="preserve">的法定代表人 </w:t>
      </w:r>
      <w:r>
        <w:rPr>
          <w:rFonts w:hint="eastAsia" w:ascii="宋体" w:hAnsi="宋体" w:eastAsia="宋体" w:cs="宋体"/>
          <w:bCs/>
          <w:szCs w:val="21"/>
          <w:u w:val="single"/>
        </w:rPr>
        <w:t xml:space="preserve"> （姓名、职务）   </w:t>
      </w:r>
      <w:r>
        <w:rPr>
          <w:rFonts w:hint="eastAsia" w:ascii="宋体" w:hAnsi="宋体" w:eastAsia="宋体" w:cs="宋体"/>
          <w:bCs/>
          <w:szCs w:val="21"/>
        </w:rPr>
        <w:t>授权</w:t>
      </w:r>
      <w:r>
        <w:rPr>
          <w:rFonts w:hint="eastAsia" w:ascii="宋体" w:hAnsi="宋体" w:eastAsia="宋体" w:cs="宋体"/>
          <w:bCs/>
          <w:szCs w:val="21"/>
          <w:u w:val="single"/>
        </w:rPr>
        <w:t xml:space="preserve">   （代理人姓名、职务）</w:t>
      </w:r>
      <w:r>
        <w:rPr>
          <w:rFonts w:hint="eastAsia" w:ascii="宋体" w:hAnsi="宋体" w:eastAsia="宋体" w:cs="宋体"/>
          <w:bCs/>
          <w:szCs w:val="21"/>
        </w:rPr>
        <w:t>为本公司合法代理人，参加本次</w:t>
      </w:r>
      <w:r>
        <w:rPr>
          <w:rFonts w:hint="eastAsia" w:ascii="宋体" w:hAnsi="宋体" w:eastAsia="宋体" w:cs="宋体"/>
          <w:kern w:val="0"/>
          <w:szCs w:val="21"/>
        </w:rPr>
        <w:t>报价工作。</w:t>
      </w:r>
      <w:r>
        <w:rPr>
          <w:rFonts w:hint="eastAsia" w:ascii="宋体" w:hAnsi="宋体" w:eastAsia="宋体" w:cs="宋体"/>
          <w:bCs/>
          <w:szCs w:val="21"/>
        </w:rPr>
        <w:t>报价单位代表在本次报价过程中提供的一切文件和处理与之有关的一切事务，本公司均予以认可并对此承担责任。被授权人代表无转委权。特此授权。</w:t>
      </w:r>
    </w:p>
    <w:p w14:paraId="15562301">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本授权书于</w:t>
      </w:r>
      <w:r>
        <w:rPr>
          <w:rFonts w:hint="eastAsia" w:ascii="宋体" w:hAnsi="宋体" w:eastAsia="宋体" w:cs="宋体"/>
          <w:bCs/>
          <w:szCs w:val="21"/>
          <w:u w:val="single"/>
        </w:rPr>
        <w:t xml:space="preserve">    年   月  日</w:t>
      </w:r>
      <w:r>
        <w:rPr>
          <w:rFonts w:hint="eastAsia" w:ascii="宋体" w:hAnsi="宋体" w:eastAsia="宋体" w:cs="宋体"/>
          <w:bCs/>
          <w:szCs w:val="21"/>
        </w:rPr>
        <w:t>签字生效,特此声明。</w:t>
      </w:r>
    </w:p>
    <w:p w14:paraId="114882C8">
      <w:pPr>
        <w:spacing w:line="360" w:lineRule="auto"/>
        <w:ind w:firstLine="105" w:firstLineChars="50"/>
        <w:rPr>
          <w:rFonts w:hint="eastAsia" w:ascii="宋体" w:hAnsi="宋体" w:eastAsia="宋体" w:cs="宋体"/>
          <w:bCs/>
          <w:szCs w:val="21"/>
        </w:rPr>
      </w:pPr>
    </w:p>
    <w:p w14:paraId="1041F22B">
      <w:pPr>
        <w:tabs>
          <w:tab w:val="left" w:pos="7560"/>
        </w:tabs>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w:t>
      </w:r>
      <w:r>
        <w:rPr>
          <w:rFonts w:hint="eastAsia" w:ascii="宋体" w:hAnsi="宋体" w:eastAsia="宋体" w:cs="宋体"/>
          <w:szCs w:val="21"/>
          <w:u w:val="single"/>
        </w:rPr>
        <w:t xml:space="preserve">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r>
        <w:rPr>
          <w:rFonts w:hint="eastAsia" w:ascii="宋体" w:hAnsi="宋体" w:eastAsia="宋体" w:cs="宋体"/>
          <w:szCs w:val="21"/>
        </w:rPr>
        <w:t xml:space="preserve">   年龄：</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4D514043">
      <w:pPr>
        <w:tabs>
          <w:tab w:val="left" w:pos="7560"/>
        </w:tabs>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身份证号码：</w:t>
      </w:r>
      <w:r>
        <w:rPr>
          <w:rFonts w:hint="eastAsia" w:ascii="宋体" w:hAnsi="宋体" w:eastAsia="宋体" w:cs="宋体"/>
          <w:szCs w:val="21"/>
          <w:u w:val="single"/>
        </w:rPr>
        <w:t xml:space="preserve">                            </w:t>
      </w:r>
      <w:r>
        <w:rPr>
          <w:rFonts w:hint="eastAsia" w:ascii="宋体" w:hAnsi="宋体" w:eastAsia="宋体" w:cs="宋体"/>
          <w:szCs w:val="21"/>
        </w:rPr>
        <w:t xml:space="preserve"> 职务：</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E20FC40">
      <w:pPr>
        <w:rPr>
          <w:rFonts w:hint="eastAsia" w:ascii="宋体" w:hAnsi="宋体" w:eastAsia="宋体" w:cs="宋体"/>
          <w:szCs w:val="24"/>
        </w:rPr>
      </w:pPr>
    </w:p>
    <w:p w14:paraId="380CED7A">
      <w:pPr>
        <w:pStyle w:val="6"/>
        <w:rPr>
          <w:rFonts w:hint="eastAsia" w:ascii="宋体" w:hAnsi="宋体" w:eastAsia="宋体" w:cs="宋体"/>
        </w:rPr>
      </w:pPr>
    </w:p>
    <w:p w14:paraId="4718671A">
      <w:pPr>
        <w:rPr>
          <w:rFonts w:hint="eastAsia" w:ascii="宋体" w:hAnsi="宋体" w:eastAsia="宋体" w:cs="宋体"/>
        </w:rPr>
      </w:pPr>
    </w:p>
    <w:p w14:paraId="15147910">
      <w:pPr>
        <w:pStyle w:val="6"/>
        <w:rPr>
          <w:rFonts w:hint="eastAsia" w:ascii="宋体" w:hAnsi="宋体" w:eastAsia="宋体" w:cs="宋体"/>
        </w:rPr>
      </w:pPr>
    </w:p>
    <w:p w14:paraId="2610EDFB">
      <w:pPr>
        <w:rPr>
          <w:rFonts w:hint="eastAsia" w:ascii="宋体" w:hAnsi="宋体" w:eastAsia="宋体" w:cs="宋体"/>
        </w:rPr>
      </w:pPr>
    </w:p>
    <w:p w14:paraId="479047C4">
      <w:pPr>
        <w:pStyle w:val="6"/>
        <w:rPr>
          <w:rFonts w:hint="eastAsia" w:ascii="宋体" w:hAnsi="宋体" w:eastAsia="宋体" w:cs="宋体"/>
        </w:rPr>
      </w:pPr>
    </w:p>
    <w:p w14:paraId="1F667781">
      <w:pPr>
        <w:rPr>
          <w:rFonts w:hint="eastAsia" w:ascii="宋体" w:hAnsi="宋体" w:eastAsia="宋体" w:cs="宋体"/>
        </w:rPr>
      </w:pPr>
    </w:p>
    <w:p w14:paraId="3998DC6B">
      <w:pPr>
        <w:pStyle w:val="6"/>
        <w:rPr>
          <w:rFonts w:hint="eastAsia" w:ascii="宋体" w:hAnsi="宋体" w:eastAsia="宋体" w:cs="宋体"/>
        </w:rPr>
      </w:pPr>
    </w:p>
    <w:p w14:paraId="5F7E94EA">
      <w:pPr>
        <w:snapToGrid w:val="0"/>
        <w:spacing w:line="360" w:lineRule="auto"/>
        <w:ind w:firstLine="480"/>
        <w:jc w:val="center"/>
        <w:rPr>
          <w:rFonts w:hint="eastAsia" w:ascii="宋体" w:hAnsi="宋体" w:eastAsia="宋体" w:cs="宋体"/>
          <w:szCs w:val="21"/>
        </w:rPr>
      </w:pPr>
      <w:r>
        <w:rPr>
          <w:rFonts w:hint="eastAsia" w:ascii="宋体" w:hAnsi="宋体" w:eastAsia="宋体" w:cs="宋体"/>
          <w:szCs w:val="21"/>
        </w:rPr>
        <w:t>代理人身份证复印件（加盖公章）</w:t>
      </w:r>
    </w:p>
    <w:p w14:paraId="5B01FAD7">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 xml:space="preserve">                                        正、反面</w:t>
      </w:r>
    </w:p>
    <w:p w14:paraId="256EE091">
      <w:pPr>
        <w:rPr>
          <w:rFonts w:hint="eastAsia" w:ascii="宋体" w:hAnsi="宋体" w:eastAsia="宋体" w:cs="宋体"/>
        </w:rPr>
      </w:pPr>
    </w:p>
    <w:p w14:paraId="1CC6CAEB">
      <w:pPr>
        <w:pStyle w:val="6"/>
        <w:rPr>
          <w:rFonts w:hint="eastAsia" w:ascii="宋体" w:hAnsi="宋体" w:eastAsia="宋体" w:cs="宋体"/>
        </w:rPr>
      </w:pPr>
    </w:p>
    <w:p w14:paraId="38E470E6">
      <w:pPr>
        <w:rPr>
          <w:rFonts w:hint="eastAsia" w:ascii="宋体" w:hAnsi="宋体" w:eastAsia="宋体" w:cs="宋体"/>
        </w:rPr>
      </w:pPr>
    </w:p>
    <w:p w14:paraId="097BB4A7">
      <w:pPr>
        <w:pStyle w:val="6"/>
        <w:rPr>
          <w:rFonts w:hint="eastAsia" w:ascii="宋体" w:hAnsi="宋体" w:eastAsia="宋体" w:cs="宋体"/>
        </w:rPr>
      </w:pPr>
    </w:p>
    <w:p w14:paraId="07D4A7A2">
      <w:pPr>
        <w:rPr>
          <w:rFonts w:hint="eastAsia" w:ascii="宋体" w:hAnsi="宋体" w:eastAsia="宋体" w:cs="宋体"/>
        </w:rPr>
      </w:pPr>
    </w:p>
    <w:p w14:paraId="7B1B7B8D">
      <w:pPr>
        <w:rPr>
          <w:rFonts w:hint="eastAsia" w:ascii="宋体" w:hAnsi="宋体" w:eastAsia="宋体" w:cs="宋体"/>
        </w:rPr>
      </w:pPr>
    </w:p>
    <w:p w14:paraId="3BF0B9BC">
      <w:pPr>
        <w:tabs>
          <w:tab w:val="left" w:pos="7560"/>
        </w:tabs>
        <w:snapToGrid w:val="0"/>
        <w:spacing w:line="360" w:lineRule="auto"/>
        <w:rPr>
          <w:rFonts w:hint="eastAsia" w:ascii="宋体" w:hAnsi="宋体" w:eastAsia="宋体" w:cs="宋体"/>
          <w:szCs w:val="21"/>
        </w:rPr>
      </w:pPr>
      <w:r>
        <w:rPr>
          <w:rFonts w:hint="eastAsia" w:ascii="宋体" w:hAnsi="宋体" w:eastAsia="宋体" w:cs="宋体"/>
          <w:szCs w:val="21"/>
        </w:rPr>
        <w:t>报价单位</w:t>
      </w:r>
      <w:r>
        <w:rPr>
          <w:rFonts w:hint="eastAsia" w:ascii="宋体" w:hAnsi="宋体" w:eastAsia="宋体" w:cs="宋体"/>
          <w:b/>
          <w:bCs/>
          <w:szCs w:val="21"/>
        </w:rPr>
        <w:t>（盖章）</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EA826B5">
      <w:pPr>
        <w:tabs>
          <w:tab w:val="left" w:pos="7560"/>
        </w:tabs>
        <w:snapToGrid w:val="0"/>
        <w:spacing w:line="360" w:lineRule="auto"/>
        <w:rPr>
          <w:rFonts w:hint="eastAsia" w:ascii="宋体" w:hAnsi="宋体" w:eastAsia="宋体" w:cs="宋体"/>
          <w:szCs w:val="21"/>
        </w:rPr>
      </w:pPr>
    </w:p>
    <w:p w14:paraId="59F83838">
      <w:pPr>
        <w:tabs>
          <w:tab w:val="left" w:pos="7560"/>
        </w:tabs>
        <w:snapToGrid w:val="0"/>
        <w:spacing w:line="360" w:lineRule="auto"/>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b/>
          <w:bCs/>
          <w:szCs w:val="21"/>
        </w:rPr>
        <w:t>（签字或盖章）</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4BC70112">
      <w:pPr>
        <w:tabs>
          <w:tab w:val="left" w:pos="7560"/>
        </w:tabs>
        <w:snapToGrid w:val="0"/>
        <w:spacing w:line="360" w:lineRule="auto"/>
        <w:rPr>
          <w:rFonts w:hint="eastAsia" w:ascii="宋体" w:hAnsi="宋体" w:eastAsia="宋体" w:cs="宋体"/>
          <w:szCs w:val="21"/>
        </w:rPr>
      </w:pPr>
    </w:p>
    <w:p w14:paraId="09F5E0AF">
      <w:pPr>
        <w:tabs>
          <w:tab w:val="left" w:pos="7560"/>
        </w:tabs>
        <w:snapToGrid w:val="0"/>
        <w:spacing w:line="360" w:lineRule="auto"/>
        <w:rPr>
          <w:rFonts w:hint="eastAsia" w:ascii="宋体" w:hAnsi="宋体" w:eastAsia="宋体" w:cs="宋体"/>
          <w:szCs w:val="21"/>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316B3EF8">
      <w:pPr>
        <w:rPr>
          <w:rFonts w:hint="eastAsia" w:ascii="宋体" w:hAnsi="宋体" w:eastAsia="宋体" w:cs="宋体"/>
          <w:bCs/>
          <w:szCs w:val="21"/>
        </w:rPr>
      </w:pPr>
    </w:p>
    <w:p w14:paraId="4474B18A">
      <w:pPr>
        <w:rPr>
          <w:rFonts w:hint="eastAsia" w:ascii="宋体" w:hAnsi="宋体" w:eastAsia="宋体" w:cs="宋体"/>
          <w:color w:val="auto"/>
        </w:rPr>
      </w:pPr>
      <w:r>
        <w:rPr>
          <w:rFonts w:hint="eastAsia" w:ascii="宋体" w:hAnsi="宋体" w:eastAsia="宋体" w:cs="宋体"/>
          <w:bCs/>
          <w:szCs w:val="21"/>
        </w:rPr>
        <w:t>说明：本证明书须提供</w:t>
      </w:r>
      <w:r>
        <w:rPr>
          <w:rFonts w:hint="eastAsia" w:ascii="宋体" w:hAnsi="宋体" w:eastAsia="宋体" w:cs="宋体"/>
          <w:b/>
          <w:bCs/>
          <w:szCs w:val="21"/>
        </w:rPr>
        <w:t>被授权人的身份证复印件</w:t>
      </w:r>
      <w:r>
        <w:rPr>
          <w:rFonts w:hint="eastAsia" w:ascii="宋体" w:hAnsi="宋体" w:eastAsia="宋体" w:cs="宋体"/>
          <w:bCs/>
          <w:szCs w:val="21"/>
        </w:rPr>
        <w:t>并</w:t>
      </w:r>
      <w:r>
        <w:rPr>
          <w:rFonts w:hint="eastAsia" w:ascii="宋体" w:hAnsi="宋体" w:eastAsia="宋体" w:cs="宋体"/>
          <w:b/>
          <w:bCs/>
          <w:szCs w:val="21"/>
        </w:rPr>
        <w:t>加盖公章</w:t>
      </w:r>
      <w:r>
        <w:rPr>
          <w:rFonts w:hint="eastAsia" w:ascii="宋体" w:hAnsi="宋体" w:eastAsia="宋体" w:cs="宋体"/>
          <w:bCs/>
          <w:szCs w:val="21"/>
        </w:rPr>
        <w:t>方为有效。如被授权人是法定代表人本人，则无需提供本授权书，提供《法定代表人资格证明书》即可。</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463CC"/>
    <w:multiLevelType w:val="singleLevel"/>
    <w:tmpl w:val="888463CC"/>
    <w:lvl w:ilvl="0" w:tentative="0">
      <w:start w:val="1"/>
      <w:numFmt w:val="decimal"/>
      <w:lvlText w:val="%1."/>
      <w:lvlJc w:val="left"/>
      <w:pPr>
        <w:tabs>
          <w:tab w:val="left" w:pos="312"/>
        </w:tabs>
      </w:pPr>
      <w:rPr>
        <w:rFonts w:hint="default" w:ascii="宋体" w:hAnsi="宋体" w:eastAsia="宋体" w:cs="宋体"/>
        <w:b w:val="0"/>
        <w:bCs w:val="0"/>
      </w:rPr>
    </w:lvl>
  </w:abstractNum>
  <w:abstractNum w:abstractNumId="1">
    <w:nsid w:val="A5B25131"/>
    <w:multiLevelType w:val="singleLevel"/>
    <w:tmpl w:val="A5B25131"/>
    <w:lvl w:ilvl="0" w:tentative="0">
      <w:start w:val="1"/>
      <w:numFmt w:val="chineseCounting"/>
      <w:suff w:val="nothing"/>
      <w:lvlText w:val="%1、"/>
      <w:lvlJc w:val="left"/>
      <w:rPr>
        <w:rFonts w:hint="eastAsia"/>
      </w:rPr>
    </w:lvl>
  </w:abstractNum>
  <w:abstractNum w:abstractNumId="2">
    <w:nsid w:val="EE8F6EAB"/>
    <w:multiLevelType w:val="singleLevel"/>
    <w:tmpl w:val="EE8F6EAB"/>
    <w:lvl w:ilvl="0" w:tentative="0">
      <w:start w:val="1"/>
      <w:numFmt w:val="chineseCounting"/>
      <w:suff w:val="nothing"/>
      <w:lvlText w:val="（%1）"/>
      <w:lvlJc w:val="left"/>
      <w:pPr>
        <w:ind w:left="0" w:firstLine="420"/>
      </w:pPr>
      <w:rPr>
        <w:rFonts w:hint="eastAsia"/>
      </w:rPr>
    </w:lvl>
  </w:abstractNum>
  <w:abstractNum w:abstractNumId="3">
    <w:nsid w:val="29ED342C"/>
    <w:multiLevelType w:val="multilevel"/>
    <w:tmpl w:val="29ED342C"/>
    <w:lvl w:ilvl="0" w:tentative="0">
      <w:start w:val="1"/>
      <w:numFmt w:val="decimal"/>
      <w:pStyle w:val="2"/>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A8C7D67"/>
    <w:multiLevelType w:val="multilevel"/>
    <w:tmpl w:val="2A8C7D6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5ZDg0ZDlkZGI0N2JkOTU5ZjU2OGY4YjhjODc1ZDgifQ=="/>
  </w:docVars>
  <w:rsids>
    <w:rsidRoot w:val="0032563D"/>
    <w:rsid w:val="00033FE6"/>
    <w:rsid w:val="00050D67"/>
    <w:rsid w:val="00064F29"/>
    <w:rsid w:val="00133E29"/>
    <w:rsid w:val="00180D88"/>
    <w:rsid w:val="00233757"/>
    <w:rsid w:val="00236257"/>
    <w:rsid w:val="00240205"/>
    <w:rsid w:val="002433A3"/>
    <w:rsid w:val="00294641"/>
    <w:rsid w:val="002A7B39"/>
    <w:rsid w:val="0032563D"/>
    <w:rsid w:val="003353D5"/>
    <w:rsid w:val="003618DB"/>
    <w:rsid w:val="00385ABF"/>
    <w:rsid w:val="00393DEB"/>
    <w:rsid w:val="003B7097"/>
    <w:rsid w:val="003F742D"/>
    <w:rsid w:val="00496A1B"/>
    <w:rsid w:val="004C3CC4"/>
    <w:rsid w:val="00562624"/>
    <w:rsid w:val="00591DBC"/>
    <w:rsid w:val="005D6076"/>
    <w:rsid w:val="006123BD"/>
    <w:rsid w:val="006B0BDB"/>
    <w:rsid w:val="006C0174"/>
    <w:rsid w:val="00791C30"/>
    <w:rsid w:val="007C496B"/>
    <w:rsid w:val="007D292A"/>
    <w:rsid w:val="007F49D3"/>
    <w:rsid w:val="00806AF9"/>
    <w:rsid w:val="008C25B2"/>
    <w:rsid w:val="008F45C5"/>
    <w:rsid w:val="008F7E0A"/>
    <w:rsid w:val="00A330F8"/>
    <w:rsid w:val="00A4675A"/>
    <w:rsid w:val="00A66521"/>
    <w:rsid w:val="00B85E0C"/>
    <w:rsid w:val="00BD01F5"/>
    <w:rsid w:val="00C3428E"/>
    <w:rsid w:val="00D14CB7"/>
    <w:rsid w:val="00D25D24"/>
    <w:rsid w:val="00D40BCE"/>
    <w:rsid w:val="00D53C60"/>
    <w:rsid w:val="00D6527C"/>
    <w:rsid w:val="00DE1394"/>
    <w:rsid w:val="00DE3615"/>
    <w:rsid w:val="00DF572A"/>
    <w:rsid w:val="00DF664C"/>
    <w:rsid w:val="00E15F0B"/>
    <w:rsid w:val="00E210FD"/>
    <w:rsid w:val="00E22542"/>
    <w:rsid w:val="00E245D5"/>
    <w:rsid w:val="00E448FF"/>
    <w:rsid w:val="00E70D98"/>
    <w:rsid w:val="00E821DC"/>
    <w:rsid w:val="00EE67A3"/>
    <w:rsid w:val="00F10148"/>
    <w:rsid w:val="00F41338"/>
    <w:rsid w:val="00F8212C"/>
    <w:rsid w:val="011D2EB8"/>
    <w:rsid w:val="040C5477"/>
    <w:rsid w:val="04531CBE"/>
    <w:rsid w:val="04A44EF6"/>
    <w:rsid w:val="05171CE1"/>
    <w:rsid w:val="057512C0"/>
    <w:rsid w:val="058160E4"/>
    <w:rsid w:val="05FC0272"/>
    <w:rsid w:val="060317A8"/>
    <w:rsid w:val="06652689"/>
    <w:rsid w:val="074711EA"/>
    <w:rsid w:val="079275D3"/>
    <w:rsid w:val="07D94EB6"/>
    <w:rsid w:val="07E63895"/>
    <w:rsid w:val="08135CAB"/>
    <w:rsid w:val="09C851E3"/>
    <w:rsid w:val="0A14203D"/>
    <w:rsid w:val="0ABE41AE"/>
    <w:rsid w:val="0AE3681D"/>
    <w:rsid w:val="0B32069B"/>
    <w:rsid w:val="0B3E2CB7"/>
    <w:rsid w:val="0B581006"/>
    <w:rsid w:val="0BA72079"/>
    <w:rsid w:val="0D07179B"/>
    <w:rsid w:val="0D0C36E9"/>
    <w:rsid w:val="107D4EA7"/>
    <w:rsid w:val="108E085E"/>
    <w:rsid w:val="10A36C43"/>
    <w:rsid w:val="13367069"/>
    <w:rsid w:val="16BB6B10"/>
    <w:rsid w:val="17392CA2"/>
    <w:rsid w:val="180422E9"/>
    <w:rsid w:val="18750CDF"/>
    <w:rsid w:val="18814944"/>
    <w:rsid w:val="18881357"/>
    <w:rsid w:val="18CB3AA9"/>
    <w:rsid w:val="1AB5530F"/>
    <w:rsid w:val="1B21400E"/>
    <w:rsid w:val="1B7C5CBC"/>
    <w:rsid w:val="1BAF6202"/>
    <w:rsid w:val="1C2B7BEE"/>
    <w:rsid w:val="1D2017B8"/>
    <w:rsid w:val="1D532256"/>
    <w:rsid w:val="1E3E39E6"/>
    <w:rsid w:val="1F7110F0"/>
    <w:rsid w:val="20592D03"/>
    <w:rsid w:val="21DA38AD"/>
    <w:rsid w:val="220C7797"/>
    <w:rsid w:val="238F56E3"/>
    <w:rsid w:val="23D305B4"/>
    <w:rsid w:val="24FA7B37"/>
    <w:rsid w:val="256E0F20"/>
    <w:rsid w:val="268F727D"/>
    <w:rsid w:val="26BE72FA"/>
    <w:rsid w:val="28CA10E1"/>
    <w:rsid w:val="298C1931"/>
    <w:rsid w:val="298E2054"/>
    <w:rsid w:val="29B62F69"/>
    <w:rsid w:val="2A8D14E2"/>
    <w:rsid w:val="2AF10402"/>
    <w:rsid w:val="2BA70CA4"/>
    <w:rsid w:val="2C05409E"/>
    <w:rsid w:val="2DD15BC8"/>
    <w:rsid w:val="2FDB2CCA"/>
    <w:rsid w:val="303E65D6"/>
    <w:rsid w:val="31785E93"/>
    <w:rsid w:val="31F07C37"/>
    <w:rsid w:val="321910C2"/>
    <w:rsid w:val="33BB3270"/>
    <w:rsid w:val="342649C5"/>
    <w:rsid w:val="34405134"/>
    <w:rsid w:val="34C250E4"/>
    <w:rsid w:val="352F46B8"/>
    <w:rsid w:val="35421273"/>
    <w:rsid w:val="365D2222"/>
    <w:rsid w:val="368F6E0E"/>
    <w:rsid w:val="37092C93"/>
    <w:rsid w:val="384F0E98"/>
    <w:rsid w:val="394C1291"/>
    <w:rsid w:val="39526AB8"/>
    <w:rsid w:val="39B44138"/>
    <w:rsid w:val="3B8B5B5D"/>
    <w:rsid w:val="3CF17FD1"/>
    <w:rsid w:val="3D0F6913"/>
    <w:rsid w:val="3D531461"/>
    <w:rsid w:val="3F277CDA"/>
    <w:rsid w:val="4099698A"/>
    <w:rsid w:val="40F96DAE"/>
    <w:rsid w:val="425A03C6"/>
    <w:rsid w:val="437D1FC0"/>
    <w:rsid w:val="44466616"/>
    <w:rsid w:val="472745EF"/>
    <w:rsid w:val="477200AE"/>
    <w:rsid w:val="47E23D6B"/>
    <w:rsid w:val="47E86EF7"/>
    <w:rsid w:val="48726B97"/>
    <w:rsid w:val="48B00D40"/>
    <w:rsid w:val="48F062F4"/>
    <w:rsid w:val="49750B2D"/>
    <w:rsid w:val="49C76CAB"/>
    <w:rsid w:val="4A1A103E"/>
    <w:rsid w:val="4AC159E3"/>
    <w:rsid w:val="4BAE25E2"/>
    <w:rsid w:val="4D1033F5"/>
    <w:rsid w:val="4E6278A4"/>
    <w:rsid w:val="4F816AA9"/>
    <w:rsid w:val="4F9B1FE9"/>
    <w:rsid w:val="4FE1061B"/>
    <w:rsid w:val="502E4729"/>
    <w:rsid w:val="50577CF3"/>
    <w:rsid w:val="50F22714"/>
    <w:rsid w:val="51834CC5"/>
    <w:rsid w:val="51976F41"/>
    <w:rsid w:val="51F7178E"/>
    <w:rsid w:val="527903F5"/>
    <w:rsid w:val="54CC5B55"/>
    <w:rsid w:val="551E5284"/>
    <w:rsid w:val="55447A06"/>
    <w:rsid w:val="56C1613E"/>
    <w:rsid w:val="56D146AF"/>
    <w:rsid w:val="56FD07A0"/>
    <w:rsid w:val="57077FCE"/>
    <w:rsid w:val="57D6283A"/>
    <w:rsid w:val="58102660"/>
    <w:rsid w:val="58DC3983"/>
    <w:rsid w:val="59927FEE"/>
    <w:rsid w:val="59C02A67"/>
    <w:rsid w:val="5A0A5DD6"/>
    <w:rsid w:val="5A81078E"/>
    <w:rsid w:val="5A9A6369"/>
    <w:rsid w:val="5B226499"/>
    <w:rsid w:val="5B7255CC"/>
    <w:rsid w:val="5C761B94"/>
    <w:rsid w:val="5D286CF4"/>
    <w:rsid w:val="5D2E3A8F"/>
    <w:rsid w:val="5D3B2B11"/>
    <w:rsid w:val="5E9D3960"/>
    <w:rsid w:val="5FF61656"/>
    <w:rsid w:val="60A6190E"/>
    <w:rsid w:val="61023CAB"/>
    <w:rsid w:val="61D64011"/>
    <w:rsid w:val="61FA27BB"/>
    <w:rsid w:val="62043CA6"/>
    <w:rsid w:val="65DA4EDC"/>
    <w:rsid w:val="66733CB4"/>
    <w:rsid w:val="670A3507"/>
    <w:rsid w:val="673571D6"/>
    <w:rsid w:val="678B5846"/>
    <w:rsid w:val="679B2FFB"/>
    <w:rsid w:val="67AD6E5E"/>
    <w:rsid w:val="67C21EAF"/>
    <w:rsid w:val="68B97433"/>
    <w:rsid w:val="69DB32EB"/>
    <w:rsid w:val="6A601B81"/>
    <w:rsid w:val="6AA656A7"/>
    <w:rsid w:val="6BC524A5"/>
    <w:rsid w:val="6C467E96"/>
    <w:rsid w:val="6C955F1B"/>
    <w:rsid w:val="6C9A3D5C"/>
    <w:rsid w:val="6CB27492"/>
    <w:rsid w:val="6CDB7401"/>
    <w:rsid w:val="6D591ECD"/>
    <w:rsid w:val="701F5CFD"/>
    <w:rsid w:val="707D334E"/>
    <w:rsid w:val="71BC14A7"/>
    <w:rsid w:val="733A1083"/>
    <w:rsid w:val="7374682E"/>
    <w:rsid w:val="73823621"/>
    <w:rsid w:val="738C2044"/>
    <w:rsid w:val="739A2AD4"/>
    <w:rsid w:val="74381E70"/>
    <w:rsid w:val="748B6945"/>
    <w:rsid w:val="751014CE"/>
    <w:rsid w:val="76072072"/>
    <w:rsid w:val="777C659A"/>
    <w:rsid w:val="77A17922"/>
    <w:rsid w:val="78A53442"/>
    <w:rsid w:val="792151BF"/>
    <w:rsid w:val="79DD5E96"/>
    <w:rsid w:val="7BA2010D"/>
    <w:rsid w:val="7C416158"/>
    <w:rsid w:val="7D651C73"/>
    <w:rsid w:val="7D9832EE"/>
    <w:rsid w:val="7DD1290B"/>
    <w:rsid w:val="7E086FF3"/>
    <w:rsid w:val="7E0A7F58"/>
    <w:rsid w:val="7E240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link w:val="33"/>
    <w:autoRedefine/>
    <w:unhideWhenUsed/>
    <w:qFormat/>
    <w:uiPriority w:val="0"/>
    <w:pPr>
      <w:numPr>
        <w:ilvl w:val="0"/>
        <w:numId w:val="1"/>
      </w:numPr>
      <w:spacing w:line="360" w:lineRule="auto"/>
      <w:ind w:left="0" w:firstLine="200" w:firstLineChars="200"/>
      <w:outlineLvl w:val="5"/>
    </w:pPr>
    <w:rPr>
      <w:rFonts w:ascii="宋体" w:hAnsi="宋体" w:eastAsia="宋体" w:cs="Times New Roman"/>
      <w:kern w:val="0"/>
      <w:szCs w:val="24"/>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index 8"/>
    <w:basedOn w:val="1"/>
    <w:next w:val="1"/>
    <w:semiHidden/>
    <w:qFormat/>
    <w:uiPriority w:val="0"/>
    <w:pPr>
      <w:ind w:left="1680" w:hanging="210"/>
      <w:jc w:val="left"/>
    </w:pPr>
    <w:rPr>
      <w:rFonts w:ascii="Times New Roman" w:hAnsi="Times New Roman" w:cs="Times New Roman"/>
      <w:sz w:val="20"/>
      <w:szCs w:val="20"/>
    </w:rPr>
  </w:style>
  <w:style w:type="paragraph" w:styleId="4">
    <w:name w:val="caption"/>
    <w:basedOn w:val="1"/>
    <w:next w:val="1"/>
    <w:unhideWhenUsed/>
    <w:qFormat/>
    <w:uiPriority w:val="35"/>
    <w:rPr>
      <w:rFonts w:eastAsia="黑体" w:asciiTheme="majorHAnsi" w:hAnsiTheme="majorHAnsi" w:cstheme="majorBidi"/>
      <w:sz w:val="20"/>
      <w:szCs w:val="20"/>
    </w:rPr>
  </w:style>
  <w:style w:type="paragraph" w:styleId="5">
    <w:name w:val="annotation text"/>
    <w:basedOn w:val="1"/>
    <w:link w:val="22"/>
    <w:autoRedefine/>
    <w:qFormat/>
    <w:uiPriority w:val="0"/>
    <w:pPr>
      <w:adjustRightInd w:val="0"/>
      <w:spacing w:before="100" w:line="360" w:lineRule="auto"/>
      <w:jc w:val="left"/>
    </w:pPr>
    <w:rPr>
      <w:rFonts w:ascii="Arial" w:hAnsi="Arial" w:eastAsia="宋体" w:cs="Times New Roman"/>
      <w:kern w:val="0"/>
      <w:szCs w:val="20"/>
    </w:rPr>
  </w:style>
  <w:style w:type="paragraph" w:styleId="6">
    <w:name w:val="Body Text"/>
    <w:basedOn w:val="1"/>
    <w:next w:val="1"/>
    <w:qFormat/>
    <w:uiPriority w:val="1"/>
    <w:rPr>
      <w:rFonts w:ascii="宋体" w:hAnsi="宋体" w:eastAsia="宋体" w:cs="宋体"/>
      <w:szCs w:val="21"/>
    </w:rPr>
  </w:style>
  <w:style w:type="paragraph" w:styleId="7">
    <w:name w:val="Body Text Indent"/>
    <w:basedOn w:val="1"/>
    <w:link w:val="31"/>
    <w:autoRedefine/>
    <w:qFormat/>
    <w:uiPriority w:val="0"/>
    <w:pPr>
      <w:spacing w:after="120"/>
      <w:ind w:left="420" w:leftChars="200"/>
    </w:pPr>
  </w:style>
  <w:style w:type="paragraph" w:styleId="8">
    <w:name w:val="Plain Text"/>
    <w:basedOn w:val="1"/>
    <w:next w:val="3"/>
    <w:unhideWhenUsed/>
    <w:qFormat/>
    <w:uiPriority w:val="0"/>
    <w:rPr>
      <w:rFonts w:ascii="宋体" w:hAnsi="Courier New" w:eastAsia="宋体" w:cs="Courier New"/>
      <w:szCs w:val="21"/>
    </w:rPr>
  </w:style>
  <w:style w:type="paragraph" w:styleId="9">
    <w:name w:val="Date"/>
    <w:basedOn w:val="1"/>
    <w:next w:val="1"/>
    <w:link w:val="26"/>
    <w:autoRedefine/>
    <w:semiHidden/>
    <w:unhideWhenUsed/>
    <w:qFormat/>
    <w:uiPriority w:val="99"/>
    <w:pPr>
      <w:ind w:left="100" w:leftChars="2500"/>
    </w:pPr>
  </w:style>
  <w:style w:type="paragraph" w:styleId="10">
    <w:name w:val="Balloon Text"/>
    <w:basedOn w:val="1"/>
    <w:link w:val="23"/>
    <w:autoRedefine/>
    <w:semiHidden/>
    <w:unhideWhenUsed/>
    <w:qFormat/>
    <w:uiPriority w:val="99"/>
    <w:rPr>
      <w:sz w:val="18"/>
      <w:szCs w:val="18"/>
    </w:rPr>
  </w:style>
  <w:style w:type="paragraph" w:styleId="11">
    <w:name w:val="footer"/>
    <w:basedOn w:val="1"/>
    <w:link w:val="21"/>
    <w:autoRedefine/>
    <w:unhideWhenUsed/>
    <w:qFormat/>
    <w:uiPriority w:val="99"/>
    <w:pPr>
      <w:tabs>
        <w:tab w:val="center" w:pos="4153"/>
        <w:tab w:val="right" w:pos="8306"/>
      </w:tabs>
      <w:snapToGrid w:val="0"/>
      <w:jc w:val="left"/>
    </w:pPr>
    <w:rPr>
      <w:sz w:val="18"/>
      <w:szCs w:val="18"/>
    </w:rPr>
  </w:style>
  <w:style w:type="paragraph" w:styleId="12">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7"/>
    <w:link w:val="32"/>
    <w:autoRedefine/>
    <w:semiHidden/>
    <w:unhideWhenUsed/>
    <w:qFormat/>
    <w:uiPriority w:val="99"/>
    <w:pPr>
      <w:ind w:firstLine="420" w:firstLineChars="200"/>
    </w:pPr>
  </w:style>
  <w:style w:type="table" w:styleId="15">
    <w:name w:val="Table Grid"/>
    <w:basedOn w:val="14"/>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autoRedefine/>
    <w:qFormat/>
    <w:uiPriority w:val="99"/>
    <w:rPr>
      <w:sz w:val="21"/>
      <w:szCs w:val="21"/>
    </w:rPr>
  </w:style>
  <w:style w:type="paragraph" w:customStyle="1" w:styleId="18">
    <w:name w:val="列出段落1"/>
    <w:basedOn w:val="1"/>
    <w:qFormat/>
    <w:uiPriority w:val="34"/>
    <w:pPr>
      <w:ind w:firstLine="420" w:firstLineChars="200"/>
    </w:pPr>
    <w:rPr>
      <w:rFonts w:asciiTheme="minorHAnsi" w:hAnsiTheme="minorHAnsi" w:eastAsiaTheme="minorEastAsia" w:cstheme="minorBidi"/>
    </w:rPr>
  </w:style>
  <w:style w:type="paragraph" w:customStyle="1" w:styleId="19">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0">
    <w:name w:val="页眉 字符"/>
    <w:basedOn w:val="16"/>
    <w:link w:val="12"/>
    <w:autoRedefine/>
    <w:qFormat/>
    <w:uiPriority w:val="99"/>
    <w:rPr>
      <w:sz w:val="18"/>
      <w:szCs w:val="18"/>
    </w:rPr>
  </w:style>
  <w:style w:type="character" w:customStyle="1" w:styleId="21">
    <w:name w:val="页脚 字符"/>
    <w:basedOn w:val="16"/>
    <w:link w:val="11"/>
    <w:autoRedefine/>
    <w:qFormat/>
    <w:uiPriority w:val="99"/>
    <w:rPr>
      <w:sz w:val="18"/>
      <w:szCs w:val="18"/>
    </w:rPr>
  </w:style>
  <w:style w:type="character" w:customStyle="1" w:styleId="22">
    <w:name w:val="批注文字 字符"/>
    <w:basedOn w:val="16"/>
    <w:link w:val="5"/>
    <w:autoRedefine/>
    <w:qFormat/>
    <w:uiPriority w:val="0"/>
    <w:rPr>
      <w:rFonts w:ascii="Arial" w:hAnsi="Arial" w:eastAsia="宋体" w:cs="Times New Roman"/>
      <w:kern w:val="0"/>
      <w:szCs w:val="20"/>
    </w:rPr>
  </w:style>
  <w:style w:type="character" w:customStyle="1" w:styleId="23">
    <w:name w:val="批注框文本 字符"/>
    <w:basedOn w:val="16"/>
    <w:link w:val="10"/>
    <w:autoRedefine/>
    <w:semiHidden/>
    <w:qFormat/>
    <w:uiPriority w:val="99"/>
    <w:rPr>
      <w:sz w:val="18"/>
      <w:szCs w:val="18"/>
    </w:rPr>
  </w:style>
  <w:style w:type="paragraph" w:styleId="24">
    <w:name w:val="List Paragraph"/>
    <w:basedOn w:val="1"/>
    <w:link w:val="29"/>
    <w:autoRedefine/>
    <w:qFormat/>
    <w:uiPriority w:val="34"/>
    <w:pPr>
      <w:ind w:firstLine="420" w:firstLineChars="200"/>
    </w:pPr>
  </w:style>
  <w:style w:type="table" w:customStyle="1" w:styleId="25">
    <w:name w:val="网格型2"/>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日期 字符"/>
    <w:basedOn w:val="16"/>
    <w:link w:val="9"/>
    <w:autoRedefine/>
    <w:semiHidden/>
    <w:qFormat/>
    <w:uiPriority w:val="99"/>
  </w:style>
  <w:style w:type="table" w:customStyle="1" w:styleId="27">
    <w:name w:val="网格型21"/>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正文1"/>
    <w:basedOn w:val="1"/>
    <w:autoRedefine/>
    <w:qFormat/>
    <w:uiPriority w:val="0"/>
    <w:pPr>
      <w:tabs>
        <w:tab w:val="left" w:pos="4"/>
      </w:tabs>
    </w:pPr>
    <w:rPr>
      <w:rFonts w:ascii="宋体" w:hAnsi="宋体"/>
      <w:sz w:val="18"/>
    </w:rPr>
  </w:style>
  <w:style w:type="character" w:customStyle="1" w:styleId="29">
    <w:name w:val="列表段落 字符"/>
    <w:link w:val="24"/>
    <w:autoRedefine/>
    <w:qFormat/>
    <w:uiPriority w:val="34"/>
    <w:rPr>
      <w:rFonts w:asciiTheme="minorHAnsi" w:hAnsiTheme="minorHAnsi" w:eastAsiaTheme="minorEastAsia" w:cstheme="minorBidi"/>
      <w:kern w:val="2"/>
      <w:sz w:val="21"/>
      <w:szCs w:val="22"/>
    </w:rPr>
  </w:style>
  <w:style w:type="character" w:customStyle="1" w:styleId="30">
    <w:name w:val="批注文字 字符1"/>
    <w:autoRedefine/>
    <w:semiHidden/>
    <w:qFormat/>
    <w:uiPriority w:val="99"/>
    <w:rPr>
      <w:rFonts w:ascii="仿宋_GB2312" w:hAnsi="Calibri" w:eastAsia="仿宋_GB2312" w:cs="Times New Roman"/>
      <w:szCs w:val="24"/>
    </w:rPr>
  </w:style>
  <w:style w:type="character" w:customStyle="1" w:styleId="31">
    <w:name w:val="正文文本缩进 字符"/>
    <w:basedOn w:val="16"/>
    <w:link w:val="7"/>
    <w:autoRedefine/>
    <w:qFormat/>
    <w:uiPriority w:val="0"/>
    <w:rPr>
      <w:rFonts w:asciiTheme="minorHAnsi" w:hAnsiTheme="minorHAnsi" w:eastAsiaTheme="minorEastAsia" w:cstheme="minorBidi"/>
      <w:kern w:val="2"/>
      <w:sz w:val="21"/>
      <w:szCs w:val="22"/>
    </w:rPr>
  </w:style>
  <w:style w:type="character" w:customStyle="1" w:styleId="32">
    <w:name w:val="正文文本首行缩进 2 字符"/>
    <w:basedOn w:val="31"/>
    <w:link w:val="13"/>
    <w:autoRedefine/>
    <w:semiHidden/>
    <w:qFormat/>
    <w:uiPriority w:val="99"/>
    <w:rPr>
      <w:rFonts w:asciiTheme="minorHAnsi" w:hAnsiTheme="minorHAnsi" w:eastAsiaTheme="minorEastAsia" w:cstheme="minorBidi"/>
      <w:kern w:val="2"/>
      <w:sz w:val="21"/>
      <w:szCs w:val="22"/>
    </w:rPr>
  </w:style>
  <w:style w:type="character" w:customStyle="1" w:styleId="33">
    <w:name w:val="标题 6 字符"/>
    <w:basedOn w:val="16"/>
    <w:link w:val="2"/>
    <w:autoRedefine/>
    <w:qFormat/>
    <w:uiPriority w:val="0"/>
    <w:rPr>
      <w:rFonts w:ascii="宋体" w:hAnsi="宋体"/>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8176</Words>
  <Characters>8546</Characters>
  <Lines>78</Lines>
  <Paragraphs>22</Paragraphs>
  <TotalTime>28</TotalTime>
  <ScaleCrop>false</ScaleCrop>
  <LinksUpToDate>false</LinksUpToDate>
  <CharactersWithSpaces>9157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2024-03-14T03:43:00Z</dcterms:created>
  <dc:creator>admin</dc:creator>
  <cp:lastModifiedBy>童国斌</cp:lastModifiedBy>
  <dcterms:modified xsi:type="dcterms:W3CDTF">2025-10-21T08:59:11Z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7DCA986824F447DF8458A69A36751A4D_13</vt:lpwstr>
  </property>
  <property fmtid="{D5CDD505-2E9C-101B-9397-08002B2CF9AE}" pid="4" name="KSOTemplateDocerSaveRecord">
    <vt:lpwstr>eyJoZGlkIjoiYzdlMDkzZTNmMjBiY2VjZjMwYjBhNDU0Zjg0OGE1NjgiLCJ1c2VySWQiOiIzMjk4MTkxMDMifQ==</vt:lpwstr>
  </property>
</Properties>
</file>