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2693F">
      <w:pPr>
        <w:pStyle w:val="16"/>
        <w:spacing w:before="454" w:beforeAutospacing="0" w:after="454" w:afterAutospacing="0"/>
        <w:ind w:left="454" w:right="454"/>
        <w:jc w:val="center"/>
        <w:outlineLvl w:val="0"/>
        <w:rPr>
          <w:rFonts w:ascii="宋体" w:hAnsi="宋体" w:eastAsia="宋体"/>
          <w:b/>
          <w:bCs/>
          <w:sz w:val="40"/>
          <w:szCs w:val="40"/>
        </w:rPr>
        <w:sectPr>
          <w:pgSz w:w="11906" w:h="16838"/>
          <w:pgMar w:top="1440" w:right="1800" w:bottom="1440" w:left="1800" w:header="720" w:footer="720" w:gutter="0"/>
          <w:cols w:space="720" w:num="1"/>
        </w:sectPr>
      </w:pPr>
      <w:bookmarkStart w:id="0" w:name="_Hlk71456902"/>
      <w:bookmarkStart w:id="149" w:name="_GoBack"/>
      <w:bookmarkEnd w:id="149"/>
    </w:p>
    <w:p w14:paraId="5E7B34D6">
      <w:pPr>
        <w:spacing w:before="100" w:beforeAutospacing="1" w:after="100" w:afterAutospacing="1"/>
        <w:jc w:val="right"/>
        <w:outlineLvl w:val="1"/>
        <w:rPr>
          <w:rFonts w:eastAsia="宋体"/>
          <w:b/>
          <w:bCs/>
          <w:color w:val="000000" w:themeColor="text1"/>
          <w:sz w:val="40"/>
          <w:szCs w:val="40"/>
          <w14:textFill>
            <w14:solidFill>
              <w14:schemeClr w14:val="tx1"/>
            </w14:solidFill>
          </w14:textFill>
        </w:rPr>
      </w:pPr>
      <w:r>
        <w:rPr>
          <w:rFonts w:hint="eastAsia" w:ascii="宋体" w:hAnsi="宋体"/>
          <w:b/>
          <w:spacing w:val="20"/>
          <w:sz w:val="28"/>
        </w:rPr>
        <w:t>项目编号：SZDL2025XXXXXX</w:t>
      </w:r>
    </w:p>
    <w:p w14:paraId="5EDBC915">
      <w:pPr>
        <w:jc w:val="center"/>
        <w:rPr>
          <w:rFonts w:ascii="黑体" w:hAnsi="Arial" w:eastAsia="黑体" w:cs="Arial"/>
          <w:sz w:val="52"/>
          <w:szCs w:val="52"/>
        </w:rPr>
      </w:pPr>
    </w:p>
    <w:p w14:paraId="10765048">
      <w:pPr>
        <w:jc w:val="center"/>
        <w:rPr>
          <w:rFonts w:ascii="黑体" w:hAnsi="Arial" w:eastAsia="黑体" w:cs="Arial"/>
          <w:sz w:val="52"/>
          <w:szCs w:val="52"/>
        </w:rPr>
      </w:pPr>
    </w:p>
    <w:p w14:paraId="19989FAB">
      <w:pPr>
        <w:jc w:val="center"/>
        <w:rPr>
          <w:rFonts w:ascii="黑体" w:hAnsi="Arial" w:eastAsia="黑体" w:cs="Arial"/>
          <w:sz w:val="52"/>
          <w:szCs w:val="52"/>
        </w:rPr>
      </w:pPr>
    </w:p>
    <w:p w14:paraId="3BEAD23F">
      <w:pPr>
        <w:jc w:val="center"/>
        <w:rPr>
          <w:rFonts w:ascii="黑体" w:hAnsi="Arial" w:eastAsia="黑体" w:cs="Arial"/>
          <w:sz w:val="52"/>
          <w:szCs w:val="52"/>
        </w:rPr>
      </w:pPr>
      <w:r>
        <w:rPr>
          <w:rFonts w:hint="eastAsia" w:ascii="黑体" w:hAnsi="Arial" w:eastAsia="黑体" w:cs="Arial"/>
          <w:sz w:val="52"/>
          <w:szCs w:val="52"/>
        </w:rPr>
        <w:t>【货物类】</w:t>
      </w:r>
    </w:p>
    <w:p w14:paraId="19F43250">
      <w:pPr>
        <w:jc w:val="center"/>
        <w:rPr>
          <w:rFonts w:ascii="黑体" w:eastAsia="黑体"/>
          <w:sz w:val="52"/>
          <w:szCs w:val="52"/>
        </w:rPr>
      </w:pPr>
      <w:r>
        <w:rPr>
          <w:rFonts w:hint="eastAsia" w:ascii="黑体" w:eastAsia="黑体"/>
          <w:sz w:val="52"/>
          <w:szCs w:val="52"/>
          <w:lang w:eastAsia="zh-CN"/>
        </w:rPr>
        <w:t>ROV及附属配套</w:t>
      </w:r>
    </w:p>
    <w:p w14:paraId="73B620A9"/>
    <w:p w14:paraId="4B8A79CB"/>
    <w:p w14:paraId="0E362462"/>
    <w:p w14:paraId="40764526"/>
    <w:p w14:paraId="5FC463B7">
      <w:pPr>
        <w:widowControl w:val="0"/>
        <w:spacing w:after="96" w:afterLines="40"/>
        <w:jc w:val="center"/>
        <w:rPr>
          <w:rFonts w:ascii="黑体" w:eastAsia="黑体"/>
          <w:color w:val="000000" w:themeColor="text1"/>
          <w:sz w:val="72"/>
          <w:szCs w:val="52"/>
          <w14:textFill>
            <w14:solidFill>
              <w14:schemeClr w14:val="tx1"/>
            </w14:solidFill>
          </w14:textFill>
        </w:rPr>
      </w:pPr>
      <w:r>
        <w:rPr>
          <w:rFonts w:hint="eastAsia" w:ascii="黑体" w:eastAsia="黑体"/>
          <w:color w:val="000000" w:themeColor="text1"/>
          <w:sz w:val="72"/>
          <w:szCs w:val="52"/>
          <w14:textFill>
            <w14:solidFill>
              <w14:schemeClr w14:val="tx1"/>
            </w14:solidFill>
          </w14:textFill>
        </w:rPr>
        <w:t>招 标 文 件</w:t>
      </w:r>
    </w:p>
    <w:p w14:paraId="5FBC0CA4">
      <w:pPr>
        <w:pStyle w:val="15"/>
      </w:pPr>
    </w:p>
    <w:p w14:paraId="3D7C3EDA">
      <w:pPr>
        <w:pStyle w:val="15"/>
      </w:pPr>
    </w:p>
    <w:p w14:paraId="32D0F9BA">
      <w:pPr>
        <w:pStyle w:val="15"/>
      </w:pPr>
    </w:p>
    <w:p w14:paraId="7F536BD4">
      <w:pPr>
        <w:pStyle w:val="8"/>
      </w:pPr>
    </w:p>
    <w:p w14:paraId="7CDF84CD">
      <w:pPr>
        <w:pStyle w:val="15"/>
      </w:pPr>
    </w:p>
    <w:p w14:paraId="6A7AC9F2">
      <w:pPr>
        <w:pStyle w:val="15"/>
        <w:widowControl w:val="0"/>
        <w:jc w:val="center"/>
        <w:rPr>
          <w:rFonts w:eastAsia="宋体"/>
        </w:rPr>
      </w:pPr>
      <w:r>
        <w:rPr>
          <w:rFonts w:hint="eastAsia" w:ascii="Arial" w:hAnsi="Arial" w:eastAsia="仿宋_GB2312" w:cs="Arial"/>
          <w:sz w:val="44"/>
        </w:rPr>
        <w:drawing>
          <wp:inline distT="0" distB="0" distL="114300" distR="114300">
            <wp:extent cx="1210945" cy="1210945"/>
            <wp:effectExtent l="0" t="0" r="8255" b="8255"/>
            <wp:docPr id="6" name="图片 6" descr="b6bbc1c3021ac190a7f1ff08bab7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bbc1c3021ac190a7f1ff08bab79ef"/>
                    <pic:cNvPicPr>
                      <a:picLocks noChangeAspect="1"/>
                    </pic:cNvPicPr>
                  </pic:nvPicPr>
                  <pic:blipFill>
                    <a:blip r:embed="rId7"/>
                    <a:stretch>
                      <a:fillRect/>
                    </a:stretch>
                  </pic:blipFill>
                  <pic:spPr>
                    <a:xfrm>
                      <a:off x="0" y="0"/>
                      <a:ext cx="1210945" cy="1210945"/>
                    </a:xfrm>
                    <a:prstGeom prst="rect">
                      <a:avLst/>
                    </a:prstGeom>
                  </pic:spPr>
                </pic:pic>
              </a:graphicData>
            </a:graphic>
          </wp:inline>
        </w:drawing>
      </w:r>
    </w:p>
    <w:p w14:paraId="04BD401C">
      <w:pPr>
        <w:pStyle w:val="15"/>
        <w:widowControl w:val="0"/>
        <w:rPr>
          <w:rFonts w:eastAsia="宋体"/>
        </w:rPr>
      </w:pPr>
    </w:p>
    <w:p w14:paraId="1DE6D9C3">
      <w:pPr>
        <w:pStyle w:val="15"/>
        <w:widowControl w:val="0"/>
        <w:rPr>
          <w:rFonts w:eastAsia="宋体"/>
        </w:rPr>
      </w:pPr>
    </w:p>
    <w:p w14:paraId="7AF17EA2">
      <w:pPr>
        <w:snapToGrid w:val="0"/>
        <w:jc w:val="center"/>
        <w:rPr>
          <w:rFonts w:ascii="仿宋_GB2312" w:hAnsi="宋体" w:eastAsia="仿宋_GB2312" w:cs="Arial"/>
          <w:b/>
          <w:bCs/>
          <w:sz w:val="36"/>
          <w:szCs w:val="36"/>
        </w:rPr>
      </w:pPr>
      <w:r>
        <w:rPr>
          <w:rFonts w:hint="eastAsia" w:ascii="仿宋_GB2312" w:hAnsi="宋体" w:eastAsia="仿宋_GB2312" w:cs="Arial"/>
          <w:b/>
          <w:bCs/>
          <w:sz w:val="36"/>
          <w:szCs w:val="36"/>
        </w:rPr>
        <w:t>友和保险经纪有限公司</w:t>
      </w:r>
    </w:p>
    <w:p w14:paraId="76C67E74">
      <w:pPr>
        <w:snapToGrid w:val="0"/>
        <w:jc w:val="center"/>
        <w:rPr>
          <w:rFonts w:ascii="仿宋_GB2312" w:hAnsi="宋体" w:eastAsia="仿宋_GB2312" w:cs="Arial"/>
          <w:b/>
          <w:bCs/>
          <w:sz w:val="21"/>
          <w:szCs w:val="21"/>
        </w:rPr>
      </w:pPr>
    </w:p>
    <w:p w14:paraId="72EB8985">
      <w:pPr>
        <w:jc w:val="center"/>
        <w:rPr>
          <w:rFonts w:ascii="仿宋" w:hAnsi="仿宋" w:eastAsia="仿宋" w:cs="仿宋"/>
        </w:rPr>
      </w:pPr>
      <w:r>
        <w:rPr>
          <w:rFonts w:hint="eastAsia" w:ascii="仿宋" w:hAnsi="仿宋" w:eastAsia="仿宋" w:cs="仿宋"/>
          <w:b/>
          <w:bCs/>
          <w:sz w:val="36"/>
          <w:szCs w:val="36"/>
        </w:rPr>
        <w:t>二〇二五年</w:t>
      </w:r>
      <w:r>
        <w:rPr>
          <w:rFonts w:hint="eastAsia" w:ascii="仿宋" w:hAnsi="仿宋" w:eastAsia="仿宋" w:cs="仿宋"/>
          <w:b/>
          <w:bCs/>
          <w:sz w:val="36"/>
          <w:szCs w:val="36"/>
          <w:lang w:val="en-US" w:eastAsia="zh-CN"/>
        </w:rPr>
        <w:t>十二</w:t>
      </w:r>
      <w:r>
        <w:rPr>
          <w:rFonts w:hint="eastAsia" w:ascii="仿宋" w:hAnsi="仿宋" w:eastAsia="仿宋" w:cs="仿宋"/>
          <w:b/>
          <w:bCs/>
          <w:sz w:val="36"/>
          <w:szCs w:val="36"/>
        </w:rPr>
        <w:t>月</w:t>
      </w:r>
    </w:p>
    <w:p w14:paraId="7DE4D9CC">
      <w:pPr>
        <w:pStyle w:val="16"/>
        <w:jc w:val="center"/>
        <w:outlineLvl w:val="1"/>
        <w:rPr>
          <w:rFonts w:ascii="宋体" w:hAnsi="宋体" w:eastAsia="宋体" w:cs="黑体"/>
          <w:sz w:val="40"/>
          <w:szCs w:val="40"/>
        </w:rPr>
        <w:sectPr>
          <w:footerReference r:id="rId3" w:type="default"/>
          <w:type w:val="continuous"/>
          <w:pgSz w:w="11906" w:h="16838"/>
          <w:pgMar w:top="1440" w:right="1800" w:bottom="1440" w:left="1800" w:header="720" w:footer="720" w:gutter="0"/>
          <w:pgNumType w:start="1"/>
          <w:cols w:space="720" w:num="1"/>
        </w:sectPr>
      </w:pPr>
    </w:p>
    <w:p w14:paraId="2932BB60">
      <w:pPr>
        <w:spacing w:beforeAutospacing="1" w:afterAutospacing="1"/>
        <w:jc w:val="center"/>
        <w:outlineLvl w:val="1"/>
        <w:rPr>
          <w:rFonts w:ascii="黑体" w:hAnsi="宋体" w:eastAsia="黑体" w:cs="黑体"/>
          <w:color w:val="000000" w:themeColor="text1"/>
          <w:sz w:val="40"/>
          <w:szCs w:val="40"/>
          <w14:textFill>
            <w14:solidFill>
              <w14:schemeClr w14:val="tx1"/>
            </w14:solidFill>
          </w14:textFill>
        </w:rPr>
      </w:pPr>
      <w:r>
        <w:rPr>
          <w:rFonts w:hint="eastAsia" w:ascii="黑体" w:hAnsi="宋体" w:eastAsia="黑体" w:cs="黑体"/>
          <w:color w:val="000000" w:themeColor="text1"/>
          <w:sz w:val="40"/>
          <w:szCs w:val="40"/>
          <w14:textFill>
            <w14:solidFill>
              <w14:schemeClr w14:val="tx1"/>
            </w14:solidFill>
          </w14:textFill>
        </w:rPr>
        <w:t>招标文件信息</w:t>
      </w:r>
    </w:p>
    <w:tbl>
      <w:tblPr>
        <w:tblStyle w:val="18"/>
        <w:tblW w:w="7943" w:type="dxa"/>
        <w:jc w:val="center"/>
        <w:tblCellSpacing w:w="0" w:type="dxa"/>
        <w:tblLayout w:type="autofit"/>
        <w:tblCellMar>
          <w:top w:w="45" w:type="dxa"/>
          <w:left w:w="45" w:type="dxa"/>
          <w:bottom w:w="45" w:type="dxa"/>
          <w:right w:w="45" w:type="dxa"/>
        </w:tblCellMar>
      </w:tblPr>
      <w:tblGrid>
        <w:gridCol w:w="2723"/>
        <w:gridCol w:w="5220"/>
      </w:tblGrid>
      <w:tr w14:paraId="3CB706F5">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1E20A6E9">
            <w:pPr>
              <w:jc w:val="right"/>
              <w:rPr>
                <w:rFonts w:ascii="宋体" w:hAnsi="宋体" w:eastAsia="宋体" w:cs="宋体"/>
                <w:sz w:val="30"/>
                <w:szCs w:val="30"/>
              </w:rPr>
            </w:pPr>
            <w:r>
              <w:rPr>
                <w:rFonts w:ascii="宋体" w:hAnsi="宋体" w:eastAsia="宋体" w:cs="宋体"/>
                <w:sz w:val="30"/>
                <w:szCs w:val="30"/>
              </w:rPr>
              <w:t>项目编号：</w:t>
            </w:r>
          </w:p>
        </w:tc>
        <w:tc>
          <w:tcPr>
            <w:tcW w:w="0" w:type="auto"/>
            <w:vAlign w:val="center"/>
          </w:tcPr>
          <w:p w14:paraId="2EAD5101">
            <w:pPr>
              <w:rPr>
                <w:rFonts w:ascii="宋体" w:hAnsi="宋体" w:eastAsia="宋体" w:cs="宋体"/>
                <w:sz w:val="30"/>
                <w:szCs w:val="30"/>
              </w:rPr>
            </w:pPr>
            <w:r>
              <w:rPr>
                <w:rFonts w:hint="eastAsia" w:ascii="宋体" w:hAnsi="宋体" w:eastAsia="宋体" w:cs="宋体"/>
                <w:sz w:val="30"/>
                <w:szCs w:val="30"/>
              </w:rPr>
              <w:t>SZDL2025XXXXXX</w:t>
            </w:r>
          </w:p>
        </w:tc>
      </w:tr>
      <w:tr w14:paraId="141E982D">
        <w:tblPrEx>
          <w:tblCellMar>
            <w:top w:w="45" w:type="dxa"/>
            <w:left w:w="45" w:type="dxa"/>
            <w:bottom w:w="45" w:type="dxa"/>
            <w:right w:w="45" w:type="dxa"/>
          </w:tblCellMar>
        </w:tblPrEx>
        <w:trPr>
          <w:trHeight w:val="738" w:hRule="atLeast"/>
          <w:tblCellSpacing w:w="0" w:type="dxa"/>
          <w:jc w:val="center"/>
        </w:trPr>
        <w:tc>
          <w:tcPr>
            <w:tcW w:w="0" w:type="auto"/>
            <w:vAlign w:val="center"/>
          </w:tcPr>
          <w:p w14:paraId="7ABC02F0">
            <w:pPr>
              <w:jc w:val="right"/>
              <w:rPr>
                <w:rFonts w:ascii="宋体" w:hAnsi="宋体" w:eastAsia="宋体"/>
                <w:sz w:val="30"/>
                <w:szCs w:val="30"/>
              </w:rPr>
            </w:pPr>
            <w:r>
              <w:rPr>
                <w:rFonts w:ascii="宋体" w:hAnsi="宋体" w:eastAsia="宋体" w:cs="宋体"/>
                <w:sz w:val="30"/>
                <w:szCs w:val="30"/>
              </w:rPr>
              <w:t>项目名称：</w:t>
            </w:r>
          </w:p>
        </w:tc>
        <w:tc>
          <w:tcPr>
            <w:tcW w:w="0" w:type="auto"/>
            <w:vAlign w:val="center"/>
          </w:tcPr>
          <w:p w14:paraId="0957C323">
            <w:pPr>
              <w:rPr>
                <w:rFonts w:hint="eastAsia" w:ascii="宋体" w:hAnsi="宋体" w:eastAsia="宋体"/>
                <w:sz w:val="30"/>
                <w:szCs w:val="30"/>
                <w:lang w:eastAsia="zh-CN"/>
              </w:rPr>
            </w:pPr>
            <w:r>
              <w:rPr>
                <w:rFonts w:hint="eastAsia" w:ascii="宋体" w:hAnsi="宋体" w:eastAsia="宋体" w:cs="宋体"/>
                <w:sz w:val="30"/>
                <w:szCs w:val="30"/>
                <w:lang w:eastAsia="zh-CN"/>
              </w:rPr>
              <w:t>ROV及附属配套</w:t>
            </w:r>
          </w:p>
        </w:tc>
      </w:tr>
      <w:tr w14:paraId="0244CAB8">
        <w:tblPrEx>
          <w:tblCellMar>
            <w:top w:w="45" w:type="dxa"/>
            <w:left w:w="45" w:type="dxa"/>
            <w:bottom w:w="45" w:type="dxa"/>
            <w:right w:w="45" w:type="dxa"/>
          </w:tblCellMar>
        </w:tblPrEx>
        <w:trPr>
          <w:trHeight w:val="738" w:hRule="atLeast"/>
          <w:tblCellSpacing w:w="0" w:type="dxa"/>
          <w:jc w:val="center"/>
        </w:trPr>
        <w:tc>
          <w:tcPr>
            <w:tcW w:w="0" w:type="auto"/>
            <w:vAlign w:val="center"/>
          </w:tcPr>
          <w:p w14:paraId="68BD46BB">
            <w:pPr>
              <w:jc w:val="right"/>
              <w:rPr>
                <w:rFonts w:ascii="宋体" w:hAnsi="宋体" w:eastAsia="宋体"/>
                <w:sz w:val="30"/>
                <w:szCs w:val="30"/>
              </w:rPr>
            </w:pPr>
            <w:r>
              <w:rPr>
                <w:rFonts w:ascii="宋体" w:hAnsi="宋体" w:eastAsia="宋体" w:cs="宋体"/>
                <w:sz w:val="30"/>
                <w:szCs w:val="30"/>
              </w:rPr>
              <w:t>包 号：</w:t>
            </w:r>
          </w:p>
        </w:tc>
        <w:tc>
          <w:tcPr>
            <w:tcW w:w="0" w:type="auto"/>
            <w:vAlign w:val="center"/>
          </w:tcPr>
          <w:p w14:paraId="533E443B">
            <w:pPr>
              <w:rPr>
                <w:rFonts w:ascii="宋体" w:hAnsi="宋体" w:eastAsia="宋体"/>
                <w:sz w:val="30"/>
                <w:szCs w:val="30"/>
              </w:rPr>
            </w:pPr>
            <w:r>
              <w:rPr>
                <w:rFonts w:ascii="宋体" w:hAnsi="宋体" w:eastAsia="宋体" w:cs="宋体"/>
                <w:sz w:val="30"/>
                <w:szCs w:val="30"/>
              </w:rPr>
              <w:t>A</w:t>
            </w:r>
          </w:p>
        </w:tc>
      </w:tr>
      <w:tr w14:paraId="142CCFE9">
        <w:tblPrEx>
          <w:tblCellMar>
            <w:top w:w="45" w:type="dxa"/>
            <w:left w:w="45" w:type="dxa"/>
            <w:bottom w:w="45" w:type="dxa"/>
            <w:right w:w="45" w:type="dxa"/>
          </w:tblCellMar>
        </w:tblPrEx>
        <w:trPr>
          <w:trHeight w:val="738" w:hRule="atLeast"/>
          <w:tblCellSpacing w:w="0" w:type="dxa"/>
          <w:jc w:val="center"/>
        </w:trPr>
        <w:tc>
          <w:tcPr>
            <w:tcW w:w="0" w:type="auto"/>
            <w:vAlign w:val="center"/>
          </w:tcPr>
          <w:p w14:paraId="5C5EF300">
            <w:pPr>
              <w:jc w:val="right"/>
              <w:rPr>
                <w:rFonts w:ascii="宋体" w:hAnsi="宋体" w:eastAsia="宋体"/>
                <w:sz w:val="30"/>
                <w:szCs w:val="30"/>
              </w:rPr>
            </w:pPr>
            <w:r>
              <w:rPr>
                <w:rFonts w:ascii="宋体" w:hAnsi="宋体" w:eastAsia="宋体" w:cs="宋体"/>
                <w:sz w:val="30"/>
                <w:szCs w:val="30"/>
              </w:rPr>
              <w:t>项目类型：</w:t>
            </w:r>
          </w:p>
        </w:tc>
        <w:tc>
          <w:tcPr>
            <w:tcW w:w="0" w:type="auto"/>
            <w:vAlign w:val="center"/>
          </w:tcPr>
          <w:p w14:paraId="187A0D1E">
            <w:pPr>
              <w:rPr>
                <w:rFonts w:ascii="宋体" w:hAnsi="宋体" w:eastAsia="宋体"/>
                <w:sz w:val="30"/>
                <w:szCs w:val="30"/>
              </w:rPr>
            </w:pPr>
            <w:r>
              <w:rPr>
                <w:rFonts w:ascii="宋体" w:hAnsi="宋体" w:eastAsia="宋体" w:cs="宋体"/>
                <w:sz w:val="30"/>
                <w:szCs w:val="30"/>
              </w:rPr>
              <w:t>货物类</w:t>
            </w:r>
          </w:p>
        </w:tc>
      </w:tr>
      <w:tr w14:paraId="7D3E7251">
        <w:tblPrEx>
          <w:tblCellMar>
            <w:top w:w="45" w:type="dxa"/>
            <w:left w:w="45" w:type="dxa"/>
            <w:bottom w:w="45" w:type="dxa"/>
            <w:right w:w="45" w:type="dxa"/>
          </w:tblCellMar>
        </w:tblPrEx>
        <w:trPr>
          <w:trHeight w:val="738" w:hRule="atLeast"/>
          <w:tblCellSpacing w:w="0" w:type="dxa"/>
          <w:jc w:val="center"/>
        </w:trPr>
        <w:tc>
          <w:tcPr>
            <w:tcW w:w="0" w:type="auto"/>
            <w:vAlign w:val="center"/>
          </w:tcPr>
          <w:p w14:paraId="57ED6B21">
            <w:pPr>
              <w:jc w:val="right"/>
              <w:rPr>
                <w:rFonts w:ascii="宋体" w:hAnsi="宋体" w:eastAsia="宋体"/>
                <w:sz w:val="30"/>
                <w:szCs w:val="30"/>
              </w:rPr>
            </w:pPr>
            <w:r>
              <w:rPr>
                <w:rFonts w:ascii="宋体" w:hAnsi="宋体" w:eastAsia="宋体" w:cs="宋体"/>
                <w:sz w:val="30"/>
                <w:szCs w:val="30"/>
              </w:rPr>
              <w:t>采购方式：</w:t>
            </w:r>
          </w:p>
        </w:tc>
        <w:tc>
          <w:tcPr>
            <w:tcW w:w="0" w:type="auto"/>
            <w:vAlign w:val="center"/>
          </w:tcPr>
          <w:p w14:paraId="4727EC9F">
            <w:pPr>
              <w:rPr>
                <w:rFonts w:ascii="宋体" w:hAnsi="宋体" w:eastAsia="宋体"/>
                <w:sz w:val="30"/>
                <w:szCs w:val="30"/>
              </w:rPr>
            </w:pPr>
            <w:r>
              <w:rPr>
                <w:rFonts w:ascii="宋体" w:hAnsi="宋体" w:eastAsia="宋体" w:cs="宋体"/>
                <w:sz w:val="30"/>
                <w:szCs w:val="30"/>
              </w:rPr>
              <w:t>公开招标</w:t>
            </w:r>
          </w:p>
        </w:tc>
      </w:tr>
      <w:tr w14:paraId="1F70D59E">
        <w:tblPrEx>
          <w:tblCellMar>
            <w:top w:w="45" w:type="dxa"/>
            <w:left w:w="45" w:type="dxa"/>
            <w:bottom w:w="45" w:type="dxa"/>
            <w:right w:w="45" w:type="dxa"/>
          </w:tblCellMar>
        </w:tblPrEx>
        <w:trPr>
          <w:trHeight w:val="738" w:hRule="atLeast"/>
          <w:tblCellSpacing w:w="0" w:type="dxa"/>
          <w:jc w:val="center"/>
        </w:trPr>
        <w:tc>
          <w:tcPr>
            <w:tcW w:w="0" w:type="auto"/>
            <w:vAlign w:val="center"/>
          </w:tcPr>
          <w:p w14:paraId="2C7A50AC">
            <w:pPr>
              <w:jc w:val="right"/>
              <w:rPr>
                <w:rFonts w:ascii="宋体" w:hAnsi="宋体" w:eastAsia="宋体"/>
                <w:sz w:val="30"/>
                <w:szCs w:val="30"/>
              </w:rPr>
            </w:pPr>
            <w:r>
              <w:rPr>
                <w:rFonts w:ascii="宋体" w:hAnsi="宋体" w:eastAsia="宋体" w:cs="宋体"/>
                <w:sz w:val="30"/>
                <w:szCs w:val="30"/>
              </w:rPr>
              <w:t>货币类型：</w:t>
            </w:r>
          </w:p>
        </w:tc>
        <w:tc>
          <w:tcPr>
            <w:tcW w:w="0" w:type="auto"/>
            <w:vAlign w:val="center"/>
          </w:tcPr>
          <w:p w14:paraId="6F85716B">
            <w:pPr>
              <w:rPr>
                <w:rFonts w:ascii="宋体" w:hAnsi="宋体" w:eastAsia="宋体"/>
                <w:sz w:val="30"/>
                <w:szCs w:val="30"/>
              </w:rPr>
            </w:pPr>
            <w:r>
              <w:rPr>
                <w:rFonts w:ascii="宋体" w:hAnsi="宋体" w:eastAsia="宋体" w:cs="宋体"/>
                <w:sz w:val="30"/>
                <w:szCs w:val="30"/>
              </w:rPr>
              <w:t>人民币</w:t>
            </w:r>
          </w:p>
        </w:tc>
      </w:tr>
      <w:tr w14:paraId="594E3837">
        <w:tblPrEx>
          <w:tblCellMar>
            <w:top w:w="45" w:type="dxa"/>
            <w:left w:w="45" w:type="dxa"/>
            <w:bottom w:w="45" w:type="dxa"/>
            <w:right w:w="45" w:type="dxa"/>
          </w:tblCellMar>
        </w:tblPrEx>
        <w:trPr>
          <w:trHeight w:val="738" w:hRule="atLeast"/>
          <w:tblCellSpacing w:w="0" w:type="dxa"/>
          <w:jc w:val="center"/>
        </w:trPr>
        <w:tc>
          <w:tcPr>
            <w:tcW w:w="0" w:type="auto"/>
            <w:vAlign w:val="center"/>
          </w:tcPr>
          <w:p w14:paraId="78BFE4DC">
            <w:pPr>
              <w:jc w:val="right"/>
              <w:rPr>
                <w:rFonts w:ascii="宋体" w:hAnsi="宋体" w:eastAsia="宋体"/>
                <w:sz w:val="30"/>
                <w:szCs w:val="30"/>
              </w:rPr>
            </w:pPr>
            <w:r>
              <w:rPr>
                <w:rFonts w:ascii="宋体" w:hAnsi="宋体" w:eastAsia="宋体" w:cs="宋体"/>
                <w:sz w:val="30"/>
                <w:szCs w:val="30"/>
              </w:rPr>
              <w:t>评标方法：</w:t>
            </w:r>
          </w:p>
        </w:tc>
        <w:tc>
          <w:tcPr>
            <w:tcW w:w="0" w:type="auto"/>
            <w:vAlign w:val="center"/>
          </w:tcPr>
          <w:p w14:paraId="28D29D4A">
            <w:pPr>
              <w:rPr>
                <w:rFonts w:ascii="宋体" w:hAnsi="宋体" w:eastAsia="宋体"/>
                <w:sz w:val="30"/>
                <w:szCs w:val="30"/>
              </w:rPr>
            </w:pPr>
            <w:r>
              <w:rPr>
                <w:rFonts w:ascii="宋体" w:hAnsi="宋体" w:eastAsia="宋体" w:cs="宋体"/>
                <w:sz w:val="30"/>
                <w:szCs w:val="30"/>
              </w:rPr>
              <w:t>综合评分法</w:t>
            </w:r>
          </w:p>
        </w:tc>
      </w:tr>
      <w:bookmarkEnd w:id="0"/>
    </w:tbl>
    <w:p w14:paraId="722100A1">
      <w:pPr>
        <w:pStyle w:val="16"/>
        <w:jc w:val="center"/>
        <w:outlineLvl w:val="1"/>
        <w:rPr>
          <w:rFonts w:ascii="宋体" w:hAnsi="宋体" w:eastAsia="宋体" w:cs="黑体"/>
          <w:sz w:val="40"/>
          <w:szCs w:val="40"/>
        </w:rPr>
      </w:pPr>
      <w:r>
        <w:rPr>
          <w:rFonts w:hint="eastAsia" w:ascii="宋体" w:hAnsi="宋体" w:eastAsia="宋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84"/>
      </w:tblGrid>
      <w:tr w14:paraId="4E4D94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7F27923">
            <w:pPr>
              <w:jc w:val="center"/>
              <w:rPr>
                <w:rFonts w:ascii="宋体" w:hAnsi="宋体" w:eastAsia="宋体"/>
                <w:sz w:val="28"/>
                <w:szCs w:val="28"/>
              </w:rPr>
            </w:pPr>
            <w:r>
              <w:rPr>
                <w:rFonts w:ascii="宋体" w:hAnsi="宋体" w:eastAsia="宋体" w:cs="宋体"/>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6D691CD9">
            <w:pPr>
              <w:jc w:val="center"/>
              <w:rPr>
                <w:rFonts w:ascii="宋体" w:hAnsi="宋体" w:eastAsia="宋体"/>
                <w:sz w:val="28"/>
                <w:szCs w:val="28"/>
              </w:rPr>
            </w:pPr>
            <w:r>
              <w:rPr>
                <w:rFonts w:ascii="宋体" w:hAnsi="宋体" w:eastAsia="宋体" w:cs="宋体"/>
                <w:sz w:val="28"/>
                <w:szCs w:val="28"/>
              </w:rPr>
              <w:t>内容</w:t>
            </w:r>
          </w:p>
        </w:tc>
      </w:tr>
      <w:tr w14:paraId="2BD339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525D9DD">
            <w:pPr>
              <w:jc w:val="center"/>
              <w:textAlignment w:val="top"/>
              <w:rPr>
                <w:rFonts w:ascii="宋体" w:hAnsi="宋体" w:eastAsia="宋体"/>
                <w:szCs w:val="21"/>
              </w:rPr>
            </w:pPr>
            <w:r>
              <w:rPr>
                <w:rFonts w:ascii="宋体" w:hAnsi="宋体" w:eastAsia="宋体" w:cs="宋体"/>
                <w:szCs w:val="21"/>
              </w:rPr>
              <w:t>1</w:t>
            </w:r>
          </w:p>
        </w:tc>
        <w:tc>
          <w:tcPr>
            <w:tcW w:w="0" w:type="auto"/>
            <w:tcBorders>
              <w:top w:val="single" w:color="000000" w:sz="8" w:space="0"/>
              <w:left w:val="single" w:color="000000" w:sz="8" w:space="0"/>
              <w:bottom w:val="single" w:color="000000" w:sz="8" w:space="0"/>
              <w:right w:val="single" w:color="000000" w:sz="8" w:space="0"/>
            </w:tcBorders>
          </w:tcPr>
          <w:p w14:paraId="1E76D730">
            <w:pPr>
              <w:textAlignment w:val="top"/>
              <w:rPr>
                <w:rFonts w:ascii="宋体" w:hAnsi="宋体" w:eastAsia="宋体"/>
                <w:szCs w:val="21"/>
              </w:rPr>
            </w:pPr>
            <w:r>
              <w:rPr>
                <w:rFonts w:ascii="宋体" w:hAnsi="宋体" w:eastAsia="宋体" w:cs="宋体"/>
                <w:szCs w:val="21"/>
              </w:rPr>
              <w:t>投标人不</w:t>
            </w:r>
            <w:r>
              <w:rPr>
                <w:rFonts w:hint="eastAsia" w:ascii="宋体" w:hAnsi="宋体" w:eastAsia="宋体" w:cs="宋体"/>
                <w:szCs w:val="21"/>
              </w:rPr>
              <w:t>符合</w:t>
            </w:r>
            <w:r>
              <w:rPr>
                <w:rFonts w:ascii="宋体" w:hAnsi="宋体" w:eastAsia="宋体" w:cs="宋体"/>
                <w:szCs w:val="21"/>
              </w:rPr>
              <w:t>资格要求，或未提交相应的资格证明资料（详见招标公告</w:t>
            </w:r>
            <w:r>
              <w:rPr>
                <w:rFonts w:hint="eastAsia" w:ascii="宋体" w:hAnsi="宋体" w:eastAsia="宋体"/>
                <w:szCs w:val="21"/>
              </w:rPr>
              <w:t>投标人资格要求，即申请人的资格要求</w:t>
            </w:r>
            <w:r>
              <w:rPr>
                <w:rFonts w:ascii="宋体" w:hAnsi="宋体" w:eastAsia="宋体" w:cs="宋体"/>
                <w:szCs w:val="21"/>
              </w:rPr>
              <w:t>）</w:t>
            </w:r>
          </w:p>
        </w:tc>
      </w:tr>
    </w:tbl>
    <w:p w14:paraId="4F45894E">
      <w:pPr>
        <w:pStyle w:val="16"/>
        <w:spacing w:before="280" w:beforeAutospacing="0"/>
        <w:jc w:val="center"/>
        <w:outlineLvl w:val="1"/>
        <w:rPr>
          <w:rFonts w:ascii="宋体" w:hAnsi="宋体" w:eastAsia="宋体" w:cs="黑体"/>
          <w:sz w:val="40"/>
          <w:szCs w:val="40"/>
        </w:rPr>
      </w:pPr>
      <w:r>
        <w:rPr>
          <w:rFonts w:hint="eastAsia" w:ascii="宋体" w:hAnsi="宋体" w:eastAsia="宋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84"/>
      </w:tblGrid>
      <w:tr w14:paraId="4A5200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467E35A">
            <w:pPr>
              <w:jc w:val="center"/>
              <w:rPr>
                <w:rFonts w:ascii="宋体" w:hAnsi="宋体" w:eastAsia="宋体"/>
                <w:sz w:val="28"/>
                <w:szCs w:val="28"/>
              </w:rPr>
            </w:pPr>
            <w:r>
              <w:rPr>
                <w:rFonts w:ascii="宋体" w:hAnsi="宋体" w:eastAsia="宋体" w:cs="宋体"/>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0ABD52FA">
            <w:pPr>
              <w:jc w:val="center"/>
              <w:rPr>
                <w:rFonts w:ascii="宋体" w:hAnsi="宋体" w:eastAsia="宋体"/>
                <w:sz w:val="28"/>
                <w:szCs w:val="28"/>
              </w:rPr>
            </w:pPr>
            <w:r>
              <w:rPr>
                <w:rFonts w:ascii="宋体" w:hAnsi="宋体" w:eastAsia="宋体" w:cs="宋体"/>
                <w:sz w:val="28"/>
                <w:szCs w:val="28"/>
              </w:rPr>
              <w:t>内容</w:t>
            </w:r>
          </w:p>
        </w:tc>
      </w:tr>
      <w:tr w14:paraId="3FA312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53B81FA">
            <w:pPr>
              <w:jc w:val="center"/>
              <w:textAlignment w:val="top"/>
              <w:rPr>
                <w:rFonts w:ascii="宋体" w:hAnsi="宋体" w:eastAsia="宋体"/>
                <w:szCs w:val="21"/>
              </w:rPr>
            </w:pPr>
            <w:r>
              <w:rPr>
                <w:rFonts w:ascii="宋体" w:hAnsi="宋体" w:eastAsia="宋体" w:cs="宋体"/>
                <w:szCs w:val="21"/>
              </w:rPr>
              <w:t>1</w:t>
            </w:r>
          </w:p>
        </w:tc>
        <w:tc>
          <w:tcPr>
            <w:tcW w:w="0" w:type="auto"/>
            <w:tcBorders>
              <w:top w:val="single" w:color="000000" w:sz="8" w:space="0"/>
              <w:left w:val="single" w:color="000000" w:sz="8" w:space="0"/>
              <w:bottom w:val="single" w:color="000000" w:sz="8" w:space="0"/>
              <w:right w:val="single" w:color="000000" w:sz="8" w:space="0"/>
            </w:tcBorders>
          </w:tcPr>
          <w:p w14:paraId="399BA020">
            <w:pPr>
              <w:jc w:val="both"/>
              <w:textAlignment w:val="top"/>
              <w:rPr>
                <w:rFonts w:ascii="宋体" w:hAnsi="宋体" w:eastAsia="宋体"/>
                <w:szCs w:val="21"/>
              </w:rPr>
            </w:pPr>
            <w:r>
              <w:rPr>
                <w:rFonts w:hint="eastAsia" w:ascii="宋体" w:hAnsi="宋体" w:eastAsia="宋体"/>
              </w:rPr>
              <w:t>将一个包或一个标段的内容拆开投标；</w:t>
            </w:r>
          </w:p>
        </w:tc>
      </w:tr>
      <w:tr w14:paraId="6E6893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26ED363">
            <w:pPr>
              <w:jc w:val="center"/>
              <w:textAlignment w:val="top"/>
              <w:rPr>
                <w:rFonts w:ascii="宋体" w:hAnsi="宋体" w:eastAsia="宋体"/>
                <w:szCs w:val="21"/>
              </w:rPr>
            </w:pPr>
            <w:r>
              <w:rPr>
                <w:rFonts w:ascii="宋体" w:hAnsi="宋体" w:eastAsia="宋体" w:cs="宋体"/>
                <w:szCs w:val="21"/>
              </w:rPr>
              <w:t>2</w:t>
            </w:r>
          </w:p>
        </w:tc>
        <w:tc>
          <w:tcPr>
            <w:tcW w:w="0" w:type="auto"/>
            <w:tcBorders>
              <w:top w:val="single" w:color="000000" w:sz="8" w:space="0"/>
              <w:left w:val="single" w:color="000000" w:sz="8" w:space="0"/>
              <w:bottom w:val="single" w:color="000000" w:sz="8" w:space="0"/>
              <w:right w:val="single" w:color="000000" w:sz="8" w:space="0"/>
            </w:tcBorders>
          </w:tcPr>
          <w:p w14:paraId="046ED322">
            <w:pPr>
              <w:jc w:val="both"/>
              <w:textAlignment w:val="top"/>
              <w:rPr>
                <w:rFonts w:ascii="宋体" w:hAnsi="宋体" w:eastAsia="宋体"/>
                <w:szCs w:val="21"/>
              </w:rPr>
            </w:pPr>
            <w:r>
              <w:rPr>
                <w:rFonts w:hint="eastAsia" w:ascii="宋体" w:hAnsi="宋体" w:eastAsia="宋体"/>
              </w:rPr>
              <w:t>对同一项目投标时，提供两套以上的投标方案（招标文件另有规定的除外）；</w:t>
            </w:r>
          </w:p>
        </w:tc>
      </w:tr>
      <w:tr w14:paraId="2C4ABA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09B1A98">
            <w:pPr>
              <w:jc w:val="center"/>
              <w:textAlignment w:val="top"/>
              <w:rPr>
                <w:rFonts w:ascii="宋体" w:hAnsi="宋体" w:eastAsia="宋体"/>
                <w:szCs w:val="21"/>
              </w:rPr>
            </w:pPr>
            <w:r>
              <w:rPr>
                <w:rFonts w:ascii="宋体" w:hAnsi="宋体" w:eastAsia="宋体" w:cs="宋体"/>
                <w:szCs w:val="21"/>
              </w:rPr>
              <w:t>3</w:t>
            </w:r>
          </w:p>
        </w:tc>
        <w:tc>
          <w:tcPr>
            <w:tcW w:w="0" w:type="auto"/>
            <w:tcBorders>
              <w:top w:val="single" w:color="000000" w:sz="8" w:space="0"/>
              <w:left w:val="single" w:color="000000" w:sz="8" w:space="0"/>
              <w:bottom w:val="single" w:color="000000" w:sz="8" w:space="0"/>
              <w:right w:val="single" w:color="000000" w:sz="8" w:space="0"/>
            </w:tcBorders>
          </w:tcPr>
          <w:p w14:paraId="7F47DDB9">
            <w:pPr>
              <w:jc w:val="both"/>
              <w:textAlignment w:val="top"/>
              <w:rPr>
                <w:rFonts w:ascii="宋体" w:hAnsi="宋体" w:eastAsia="宋体"/>
                <w:szCs w:val="21"/>
              </w:rPr>
            </w:pPr>
            <w:r>
              <w:rPr>
                <w:rFonts w:hint="eastAsia" w:ascii="宋体" w:hAnsi="宋体" w:eastAsia="宋体"/>
              </w:rPr>
              <w:t>分项报价或投标总价高于</w:t>
            </w:r>
            <w:bookmarkStart w:id="1" w:name="_Hlk71832186"/>
            <w:r>
              <w:rPr>
                <w:rFonts w:hint="eastAsia" w:ascii="宋体" w:hAnsi="宋体" w:eastAsia="宋体"/>
              </w:rPr>
              <w:t>相应财政预算金额（或设定的财政预算金额下的最高限价）</w:t>
            </w:r>
            <w:bookmarkEnd w:id="1"/>
            <w:r>
              <w:rPr>
                <w:rFonts w:hint="eastAsia" w:ascii="宋体" w:hAnsi="宋体" w:eastAsia="宋体"/>
              </w:rPr>
              <w:t>；</w:t>
            </w:r>
          </w:p>
        </w:tc>
      </w:tr>
      <w:tr w14:paraId="4D5FEE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DFBC8AE">
            <w:pPr>
              <w:jc w:val="center"/>
              <w:textAlignment w:val="top"/>
              <w:rPr>
                <w:rFonts w:ascii="宋体" w:hAnsi="宋体" w:eastAsia="宋体"/>
                <w:szCs w:val="21"/>
              </w:rPr>
            </w:pPr>
            <w:r>
              <w:rPr>
                <w:rFonts w:ascii="宋体" w:hAnsi="宋体" w:eastAsia="宋体" w:cs="宋体"/>
                <w:szCs w:val="21"/>
              </w:rPr>
              <w:t>4</w:t>
            </w:r>
          </w:p>
        </w:tc>
        <w:tc>
          <w:tcPr>
            <w:tcW w:w="0" w:type="auto"/>
            <w:tcBorders>
              <w:top w:val="single" w:color="000000" w:sz="8" w:space="0"/>
              <w:left w:val="single" w:color="000000" w:sz="8" w:space="0"/>
              <w:bottom w:val="single" w:color="000000" w:sz="8" w:space="0"/>
              <w:right w:val="single" w:color="000000" w:sz="8" w:space="0"/>
            </w:tcBorders>
          </w:tcPr>
          <w:p w14:paraId="5CB29A77">
            <w:pPr>
              <w:jc w:val="both"/>
              <w:textAlignment w:val="top"/>
              <w:rPr>
                <w:rFonts w:ascii="宋体" w:hAnsi="宋体" w:eastAsia="宋体"/>
                <w:szCs w:val="21"/>
              </w:rPr>
            </w:pPr>
            <w:r>
              <w:rPr>
                <w:rFonts w:hint="eastAsia" w:ascii="宋体" w:hAnsi="宋体" w:eastAsia="宋体"/>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6C1AE6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BFFBC28">
            <w:pPr>
              <w:jc w:val="center"/>
              <w:textAlignment w:val="top"/>
              <w:rPr>
                <w:rFonts w:ascii="宋体" w:hAnsi="宋体" w:eastAsia="宋体"/>
                <w:szCs w:val="21"/>
              </w:rPr>
            </w:pPr>
            <w:r>
              <w:rPr>
                <w:rFonts w:ascii="宋体" w:hAnsi="宋体" w:eastAsia="宋体" w:cs="宋体"/>
                <w:szCs w:val="21"/>
              </w:rPr>
              <w:t>5</w:t>
            </w:r>
          </w:p>
        </w:tc>
        <w:tc>
          <w:tcPr>
            <w:tcW w:w="0" w:type="auto"/>
            <w:tcBorders>
              <w:top w:val="single" w:color="000000" w:sz="8" w:space="0"/>
              <w:left w:val="single" w:color="000000" w:sz="8" w:space="0"/>
              <w:bottom w:val="single" w:color="000000" w:sz="8" w:space="0"/>
              <w:right w:val="single" w:color="000000" w:sz="8" w:space="0"/>
            </w:tcBorders>
          </w:tcPr>
          <w:p w14:paraId="153886D9">
            <w:pPr>
              <w:jc w:val="both"/>
              <w:textAlignment w:val="top"/>
              <w:rPr>
                <w:rFonts w:ascii="宋体" w:hAnsi="宋体" w:eastAsia="宋体"/>
                <w:szCs w:val="21"/>
              </w:rPr>
            </w:pPr>
            <w:r>
              <w:rPr>
                <w:rFonts w:hint="eastAsia" w:ascii="宋体" w:hAnsi="宋体" w:eastAsia="宋体"/>
              </w:rPr>
              <w:t>所投货物、服务在技术、商务等方面没有实质性满足招标文件要求的（是否实质性满足招标文件要求，由评审委员会根据《实质性条款响应情况表》做出评判，投标文件的轻微瑕疵、非关键内容不得作为认定投标无效的依据）；</w:t>
            </w:r>
          </w:p>
        </w:tc>
      </w:tr>
      <w:tr w14:paraId="5A16FD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986489B">
            <w:pPr>
              <w:jc w:val="center"/>
              <w:textAlignment w:val="top"/>
              <w:rPr>
                <w:rFonts w:ascii="宋体" w:hAnsi="宋体" w:eastAsia="宋体"/>
                <w:szCs w:val="21"/>
              </w:rPr>
            </w:pPr>
            <w:r>
              <w:rPr>
                <w:rFonts w:ascii="宋体" w:hAnsi="宋体" w:eastAsia="宋体" w:cs="宋体"/>
                <w:szCs w:val="21"/>
              </w:rPr>
              <w:t>6</w:t>
            </w:r>
          </w:p>
        </w:tc>
        <w:tc>
          <w:tcPr>
            <w:tcW w:w="0" w:type="auto"/>
            <w:tcBorders>
              <w:top w:val="single" w:color="000000" w:sz="8" w:space="0"/>
              <w:left w:val="single" w:color="000000" w:sz="8" w:space="0"/>
              <w:bottom w:val="single" w:color="000000" w:sz="8" w:space="0"/>
              <w:right w:val="single" w:color="000000" w:sz="8" w:space="0"/>
            </w:tcBorders>
          </w:tcPr>
          <w:p w14:paraId="44327F0E">
            <w:pPr>
              <w:jc w:val="both"/>
              <w:textAlignment w:val="top"/>
              <w:rPr>
                <w:rFonts w:ascii="宋体" w:hAnsi="宋体" w:eastAsia="宋体"/>
                <w:szCs w:val="21"/>
              </w:rPr>
            </w:pPr>
            <w:r>
              <w:rPr>
                <w:rFonts w:hint="eastAsia" w:ascii="宋体" w:hAnsi="宋体" w:eastAsia="宋体"/>
              </w:rPr>
              <w:t>未按招标文件所提供的样式填写《投标函》；</w:t>
            </w:r>
          </w:p>
        </w:tc>
      </w:tr>
      <w:tr w14:paraId="2BC26B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1AAD516">
            <w:pPr>
              <w:jc w:val="center"/>
              <w:textAlignment w:val="top"/>
              <w:rPr>
                <w:rFonts w:ascii="宋体" w:hAnsi="宋体" w:eastAsia="宋体" w:cs="宋体"/>
                <w:szCs w:val="21"/>
              </w:rPr>
            </w:pPr>
            <w:r>
              <w:rPr>
                <w:rFonts w:hint="eastAsia" w:ascii="宋体" w:hAnsi="宋体" w:eastAsia="宋体" w:cs="宋体"/>
                <w:szCs w:val="21"/>
              </w:rPr>
              <w:t>7</w:t>
            </w:r>
          </w:p>
        </w:tc>
        <w:tc>
          <w:tcPr>
            <w:tcW w:w="0" w:type="auto"/>
            <w:tcBorders>
              <w:top w:val="single" w:color="000000" w:sz="8" w:space="0"/>
              <w:left w:val="single" w:color="000000" w:sz="8" w:space="0"/>
              <w:bottom w:val="single" w:color="000000" w:sz="8" w:space="0"/>
              <w:right w:val="single" w:color="000000" w:sz="8" w:space="0"/>
            </w:tcBorders>
          </w:tcPr>
          <w:p w14:paraId="78E6D4B5">
            <w:pPr>
              <w:jc w:val="both"/>
              <w:textAlignment w:val="top"/>
              <w:rPr>
                <w:rFonts w:ascii="宋体" w:hAnsi="宋体" w:eastAsia="宋体"/>
              </w:rPr>
            </w:pPr>
            <w:r>
              <w:rPr>
                <w:rFonts w:hint="eastAsia" w:ascii="宋体" w:hAnsi="宋体" w:eastAsia="宋体"/>
              </w:rPr>
              <w:t>未按招标文件所提供的《政府采购投标及履约承诺函》进行承诺</w:t>
            </w:r>
            <w:r>
              <w:rPr>
                <w:rFonts w:hint="eastAsia"/>
              </w:rPr>
              <w:t>或不符合承诺的</w:t>
            </w:r>
            <w:r>
              <w:rPr>
                <w:rFonts w:hint="eastAsia" w:ascii="宋体" w:hAnsi="宋体" w:eastAsia="宋体"/>
              </w:rPr>
              <w:t>；</w:t>
            </w:r>
          </w:p>
        </w:tc>
      </w:tr>
      <w:tr w14:paraId="6D7D18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43D0031">
            <w:pPr>
              <w:jc w:val="center"/>
              <w:textAlignment w:val="top"/>
              <w:rPr>
                <w:rFonts w:ascii="宋体" w:hAnsi="宋体" w:eastAsia="宋体"/>
                <w:szCs w:val="21"/>
              </w:rPr>
            </w:pPr>
            <w:r>
              <w:rPr>
                <w:rFonts w:hint="eastAsia" w:ascii="宋体" w:hAnsi="宋体" w:eastAsia="宋体" w:cs="宋体"/>
                <w:szCs w:val="21"/>
              </w:rPr>
              <w:t>8</w:t>
            </w:r>
          </w:p>
        </w:tc>
        <w:tc>
          <w:tcPr>
            <w:tcW w:w="0" w:type="auto"/>
            <w:tcBorders>
              <w:top w:val="single" w:color="000000" w:sz="8" w:space="0"/>
              <w:left w:val="single" w:color="000000" w:sz="8" w:space="0"/>
              <w:bottom w:val="single" w:color="000000" w:sz="8" w:space="0"/>
              <w:right w:val="single" w:color="000000" w:sz="8" w:space="0"/>
            </w:tcBorders>
          </w:tcPr>
          <w:p w14:paraId="6E4E920E">
            <w:pPr>
              <w:jc w:val="both"/>
              <w:textAlignment w:val="top"/>
              <w:rPr>
                <w:rFonts w:ascii="宋体" w:hAnsi="宋体" w:eastAsia="宋体"/>
                <w:szCs w:val="21"/>
              </w:rPr>
            </w:pPr>
            <w:r>
              <w:rPr>
                <w:rFonts w:hint="eastAsia" w:ascii="宋体" w:hAnsi="宋体" w:eastAsia="宋体"/>
              </w:rPr>
              <w:t>投标文件对</w:t>
            </w:r>
            <w:r>
              <w:rPr>
                <w:rFonts w:hint="eastAsia" w:ascii="宋体" w:hAnsi="宋体" w:eastAsia="宋体"/>
                <w:lang w:bidi="ar"/>
              </w:rPr>
              <w:t>采购标的响应不全（包括：</w:t>
            </w:r>
            <w:r>
              <w:rPr>
                <w:rFonts w:hint="eastAsia" w:ascii="宋体" w:hAnsi="宋体" w:eastAsia="宋体"/>
              </w:rPr>
              <w:t>投标报价有缺漏项，对招标文件规定的项目需求内容或者需求数量进行修改，未填写所投货物的品牌、规格、型号、制造商、原产地</w:t>
            </w:r>
            <w:r>
              <w:rPr>
                <w:rFonts w:hint="eastAsia" w:ascii="宋体" w:hAnsi="宋体" w:eastAsia="宋体"/>
                <w:lang w:bidi="ar"/>
              </w:rPr>
              <w:t>），</w:t>
            </w:r>
            <w:r>
              <w:rPr>
                <w:rFonts w:hint="eastAsia" w:ascii="宋体" w:hAnsi="宋体" w:eastAsia="宋体"/>
              </w:rPr>
              <w:t>由评审委员会根据《分项报价表》做出评判）</w:t>
            </w:r>
          </w:p>
        </w:tc>
      </w:tr>
      <w:tr w14:paraId="2FD563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28F6B8C">
            <w:pPr>
              <w:jc w:val="center"/>
              <w:textAlignment w:val="top"/>
              <w:rPr>
                <w:rFonts w:ascii="宋体" w:hAnsi="宋体" w:eastAsia="宋体"/>
                <w:szCs w:val="21"/>
              </w:rPr>
            </w:pPr>
            <w:r>
              <w:rPr>
                <w:rFonts w:hint="eastAsia" w:ascii="宋体" w:hAnsi="宋体" w:eastAsia="宋体" w:cs="宋体"/>
                <w:szCs w:val="21"/>
              </w:rPr>
              <w:t>9</w:t>
            </w:r>
          </w:p>
        </w:tc>
        <w:tc>
          <w:tcPr>
            <w:tcW w:w="0" w:type="auto"/>
            <w:tcBorders>
              <w:top w:val="single" w:color="000000" w:sz="8" w:space="0"/>
              <w:left w:val="single" w:color="000000" w:sz="8" w:space="0"/>
              <w:bottom w:val="single" w:color="000000" w:sz="8" w:space="0"/>
              <w:right w:val="single" w:color="000000" w:sz="8" w:space="0"/>
            </w:tcBorders>
          </w:tcPr>
          <w:p w14:paraId="7520E2CC">
            <w:pPr>
              <w:jc w:val="both"/>
              <w:textAlignment w:val="top"/>
              <w:rPr>
                <w:rFonts w:ascii="宋体" w:hAnsi="宋体" w:eastAsia="宋体"/>
                <w:szCs w:val="21"/>
              </w:rPr>
            </w:pPr>
            <w:r>
              <w:rPr>
                <w:rFonts w:hint="eastAsia" w:ascii="宋体" w:hAnsi="宋体" w:eastAsia="宋体"/>
              </w:rPr>
              <w:t>投标文件存在列放位置错误，导致属于信息公开情形的没有被公开；</w:t>
            </w:r>
          </w:p>
        </w:tc>
      </w:tr>
      <w:tr w14:paraId="676BDA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F554A15">
            <w:pPr>
              <w:jc w:val="center"/>
              <w:textAlignment w:val="top"/>
              <w:rPr>
                <w:rFonts w:ascii="宋体" w:hAnsi="宋体" w:eastAsia="宋体"/>
                <w:szCs w:val="21"/>
              </w:rPr>
            </w:pPr>
            <w:r>
              <w:rPr>
                <w:rFonts w:hint="eastAsia" w:ascii="宋体" w:hAnsi="宋体" w:eastAsia="宋体" w:cs="宋体"/>
                <w:szCs w:val="21"/>
              </w:rPr>
              <w:t>10</w:t>
            </w:r>
          </w:p>
        </w:tc>
        <w:tc>
          <w:tcPr>
            <w:tcW w:w="0" w:type="auto"/>
            <w:tcBorders>
              <w:top w:val="single" w:color="000000" w:sz="8" w:space="0"/>
              <w:left w:val="single" w:color="000000" w:sz="8" w:space="0"/>
              <w:bottom w:val="single" w:color="000000" w:sz="8" w:space="0"/>
              <w:right w:val="single" w:color="000000" w:sz="8" w:space="0"/>
            </w:tcBorders>
          </w:tcPr>
          <w:p w14:paraId="5F47845A">
            <w:pPr>
              <w:jc w:val="both"/>
              <w:textAlignment w:val="top"/>
              <w:rPr>
                <w:rFonts w:ascii="宋体" w:hAnsi="宋体" w:eastAsia="宋体"/>
                <w:szCs w:val="21"/>
              </w:rPr>
            </w:pPr>
            <w:r>
              <w:rPr>
                <w:rFonts w:hint="eastAsia" w:ascii="宋体" w:hAnsi="宋体" w:eastAsia="宋体"/>
              </w:rPr>
              <w:t>投标文件电子文档带病毒；</w:t>
            </w:r>
          </w:p>
        </w:tc>
      </w:tr>
      <w:tr w14:paraId="587072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1A4D570">
            <w:pPr>
              <w:jc w:val="center"/>
              <w:textAlignment w:val="top"/>
              <w:rPr>
                <w:rFonts w:ascii="宋体" w:hAnsi="宋体" w:eastAsia="宋体"/>
                <w:szCs w:val="21"/>
              </w:rPr>
            </w:pPr>
            <w:r>
              <w:rPr>
                <w:rFonts w:hint="eastAsia" w:ascii="宋体" w:hAnsi="宋体" w:eastAsia="宋体" w:cs="宋体"/>
                <w:szCs w:val="21"/>
              </w:rPr>
              <w:t>11</w:t>
            </w:r>
          </w:p>
        </w:tc>
        <w:tc>
          <w:tcPr>
            <w:tcW w:w="0" w:type="auto"/>
            <w:tcBorders>
              <w:top w:val="single" w:color="000000" w:sz="8" w:space="0"/>
              <w:left w:val="single" w:color="000000" w:sz="8" w:space="0"/>
              <w:bottom w:val="single" w:color="000000" w:sz="8" w:space="0"/>
              <w:right w:val="single" w:color="000000" w:sz="8" w:space="0"/>
            </w:tcBorders>
          </w:tcPr>
          <w:p w14:paraId="0F88E63D">
            <w:pPr>
              <w:jc w:val="both"/>
              <w:textAlignment w:val="top"/>
              <w:rPr>
                <w:rFonts w:ascii="宋体" w:hAnsi="宋体" w:eastAsia="宋体"/>
                <w:szCs w:val="21"/>
              </w:rPr>
            </w:pPr>
            <w:r>
              <w:rPr>
                <w:rFonts w:hint="eastAsia" w:ascii="宋体" w:hAnsi="宋体" w:eastAsia="宋体"/>
              </w:rPr>
              <w:t>投标文件用不属于本公司的电子密钥进行加密的；</w:t>
            </w:r>
          </w:p>
        </w:tc>
      </w:tr>
      <w:tr w14:paraId="71FE18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E5F8CB6">
            <w:pPr>
              <w:jc w:val="center"/>
              <w:rPr>
                <w:rFonts w:ascii="宋体" w:hAnsi="宋体" w:eastAsia="宋体" w:cs="宋体"/>
                <w:szCs w:val="21"/>
              </w:rPr>
            </w:pPr>
            <w:r>
              <w:rPr>
                <w:rFonts w:hint="eastAsia" w:eastAsia="宋体"/>
                <w:color w:val="000000" w:themeColor="text1"/>
                <w:szCs w:val="21"/>
                <w14:textFill>
                  <w14:solidFill>
                    <w14:schemeClr w14:val="tx1"/>
                  </w14:solidFill>
                </w14:textFill>
              </w:rPr>
              <w:t>12</w:t>
            </w:r>
          </w:p>
        </w:tc>
        <w:tc>
          <w:tcPr>
            <w:tcW w:w="8284" w:type="dxa"/>
            <w:tcBorders>
              <w:top w:val="single" w:color="000000" w:sz="8" w:space="0"/>
              <w:left w:val="single" w:color="000000" w:sz="8" w:space="0"/>
              <w:bottom w:val="single" w:color="000000" w:sz="8" w:space="0"/>
              <w:right w:val="single" w:color="000000" w:sz="8" w:space="0"/>
            </w:tcBorders>
          </w:tcPr>
          <w:p w14:paraId="04B55139">
            <w:pPr>
              <w:jc w:val="both"/>
              <w:rPr>
                <w:rFonts w:ascii="宋体" w:hAnsi="宋体" w:eastAsia="宋体"/>
              </w:rPr>
            </w:pPr>
            <w:r>
              <w:t>不同投标供应商投标文件“文件制作机器码”</w:t>
            </w:r>
            <w:r>
              <w:rPr>
                <w:rFonts w:hint="eastAsia" w:eastAsia="宋体"/>
              </w:rPr>
              <w:t>或</w:t>
            </w:r>
            <w:r>
              <w:t>“文件创建标识码”一致</w:t>
            </w:r>
            <w:r>
              <w:rPr>
                <w:rFonts w:hint="eastAsia" w:eastAsia="宋体"/>
              </w:rPr>
              <w:t>的</w:t>
            </w:r>
            <w:r>
              <w:rPr>
                <w:rFonts w:hint="eastAsia"/>
              </w:rPr>
              <w:t>；</w:t>
            </w:r>
          </w:p>
        </w:tc>
      </w:tr>
      <w:tr w14:paraId="509C45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3C705E9">
            <w:pPr>
              <w:jc w:val="center"/>
              <w:textAlignment w:val="top"/>
              <w:rPr>
                <w:rFonts w:ascii="宋体" w:hAnsi="宋体" w:eastAsia="宋体"/>
                <w:szCs w:val="21"/>
              </w:rPr>
            </w:pPr>
            <w:r>
              <w:rPr>
                <w:rFonts w:hint="eastAsia" w:ascii="宋体" w:hAnsi="宋体" w:eastAsia="宋体" w:cs="宋体"/>
                <w:szCs w:val="21"/>
              </w:rPr>
              <w:t>13</w:t>
            </w:r>
          </w:p>
        </w:tc>
        <w:tc>
          <w:tcPr>
            <w:tcW w:w="0" w:type="auto"/>
            <w:tcBorders>
              <w:top w:val="single" w:color="000000" w:sz="8" w:space="0"/>
              <w:left w:val="single" w:color="000000" w:sz="8" w:space="0"/>
              <w:bottom w:val="single" w:color="000000" w:sz="8" w:space="0"/>
              <w:right w:val="single" w:color="000000" w:sz="8" w:space="0"/>
            </w:tcBorders>
          </w:tcPr>
          <w:p w14:paraId="1D08E4FC">
            <w:pPr>
              <w:jc w:val="both"/>
              <w:textAlignment w:val="top"/>
              <w:rPr>
                <w:rFonts w:ascii="宋体" w:hAnsi="宋体" w:eastAsia="宋体"/>
                <w:szCs w:val="21"/>
              </w:rPr>
            </w:pPr>
            <w:r>
              <w:rPr>
                <w:rFonts w:hint="eastAsia" w:ascii="宋体" w:hAnsi="宋体" w:eastAsia="宋体"/>
              </w:rPr>
              <w:t>法律、法规、规章、规范性文件规定的其他情形。</w:t>
            </w:r>
          </w:p>
        </w:tc>
      </w:tr>
    </w:tbl>
    <w:p w14:paraId="26AC6EC8">
      <w:pPr>
        <w:pStyle w:val="16"/>
        <w:jc w:val="center"/>
        <w:outlineLvl w:val="1"/>
        <w:rPr>
          <w:rFonts w:ascii="宋体" w:hAnsi="宋体" w:eastAsia="宋体" w:cs="黑体"/>
          <w:sz w:val="40"/>
          <w:szCs w:val="40"/>
        </w:rPr>
      </w:pPr>
      <w:r>
        <w:rPr>
          <w:rFonts w:hint="eastAsia" w:ascii="宋体" w:hAnsi="宋体" w:eastAsia="宋体" w:cs="黑体"/>
          <w:sz w:val="40"/>
          <w:szCs w:val="40"/>
        </w:rPr>
        <w:t>评标信息</w:t>
      </w:r>
    </w:p>
    <w:tbl>
      <w:tblPr>
        <w:tblStyle w:val="18"/>
        <w:tblW w:w="9078" w:type="dxa"/>
        <w:jc w:val="center"/>
        <w:tblCellSpacing w:w="0" w:type="dxa"/>
        <w:tblLayout w:type="autofit"/>
        <w:tblCellMar>
          <w:top w:w="45" w:type="dxa"/>
          <w:left w:w="45" w:type="dxa"/>
          <w:bottom w:w="45" w:type="dxa"/>
          <w:right w:w="45" w:type="dxa"/>
        </w:tblCellMar>
      </w:tblPr>
      <w:tblGrid>
        <w:gridCol w:w="8892"/>
        <w:gridCol w:w="186"/>
      </w:tblGrid>
      <w:tr w14:paraId="6F58B12D">
        <w:tblPrEx>
          <w:tblCellMar>
            <w:top w:w="45" w:type="dxa"/>
            <w:left w:w="45" w:type="dxa"/>
            <w:bottom w:w="45" w:type="dxa"/>
            <w:right w:w="45" w:type="dxa"/>
          </w:tblCellMar>
        </w:tblPrEx>
        <w:trPr>
          <w:trHeight w:val="308" w:hRule="atLeast"/>
          <w:tblCellSpacing w:w="0" w:type="dxa"/>
          <w:jc w:val="center"/>
        </w:trPr>
        <w:tc>
          <w:tcPr>
            <w:tcW w:w="0" w:type="auto"/>
            <w:vAlign w:val="center"/>
          </w:tcPr>
          <w:p w14:paraId="7FF19C17">
            <w:pPr>
              <w:rPr>
                <w:rFonts w:ascii="宋体" w:hAnsi="宋体" w:eastAsia="宋体"/>
                <w:b/>
                <w:bCs/>
              </w:rPr>
            </w:pPr>
            <w:r>
              <w:rPr>
                <w:rFonts w:ascii="宋体" w:hAnsi="宋体" w:eastAsia="宋体"/>
                <w:b/>
                <w:bCs/>
              </w:rPr>
              <w:t>评标方法：</w:t>
            </w:r>
            <w:r>
              <w:rPr>
                <w:rFonts w:hint="eastAsia" w:ascii="宋体" w:hAnsi="宋体" w:eastAsia="宋体"/>
                <w:b/>
                <w:bCs/>
              </w:rPr>
              <w:t>最低价法/</w:t>
            </w:r>
            <w:r>
              <w:rPr>
                <w:rFonts w:ascii="宋体" w:hAnsi="宋体" w:eastAsia="宋体"/>
                <w:b/>
                <w:bCs/>
              </w:rPr>
              <w:t>综合评分法（新价格分算法）</w:t>
            </w:r>
          </w:p>
        </w:tc>
        <w:tc>
          <w:tcPr>
            <w:tcW w:w="0" w:type="auto"/>
            <w:vAlign w:val="center"/>
          </w:tcPr>
          <w:p w14:paraId="6D224844">
            <w:pPr>
              <w:jc w:val="right"/>
              <w:rPr>
                <w:rFonts w:ascii="宋体" w:hAnsi="宋体" w:eastAsia="宋体"/>
                <w:b/>
                <w:bCs/>
              </w:rPr>
            </w:pPr>
          </w:p>
        </w:tc>
      </w:tr>
      <w:tr w14:paraId="009E1C4D">
        <w:tblPrEx>
          <w:tblCellMar>
            <w:top w:w="45" w:type="dxa"/>
            <w:left w:w="45" w:type="dxa"/>
            <w:bottom w:w="45" w:type="dxa"/>
            <w:right w:w="45" w:type="dxa"/>
          </w:tblCellMar>
        </w:tblPrEx>
        <w:trPr>
          <w:tblCellSpacing w:w="0" w:type="dxa"/>
          <w:jc w:val="center"/>
        </w:trPr>
        <w:tc>
          <w:tcPr>
            <w:tcW w:w="0" w:type="auto"/>
            <w:gridSpan w:val="2"/>
            <w:vAlign w:val="center"/>
          </w:tcPr>
          <w:p w14:paraId="56146099">
            <w:pPr>
              <w:spacing w:line="324" w:lineRule="auto"/>
              <w:ind w:firstLine="420"/>
              <w:rPr>
                <w:rFonts w:ascii="宋体" w:hAnsi="宋体" w:eastAsia="宋体"/>
                <w:szCs w:val="21"/>
              </w:rPr>
            </w:pPr>
            <w:r>
              <w:rPr>
                <w:rFonts w:ascii="宋体" w:hAnsi="宋体" w:eastAsia="宋体"/>
                <w:szCs w:val="21"/>
              </w:rPr>
              <w:t xml:space="preserve">综合评分法，是指投标文件满足招标文件全部实质性要求，且按照评审因素的量化指标评审得分最高的投标人为中标候选人的评标方法。 </w:t>
            </w:r>
          </w:p>
          <w:p w14:paraId="4C196F50">
            <w:pPr>
              <w:ind w:firstLine="420"/>
              <w:rPr>
                <w:rFonts w:ascii="宋体" w:hAnsi="宋体" w:eastAsia="宋体"/>
                <w:szCs w:val="21"/>
              </w:rPr>
            </w:pPr>
            <w:r>
              <w:rPr>
                <w:rFonts w:ascii="宋体" w:hAnsi="宋体" w:eastAsia="宋体"/>
                <w:szCs w:val="21"/>
              </w:rPr>
              <w:t>价格分计算方法：</w:t>
            </w:r>
          </w:p>
          <w:p w14:paraId="75E1152D">
            <w:pPr>
              <w:pStyle w:val="16"/>
              <w:spacing w:line="324" w:lineRule="auto"/>
              <w:ind w:left="420"/>
              <w:rPr>
                <w:rFonts w:ascii="宋体" w:hAnsi="宋体" w:eastAsia="宋体"/>
                <w:kern w:val="2"/>
                <w:sz w:val="21"/>
                <w:szCs w:val="21"/>
              </w:rPr>
            </w:pPr>
            <w:r>
              <w:rPr>
                <w:rFonts w:ascii="宋体" w:hAnsi="宋体" w:eastAsia="宋体"/>
                <w:kern w:val="2"/>
                <w:sz w:val="21"/>
                <w:szCs w:val="21"/>
              </w:rPr>
              <w:t xml:space="preserve">采用低价优先法计算，即满足招标文件要求且投标价格最低的投标报价为评标基准价，其价格分为满分。其他投标人的价格分统一按照下列公式计算： </w:t>
            </w:r>
          </w:p>
          <w:p w14:paraId="7C3F44CE">
            <w:pPr>
              <w:pStyle w:val="16"/>
              <w:spacing w:line="324" w:lineRule="auto"/>
              <w:ind w:left="420"/>
              <w:rPr>
                <w:rFonts w:ascii="宋体" w:hAnsi="宋体" w:eastAsia="宋体"/>
                <w:kern w:val="2"/>
                <w:sz w:val="21"/>
                <w:szCs w:val="21"/>
              </w:rPr>
            </w:pPr>
            <w:r>
              <w:rPr>
                <w:rFonts w:ascii="宋体" w:hAnsi="宋体" w:eastAsia="宋体"/>
                <w:kern w:val="2"/>
                <w:sz w:val="21"/>
                <w:szCs w:val="21"/>
              </w:rPr>
              <w:t xml:space="preserve">投标报价得分=(评标基准价／投标报价)×100 </w:t>
            </w:r>
          </w:p>
          <w:p w14:paraId="576A532A">
            <w:pPr>
              <w:pStyle w:val="16"/>
              <w:spacing w:line="324" w:lineRule="auto"/>
              <w:ind w:left="420"/>
              <w:rPr>
                <w:rFonts w:ascii="宋体" w:hAnsi="宋体" w:eastAsia="宋体"/>
                <w:kern w:val="2"/>
                <w:sz w:val="21"/>
                <w:szCs w:val="21"/>
              </w:rPr>
            </w:pPr>
            <w:r>
              <w:rPr>
                <w:rFonts w:ascii="宋体" w:hAnsi="宋体" w:eastAsia="宋体"/>
                <w:kern w:val="2"/>
                <w:sz w:val="21"/>
                <w:szCs w:val="21"/>
              </w:rPr>
              <w:t xml:space="preserve">评标总得分＝F1×A1＋F2×A2＋……＋Fn×An </w:t>
            </w:r>
          </w:p>
          <w:p w14:paraId="26D823E5">
            <w:pPr>
              <w:pStyle w:val="16"/>
              <w:spacing w:line="324" w:lineRule="auto"/>
              <w:ind w:left="420"/>
              <w:rPr>
                <w:rFonts w:ascii="宋体" w:hAnsi="宋体" w:eastAsia="宋体"/>
                <w:kern w:val="2"/>
                <w:sz w:val="21"/>
                <w:szCs w:val="21"/>
              </w:rPr>
            </w:pPr>
            <w:r>
              <w:rPr>
                <w:rFonts w:ascii="宋体" w:hAnsi="宋体" w:eastAsia="宋体"/>
                <w:kern w:val="2"/>
                <w:sz w:val="21"/>
                <w:szCs w:val="21"/>
              </w:rPr>
              <w:t xml:space="preserve">F1、F2……Fn分别为各项评审因素的得分； </w:t>
            </w:r>
          </w:p>
          <w:p w14:paraId="7861430E">
            <w:pPr>
              <w:pStyle w:val="16"/>
              <w:spacing w:line="324" w:lineRule="auto"/>
              <w:ind w:left="420"/>
              <w:rPr>
                <w:rFonts w:ascii="宋体" w:hAnsi="宋体" w:eastAsia="宋体"/>
                <w:kern w:val="2"/>
                <w:sz w:val="21"/>
                <w:szCs w:val="21"/>
              </w:rPr>
            </w:pPr>
            <w:r>
              <w:rPr>
                <w:rFonts w:ascii="宋体" w:hAnsi="宋体" w:eastAsia="宋体"/>
                <w:kern w:val="2"/>
                <w:sz w:val="21"/>
                <w:szCs w:val="21"/>
              </w:rPr>
              <w:t xml:space="preserve">A1、A2、……An 分别为各项评审因素所占的权重(A1＋A2＋……＋An＝1)。 </w:t>
            </w:r>
          </w:p>
          <w:p w14:paraId="789E7247">
            <w:pPr>
              <w:pStyle w:val="16"/>
              <w:spacing w:line="324" w:lineRule="auto"/>
              <w:ind w:left="420"/>
              <w:rPr>
                <w:rFonts w:ascii="宋体" w:hAnsi="宋体" w:eastAsia="宋体"/>
                <w:kern w:val="2"/>
                <w:sz w:val="21"/>
                <w:szCs w:val="21"/>
              </w:rPr>
            </w:pPr>
            <w:r>
              <w:rPr>
                <w:rFonts w:ascii="宋体" w:hAnsi="宋体" w:eastAsia="宋体"/>
                <w:kern w:val="2"/>
                <w:sz w:val="21"/>
                <w:szCs w:val="21"/>
              </w:rPr>
              <w:t xml:space="preserve">评标过程中，不得去掉报价中的最高报价和最低报价。 </w:t>
            </w:r>
          </w:p>
          <w:p w14:paraId="595E9F95">
            <w:pPr>
              <w:pStyle w:val="16"/>
              <w:spacing w:line="324" w:lineRule="auto"/>
              <w:ind w:left="420"/>
              <w:rPr>
                <w:rFonts w:ascii="宋体" w:hAnsi="宋体" w:eastAsia="宋体"/>
                <w:sz w:val="21"/>
                <w:szCs w:val="21"/>
              </w:rPr>
            </w:pPr>
            <w:r>
              <w:rPr>
                <w:rFonts w:ascii="宋体" w:hAnsi="宋体" w:eastAsia="宋体"/>
                <w:kern w:val="2"/>
                <w:sz w:val="21"/>
                <w:szCs w:val="21"/>
              </w:rPr>
              <w:t>此方法适用于货物类、服务类、工程类项目。</w:t>
            </w:r>
          </w:p>
        </w:tc>
      </w:tr>
    </w:tbl>
    <w:p w14:paraId="203BF4AD">
      <w:pPr>
        <w:rPr>
          <w:rFonts w:ascii="宋体" w:hAnsi="宋体" w:eastAsia="宋体"/>
          <w:vanish/>
        </w:rPr>
      </w:pP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554"/>
        <w:gridCol w:w="554"/>
        <w:gridCol w:w="1492"/>
        <w:gridCol w:w="622"/>
        <w:gridCol w:w="5856"/>
      </w:tblGrid>
      <w:tr w14:paraId="6BE569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55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C1306D">
            <w:pPr>
              <w:wordWrap w:val="0"/>
              <w:jc w:val="center"/>
              <w:rPr>
                <w:rFonts w:ascii="宋体" w:hAnsi="宋体" w:eastAsia="宋体"/>
                <w:b/>
                <w:bCs/>
              </w:rPr>
            </w:pPr>
            <w:r>
              <w:rPr>
                <w:rFonts w:ascii="宋体" w:hAnsi="宋体" w:eastAsia="宋体" w:cs="宋体"/>
                <w:b/>
                <w:bCs/>
              </w:rPr>
              <w:t>序号</w:t>
            </w:r>
          </w:p>
        </w:tc>
        <w:tc>
          <w:tcPr>
            <w:tcW w:w="2668"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711661E">
            <w:pPr>
              <w:wordWrap w:val="0"/>
              <w:jc w:val="center"/>
              <w:rPr>
                <w:rFonts w:ascii="宋体" w:hAnsi="宋体" w:eastAsia="宋体"/>
                <w:b/>
                <w:bCs/>
              </w:rPr>
            </w:pPr>
            <w:r>
              <w:rPr>
                <w:rFonts w:ascii="宋体" w:hAnsi="宋体" w:eastAsia="宋体" w:cs="宋体"/>
                <w:b/>
                <w:bCs/>
              </w:rPr>
              <w:t>评分项</w:t>
            </w:r>
          </w:p>
        </w:tc>
        <w:tc>
          <w:tcPr>
            <w:tcW w:w="5856"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015846B">
            <w:pPr>
              <w:wordWrap w:val="0"/>
              <w:jc w:val="center"/>
              <w:rPr>
                <w:rFonts w:ascii="宋体" w:hAnsi="宋体" w:eastAsia="宋体"/>
                <w:b/>
                <w:bCs/>
              </w:rPr>
            </w:pPr>
            <w:r>
              <w:rPr>
                <w:rFonts w:ascii="宋体" w:hAnsi="宋体" w:eastAsia="宋体" w:cs="宋体"/>
                <w:b/>
                <w:bCs/>
              </w:rPr>
              <w:t>权重(%)</w:t>
            </w:r>
          </w:p>
        </w:tc>
      </w:tr>
      <w:tr w14:paraId="3CD035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restart"/>
            <w:tcBorders>
              <w:top w:val="single" w:color="000000" w:sz="8" w:space="0"/>
              <w:left w:val="single" w:color="000000" w:sz="8" w:space="0"/>
              <w:bottom w:val="single" w:color="000000" w:sz="8" w:space="0"/>
              <w:right w:val="single" w:color="000000" w:sz="8" w:space="0"/>
            </w:tcBorders>
            <w:vAlign w:val="center"/>
          </w:tcPr>
          <w:p w14:paraId="63B1B212">
            <w:pPr>
              <w:wordWrap w:val="0"/>
              <w:jc w:val="center"/>
              <w:rPr>
                <w:rFonts w:ascii="宋体" w:hAnsi="宋体" w:eastAsia="宋体"/>
                <w:b/>
                <w:bCs/>
                <w:color w:val="0000FF"/>
              </w:rPr>
            </w:pPr>
            <w:r>
              <w:rPr>
                <w:rFonts w:ascii="宋体" w:hAnsi="宋体" w:eastAsia="宋体" w:cs="宋体"/>
                <w:b/>
                <w:bCs/>
                <w:color w:val="0000FF"/>
              </w:rPr>
              <w:t>1</w:t>
            </w:r>
          </w:p>
        </w:tc>
        <w:tc>
          <w:tcPr>
            <w:tcW w:w="2668" w:type="dxa"/>
            <w:gridSpan w:val="3"/>
            <w:tcBorders>
              <w:top w:val="single" w:color="000000" w:sz="8" w:space="0"/>
              <w:left w:val="single" w:color="000000" w:sz="8" w:space="0"/>
              <w:bottom w:val="single" w:color="000000" w:sz="8" w:space="0"/>
              <w:right w:val="single" w:color="000000" w:sz="8" w:space="0"/>
            </w:tcBorders>
            <w:vAlign w:val="center"/>
          </w:tcPr>
          <w:p w14:paraId="71590516">
            <w:pPr>
              <w:wordWrap w:val="0"/>
              <w:jc w:val="center"/>
              <w:rPr>
                <w:rFonts w:ascii="宋体" w:hAnsi="宋体" w:eastAsia="宋体"/>
                <w:b/>
                <w:bCs/>
                <w:color w:val="0000FF"/>
              </w:rPr>
            </w:pPr>
            <w:r>
              <w:rPr>
                <w:rFonts w:ascii="宋体" w:hAnsi="宋体" w:eastAsia="宋体" w:cs="宋体"/>
                <w:b/>
                <w:bCs/>
                <w:color w:val="0000FF"/>
              </w:rPr>
              <w:t>价格</w:t>
            </w:r>
          </w:p>
        </w:tc>
        <w:tc>
          <w:tcPr>
            <w:tcW w:w="5856" w:type="dxa"/>
            <w:tcBorders>
              <w:top w:val="single" w:color="000000" w:sz="8" w:space="0"/>
              <w:left w:val="single" w:color="000000" w:sz="8" w:space="0"/>
              <w:bottom w:val="single" w:color="000000" w:sz="8" w:space="0"/>
              <w:right w:val="single" w:color="000000" w:sz="8" w:space="0"/>
            </w:tcBorders>
            <w:vAlign w:val="center"/>
          </w:tcPr>
          <w:p w14:paraId="00A770A7">
            <w:pPr>
              <w:wordWrap w:val="0"/>
              <w:jc w:val="center"/>
              <w:rPr>
                <w:rFonts w:ascii="宋体" w:hAnsi="宋体" w:eastAsia="宋体"/>
                <w:b/>
                <w:bCs/>
                <w:color w:val="0000FF"/>
              </w:rPr>
            </w:pPr>
            <w:r>
              <w:rPr>
                <w:rFonts w:ascii="宋体" w:hAnsi="宋体" w:eastAsia="宋体" w:cs="宋体"/>
                <w:b/>
                <w:bCs/>
                <w:color w:val="4F81BD" w:themeColor="accent1"/>
                <w14:textFill>
                  <w14:solidFill>
                    <w14:schemeClr w14:val="accent1"/>
                  </w14:solidFill>
                </w14:textFill>
              </w:rPr>
              <w:t>30</w:t>
            </w:r>
          </w:p>
        </w:tc>
      </w:tr>
      <w:tr w14:paraId="270D12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45A03707">
            <w:pPr>
              <w:jc w:val="center"/>
              <w:rPr>
                <w:rFonts w:ascii="宋体" w:hAnsi="宋体" w:eastAsia="宋体"/>
                <w:b/>
                <w:bCs/>
                <w:color w:val="0000FF"/>
              </w:rPr>
            </w:pPr>
          </w:p>
        </w:tc>
        <w:tc>
          <w:tcPr>
            <w:tcW w:w="8524" w:type="dxa"/>
            <w:gridSpan w:val="4"/>
            <w:tcBorders>
              <w:top w:val="single" w:color="000000" w:sz="8" w:space="0"/>
              <w:left w:val="single" w:color="000000" w:sz="8" w:space="0"/>
              <w:bottom w:val="single" w:color="000000" w:sz="8" w:space="0"/>
              <w:right w:val="single" w:color="000000" w:sz="8" w:space="0"/>
            </w:tcBorders>
          </w:tcPr>
          <w:p w14:paraId="040D71EC">
            <w:pPr>
              <w:rPr>
                <w:rFonts w:ascii="宋体" w:hAnsi="宋体" w:eastAsia="宋体"/>
                <w:szCs w:val="21"/>
              </w:rPr>
            </w:pPr>
          </w:p>
        </w:tc>
      </w:tr>
      <w:tr w14:paraId="0E4F42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restart"/>
            <w:tcBorders>
              <w:top w:val="single" w:color="000000" w:sz="8" w:space="0"/>
              <w:left w:val="single" w:color="000000" w:sz="8" w:space="0"/>
              <w:bottom w:val="single" w:color="000000" w:sz="8" w:space="0"/>
              <w:right w:val="single" w:color="000000" w:sz="8" w:space="0"/>
            </w:tcBorders>
            <w:vAlign w:val="center"/>
          </w:tcPr>
          <w:p w14:paraId="7EF9EC6B">
            <w:pPr>
              <w:wordWrap w:val="0"/>
              <w:jc w:val="center"/>
              <w:rPr>
                <w:rFonts w:ascii="宋体" w:hAnsi="宋体" w:eastAsia="宋体"/>
                <w:b/>
                <w:bCs/>
                <w:color w:val="0000FF"/>
              </w:rPr>
            </w:pPr>
            <w:r>
              <w:rPr>
                <w:rFonts w:ascii="宋体" w:hAnsi="宋体" w:eastAsia="宋体" w:cs="宋体"/>
                <w:b/>
                <w:bCs/>
                <w:color w:val="0000FF"/>
              </w:rPr>
              <w:t>2</w:t>
            </w:r>
          </w:p>
        </w:tc>
        <w:tc>
          <w:tcPr>
            <w:tcW w:w="2668" w:type="dxa"/>
            <w:gridSpan w:val="3"/>
            <w:tcBorders>
              <w:top w:val="single" w:color="000000" w:sz="8" w:space="0"/>
              <w:left w:val="single" w:color="000000" w:sz="8" w:space="0"/>
              <w:bottom w:val="single" w:color="000000" w:sz="8" w:space="0"/>
              <w:right w:val="single" w:color="000000" w:sz="8" w:space="0"/>
            </w:tcBorders>
            <w:vAlign w:val="center"/>
          </w:tcPr>
          <w:p w14:paraId="6D07279C">
            <w:pPr>
              <w:wordWrap w:val="0"/>
              <w:jc w:val="center"/>
              <w:rPr>
                <w:rFonts w:ascii="宋体" w:hAnsi="宋体" w:eastAsia="宋体"/>
                <w:b/>
                <w:bCs/>
                <w:color w:val="0000FF"/>
              </w:rPr>
            </w:pPr>
            <w:r>
              <w:rPr>
                <w:rFonts w:ascii="宋体" w:hAnsi="宋体" w:eastAsia="宋体" w:cs="宋体"/>
                <w:b/>
                <w:bCs/>
                <w:color w:val="0000FF"/>
              </w:rPr>
              <w:t>技术部分</w:t>
            </w:r>
          </w:p>
        </w:tc>
        <w:tc>
          <w:tcPr>
            <w:tcW w:w="5856" w:type="dxa"/>
            <w:tcBorders>
              <w:top w:val="single" w:color="000000" w:sz="8" w:space="0"/>
              <w:left w:val="single" w:color="000000" w:sz="8" w:space="0"/>
              <w:bottom w:val="single" w:color="000000" w:sz="8" w:space="0"/>
              <w:right w:val="single" w:color="000000" w:sz="8" w:space="0"/>
            </w:tcBorders>
            <w:vAlign w:val="center"/>
          </w:tcPr>
          <w:p w14:paraId="5F571B33">
            <w:pPr>
              <w:wordWrap w:val="0"/>
              <w:jc w:val="center"/>
              <w:rPr>
                <w:rFonts w:hint="default" w:ascii="宋体" w:hAnsi="宋体" w:eastAsia="宋体"/>
                <w:b/>
                <w:bCs/>
                <w:color w:val="0000FF"/>
                <w:lang w:val="en-US" w:eastAsia="zh-CN"/>
              </w:rPr>
            </w:pPr>
            <w:r>
              <w:rPr>
                <w:rFonts w:hint="eastAsia" w:ascii="宋体" w:hAnsi="宋体" w:eastAsia="宋体" w:cs="宋体"/>
                <w:b/>
                <w:bCs/>
                <w:color w:val="4F81BD" w:themeColor="accent1"/>
                <w:lang w:val="en-US" w:eastAsia="zh-CN"/>
                <w14:textFill>
                  <w14:solidFill>
                    <w14:schemeClr w14:val="accent1"/>
                  </w14:solidFill>
                </w14:textFill>
              </w:rPr>
              <w:t>64</w:t>
            </w:r>
          </w:p>
        </w:tc>
      </w:tr>
      <w:tr w14:paraId="7F49D4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09B9F57C">
            <w:pPr>
              <w:jc w:val="center"/>
              <w:rPr>
                <w:rFonts w:ascii="宋体" w:hAnsi="宋体" w:eastAsia="宋体"/>
                <w:b/>
                <w:bCs/>
                <w:color w:val="0000FF"/>
              </w:rPr>
            </w:pPr>
          </w:p>
        </w:tc>
        <w:tc>
          <w:tcPr>
            <w:tcW w:w="8524" w:type="dxa"/>
            <w:gridSpan w:val="4"/>
            <w:tcBorders>
              <w:top w:val="single" w:color="000000" w:sz="8" w:space="0"/>
              <w:left w:val="single" w:color="000000" w:sz="8" w:space="0"/>
              <w:bottom w:val="single" w:color="000000" w:sz="8" w:space="0"/>
              <w:right w:val="single" w:color="000000" w:sz="8" w:space="0"/>
            </w:tcBorders>
          </w:tcPr>
          <w:p w14:paraId="548D0902">
            <w:pPr>
              <w:rPr>
                <w:rFonts w:ascii="宋体" w:hAnsi="宋体" w:eastAsia="宋体"/>
                <w:szCs w:val="21"/>
              </w:rPr>
            </w:pPr>
          </w:p>
        </w:tc>
      </w:tr>
      <w:tr w14:paraId="332761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5B925D9">
            <w:pPr>
              <w:jc w:val="center"/>
              <w:rPr>
                <w:rFonts w:ascii="宋体" w:hAnsi="宋体" w:eastAsia="宋体"/>
                <w:b/>
                <w:bCs/>
                <w:color w:val="0000FF"/>
              </w:rPr>
            </w:pPr>
          </w:p>
        </w:tc>
        <w:tc>
          <w:tcPr>
            <w:tcW w:w="55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31ACB26">
            <w:pPr>
              <w:wordWrap w:val="0"/>
              <w:jc w:val="center"/>
              <w:rPr>
                <w:rFonts w:ascii="宋体" w:hAnsi="宋体" w:eastAsia="宋体"/>
                <w:szCs w:val="21"/>
              </w:rPr>
            </w:pPr>
            <w:r>
              <w:rPr>
                <w:rFonts w:ascii="宋体" w:hAnsi="宋体" w:eastAsia="宋体" w:cs="宋体"/>
                <w:szCs w:val="21"/>
              </w:rPr>
              <w:t>序号</w:t>
            </w:r>
          </w:p>
        </w:tc>
        <w:tc>
          <w:tcPr>
            <w:tcW w:w="149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D4A57E">
            <w:pPr>
              <w:wordWrap w:val="0"/>
              <w:jc w:val="center"/>
              <w:rPr>
                <w:rFonts w:ascii="宋体" w:hAnsi="宋体" w:eastAsia="宋体"/>
                <w:szCs w:val="21"/>
              </w:rPr>
            </w:pPr>
            <w:r>
              <w:rPr>
                <w:rFonts w:ascii="宋体" w:hAnsi="宋体" w:eastAsia="宋体" w:cs="宋体"/>
                <w:szCs w:val="21"/>
              </w:rPr>
              <w:t>评分因素</w:t>
            </w:r>
          </w:p>
        </w:tc>
        <w:tc>
          <w:tcPr>
            <w:tcW w:w="62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1A4F255">
            <w:pPr>
              <w:wordWrap w:val="0"/>
              <w:jc w:val="center"/>
              <w:rPr>
                <w:rFonts w:ascii="宋体" w:hAnsi="宋体" w:eastAsia="宋体"/>
                <w:szCs w:val="21"/>
              </w:rPr>
            </w:pPr>
            <w:r>
              <w:rPr>
                <w:rFonts w:ascii="宋体" w:hAnsi="宋体" w:eastAsia="宋体" w:cs="宋体"/>
                <w:szCs w:val="21"/>
              </w:rPr>
              <w:t>权重(%)</w:t>
            </w:r>
          </w:p>
        </w:tc>
        <w:tc>
          <w:tcPr>
            <w:tcW w:w="585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22E3920">
            <w:pPr>
              <w:wordWrap w:val="0"/>
              <w:jc w:val="center"/>
              <w:rPr>
                <w:rFonts w:ascii="宋体" w:hAnsi="宋体" w:eastAsia="宋体"/>
                <w:szCs w:val="21"/>
              </w:rPr>
            </w:pPr>
            <w:r>
              <w:rPr>
                <w:rFonts w:ascii="宋体" w:hAnsi="宋体" w:eastAsia="宋体" w:cs="宋体"/>
                <w:szCs w:val="21"/>
              </w:rPr>
              <w:t>评分准则</w:t>
            </w:r>
          </w:p>
        </w:tc>
      </w:tr>
      <w:tr w14:paraId="4545E5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28D2E52">
            <w:pPr>
              <w:jc w:val="center"/>
              <w:rPr>
                <w:rFonts w:ascii="宋体" w:hAnsi="宋体" w:eastAsia="宋体"/>
                <w:b/>
                <w:bCs/>
                <w:color w:val="0000FF"/>
              </w:rPr>
            </w:pPr>
          </w:p>
        </w:tc>
        <w:tc>
          <w:tcPr>
            <w:tcW w:w="554" w:type="dxa"/>
            <w:tcBorders>
              <w:top w:val="outset" w:color="000000" w:sz="6" w:space="0"/>
              <w:left w:val="outset" w:color="000000" w:sz="6" w:space="0"/>
              <w:bottom w:val="outset" w:color="000000" w:sz="6" w:space="0"/>
              <w:right w:val="outset" w:color="000000" w:sz="6" w:space="0"/>
            </w:tcBorders>
            <w:vAlign w:val="center"/>
          </w:tcPr>
          <w:p w14:paraId="439A4B40">
            <w:pPr>
              <w:jc w:val="center"/>
              <w:rPr>
                <w:rFonts w:ascii="宋体" w:hAnsi="宋体" w:eastAsia="宋体"/>
              </w:rPr>
            </w:pPr>
            <w:r>
              <w:rPr>
                <w:rFonts w:hint="eastAsia" w:ascii="宋体" w:hAnsi="宋体" w:eastAsia="宋体"/>
              </w:rPr>
              <w:t>1</w:t>
            </w:r>
          </w:p>
        </w:tc>
        <w:tc>
          <w:tcPr>
            <w:tcW w:w="1492" w:type="dxa"/>
            <w:tcBorders>
              <w:top w:val="outset" w:color="000000" w:sz="6" w:space="0"/>
              <w:left w:val="outset" w:color="000000" w:sz="6" w:space="0"/>
              <w:bottom w:val="outset" w:color="000000" w:sz="6" w:space="0"/>
              <w:right w:val="outset" w:color="000000" w:sz="6" w:space="0"/>
            </w:tcBorders>
            <w:vAlign w:val="center"/>
          </w:tcPr>
          <w:p w14:paraId="5F2BCBCD">
            <w:pPr>
              <w:adjustRightInd w:val="0"/>
              <w:snapToGrid w:val="0"/>
              <w:spacing w:line="240" w:lineRule="atLeast"/>
              <w:jc w:val="center"/>
              <w:rPr>
                <w:rFonts w:hint="eastAsia" w:ascii="宋体" w:hAnsi="宋体" w:eastAsia="宋体" w:cs="宋体"/>
                <w:color w:val="000000"/>
              </w:rPr>
            </w:pPr>
            <w:r>
              <w:rPr>
                <w:rFonts w:hint="eastAsia" w:ascii="宋体" w:hAnsi="宋体" w:eastAsia="宋体" w:cs="宋体"/>
                <w:color w:val="000000"/>
              </w:rPr>
              <w:t>技术规格偏离情况</w:t>
            </w:r>
          </w:p>
        </w:tc>
        <w:tc>
          <w:tcPr>
            <w:tcW w:w="622" w:type="dxa"/>
            <w:tcBorders>
              <w:top w:val="outset" w:color="000000" w:sz="6" w:space="0"/>
              <w:left w:val="outset" w:color="000000" w:sz="6" w:space="0"/>
              <w:bottom w:val="outset" w:color="000000" w:sz="6" w:space="0"/>
              <w:right w:val="outset" w:color="000000" w:sz="6" w:space="0"/>
            </w:tcBorders>
            <w:vAlign w:val="center"/>
          </w:tcPr>
          <w:p w14:paraId="155DD4CB">
            <w:pPr>
              <w:spacing w:line="240" w:lineRule="exact"/>
              <w:jc w:val="center"/>
              <w:rPr>
                <w:rFonts w:ascii="宋体" w:hAnsi="宋体" w:eastAsia="宋体" w:cs="宋体"/>
                <w:color w:val="4F81BD" w:themeColor="accent1"/>
                <w14:textFill>
                  <w14:solidFill>
                    <w14:schemeClr w14:val="accent1"/>
                  </w14:solidFill>
                </w14:textFill>
              </w:rPr>
            </w:pPr>
            <w:r>
              <w:rPr>
                <w:rFonts w:hint="eastAsia" w:ascii="宋体" w:hAnsi="宋体"/>
                <w:szCs w:val="21"/>
              </w:rPr>
              <w:t>32</w:t>
            </w:r>
          </w:p>
        </w:tc>
        <w:tc>
          <w:tcPr>
            <w:tcW w:w="5856" w:type="dxa"/>
            <w:tcBorders>
              <w:top w:val="outset" w:color="000000" w:sz="6" w:space="0"/>
              <w:left w:val="outset" w:color="000000" w:sz="6" w:space="0"/>
              <w:bottom w:val="outset" w:color="000000" w:sz="6" w:space="0"/>
              <w:right w:val="outset" w:color="000000" w:sz="6" w:space="0"/>
            </w:tcBorders>
            <w:vAlign w:val="center"/>
          </w:tcPr>
          <w:p w14:paraId="749002F7">
            <w:pPr>
              <w:widowControl/>
              <w:jc w:val="left"/>
              <w:rPr>
                <w:rFonts w:eastAsia="宋体"/>
              </w:rPr>
            </w:pPr>
            <w:r>
              <w:rPr>
                <w:rFonts w:hint="eastAsia" w:cs="宋体"/>
                <w:szCs w:val="21"/>
              </w:rPr>
              <w:t>投标人应如实填写《技术规格偏离表》，评审委员会根据技术需求参数响应情况进行打分，各项技术参数指标及要求全部满足的得</w:t>
            </w:r>
            <w:r>
              <w:rPr>
                <w:szCs w:val="21"/>
              </w:rPr>
              <w:t>100</w:t>
            </w:r>
            <w:r>
              <w:rPr>
                <w:rFonts w:hint="eastAsia" w:cs="宋体"/>
                <w:szCs w:val="21"/>
              </w:rPr>
              <w:t>分。标注“★”的内容为实质性条款，有一项不符合的，作无效响应处理；标注“▲”的为重要参数，对这些重要参数负偏离的，每项扣</w:t>
            </w:r>
            <w:r>
              <w:rPr>
                <w:rFonts w:cs="宋体"/>
                <w:szCs w:val="21"/>
              </w:rPr>
              <w:t>5</w:t>
            </w:r>
            <w:r>
              <w:rPr>
                <w:rFonts w:hint="eastAsia" w:cs="宋体"/>
                <w:szCs w:val="21"/>
              </w:rPr>
              <w:t>分，超过</w:t>
            </w:r>
            <w:r>
              <w:rPr>
                <w:rFonts w:cs="宋体"/>
                <w:szCs w:val="21"/>
              </w:rPr>
              <w:t>7</w:t>
            </w:r>
            <w:r>
              <w:rPr>
                <w:rFonts w:hint="eastAsia" w:cs="宋体"/>
                <w:szCs w:val="21"/>
              </w:rPr>
              <w:t>条负偏离后不得分；其他非重要参数负偏离的，每项扣0.6分，超过</w:t>
            </w:r>
            <w:r>
              <w:rPr>
                <w:rFonts w:cs="宋体"/>
                <w:szCs w:val="21"/>
              </w:rPr>
              <w:t>25</w:t>
            </w:r>
            <w:r>
              <w:rPr>
                <w:rFonts w:hint="eastAsia" w:cs="宋体"/>
                <w:szCs w:val="21"/>
              </w:rPr>
              <w:t>条负偏离后不得分。缺项漏项视为负偏离。</w:t>
            </w:r>
          </w:p>
        </w:tc>
      </w:tr>
      <w:tr w14:paraId="5AA17D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2A7B7910">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5C49D321">
            <w:pPr>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4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80B098">
            <w:pPr>
              <w:adjustRightInd w:val="0"/>
              <w:snapToGrid w:val="0"/>
              <w:spacing w:line="240" w:lineRule="atLeast"/>
              <w:jc w:val="center"/>
              <w:rPr>
                <w:rFonts w:hint="eastAsia" w:ascii="宋体" w:hAnsi="宋体" w:eastAsia="宋体" w:cs="宋体"/>
                <w:color w:val="000000"/>
                <w:lang w:val="en-US" w:eastAsia="zh-CN"/>
              </w:rPr>
            </w:pPr>
            <w:r>
              <w:rPr>
                <w:rFonts w:hint="eastAsia" w:ascii="宋体" w:hAnsi="宋体" w:eastAsia="宋体" w:cs="宋体"/>
                <w:color w:val="000000"/>
              </w:rPr>
              <w:t>样机查验演示</w:t>
            </w:r>
          </w:p>
        </w:tc>
        <w:tc>
          <w:tcPr>
            <w:tcW w:w="62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186E28">
            <w:pPr>
              <w:spacing w:line="240" w:lineRule="exact"/>
              <w:jc w:val="center"/>
              <w:rPr>
                <w:rFonts w:hint="eastAsia" w:ascii="宋体" w:hAnsi="宋体" w:eastAsia="宋体" w:cs="宋体"/>
                <w:sz w:val="24"/>
                <w:szCs w:val="21"/>
                <w:lang w:val="en-US" w:eastAsia="zh-CN" w:bidi="ar-SA"/>
              </w:rPr>
            </w:pPr>
            <w:r>
              <w:rPr>
                <w:rFonts w:hint="eastAsia" w:ascii="宋体" w:hAnsi="宋体"/>
                <w:szCs w:val="21"/>
              </w:rPr>
              <w:t>12</w:t>
            </w:r>
          </w:p>
        </w:tc>
        <w:tc>
          <w:tcPr>
            <w:tcW w:w="58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2B4FAE">
            <w:pPr>
              <w:rPr>
                <w:rFonts w:ascii="宋体" w:hAnsi="宋体" w:cs="宋体"/>
                <w:szCs w:val="21"/>
              </w:rPr>
            </w:pPr>
            <w:r>
              <w:rPr>
                <w:rFonts w:hint="eastAsia" w:ascii="宋体" w:hAnsi="宋体" w:cs="宋体"/>
                <w:szCs w:val="21"/>
              </w:rPr>
              <w:t>投标人提供所投标ROV产品模型供用户现场查验质询，进行功能演示，现场演示环节，每个投标人的现场演示时间不得超过20分钟。演示结束后，评审专家有权就演示内容进行现场提问，专家提问环节时间另行计算。演示人员不超过 3 人。</w:t>
            </w:r>
          </w:p>
          <w:p w14:paraId="26BB2771">
            <w:pPr>
              <w:rPr>
                <w:rFonts w:ascii="宋体" w:hAnsi="宋体" w:cs="宋体"/>
                <w:szCs w:val="21"/>
              </w:rPr>
            </w:pPr>
            <w:r>
              <w:rPr>
                <w:rFonts w:hint="eastAsia" w:ascii="宋体" w:hAnsi="宋体" w:cs="宋体"/>
                <w:szCs w:val="21"/>
              </w:rPr>
              <w:t>演示内容应涵盖以下：</w:t>
            </w:r>
          </w:p>
          <w:p w14:paraId="691B4BA0">
            <w:pPr>
              <w:rPr>
                <w:rFonts w:ascii="宋体" w:hAnsi="宋体" w:cs="宋体"/>
                <w:szCs w:val="21"/>
              </w:rPr>
            </w:pPr>
            <w:r>
              <w:rPr>
                <w:rFonts w:hint="eastAsia" w:ascii="宋体" w:hAnsi="宋体" w:cs="宋体"/>
                <w:szCs w:val="21"/>
              </w:rPr>
              <w:t>（1）提供所投标ROV产品海上应用视频以证明作业能力；</w:t>
            </w:r>
          </w:p>
          <w:p w14:paraId="0DE83D7A">
            <w:pPr>
              <w:rPr>
                <w:rFonts w:ascii="宋体" w:hAnsi="宋体" w:cs="宋体"/>
                <w:szCs w:val="21"/>
              </w:rPr>
            </w:pPr>
            <w:r>
              <w:rPr>
                <w:rFonts w:hint="eastAsia" w:ascii="宋体" w:hAnsi="宋体" w:cs="宋体"/>
                <w:szCs w:val="21"/>
              </w:rPr>
              <w:t>（2）自主研发的证明文件；</w:t>
            </w:r>
          </w:p>
          <w:p w14:paraId="15D0D076">
            <w:pPr>
              <w:rPr>
                <w:rFonts w:ascii="宋体" w:hAnsi="宋体" w:cs="宋体"/>
                <w:szCs w:val="21"/>
              </w:rPr>
            </w:pPr>
            <w:r>
              <w:rPr>
                <w:rFonts w:hint="eastAsia" w:ascii="宋体" w:hAnsi="宋体" w:cs="宋体"/>
                <w:szCs w:val="21"/>
              </w:rPr>
              <w:t>（3）样机照片。</w:t>
            </w:r>
          </w:p>
          <w:p w14:paraId="21931958">
            <w:pPr>
              <w:rPr>
                <w:rFonts w:ascii="宋体" w:hAnsi="宋体" w:cs="宋体"/>
                <w:szCs w:val="21"/>
              </w:rPr>
            </w:pPr>
            <w:r>
              <w:rPr>
                <w:rFonts w:hint="eastAsia" w:ascii="宋体" w:hAnsi="宋体" w:cs="宋体"/>
                <w:szCs w:val="21"/>
              </w:rPr>
              <w:t>（二）评分标准：</w:t>
            </w:r>
          </w:p>
          <w:p w14:paraId="5040D9A0">
            <w:pPr>
              <w:rPr>
                <w:rFonts w:ascii="宋体" w:hAnsi="宋体" w:cs="宋体"/>
                <w:szCs w:val="21"/>
              </w:rPr>
            </w:pPr>
            <w:r>
              <w:rPr>
                <w:rFonts w:hint="eastAsia" w:ascii="宋体" w:hAnsi="宋体" w:cs="宋体"/>
                <w:szCs w:val="21"/>
              </w:rPr>
              <w:t>根据现场演示的核心功能模块完成情况评分：完全满足1个模块得20分，完全满足2个模块得40分，完全满足3个模块得60分，未能展示上述3个内容不得分。</w:t>
            </w:r>
          </w:p>
          <w:p w14:paraId="18A9B641">
            <w:pPr>
              <w:rPr>
                <w:rFonts w:ascii="宋体" w:hAnsi="宋体" w:cs="宋体"/>
                <w:szCs w:val="21"/>
              </w:rPr>
            </w:pPr>
            <w:r>
              <w:rPr>
                <w:rFonts w:hint="eastAsia" w:ascii="宋体" w:hAnsi="宋体" w:cs="宋体"/>
                <w:szCs w:val="21"/>
              </w:rPr>
              <w:t>在此基础上由评审专家根据平台的功能完善度、技术先进性及适配能力进行综合评价：</w:t>
            </w:r>
          </w:p>
          <w:p w14:paraId="12DF453E">
            <w:pPr>
              <w:rPr>
                <w:rFonts w:ascii="宋体" w:hAnsi="宋体" w:cs="宋体"/>
                <w:szCs w:val="21"/>
              </w:rPr>
            </w:pPr>
            <w:r>
              <w:rPr>
                <w:rFonts w:hint="eastAsia" w:ascii="宋体" w:hAnsi="宋体" w:cs="宋体"/>
                <w:szCs w:val="21"/>
              </w:rPr>
              <w:t>内容完整、适配性强得40分，</w:t>
            </w:r>
          </w:p>
          <w:p w14:paraId="736A156A">
            <w:pPr>
              <w:rPr>
                <w:rFonts w:ascii="宋体" w:hAnsi="宋体" w:cs="宋体"/>
                <w:szCs w:val="21"/>
              </w:rPr>
            </w:pPr>
            <w:r>
              <w:rPr>
                <w:rFonts w:hint="eastAsia" w:ascii="宋体" w:hAnsi="宋体" w:cs="宋体"/>
                <w:szCs w:val="21"/>
              </w:rPr>
              <w:t>内容较完善、适配性良好得20分，</w:t>
            </w:r>
          </w:p>
          <w:p w14:paraId="0386AFE5">
            <w:pPr>
              <w:rPr>
                <w:rFonts w:ascii="宋体" w:hAnsi="宋体" w:cs="宋体"/>
                <w:szCs w:val="21"/>
              </w:rPr>
            </w:pPr>
            <w:r>
              <w:rPr>
                <w:rFonts w:hint="eastAsia" w:ascii="宋体" w:hAnsi="宋体" w:cs="宋体"/>
                <w:szCs w:val="21"/>
              </w:rPr>
              <w:t>内容一般、适配性一般得10分，</w:t>
            </w:r>
          </w:p>
          <w:p w14:paraId="00E121DC">
            <w:pPr>
              <w:rPr>
                <w:rFonts w:hint="eastAsia" w:ascii="宋体" w:hAnsi="宋体" w:eastAsia="Times New Roman" w:cs="宋体"/>
                <w:sz w:val="24"/>
                <w:szCs w:val="21"/>
                <w:lang w:val="en-US" w:eastAsia="zh-CN" w:bidi="ar-SA"/>
              </w:rPr>
            </w:pPr>
            <w:r>
              <w:rPr>
                <w:rFonts w:hint="eastAsia" w:ascii="宋体" w:hAnsi="宋体" w:cs="宋体"/>
                <w:szCs w:val="21"/>
              </w:rPr>
              <w:t>内容不足、适配性差得0分。</w:t>
            </w:r>
          </w:p>
        </w:tc>
      </w:tr>
      <w:tr w14:paraId="356B0C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200BD89B">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4311C129">
            <w:pPr>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4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015E4D">
            <w:pPr>
              <w:spacing w:line="240" w:lineRule="exact"/>
              <w:jc w:val="center"/>
              <w:rPr>
                <w:rFonts w:hint="eastAsia" w:ascii="宋体" w:hAnsi="宋体" w:eastAsia="Times New Roman" w:cs="宋体"/>
                <w:sz w:val="24"/>
                <w:szCs w:val="21"/>
                <w:lang w:val="en-US" w:eastAsia="zh-CN" w:bidi="ar-SA"/>
              </w:rPr>
            </w:pPr>
            <w:r>
              <w:rPr>
                <w:rFonts w:hint="eastAsia" w:ascii="宋体" w:hAnsi="宋体" w:cs="宋体"/>
                <w:szCs w:val="21"/>
              </w:rPr>
              <w:t>项目分析与技术保障方案</w:t>
            </w:r>
          </w:p>
        </w:tc>
        <w:tc>
          <w:tcPr>
            <w:tcW w:w="62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7327FC">
            <w:pPr>
              <w:spacing w:line="240" w:lineRule="exact"/>
              <w:jc w:val="center"/>
              <w:rPr>
                <w:rFonts w:hint="eastAsia" w:ascii="宋体" w:hAnsi="宋体" w:eastAsia="宋体" w:cs="宋体"/>
                <w:sz w:val="24"/>
                <w:szCs w:val="21"/>
                <w:lang w:val="en-US" w:eastAsia="zh-CN" w:bidi="ar-SA"/>
              </w:rPr>
            </w:pPr>
            <w:r>
              <w:rPr>
                <w:rFonts w:hint="eastAsia" w:ascii="宋体" w:hAnsi="宋体" w:eastAsia="宋体" w:cs="宋体"/>
                <w:szCs w:val="21"/>
                <w:lang w:val="en-US" w:eastAsia="zh-CN"/>
              </w:rPr>
              <w:t>6</w:t>
            </w:r>
          </w:p>
        </w:tc>
        <w:tc>
          <w:tcPr>
            <w:tcW w:w="58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CC3ED5">
            <w:pPr>
              <w:spacing w:line="240" w:lineRule="exact"/>
              <w:jc w:val="left"/>
              <w:rPr>
                <w:rFonts w:ascii="宋体" w:hAnsi="宋体" w:cs="宋体"/>
                <w:szCs w:val="21"/>
              </w:rPr>
            </w:pPr>
            <w:r>
              <w:rPr>
                <w:rFonts w:hint="eastAsia" w:ascii="宋体" w:hAnsi="宋体" w:cs="宋体"/>
                <w:szCs w:val="21"/>
              </w:rPr>
              <w:t>投标人根据所投产品与项目情况，对项目的重点难点进行分析并提供针对性的措施、证明或方案。</w:t>
            </w:r>
          </w:p>
          <w:p w14:paraId="4DFA5E06">
            <w:pPr>
              <w:spacing w:line="240" w:lineRule="exact"/>
              <w:jc w:val="left"/>
              <w:rPr>
                <w:rFonts w:ascii="宋体" w:hAnsi="宋体" w:cs="宋体"/>
                <w:szCs w:val="21"/>
              </w:rPr>
            </w:pPr>
            <w:r>
              <w:rPr>
                <w:rFonts w:hint="eastAsia" w:ascii="宋体" w:hAnsi="宋体" w:cs="宋体"/>
                <w:szCs w:val="21"/>
              </w:rPr>
              <w:t>（一）评审内容：</w:t>
            </w:r>
          </w:p>
          <w:p w14:paraId="521600AB">
            <w:pPr>
              <w:spacing w:line="240" w:lineRule="exact"/>
              <w:jc w:val="left"/>
              <w:rPr>
                <w:rFonts w:ascii="宋体" w:hAnsi="宋体" w:cs="宋体"/>
                <w:szCs w:val="21"/>
              </w:rPr>
            </w:pPr>
            <w:r>
              <w:rPr>
                <w:rFonts w:hint="eastAsia" w:ascii="宋体" w:hAnsi="宋体" w:cs="宋体"/>
                <w:szCs w:val="21"/>
              </w:rPr>
              <w:t>项目分析与技术保障方案，具体内容包含但不限于以下几点：</w:t>
            </w:r>
          </w:p>
          <w:p w14:paraId="2AD4EC2A">
            <w:pPr>
              <w:spacing w:line="240" w:lineRule="exact"/>
              <w:jc w:val="left"/>
              <w:rPr>
                <w:rFonts w:ascii="宋体" w:hAnsi="宋体" w:cs="宋体"/>
                <w:szCs w:val="21"/>
              </w:rPr>
            </w:pPr>
            <w:r>
              <w:rPr>
                <w:rFonts w:hint="eastAsia" w:ascii="宋体" w:hAnsi="宋体" w:cs="宋体"/>
                <w:szCs w:val="21"/>
              </w:rPr>
              <w:t>1.对项目的重点难点进行分析；</w:t>
            </w:r>
          </w:p>
          <w:p w14:paraId="4D0DCA23">
            <w:pPr>
              <w:spacing w:line="240" w:lineRule="exact"/>
              <w:jc w:val="left"/>
              <w:rPr>
                <w:rFonts w:ascii="宋体" w:hAnsi="宋体" w:cs="宋体"/>
                <w:szCs w:val="21"/>
              </w:rPr>
            </w:pPr>
            <w:r>
              <w:rPr>
                <w:rFonts w:hint="eastAsia" w:ascii="宋体" w:hAnsi="宋体" w:cs="宋体"/>
                <w:szCs w:val="21"/>
              </w:rPr>
              <w:t>2.对项目的重点难点提供解决措施；</w:t>
            </w:r>
          </w:p>
          <w:p w14:paraId="5D71259B">
            <w:pPr>
              <w:spacing w:line="240" w:lineRule="exact"/>
              <w:jc w:val="left"/>
              <w:rPr>
                <w:rFonts w:ascii="宋体" w:hAnsi="宋体" w:cs="宋体"/>
                <w:szCs w:val="21"/>
              </w:rPr>
            </w:pPr>
            <w:r>
              <w:rPr>
                <w:rFonts w:hint="eastAsia" w:ascii="宋体" w:hAnsi="宋体" w:cs="宋体"/>
                <w:szCs w:val="21"/>
              </w:rPr>
              <w:t>3.项目技术保障方法。</w:t>
            </w:r>
          </w:p>
          <w:p w14:paraId="4EA54AB8">
            <w:pPr>
              <w:spacing w:line="240" w:lineRule="exact"/>
              <w:jc w:val="left"/>
              <w:rPr>
                <w:rFonts w:ascii="宋体" w:hAnsi="宋体" w:cs="宋体"/>
                <w:szCs w:val="21"/>
              </w:rPr>
            </w:pPr>
            <w:r>
              <w:rPr>
                <w:rFonts w:hint="eastAsia" w:ascii="宋体" w:hAnsi="宋体" w:cs="宋体"/>
                <w:szCs w:val="21"/>
              </w:rPr>
              <w:t>（二）评分依据：</w:t>
            </w:r>
          </w:p>
          <w:p w14:paraId="7ADCC446">
            <w:pPr>
              <w:spacing w:line="240" w:lineRule="exact"/>
              <w:jc w:val="left"/>
              <w:rPr>
                <w:rFonts w:ascii="宋体" w:hAnsi="宋体" w:cs="宋体"/>
                <w:szCs w:val="21"/>
              </w:rPr>
            </w:pPr>
            <w:r>
              <w:rPr>
                <w:rFonts w:hint="eastAsia" w:ascii="宋体" w:hAnsi="宋体" w:cs="宋体"/>
                <w:szCs w:val="21"/>
              </w:rPr>
              <w:t>考察以上三点内容，满足全部三点得60分，满足任意二点得40分，满足任意一点得20分，其他情况不得分。在此基础上，专家根据各供应商的具体响应内容按照量化的评审因素指标进一步评审：</w:t>
            </w:r>
          </w:p>
          <w:p w14:paraId="012177A7">
            <w:pPr>
              <w:spacing w:line="240" w:lineRule="exact"/>
              <w:jc w:val="left"/>
              <w:rPr>
                <w:rFonts w:ascii="宋体" w:hAnsi="宋体" w:cs="宋体"/>
                <w:szCs w:val="21"/>
              </w:rPr>
            </w:pPr>
            <w:r>
              <w:rPr>
                <w:rFonts w:hint="eastAsia" w:ascii="宋体" w:hAnsi="宋体" w:cs="宋体"/>
                <w:szCs w:val="21"/>
              </w:rPr>
              <w:t>优评分标准：内容完整，保障措施完善，针对性强，可操作性强，得40分；</w:t>
            </w:r>
          </w:p>
          <w:p w14:paraId="07795EEF">
            <w:pPr>
              <w:spacing w:line="240" w:lineRule="exact"/>
              <w:jc w:val="left"/>
              <w:rPr>
                <w:rFonts w:ascii="宋体" w:hAnsi="宋体" w:cs="宋体"/>
                <w:szCs w:val="21"/>
              </w:rPr>
            </w:pPr>
            <w:r>
              <w:rPr>
                <w:rFonts w:hint="eastAsia" w:ascii="宋体" w:hAnsi="宋体" w:cs="宋体"/>
                <w:szCs w:val="21"/>
              </w:rPr>
              <w:t>良评分标准：内容较完整，保障措施较完善，针对性较强，可操作性较强，得20分；</w:t>
            </w:r>
          </w:p>
          <w:p w14:paraId="1F38AC04">
            <w:pPr>
              <w:spacing w:line="240" w:lineRule="exact"/>
              <w:jc w:val="left"/>
              <w:rPr>
                <w:rFonts w:ascii="宋体" w:hAnsi="宋体" w:cs="宋体"/>
                <w:szCs w:val="21"/>
              </w:rPr>
            </w:pPr>
            <w:r>
              <w:rPr>
                <w:rFonts w:hint="eastAsia" w:ascii="宋体" w:hAnsi="宋体" w:cs="宋体"/>
                <w:szCs w:val="21"/>
              </w:rPr>
              <w:t>中评分标准：内容基本完整，保障措施基本完善，针对性一般，可操作性一般，得10分；</w:t>
            </w:r>
          </w:p>
          <w:p w14:paraId="45B00697">
            <w:pPr>
              <w:spacing w:line="240" w:lineRule="exact"/>
              <w:jc w:val="left"/>
              <w:rPr>
                <w:rFonts w:hint="eastAsia" w:ascii="宋体" w:hAnsi="宋体" w:eastAsia="Times New Roman" w:cs="宋体"/>
                <w:sz w:val="24"/>
                <w:szCs w:val="21"/>
                <w:lang w:val="en-US" w:eastAsia="zh-CN" w:bidi="ar-SA"/>
              </w:rPr>
            </w:pPr>
            <w:r>
              <w:rPr>
                <w:rFonts w:hint="eastAsia" w:ascii="宋体" w:hAnsi="宋体" w:cs="宋体"/>
                <w:szCs w:val="21"/>
              </w:rPr>
              <w:t>差评分标准：内容不完整，保障措施不完善，针对性差，可操作性差，得0分。</w:t>
            </w:r>
          </w:p>
        </w:tc>
      </w:tr>
      <w:tr w14:paraId="623A5B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74881301">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7ABFCBEA">
            <w:pPr>
              <w:wordWrap w:val="0"/>
              <w:jc w:val="center"/>
              <w:textAlignment w:val="top"/>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492" w:type="dxa"/>
            <w:tcBorders>
              <w:top w:val="single" w:color="000000" w:sz="8" w:space="0"/>
              <w:left w:val="single" w:color="000000" w:sz="8" w:space="0"/>
              <w:bottom w:val="single" w:color="000000" w:sz="8" w:space="0"/>
              <w:right w:val="single" w:color="000000" w:sz="8" w:space="0"/>
            </w:tcBorders>
            <w:vAlign w:val="center"/>
          </w:tcPr>
          <w:p w14:paraId="51B76F20">
            <w:pPr>
              <w:spacing w:line="240" w:lineRule="exact"/>
              <w:jc w:val="center"/>
              <w:rPr>
                <w:rFonts w:ascii="宋体" w:hAnsi="宋体" w:eastAsia="宋体" w:cs="宋体"/>
                <w:szCs w:val="21"/>
              </w:rPr>
            </w:pPr>
            <w:r>
              <w:rPr>
                <w:rFonts w:hint="eastAsia" w:ascii="宋体" w:hAnsi="宋体" w:cs="宋体"/>
                <w:szCs w:val="21"/>
              </w:rPr>
              <w:t>安装调试保障方案</w:t>
            </w:r>
          </w:p>
        </w:tc>
        <w:tc>
          <w:tcPr>
            <w:tcW w:w="622" w:type="dxa"/>
            <w:tcBorders>
              <w:top w:val="single" w:color="000000" w:sz="8" w:space="0"/>
              <w:left w:val="single" w:color="000000" w:sz="8" w:space="0"/>
              <w:bottom w:val="single" w:color="000000" w:sz="8" w:space="0"/>
              <w:right w:val="single" w:color="000000" w:sz="8" w:space="0"/>
            </w:tcBorders>
            <w:vAlign w:val="center"/>
          </w:tcPr>
          <w:p w14:paraId="37A163CA">
            <w:pPr>
              <w:spacing w:line="24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58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BD5E3F">
            <w:pPr>
              <w:spacing w:line="240" w:lineRule="exact"/>
              <w:jc w:val="left"/>
              <w:rPr>
                <w:rFonts w:ascii="宋体" w:hAnsi="宋体" w:cs="宋体"/>
                <w:szCs w:val="21"/>
              </w:rPr>
            </w:pPr>
            <w:r>
              <w:rPr>
                <w:rFonts w:hint="eastAsia" w:ascii="宋体" w:hAnsi="宋体" w:cs="宋体"/>
                <w:szCs w:val="21"/>
              </w:rPr>
              <w:t>投标人应提供针对本项目的安装调试保障方案：</w:t>
            </w:r>
          </w:p>
          <w:p w14:paraId="6B14E0DC">
            <w:pPr>
              <w:spacing w:line="240" w:lineRule="exact"/>
              <w:jc w:val="left"/>
              <w:rPr>
                <w:rFonts w:ascii="宋体" w:hAnsi="宋体" w:cs="宋体"/>
                <w:szCs w:val="21"/>
              </w:rPr>
            </w:pPr>
            <w:r>
              <w:rPr>
                <w:rFonts w:hint="eastAsia" w:ascii="宋体" w:hAnsi="宋体" w:cs="宋体"/>
                <w:szCs w:val="21"/>
              </w:rPr>
              <w:t>（一）评审内容：</w:t>
            </w:r>
          </w:p>
          <w:p w14:paraId="4657DE5C">
            <w:pPr>
              <w:spacing w:line="240" w:lineRule="exact"/>
              <w:jc w:val="left"/>
              <w:rPr>
                <w:rFonts w:ascii="宋体" w:hAnsi="宋体" w:cs="宋体"/>
                <w:szCs w:val="21"/>
              </w:rPr>
            </w:pPr>
            <w:r>
              <w:rPr>
                <w:rFonts w:hint="eastAsia" w:ascii="宋体" w:hAnsi="宋体" w:cs="宋体"/>
                <w:szCs w:val="21"/>
              </w:rPr>
              <w:t>项目安装调试保障方案，具体内容包含但不限于以下几点：</w:t>
            </w:r>
          </w:p>
          <w:p w14:paraId="3EAB50E0">
            <w:pPr>
              <w:spacing w:line="240" w:lineRule="exact"/>
              <w:jc w:val="left"/>
              <w:rPr>
                <w:rFonts w:ascii="宋体" w:hAnsi="宋体" w:cs="宋体"/>
                <w:szCs w:val="21"/>
              </w:rPr>
            </w:pPr>
            <w:r>
              <w:rPr>
                <w:rFonts w:hint="eastAsia" w:ascii="宋体" w:hAnsi="宋体" w:cs="宋体"/>
                <w:szCs w:val="21"/>
              </w:rPr>
              <w:t>1.项目设备的安装方案；</w:t>
            </w:r>
          </w:p>
          <w:p w14:paraId="73682F61">
            <w:pPr>
              <w:spacing w:line="240" w:lineRule="exact"/>
              <w:jc w:val="left"/>
              <w:rPr>
                <w:rFonts w:ascii="宋体" w:hAnsi="宋体" w:cs="宋体"/>
                <w:szCs w:val="21"/>
              </w:rPr>
            </w:pPr>
            <w:r>
              <w:rPr>
                <w:rFonts w:hint="eastAsia" w:ascii="宋体" w:hAnsi="宋体" w:cs="宋体"/>
                <w:szCs w:val="21"/>
              </w:rPr>
              <w:t>2.项目设备的调试方案；</w:t>
            </w:r>
          </w:p>
          <w:p w14:paraId="390EFAEF">
            <w:pPr>
              <w:spacing w:line="240" w:lineRule="exact"/>
              <w:jc w:val="left"/>
              <w:rPr>
                <w:rFonts w:ascii="宋体" w:hAnsi="宋体" w:cs="宋体"/>
                <w:szCs w:val="21"/>
              </w:rPr>
            </w:pPr>
            <w:r>
              <w:rPr>
                <w:rFonts w:hint="eastAsia" w:ascii="宋体" w:hAnsi="宋体" w:cs="宋体"/>
                <w:szCs w:val="21"/>
              </w:rPr>
              <w:t>3.项目设备安装调试的保障方案。</w:t>
            </w:r>
          </w:p>
          <w:p w14:paraId="63564921">
            <w:pPr>
              <w:spacing w:line="240" w:lineRule="exact"/>
              <w:jc w:val="left"/>
              <w:rPr>
                <w:rFonts w:ascii="宋体" w:hAnsi="宋体" w:cs="宋体"/>
                <w:szCs w:val="21"/>
              </w:rPr>
            </w:pPr>
            <w:r>
              <w:rPr>
                <w:rFonts w:hint="eastAsia" w:ascii="宋体" w:hAnsi="宋体" w:cs="宋体"/>
                <w:szCs w:val="21"/>
              </w:rPr>
              <w:t>（二）评分依据：</w:t>
            </w:r>
          </w:p>
          <w:p w14:paraId="6ACBBBC2">
            <w:pPr>
              <w:spacing w:line="240" w:lineRule="exact"/>
              <w:jc w:val="left"/>
              <w:rPr>
                <w:rFonts w:ascii="宋体" w:hAnsi="宋体" w:cs="宋体"/>
                <w:szCs w:val="21"/>
              </w:rPr>
            </w:pPr>
            <w:r>
              <w:rPr>
                <w:rFonts w:hint="eastAsia" w:ascii="宋体" w:hAnsi="宋体" w:cs="宋体"/>
                <w:szCs w:val="21"/>
              </w:rPr>
              <w:t>考察以上三点内容，满足全部三点得60分，满足任意二点得40分，满足任意一点得20分，其他情况不得分。在此基础上，专家根据各供应商的具体响应内容按照量化的评审因素指标进一步评审：</w:t>
            </w:r>
          </w:p>
          <w:p w14:paraId="4D2057F2">
            <w:pPr>
              <w:spacing w:line="240" w:lineRule="exact"/>
              <w:jc w:val="left"/>
              <w:rPr>
                <w:rFonts w:ascii="宋体" w:hAnsi="宋体" w:cs="宋体"/>
                <w:szCs w:val="21"/>
              </w:rPr>
            </w:pPr>
            <w:r>
              <w:rPr>
                <w:rFonts w:hint="eastAsia" w:ascii="宋体" w:hAnsi="宋体" w:cs="宋体"/>
                <w:szCs w:val="21"/>
              </w:rPr>
              <w:t>优评分标准：内容完整，安装调试保障方案完善，针对性强，可操作性强，得40分；</w:t>
            </w:r>
          </w:p>
          <w:p w14:paraId="00725071">
            <w:pPr>
              <w:spacing w:line="240" w:lineRule="exact"/>
              <w:jc w:val="left"/>
              <w:rPr>
                <w:rFonts w:ascii="宋体" w:hAnsi="宋体" w:cs="宋体"/>
                <w:szCs w:val="21"/>
              </w:rPr>
            </w:pPr>
            <w:r>
              <w:rPr>
                <w:rFonts w:hint="eastAsia" w:ascii="宋体" w:hAnsi="宋体" w:cs="宋体"/>
                <w:szCs w:val="21"/>
              </w:rPr>
              <w:t>良评分标准：内容较完整，安装调试保障方案较完善，针对性较强，可操作性较强，得20分；</w:t>
            </w:r>
          </w:p>
          <w:p w14:paraId="1FB666C7">
            <w:pPr>
              <w:spacing w:line="240" w:lineRule="exact"/>
              <w:jc w:val="left"/>
              <w:rPr>
                <w:rFonts w:ascii="宋体" w:hAnsi="宋体" w:cs="宋体"/>
                <w:szCs w:val="21"/>
              </w:rPr>
            </w:pPr>
            <w:r>
              <w:rPr>
                <w:rFonts w:hint="eastAsia" w:ascii="宋体" w:hAnsi="宋体" w:cs="宋体"/>
                <w:szCs w:val="21"/>
              </w:rPr>
              <w:t>中评分标准：内容基本完整，安装调试保障方案基本完善，针对性一般，可操作性一般，得10分；</w:t>
            </w:r>
          </w:p>
          <w:p w14:paraId="2C0D2330">
            <w:pPr>
              <w:spacing w:line="240" w:lineRule="exact"/>
              <w:jc w:val="left"/>
              <w:rPr>
                <w:rFonts w:hint="eastAsia" w:ascii="宋体" w:hAnsi="宋体" w:eastAsia="Times New Roman" w:cs="宋体"/>
                <w:sz w:val="24"/>
                <w:szCs w:val="21"/>
                <w:lang w:val="en-US" w:eastAsia="zh-CN" w:bidi="ar-SA"/>
              </w:rPr>
            </w:pPr>
            <w:r>
              <w:rPr>
                <w:rFonts w:hint="eastAsia" w:ascii="宋体" w:hAnsi="宋体" w:cs="宋体"/>
                <w:szCs w:val="21"/>
              </w:rPr>
              <w:t>差评分标准：内容不完整，安装调试保障方案不完善，针对性差，可操作性差，得0分。</w:t>
            </w:r>
          </w:p>
        </w:tc>
      </w:tr>
      <w:tr w14:paraId="262CBF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6C590B5F">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1E0B8554">
            <w:pPr>
              <w:wordWrap w:val="0"/>
              <w:jc w:val="center"/>
              <w:textAlignment w:val="top"/>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14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54F84D">
            <w:pPr>
              <w:spacing w:line="240" w:lineRule="exact"/>
              <w:jc w:val="center"/>
              <w:rPr>
                <w:rFonts w:ascii="宋体" w:hAnsi="宋体" w:eastAsia="Times New Roman" w:cs="宋体"/>
                <w:sz w:val="24"/>
                <w:szCs w:val="21"/>
                <w:lang w:val="en-US" w:eastAsia="zh-CN" w:bidi="ar-SA"/>
              </w:rPr>
            </w:pPr>
            <w:r>
              <w:rPr>
                <w:rFonts w:hint="eastAsia" w:ascii="宋体" w:hAnsi="宋体"/>
                <w:szCs w:val="21"/>
              </w:rPr>
              <w:t>培训服务方案</w:t>
            </w:r>
          </w:p>
        </w:tc>
        <w:tc>
          <w:tcPr>
            <w:tcW w:w="62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9FF389">
            <w:pPr>
              <w:spacing w:line="240" w:lineRule="exact"/>
              <w:jc w:val="center"/>
              <w:rPr>
                <w:rFonts w:hint="eastAsia" w:ascii="宋体" w:hAnsi="宋体" w:eastAsia="宋体" w:cs="宋体"/>
                <w:sz w:val="24"/>
                <w:szCs w:val="21"/>
                <w:lang w:val="en-US" w:eastAsia="zh-CN" w:bidi="ar-SA"/>
              </w:rPr>
            </w:pPr>
            <w:r>
              <w:rPr>
                <w:rFonts w:hint="eastAsia" w:ascii="宋体" w:hAnsi="宋体" w:eastAsia="宋体" w:cs="宋体"/>
                <w:szCs w:val="21"/>
                <w:lang w:val="en-US" w:eastAsia="zh-CN"/>
              </w:rPr>
              <w:t>5</w:t>
            </w:r>
          </w:p>
        </w:tc>
        <w:tc>
          <w:tcPr>
            <w:tcW w:w="58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7B2250">
            <w:pPr>
              <w:rPr>
                <w:rFonts w:cs="宋体"/>
                <w:szCs w:val="21"/>
              </w:rPr>
            </w:pPr>
            <w:r>
              <w:rPr>
                <w:rFonts w:hint="eastAsia" w:cs="宋体"/>
                <w:szCs w:val="21"/>
              </w:rPr>
              <w:t>投标人应提供针对本项目的培训服务方案。</w:t>
            </w:r>
          </w:p>
          <w:p w14:paraId="3D224251">
            <w:pPr>
              <w:rPr>
                <w:rFonts w:cs="宋体"/>
                <w:szCs w:val="21"/>
              </w:rPr>
            </w:pPr>
            <w:r>
              <w:rPr>
                <w:rFonts w:hint="eastAsia" w:cs="宋体"/>
                <w:szCs w:val="21"/>
              </w:rPr>
              <w:t>（一）评审内容：</w:t>
            </w:r>
          </w:p>
          <w:p w14:paraId="0A8B56EC">
            <w:pPr>
              <w:rPr>
                <w:rFonts w:cs="宋体"/>
                <w:szCs w:val="21"/>
              </w:rPr>
            </w:pPr>
            <w:r>
              <w:rPr>
                <w:rFonts w:hint="eastAsia" w:cs="宋体"/>
                <w:szCs w:val="21"/>
              </w:rPr>
              <w:t>项目培训服务方案，具体内容包含但不限于以下几点：</w:t>
            </w:r>
          </w:p>
          <w:p w14:paraId="58B24B7E">
            <w:pPr>
              <w:rPr>
                <w:rFonts w:cs="宋体"/>
                <w:szCs w:val="21"/>
              </w:rPr>
            </w:pPr>
            <w:r>
              <w:rPr>
                <w:rFonts w:hint="eastAsia" w:cs="宋体"/>
                <w:szCs w:val="21"/>
              </w:rPr>
              <w:t>1.项目设备的ROV基本原理与保养维护培训方案；</w:t>
            </w:r>
          </w:p>
          <w:p w14:paraId="6298D52C">
            <w:pPr>
              <w:rPr>
                <w:rFonts w:cs="宋体"/>
                <w:szCs w:val="21"/>
              </w:rPr>
            </w:pPr>
            <w:r>
              <w:rPr>
                <w:rFonts w:hint="eastAsia" w:cs="宋体"/>
                <w:szCs w:val="21"/>
              </w:rPr>
              <w:t>2.项目设备的技术培训方案；</w:t>
            </w:r>
          </w:p>
          <w:p w14:paraId="395F5DF7">
            <w:pPr>
              <w:rPr>
                <w:rFonts w:cs="宋体"/>
                <w:szCs w:val="21"/>
              </w:rPr>
            </w:pPr>
            <w:r>
              <w:rPr>
                <w:rFonts w:hint="eastAsia" w:cs="宋体"/>
                <w:szCs w:val="21"/>
              </w:rPr>
              <w:t>3.项目设备的海上作业培训方案。</w:t>
            </w:r>
          </w:p>
          <w:p w14:paraId="3031B68D">
            <w:pPr>
              <w:rPr>
                <w:rFonts w:cs="宋体"/>
                <w:szCs w:val="21"/>
              </w:rPr>
            </w:pPr>
            <w:r>
              <w:rPr>
                <w:rFonts w:hint="eastAsia" w:cs="宋体"/>
                <w:szCs w:val="21"/>
              </w:rPr>
              <w:t>（二）评分依据：</w:t>
            </w:r>
          </w:p>
          <w:p w14:paraId="3AC095D1">
            <w:pPr>
              <w:rPr>
                <w:rFonts w:cs="宋体"/>
                <w:szCs w:val="21"/>
              </w:rPr>
            </w:pPr>
            <w:r>
              <w:rPr>
                <w:rFonts w:hint="eastAsia" w:cs="宋体"/>
                <w:szCs w:val="21"/>
              </w:rPr>
              <w:t>考察以上三点内容，满足全部三点得60分，满足任意二点得40分，满足任意一点得20分，其他情况不得分。在此基础上，专家根据各供应商的具体响应内容按照量化的评审因素指标进一步评审：</w:t>
            </w:r>
          </w:p>
          <w:p w14:paraId="4C5D2796">
            <w:pPr>
              <w:rPr>
                <w:rFonts w:cs="宋体"/>
                <w:szCs w:val="21"/>
              </w:rPr>
            </w:pPr>
            <w:r>
              <w:rPr>
                <w:rFonts w:hint="eastAsia" w:cs="宋体"/>
                <w:szCs w:val="21"/>
              </w:rPr>
              <w:t>优评分标准：内容完整，培训服务方案完善，针对性强，可操作性强，得40分；</w:t>
            </w:r>
          </w:p>
          <w:p w14:paraId="51FC2574">
            <w:pPr>
              <w:rPr>
                <w:rFonts w:cs="宋体"/>
                <w:szCs w:val="21"/>
              </w:rPr>
            </w:pPr>
            <w:r>
              <w:rPr>
                <w:rFonts w:hint="eastAsia" w:cs="宋体"/>
                <w:szCs w:val="21"/>
              </w:rPr>
              <w:t>良评分标准：内容较完整，培训服务方案较完善，针对性较强，可操作性较强，得20分；</w:t>
            </w:r>
          </w:p>
          <w:p w14:paraId="4460C7FF">
            <w:pPr>
              <w:rPr>
                <w:rFonts w:cs="宋体"/>
                <w:szCs w:val="21"/>
              </w:rPr>
            </w:pPr>
            <w:r>
              <w:rPr>
                <w:rFonts w:hint="eastAsia" w:cs="宋体"/>
                <w:szCs w:val="21"/>
              </w:rPr>
              <w:t>中评分标准：内容基本完整，培训服务方案基本完善，针对性一般，可操作性一般，得10分；</w:t>
            </w:r>
          </w:p>
          <w:p w14:paraId="2060A4FF">
            <w:pPr>
              <w:rPr>
                <w:rFonts w:hint="eastAsia" w:ascii="宋体" w:hAnsi="宋体" w:eastAsia="Times New Roman" w:cs="宋体"/>
                <w:sz w:val="24"/>
                <w:szCs w:val="21"/>
                <w:lang w:val="en-US" w:eastAsia="zh-CN" w:bidi="ar-SA"/>
              </w:rPr>
            </w:pPr>
            <w:r>
              <w:rPr>
                <w:rFonts w:hint="eastAsia" w:cs="宋体"/>
                <w:szCs w:val="21"/>
              </w:rPr>
              <w:t>差评分标准：内容不完整，培训服务方案不完善，针对性差，可操作性差，得0分。</w:t>
            </w:r>
          </w:p>
        </w:tc>
      </w:tr>
      <w:tr w14:paraId="2E3363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186B8721">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1E1D7F49">
            <w:pPr>
              <w:wordWrap w:val="0"/>
              <w:jc w:val="center"/>
              <w:textAlignment w:val="top"/>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1492" w:type="dxa"/>
            <w:tcBorders>
              <w:top w:val="single" w:color="000000" w:sz="8" w:space="0"/>
              <w:left w:val="single" w:color="000000" w:sz="8" w:space="0"/>
              <w:bottom w:val="single" w:color="000000" w:sz="8" w:space="0"/>
              <w:right w:val="single" w:color="000000" w:sz="8" w:space="0"/>
            </w:tcBorders>
            <w:vAlign w:val="center"/>
          </w:tcPr>
          <w:p w14:paraId="0E5931D6">
            <w:pPr>
              <w:spacing w:line="240" w:lineRule="exact"/>
              <w:jc w:val="center"/>
              <w:rPr>
                <w:rFonts w:ascii="宋体" w:hAnsi="宋体" w:eastAsia="宋体" w:cs="宋体"/>
                <w:szCs w:val="21"/>
              </w:rPr>
            </w:pPr>
            <w:r>
              <w:rPr>
                <w:rFonts w:hint="eastAsia" w:ascii="宋体" w:hAnsi="宋体" w:cs="宋体"/>
                <w:szCs w:val="21"/>
              </w:rPr>
              <w:t>免费保修期外</w:t>
            </w:r>
            <w:r>
              <w:rPr>
                <w:rFonts w:hint="eastAsia" w:ascii="宋体" w:hAnsi="宋体"/>
                <w:szCs w:val="21"/>
              </w:rPr>
              <w:t>售后维保方案</w:t>
            </w:r>
          </w:p>
        </w:tc>
        <w:tc>
          <w:tcPr>
            <w:tcW w:w="622" w:type="dxa"/>
            <w:tcBorders>
              <w:top w:val="single" w:color="000000" w:sz="8" w:space="0"/>
              <w:left w:val="single" w:color="000000" w:sz="8" w:space="0"/>
              <w:bottom w:val="single" w:color="000000" w:sz="8" w:space="0"/>
              <w:right w:val="single" w:color="000000" w:sz="8" w:space="0"/>
            </w:tcBorders>
            <w:vAlign w:val="center"/>
          </w:tcPr>
          <w:p w14:paraId="1DD519A5">
            <w:pPr>
              <w:spacing w:line="240" w:lineRule="exact"/>
              <w:jc w:val="center"/>
              <w:rPr>
                <w:rFonts w:ascii="宋体" w:hAnsi="宋体" w:eastAsia="宋体" w:cs="宋体"/>
                <w:szCs w:val="21"/>
              </w:rPr>
            </w:pPr>
            <w:r>
              <w:rPr>
                <w:rFonts w:ascii="宋体" w:hAnsi="宋体"/>
                <w:szCs w:val="21"/>
              </w:rPr>
              <w:t>5</w:t>
            </w:r>
          </w:p>
        </w:tc>
        <w:tc>
          <w:tcPr>
            <w:tcW w:w="5856" w:type="dxa"/>
            <w:tcBorders>
              <w:top w:val="single" w:color="000000" w:sz="8" w:space="0"/>
              <w:left w:val="single" w:color="000000" w:sz="8" w:space="0"/>
              <w:bottom w:val="single" w:color="000000" w:sz="8" w:space="0"/>
              <w:right w:val="single" w:color="000000" w:sz="8" w:space="0"/>
            </w:tcBorders>
            <w:vAlign w:val="center"/>
          </w:tcPr>
          <w:p w14:paraId="7EBA8F7D">
            <w:pPr>
              <w:rPr>
                <w:rFonts w:cs="宋体"/>
                <w:szCs w:val="21"/>
              </w:rPr>
            </w:pPr>
            <w:r>
              <w:rPr>
                <w:rFonts w:hint="eastAsia" w:cs="宋体"/>
                <w:szCs w:val="21"/>
              </w:rPr>
              <w:t>投标人应提供针对本项目的保修期外售后维保方案。</w:t>
            </w:r>
          </w:p>
          <w:p w14:paraId="0999AE5F">
            <w:pPr>
              <w:rPr>
                <w:rFonts w:cs="宋体"/>
                <w:szCs w:val="21"/>
              </w:rPr>
            </w:pPr>
            <w:r>
              <w:rPr>
                <w:rFonts w:hint="eastAsia" w:cs="宋体"/>
                <w:szCs w:val="21"/>
              </w:rPr>
              <w:t>（一）评审内容：</w:t>
            </w:r>
          </w:p>
          <w:p w14:paraId="7918D788">
            <w:pPr>
              <w:rPr>
                <w:rFonts w:cs="宋体"/>
                <w:szCs w:val="21"/>
              </w:rPr>
            </w:pPr>
            <w:r>
              <w:rPr>
                <w:rFonts w:hint="eastAsia" w:cs="宋体"/>
                <w:szCs w:val="21"/>
              </w:rPr>
              <w:t>项目售后维保方案，具体内容包含但不限于以下几点：</w:t>
            </w:r>
          </w:p>
          <w:p w14:paraId="034199B0">
            <w:pPr>
              <w:rPr>
                <w:rFonts w:cs="宋体"/>
                <w:szCs w:val="21"/>
              </w:rPr>
            </w:pPr>
            <w:r>
              <w:rPr>
                <w:rFonts w:hint="eastAsia" w:cs="宋体"/>
                <w:szCs w:val="21"/>
              </w:rPr>
              <w:t>1.项目设备的故障排除方案；</w:t>
            </w:r>
          </w:p>
          <w:p w14:paraId="0743D32E">
            <w:pPr>
              <w:rPr>
                <w:rFonts w:cs="宋体"/>
                <w:szCs w:val="21"/>
              </w:rPr>
            </w:pPr>
            <w:r>
              <w:rPr>
                <w:rFonts w:hint="eastAsia" w:cs="宋体"/>
                <w:szCs w:val="21"/>
              </w:rPr>
              <w:t>2.项目设备的保养维护方案；</w:t>
            </w:r>
          </w:p>
          <w:p w14:paraId="76A54058">
            <w:pPr>
              <w:rPr>
                <w:rFonts w:cs="宋体"/>
                <w:szCs w:val="21"/>
              </w:rPr>
            </w:pPr>
            <w:r>
              <w:rPr>
                <w:rFonts w:hint="eastAsia" w:cs="宋体"/>
                <w:szCs w:val="21"/>
              </w:rPr>
              <w:t>3.项目设备软硬件升级优化方案。</w:t>
            </w:r>
          </w:p>
          <w:p w14:paraId="116BC521">
            <w:pPr>
              <w:rPr>
                <w:rFonts w:cs="宋体"/>
                <w:szCs w:val="21"/>
              </w:rPr>
            </w:pPr>
            <w:r>
              <w:rPr>
                <w:rFonts w:hint="eastAsia" w:cs="宋体"/>
                <w:szCs w:val="21"/>
              </w:rPr>
              <w:t>（二）评分依据：</w:t>
            </w:r>
          </w:p>
          <w:p w14:paraId="288B4B9A">
            <w:pPr>
              <w:rPr>
                <w:rFonts w:cs="宋体"/>
                <w:szCs w:val="21"/>
              </w:rPr>
            </w:pPr>
            <w:r>
              <w:rPr>
                <w:rFonts w:hint="eastAsia" w:cs="宋体"/>
                <w:szCs w:val="21"/>
              </w:rPr>
              <w:t>考察以上三点内容，满足全部三点得60分，满足任意二点得40分，满足任意一点得20分，其他情况不得分。在此基础上，专家根据各供应商的具体响应内容按照量化的评审因素指标进一步评审：</w:t>
            </w:r>
          </w:p>
          <w:p w14:paraId="2A05D206">
            <w:pPr>
              <w:rPr>
                <w:rFonts w:cs="宋体"/>
                <w:szCs w:val="21"/>
              </w:rPr>
            </w:pPr>
            <w:r>
              <w:rPr>
                <w:rFonts w:hint="eastAsia" w:cs="宋体"/>
                <w:szCs w:val="21"/>
              </w:rPr>
              <w:t>优评分标准：内容完整，售后维保方案完善，针对性强，可操作性强，得40分；</w:t>
            </w:r>
          </w:p>
          <w:p w14:paraId="5B8FD45D">
            <w:pPr>
              <w:rPr>
                <w:rFonts w:cs="宋体"/>
                <w:szCs w:val="21"/>
              </w:rPr>
            </w:pPr>
            <w:r>
              <w:rPr>
                <w:rFonts w:hint="eastAsia" w:cs="宋体"/>
                <w:szCs w:val="21"/>
              </w:rPr>
              <w:t>良评分标准：内容较完整，售后维保方案较完善，针对性较强，可操作性较强，得20分；</w:t>
            </w:r>
          </w:p>
          <w:p w14:paraId="3E81CFC3">
            <w:pPr>
              <w:rPr>
                <w:rFonts w:cs="宋体"/>
                <w:szCs w:val="21"/>
              </w:rPr>
            </w:pPr>
            <w:r>
              <w:rPr>
                <w:rFonts w:hint="eastAsia" w:cs="宋体"/>
                <w:szCs w:val="21"/>
              </w:rPr>
              <w:t>中评分标准：内容基本完整，售后维保方案基本完善，针对性一般，可操作性一般，得10分；</w:t>
            </w:r>
          </w:p>
          <w:p w14:paraId="537EDB8F">
            <w:pPr>
              <w:rPr>
                <w:rFonts w:hint="eastAsia" w:ascii="宋体" w:hAnsi="宋体" w:eastAsia="宋体"/>
              </w:rPr>
            </w:pPr>
            <w:r>
              <w:rPr>
                <w:rFonts w:hint="eastAsia" w:cs="宋体"/>
                <w:szCs w:val="21"/>
              </w:rPr>
              <w:t>差评分标准：内容不完整，售后维保方案不完善，针对性差，可操作性差，得0分。</w:t>
            </w:r>
          </w:p>
        </w:tc>
      </w:tr>
      <w:tr w14:paraId="568409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restart"/>
            <w:tcBorders>
              <w:top w:val="single" w:color="000000" w:sz="8" w:space="0"/>
              <w:left w:val="single" w:color="000000" w:sz="8" w:space="0"/>
              <w:bottom w:val="single" w:color="000000" w:sz="8" w:space="0"/>
              <w:right w:val="single" w:color="000000" w:sz="8" w:space="0"/>
            </w:tcBorders>
            <w:vAlign w:val="center"/>
          </w:tcPr>
          <w:p w14:paraId="1EDE7A4E">
            <w:pPr>
              <w:wordWrap w:val="0"/>
              <w:jc w:val="center"/>
              <w:rPr>
                <w:rFonts w:ascii="宋体" w:hAnsi="宋体" w:eastAsia="宋体"/>
                <w:b/>
                <w:bCs/>
                <w:color w:val="0000FF"/>
              </w:rPr>
            </w:pPr>
            <w:r>
              <w:rPr>
                <w:rFonts w:ascii="宋体" w:hAnsi="宋体" w:eastAsia="宋体" w:cs="宋体"/>
                <w:b/>
                <w:bCs/>
                <w:color w:val="0000FF"/>
              </w:rPr>
              <w:t>3</w:t>
            </w:r>
          </w:p>
        </w:tc>
        <w:tc>
          <w:tcPr>
            <w:tcW w:w="2668" w:type="dxa"/>
            <w:gridSpan w:val="3"/>
            <w:tcBorders>
              <w:top w:val="single" w:color="000000" w:sz="8" w:space="0"/>
              <w:left w:val="single" w:color="000000" w:sz="8" w:space="0"/>
              <w:bottom w:val="single" w:color="000000" w:sz="8" w:space="0"/>
              <w:right w:val="single" w:color="000000" w:sz="8" w:space="0"/>
            </w:tcBorders>
            <w:vAlign w:val="center"/>
          </w:tcPr>
          <w:p w14:paraId="1593F305">
            <w:pPr>
              <w:wordWrap w:val="0"/>
              <w:jc w:val="center"/>
              <w:rPr>
                <w:rFonts w:ascii="宋体" w:hAnsi="宋体" w:eastAsia="宋体"/>
                <w:b/>
                <w:bCs/>
                <w:color w:val="0000FF"/>
              </w:rPr>
            </w:pPr>
            <w:r>
              <w:rPr>
                <w:rFonts w:ascii="宋体" w:hAnsi="宋体" w:eastAsia="宋体" w:cs="宋体"/>
                <w:b/>
                <w:bCs/>
                <w:color w:val="0000FF"/>
              </w:rPr>
              <w:t>商务需求</w:t>
            </w:r>
          </w:p>
        </w:tc>
        <w:tc>
          <w:tcPr>
            <w:tcW w:w="5856" w:type="dxa"/>
            <w:tcBorders>
              <w:top w:val="single" w:color="000000" w:sz="8" w:space="0"/>
              <w:left w:val="single" w:color="000000" w:sz="8" w:space="0"/>
              <w:bottom w:val="single" w:color="000000" w:sz="8" w:space="0"/>
              <w:right w:val="single" w:color="000000" w:sz="8" w:space="0"/>
            </w:tcBorders>
            <w:vAlign w:val="center"/>
          </w:tcPr>
          <w:p w14:paraId="06FF759B">
            <w:pPr>
              <w:wordWrap w:val="0"/>
              <w:jc w:val="center"/>
              <w:rPr>
                <w:rFonts w:hint="eastAsia" w:ascii="宋体" w:hAnsi="宋体" w:eastAsia="宋体"/>
                <w:b/>
                <w:bCs/>
                <w:color w:val="0000FF"/>
                <w:lang w:eastAsia="zh-CN"/>
              </w:rPr>
            </w:pPr>
            <w:r>
              <w:rPr>
                <w:rFonts w:hint="eastAsia" w:ascii="宋体" w:hAnsi="宋体" w:eastAsia="宋体"/>
                <w:b/>
                <w:bCs/>
                <w:color w:val="4F81BD" w:themeColor="accent1"/>
                <w:lang w:val="en-US" w:eastAsia="zh-CN"/>
                <w14:textFill>
                  <w14:solidFill>
                    <w14:schemeClr w14:val="accent1"/>
                  </w14:solidFill>
                </w14:textFill>
              </w:rPr>
              <w:t>4</w:t>
            </w:r>
          </w:p>
        </w:tc>
      </w:tr>
      <w:tr w14:paraId="133BB3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58" w:hRule="atLeast"/>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0F22E8E8">
            <w:pPr>
              <w:jc w:val="center"/>
              <w:rPr>
                <w:rFonts w:ascii="宋体" w:hAnsi="宋体" w:eastAsia="宋体"/>
                <w:b/>
                <w:bCs/>
                <w:color w:val="0000FF"/>
              </w:rPr>
            </w:pPr>
          </w:p>
        </w:tc>
        <w:tc>
          <w:tcPr>
            <w:tcW w:w="8524" w:type="dxa"/>
            <w:gridSpan w:val="4"/>
            <w:tcBorders>
              <w:top w:val="single" w:color="000000" w:sz="8" w:space="0"/>
              <w:left w:val="single" w:color="000000" w:sz="8" w:space="0"/>
              <w:bottom w:val="single" w:color="000000" w:sz="8" w:space="0"/>
              <w:right w:val="single" w:color="000000" w:sz="8" w:space="0"/>
            </w:tcBorders>
          </w:tcPr>
          <w:p w14:paraId="79350337">
            <w:pPr>
              <w:rPr>
                <w:rFonts w:ascii="宋体" w:hAnsi="宋体" w:eastAsia="宋体"/>
                <w:szCs w:val="21"/>
              </w:rPr>
            </w:pPr>
          </w:p>
        </w:tc>
      </w:tr>
      <w:tr w14:paraId="7A5C70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39E8A5F">
            <w:pPr>
              <w:jc w:val="center"/>
              <w:rPr>
                <w:rFonts w:ascii="宋体" w:hAnsi="宋体" w:eastAsia="宋体"/>
                <w:b/>
                <w:bCs/>
                <w:color w:val="0000FF"/>
              </w:rPr>
            </w:pPr>
          </w:p>
        </w:tc>
        <w:tc>
          <w:tcPr>
            <w:tcW w:w="55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555AD84">
            <w:pPr>
              <w:wordWrap w:val="0"/>
              <w:jc w:val="center"/>
              <w:rPr>
                <w:rFonts w:ascii="宋体" w:hAnsi="宋体" w:eastAsia="宋体"/>
                <w:szCs w:val="21"/>
              </w:rPr>
            </w:pPr>
            <w:r>
              <w:rPr>
                <w:rFonts w:ascii="宋体" w:hAnsi="宋体" w:eastAsia="宋体" w:cs="宋体"/>
                <w:szCs w:val="21"/>
              </w:rPr>
              <w:t>序号</w:t>
            </w:r>
          </w:p>
        </w:tc>
        <w:tc>
          <w:tcPr>
            <w:tcW w:w="149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DE8A05">
            <w:pPr>
              <w:wordWrap w:val="0"/>
              <w:jc w:val="center"/>
              <w:rPr>
                <w:rFonts w:ascii="宋体" w:hAnsi="宋体" w:eastAsia="宋体"/>
                <w:szCs w:val="21"/>
              </w:rPr>
            </w:pPr>
            <w:r>
              <w:rPr>
                <w:rFonts w:ascii="宋体" w:hAnsi="宋体" w:eastAsia="宋体" w:cs="宋体"/>
                <w:szCs w:val="21"/>
              </w:rPr>
              <w:t>评分因素</w:t>
            </w:r>
          </w:p>
        </w:tc>
        <w:tc>
          <w:tcPr>
            <w:tcW w:w="62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4C09CB1">
            <w:pPr>
              <w:wordWrap w:val="0"/>
              <w:jc w:val="center"/>
              <w:rPr>
                <w:rFonts w:ascii="宋体" w:hAnsi="宋体" w:eastAsia="宋体"/>
                <w:szCs w:val="21"/>
              </w:rPr>
            </w:pPr>
            <w:r>
              <w:rPr>
                <w:rFonts w:ascii="宋体" w:hAnsi="宋体" w:eastAsia="宋体" w:cs="宋体"/>
                <w:szCs w:val="21"/>
              </w:rPr>
              <w:t>权重(%)</w:t>
            </w:r>
          </w:p>
        </w:tc>
        <w:tc>
          <w:tcPr>
            <w:tcW w:w="585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006B49D">
            <w:pPr>
              <w:wordWrap w:val="0"/>
              <w:jc w:val="center"/>
              <w:rPr>
                <w:rFonts w:ascii="宋体" w:hAnsi="宋体" w:eastAsia="宋体"/>
                <w:szCs w:val="21"/>
              </w:rPr>
            </w:pPr>
            <w:r>
              <w:rPr>
                <w:rFonts w:ascii="宋体" w:hAnsi="宋体" w:eastAsia="宋体" w:cs="宋体"/>
                <w:szCs w:val="21"/>
              </w:rPr>
              <w:t>评分准则</w:t>
            </w:r>
          </w:p>
        </w:tc>
      </w:tr>
      <w:tr w14:paraId="55B916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50B37E27">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245303E7">
            <w:pPr>
              <w:wordWrap w:val="0"/>
              <w:jc w:val="center"/>
              <w:textAlignment w:val="top"/>
              <w:rPr>
                <w:rFonts w:ascii="宋体" w:hAnsi="宋体" w:eastAsia="宋体"/>
                <w:szCs w:val="21"/>
              </w:rPr>
            </w:pPr>
            <w:r>
              <w:rPr>
                <w:rFonts w:ascii="宋体" w:hAnsi="宋体" w:eastAsia="宋体" w:cs="宋体"/>
                <w:szCs w:val="21"/>
              </w:rPr>
              <w:t>1</w:t>
            </w:r>
          </w:p>
        </w:tc>
        <w:tc>
          <w:tcPr>
            <w:tcW w:w="1492" w:type="dxa"/>
            <w:tcBorders>
              <w:top w:val="single" w:color="000000" w:sz="8" w:space="0"/>
              <w:left w:val="single" w:color="000000" w:sz="8" w:space="0"/>
              <w:bottom w:val="single" w:color="000000" w:sz="8" w:space="0"/>
              <w:right w:val="single" w:color="000000" w:sz="8" w:space="0"/>
            </w:tcBorders>
            <w:vAlign w:val="center"/>
          </w:tcPr>
          <w:p w14:paraId="2C40B856">
            <w:pPr>
              <w:spacing w:line="240" w:lineRule="exact"/>
              <w:jc w:val="center"/>
              <w:rPr>
                <w:rFonts w:ascii="宋体" w:hAnsi="宋体" w:eastAsia="宋体"/>
                <w:szCs w:val="21"/>
              </w:rPr>
            </w:pPr>
            <w:r>
              <w:rPr>
                <w:rFonts w:hint="eastAsia" w:ascii="宋体" w:hAnsi="宋体"/>
                <w:szCs w:val="21"/>
              </w:rPr>
              <w:t>免费保修期内售后服务条款偏离情况</w:t>
            </w:r>
          </w:p>
        </w:tc>
        <w:tc>
          <w:tcPr>
            <w:tcW w:w="622" w:type="dxa"/>
            <w:tcBorders>
              <w:top w:val="single" w:color="000000" w:sz="8" w:space="0"/>
              <w:left w:val="single" w:color="000000" w:sz="8" w:space="0"/>
              <w:bottom w:val="single" w:color="000000" w:sz="8" w:space="0"/>
              <w:right w:val="single" w:color="000000" w:sz="8" w:space="0"/>
            </w:tcBorders>
            <w:vAlign w:val="center"/>
          </w:tcPr>
          <w:p w14:paraId="3D448BF3">
            <w:pPr>
              <w:spacing w:line="240" w:lineRule="exact"/>
              <w:jc w:val="center"/>
              <w:rPr>
                <w:rFonts w:ascii="宋体" w:hAnsi="宋体" w:eastAsia="宋体"/>
                <w:szCs w:val="21"/>
              </w:rPr>
            </w:pPr>
            <w:r>
              <w:rPr>
                <w:rFonts w:hint="eastAsia" w:ascii="宋体" w:hAnsi="宋体"/>
                <w:szCs w:val="21"/>
              </w:rPr>
              <w:t>2</w:t>
            </w:r>
          </w:p>
        </w:tc>
        <w:tc>
          <w:tcPr>
            <w:tcW w:w="5856" w:type="dxa"/>
            <w:tcBorders>
              <w:top w:val="single" w:color="000000" w:sz="8" w:space="0"/>
              <w:left w:val="single" w:color="000000" w:sz="8" w:space="0"/>
              <w:bottom w:val="single" w:color="000000" w:sz="8" w:space="0"/>
              <w:right w:val="single" w:color="000000" w:sz="8" w:space="0"/>
            </w:tcBorders>
            <w:vAlign w:val="center"/>
          </w:tcPr>
          <w:p w14:paraId="6352B36C">
            <w:pPr>
              <w:rPr>
                <w:rFonts w:ascii="宋体" w:hAnsi="宋体" w:eastAsia="宋体"/>
                <w:szCs w:val="21"/>
              </w:rPr>
            </w:pPr>
            <w:r>
              <w:rPr>
                <w:rFonts w:hint="eastAsia" w:cs="宋体"/>
                <w:szCs w:val="21"/>
              </w:rPr>
              <w:t>投标人应如实填写《商务要求偏离表》，评审委员会根据响应情况进行打分，全部满足要求的得100分，每负偏离一项扣25分。</w:t>
            </w:r>
          </w:p>
        </w:tc>
      </w:tr>
      <w:tr w14:paraId="2FE22F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7D392328">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0ACBBEC3">
            <w:pPr>
              <w:wordWrap w:val="0"/>
              <w:jc w:val="center"/>
              <w:textAlignment w:val="top"/>
              <w:rPr>
                <w:rFonts w:ascii="宋体" w:hAnsi="宋体" w:eastAsia="宋体" w:cs="宋体"/>
                <w:szCs w:val="21"/>
              </w:rPr>
            </w:pPr>
            <w:r>
              <w:rPr>
                <w:rFonts w:hint="eastAsia" w:ascii="宋体" w:hAnsi="宋体" w:eastAsia="宋体" w:cs="宋体"/>
                <w:szCs w:val="21"/>
              </w:rPr>
              <w:t>2</w:t>
            </w:r>
          </w:p>
        </w:tc>
        <w:tc>
          <w:tcPr>
            <w:tcW w:w="1492" w:type="dxa"/>
            <w:tcBorders>
              <w:top w:val="single" w:color="000000" w:sz="8" w:space="0"/>
              <w:left w:val="single" w:color="000000" w:sz="8" w:space="0"/>
              <w:bottom w:val="single" w:color="000000" w:sz="8" w:space="0"/>
              <w:right w:val="single" w:color="000000" w:sz="8" w:space="0"/>
            </w:tcBorders>
            <w:vAlign w:val="center"/>
          </w:tcPr>
          <w:p w14:paraId="67D841C0">
            <w:pPr>
              <w:spacing w:line="240" w:lineRule="exact"/>
              <w:jc w:val="center"/>
              <w:rPr>
                <w:rFonts w:ascii="宋体" w:hAnsi="宋体" w:eastAsia="宋体" w:cs="宋体"/>
                <w:color w:val="000000"/>
              </w:rPr>
            </w:pPr>
            <w:r>
              <w:rPr>
                <w:rFonts w:hint="eastAsia" w:ascii="宋体" w:hAnsi="宋体" w:cs="宋体"/>
                <w:szCs w:val="21"/>
              </w:rPr>
              <w:t>免费保修期外售后服务条款偏离情况</w:t>
            </w:r>
          </w:p>
        </w:tc>
        <w:tc>
          <w:tcPr>
            <w:tcW w:w="622" w:type="dxa"/>
            <w:tcBorders>
              <w:top w:val="single" w:color="000000" w:sz="8" w:space="0"/>
              <w:left w:val="single" w:color="000000" w:sz="8" w:space="0"/>
              <w:bottom w:val="single" w:color="000000" w:sz="8" w:space="0"/>
              <w:right w:val="single" w:color="000000" w:sz="8" w:space="0"/>
            </w:tcBorders>
            <w:vAlign w:val="center"/>
          </w:tcPr>
          <w:p w14:paraId="67A9DE85">
            <w:pPr>
              <w:spacing w:line="240" w:lineRule="exact"/>
              <w:jc w:val="center"/>
              <w:rPr>
                <w:rFonts w:ascii="宋体" w:hAnsi="宋体" w:eastAsia="宋体" w:cs="宋体"/>
                <w:color w:val="000000"/>
              </w:rPr>
            </w:pPr>
            <w:r>
              <w:rPr>
                <w:rFonts w:hint="eastAsia" w:ascii="宋体" w:hAnsi="宋体"/>
                <w:szCs w:val="21"/>
              </w:rPr>
              <w:t>2</w:t>
            </w:r>
          </w:p>
        </w:tc>
        <w:tc>
          <w:tcPr>
            <w:tcW w:w="5856" w:type="dxa"/>
            <w:tcBorders>
              <w:top w:val="single" w:color="000000" w:sz="8" w:space="0"/>
              <w:left w:val="single" w:color="000000" w:sz="8" w:space="0"/>
              <w:bottom w:val="single" w:color="000000" w:sz="8" w:space="0"/>
              <w:right w:val="single" w:color="000000" w:sz="8" w:space="0"/>
            </w:tcBorders>
            <w:vAlign w:val="center"/>
          </w:tcPr>
          <w:p w14:paraId="3F33B883">
            <w:pPr>
              <w:rPr>
                <w:rFonts w:ascii="宋体" w:hAnsi="宋体" w:eastAsia="宋体"/>
                <w:color w:val="000000"/>
              </w:rPr>
            </w:pPr>
            <w:r>
              <w:rPr>
                <w:rFonts w:hint="eastAsia" w:cs="宋体"/>
                <w:szCs w:val="21"/>
              </w:rPr>
              <w:t>投标人应如实填写《商务要求偏离表》，评审委员会根据响应情况进行打分，全部满足要求的得100分，每负偏离一项扣33.4分。</w:t>
            </w:r>
          </w:p>
        </w:tc>
      </w:tr>
      <w:tr w14:paraId="745B88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restart"/>
            <w:tcBorders>
              <w:top w:val="single" w:color="000000" w:sz="8" w:space="0"/>
              <w:left w:val="single" w:color="000000" w:sz="8" w:space="0"/>
              <w:bottom w:val="single" w:color="000000" w:sz="8" w:space="0"/>
              <w:right w:val="single" w:color="000000" w:sz="8" w:space="0"/>
            </w:tcBorders>
            <w:vAlign w:val="center"/>
          </w:tcPr>
          <w:p w14:paraId="712A8A13">
            <w:pPr>
              <w:wordWrap w:val="0"/>
              <w:jc w:val="center"/>
              <w:rPr>
                <w:rFonts w:ascii="宋体" w:hAnsi="宋体" w:eastAsia="宋体"/>
                <w:b/>
                <w:bCs/>
                <w:color w:val="0000FF"/>
              </w:rPr>
            </w:pPr>
            <w:r>
              <w:rPr>
                <w:rFonts w:ascii="宋体" w:hAnsi="宋体" w:eastAsia="宋体" w:cs="宋体"/>
                <w:b/>
                <w:bCs/>
                <w:color w:val="0000FF"/>
              </w:rPr>
              <w:t>4</w:t>
            </w:r>
          </w:p>
        </w:tc>
        <w:tc>
          <w:tcPr>
            <w:tcW w:w="2668" w:type="dxa"/>
            <w:gridSpan w:val="3"/>
            <w:tcBorders>
              <w:top w:val="single" w:color="000000" w:sz="8" w:space="0"/>
              <w:left w:val="single" w:color="000000" w:sz="8" w:space="0"/>
              <w:bottom w:val="single" w:color="000000" w:sz="8" w:space="0"/>
              <w:right w:val="single" w:color="000000" w:sz="8" w:space="0"/>
            </w:tcBorders>
            <w:vAlign w:val="center"/>
          </w:tcPr>
          <w:p w14:paraId="18774176">
            <w:pPr>
              <w:wordWrap w:val="0"/>
              <w:jc w:val="center"/>
              <w:rPr>
                <w:rFonts w:ascii="宋体" w:hAnsi="宋体" w:eastAsia="宋体"/>
                <w:b/>
                <w:bCs/>
                <w:color w:val="0000FF"/>
              </w:rPr>
            </w:pPr>
            <w:r>
              <w:rPr>
                <w:rFonts w:ascii="宋体" w:hAnsi="宋体" w:eastAsia="宋体" w:cs="宋体"/>
                <w:b/>
                <w:bCs/>
                <w:color w:val="0000FF"/>
              </w:rPr>
              <w:t>诚信情况</w:t>
            </w:r>
          </w:p>
        </w:tc>
        <w:tc>
          <w:tcPr>
            <w:tcW w:w="5856" w:type="dxa"/>
            <w:tcBorders>
              <w:top w:val="single" w:color="000000" w:sz="8" w:space="0"/>
              <w:left w:val="single" w:color="000000" w:sz="8" w:space="0"/>
              <w:bottom w:val="single" w:color="000000" w:sz="8" w:space="0"/>
              <w:right w:val="single" w:color="000000" w:sz="8" w:space="0"/>
            </w:tcBorders>
            <w:vAlign w:val="center"/>
          </w:tcPr>
          <w:p w14:paraId="44A73613">
            <w:pPr>
              <w:wordWrap w:val="0"/>
              <w:jc w:val="center"/>
              <w:rPr>
                <w:rFonts w:hint="eastAsia" w:ascii="宋体" w:hAnsi="宋体" w:eastAsia="宋体"/>
                <w:b/>
                <w:bCs/>
                <w:color w:val="0000FF"/>
                <w:lang w:eastAsia="zh-CN"/>
              </w:rPr>
            </w:pPr>
            <w:r>
              <w:rPr>
                <w:rFonts w:hint="eastAsia" w:ascii="宋体" w:hAnsi="宋体" w:eastAsia="宋体" w:cs="宋体"/>
                <w:szCs w:val="21"/>
                <w:lang w:val="en-US" w:eastAsia="zh-CN"/>
              </w:rPr>
              <w:t>2</w:t>
            </w:r>
          </w:p>
        </w:tc>
      </w:tr>
      <w:tr w14:paraId="1BB1D4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728CF0A7">
            <w:pPr>
              <w:jc w:val="center"/>
              <w:rPr>
                <w:rFonts w:ascii="宋体" w:hAnsi="宋体" w:eastAsia="宋体"/>
                <w:b/>
                <w:bCs/>
                <w:color w:val="0000FF"/>
              </w:rPr>
            </w:pPr>
          </w:p>
        </w:tc>
        <w:tc>
          <w:tcPr>
            <w:tcW w:w="8524" w:type="dxa"/>
            <w:gridSpan w:val="4"/>
            <w:tcBorders>
              <w:top w:val="single" w:color="000000" w:sz="8" w:space="0"/>
              <w:left w:val="single" w:color="000000" w:sz="8" w:space="0"/>
              <w:bottom w:val="single" w:color="000000" w:sz="8" w:space="0"/>
              <w:right w:val="single" w:color="000000" w:sz="8" w:space="0"/>
            </w:tcBorders>
          </w:tcPr>
          <w:p w14:paraId="3A5FFF32">
            <w:pPr>
              <w:rPr>
                <w:rFonts w:ascii="宋体" w:hAnsi="宋体" w:eastAsia="宋体"/>
                <w:szCs w:val="21"/>
              </w:rPr>
            </w:pPr>
          </w:p>
        </w:tc>
      </w:tr>
      <w:tr w14:paraId="6DB192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0B75D22">
            <w:pPr>
              <w:jc w:val="center"/>
              <w:rPr>
                <w:rFonts w:ascii="宋体" w:hAnsi="宋体" w:eastAsia="宋体"/>
                <w:b/>
                <w:bCs/>
                <w:color w:val="0000FF"/>
              </w:rPr>
            </w:pPr>
          </w:p>
        </w:tc>
        <w:tc>
          <w:tcPr>
            <w:tcW w:w="55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721994F">
            <w:pPr>
              <w:wordWrap w:val="0"/>
              <w:jc w:val="center"/>
              <w:rPr>
                <w:rFonts w:ascii="宋体" w:hAnsi="宋体" w:eastAsia="宋体"/>
                <w:szCs w:val="21"/>
              </w:rPr>
            </w:pPr>
            <w:r>
              <w:rPr>
                <w:rFonts w:ascii="宋体" w:hAnsi="宋体" w:eastAsia="宋体" w:cs="宋体"/>
                <w:szCs w:val="21"/>
              </w:rPr>
              <w:t>序号</w:t>
            </w:r>
          </w:p>
        </w:tc>
        <w:tc>
          <w:tcPr>
            <w:tcW w:w="149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3CFCA3">
            <w:pPr>
              <w:wordWrap w:val="0"/>
              <w:jc w:val="center"/>
              <w:rPr>
                <w:rFonts w:ascii="宋体" w:hAnsi="宋体" w:eastAsia="宋体"/>
                <w:szCs w:val="21"/>
              </w:rPr>
            </w:pPr>
            <w:r>
              <w:rPr>
                <w:rFonts w:ascii="宋体" w:hAnsi="宋体" w:eastAsia="宋体" w:cs="宋体"/>
                <w:szCs w:val="21"/>
              </w:rPr>
              <w:t>评分因素</w:t>
            </w:r>
          </w:p>
        </w:tc>
        <w:tc>
          <w:tcPr>
            <w:tcW w:w="62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866669D">
            <w:pPr>
              <w:wordWrap w:val="0"/>
              <w:jc w:val="center"/>
              <w:rPr>
                <w:rFonts w:ascii="宋体" w:hAnsi="宋体" w:eastAsia="宋体"/>
                <w:szCs w:val="21"/>
              </w:rPr>
            </w:pPr>
            <w:r>
              <w:rPr>
                <w:rFonts w:ascii="宋体" w:hAnsi="宋体" w:eastAsia="宋体" w:cs="宋体"/>
                <w:szCs w:val="21"/>
              </w:rPr>
              <w:t>权重(%)</w:t>
            </w:r>
          </w:p>
        </w:tc>
        <w:tc>
          <w:tcPr>
            <w:tcW w:w="585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CACDD7B">
            <w:pPr>
              <w:wordWrap w:val="0"/>
              <w:jc w:val="center"/>
              <w:rPr>
                <w:rFonts w:ascii="宋体" w:hAnsi="宋体" w:eastAsia="宋体"/>
                <w:szCs w:val="21"/>
              </w:rPr>
            </w:pPr>
            <w:r>
              <w:rPr>
                <w:rFonts w:ascii="宋体" w:hAnsi="宋体" w:eastAsia="宋体" w:cs="宋体"/>
                <w:szCs w:val="21"/>
              </w:rPr>
              <w:t>评分准则</w:t>
            </w:r>
          </w:p>
        </w:tc>
      </w:tr>
      <w:tr w14:paraId="3A63A4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554" w:type="dxa"/>
            <w:vMerge w:val="continue"/>
            <w:tcBorders>
              <w:top w:val="single" w:color="000000" w:sz="8" w:space="0"/>
              <w:left w:val="single" w:color="000000" w:sz="8" w:space="0"/>
              <w:bottom w:val="single" w:color="000000" w:sz="8" w:space="0"/>
              <w:right w:val="single" w:color="000000" w:sz="8" w:space="0"/>
            </w:tcBorders>
            <w:vAlign w:val="center"/>
          </w:tcPr>
          <w:p w14:paraId="6829C9AC">
            <w:pPr>
              <w:jc w:val="center"/>
              <w:rPr>
                <w:rFonts w:ascii="宋体" w:hAnsi="宋体" w:eastAsia="宋体"/>
                <w:b/>
                <w:bCs/>
                <w:color w:val="0000FF"/>
              </w:rPr>
            </w:pPr>
          </w:p>
        </w:tc>
        <w:tc>
          <w:tcPr>
            <w:tcW w:w="554" w:type="dxa"/>
            <w:tcBorders>
              <w:top w:val="single" w:color="000000" w:sz="8" w:space="0"/>
              <w:left w:val="single" w:color="000000" w:sz="8" w:space="0"/>
              <w:bottom w:val="single" w:color="000000" w:sz="8" w:space="0"/>
              <w:right w:val="single" w:color="000000" w:sz="8" w:space="0"/>
            </w:tcBorders>
            <w:vAlign w:val="center"/>
          </w:tcPr>
          <w:p w14:paraId="668099AC">
            <w:pPr>
              <w:wordWrap w:val="0"/>
              <w:jc w:val="center"/>
              <w:textAlignment w:val="top"/>
              <w:rPr>
                <w:rFonts w:ascii="宋体" w:hAnsi="宋体" w:eastAsia="宋体"/>
                <w:szCs w:val="21"/>
              </w:rPr>
            </w:pPr>
            <w:r>
              <w:rPr>
                <w:rFonts w:ascii="宋体" w:hAnsi="宋体" w:eastAsia="宋体" w:cs="宋体"/>
                <w:szCs w:val="21"/>
              </w:rPr>
              <w:t>1</w:t>
            </w:r>
          </w:p>
        </w:tc>
        <w:tc>
          <w:tcPr>
            <w:tcW w:w="1492" w:type="dxa"/>
            <w:tcBorders>
              <w:top w:val="single" w:color="000000" w:sz="8" w:space="0"/>
              <w:left w:val="single" w:color="000000" w:sz="8" w:space="0"/>
              <w:bottom w:val="single" w:color="000000" w:sz="8" w:space="0"/>
              <w:right w:val="single" w:color="000000" w:sz="8" w:space="0"/>
            </w:tcBorders>
            <w:vAlign w:val="center"/>
          </w:tcPr>
          <w:p w14:paraId="5213BEE8">
            <w:pPr>
              <w:wordWrap w:val="0"/>
              <w:jc w:val="center"/>
              <w:textAlignment w:val="top"/>
              <w:rPr>
                <w:rFonts w:ascii="宋体" w:hAnsi="宋体" w:eastAsia="宋体"/>
                <w:szCs w:val="21"/>
              </w:rPr>
            </w:pPr>
            <w:r>
              <w:rPr>
                <w:rFonts w:ascii="宋体" w:hAnsi="宋体" w:eastAsia="宋体" w:cs="宋体"/>
                <w:szCs w:val="21"/>
              </w:rPr>
              <w:t>诚信</w:t>
            </w:r>
          </w:p>
        </w:tc>
        <w:tc>
          <w:tcPr>
            <w:tcW w:w="622" w:type="dxa"/>
            <w:tcBorders>
              <w:top w:val="single" w:color="000000" w:sz="8" w:space="0"/>
              <w:left w:val="single" w:color="000000" w:sz="8" w:space="0"/>
              <w:bottom w:val="single" w:color="000000" w:sz="8" w:space="0"/>
              <w:right w:val="single" w:color="000000" w:sz="8" w:space="0"/>
            </w:tcBorders>
            <w:vAlign w:val="center"/>
          </w:tcPr>
          <w:p w14:paraId="287ED001">
            <w:pPr>
              <w:wordWrap w:val="0"/>
              <w:jc w:val="center"/>
              <w:textAlignment w:val="top"/>
              <w:rPr>
                <w:rFonts w:hint="eastAsia" w:ascii="宋体" w:hAnsi="宋体" w:eastAsia="宋体"/>
                <w:szCs w:val="21"/>
                <w:lang w:eastAsia="zh-CN"/>
              </w:rPr>
            </w:pPr>
            <w:r>
              <w:rPr>
                <w:rFonts w:hint="eastAsia" w:ascii="宋体" w:hAnsi="宋体" w:eastAsia="宋体" w:cs="宋体"/>
                <w:szCs w:val="21"/>
                <w:lang w:val="en-US" w:eastAsia="zh-CN"/>
              </w:rPr>
              <w:t>2</w:t>
            </w:r>
          </w:p>
        </w:tc>
        <w:tc>
          <w:tcPr>
            <w:tcW w:w="5856" w:type="dxa"/>
            <w:tcBorders>
              <w:top w:val="single" w:color="000000" w:sz="8" w:space="0"/>
              <w:left w:val="single" w:color="000000" w:sz="8" w:space="0"/>
              <w:bottom w:val="single" w:color="000000" w:sz="8" w:space="0"/>
              <w:right w:val="single" w:color="000000" w:sz="8" w:space="0"/>
            </w:tcBorders>
          </w:tcPr>
          <w:p w14:paraId="681A7866">
            <w:pPr>
              <w:wordWrap w:val="0"/>
              <w:jc w:val="both"/>
              <w:textAlignment w:val="top"/>
              <w:rPr>
                <w:rFonts w:ascii="宋体" w:hAnsi="宋体" w:eastAsia="宋体" w:cs="宋体"/>
                <w:color w:val="000000"/>
              </w:rPr>
            </w:pPr>
            <w:r>
              <w:rPr>
                <w:rFonts w:hint="eastAsia" w:ascii="宋体" w:hAnsi="宋体" w:eastAsia="宋体" w:cs="宋体"/>
                <w:color w:val="000000"/>
              </w:rPr>
              <w:t>（一）评分内容：</w:t>
            </w:r>
          </w:p>
          <w:p w14:paraId="160F9FA3">
            <w:pPr>
              <w:wordWrap w:val="0"/>
              <w:jc w:val="both"/>
              <w:textAlignment w:val="top"/>
              <w:rPr>
                <w:rFonts w:ascii="宋体" w:hAnsi="宋体" w:eastAsia="宋体" w:cs="宋体"/>
                <w:color w:val="000000"/>
              </w:rPr>
            </w:pPr>
            <w:r>
              <w:rPr>
                <w:rFonts w:hint="eastAsia" w:ascii="宋体" w:hAnsi="宋体" w:eastAsia="宋体" w:cs="宋体"/>
                <w:color w:val="000000"/>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540BECA1">
            <w:pPr>
              <w:wordWrap w:val="0"/>
              <w:jc w:val="both"/>
              <w:textAlignment w:val="top"/>
              <w:rPr>
                <w:rFonts w:ascii="宋体" w:hAnsi="宋体" w:eastAsia="宋体" w:cs="宋体"/>
                <w:color w:val="000000"/>
              </w:rPr>
            </w:pPr>
            <w:r>
              <w:rPr>
                <w:rFonts w:hint="eastAsia" w:ascii="宋体" w:hAnsi="宋体" w:eastAsia="宋体" w:cs="宋体"/>
                <w:color w:val="000000"/>
              </w:rPr>
              <w:t>（二）评分依据:</w:t>
            </w:r>
          </w:p>
          <w:p w14:paraId="688B74CC">
            <w:pPr>
              <w:wordWrap w:val="0"/>
              <w:jc w:val="both"/>
              <w:textAlignment w:val="top"/>
              <w:rPr>
                <w:rFonts w:ascii="宋体" w:hAnsi="宋体" w:eastAsia="宋体"/>
                <w:szCs w:val="21"/>
              </w:rPr>
            </w:pPr>
            <w:r>
              <w:rPr>
                <w:rFonts w:hint="eastAsia" w:ascii="宋体" w:hAnsi="宋体" w:eastAsia="宋体" w:cs="宋体"/>
                <w:color w:val="000000"/>
              </w:rPr>
              <w:t>采购代理机构通过“信用中国”、“中国政府采购网”、“深圳市政府采购监管网”以及市、区财政部门认定的其他渠道查询供应商信用信息，投标人无需提供证明材料。</w:t>
            </w:r>
          </w:p>
        </w:tc>
      </w:tr>
    </w:tbl>
    <w:p w14:paraId="3EA5C13B">
      <w:pPr>
        <w:spacing w:after="1134"/>
        <w:jc w:val="center"/>
        <w:rPr>
          <w:rFonts w:ascii="宋体" w:hAnsi="宋体" w:eastAsia="宋体"/>
          <w:sz w:val="40"/>
          <w:szCs w:val="40"/>
        </w:rPr>
      </w:pPr>
    </w:p>
    <w:p w14:paraId="3F6356FE">
      <w:pPr>
        <w:rPr>
          <w:rFonts w:hint="eastAsia" w:ascii="宋体" w:hAnsi="宋体" w:eastAsia="宋体"/>
          <w:sz w:val="40"/>
          <w:szCs w:val="40"/>
        </w:rPr>
      </w:pPr>
      <w:r>
        <w:rPr>
          <w:rFonts w:hint="eastAsia" w:ascii="宋体" w:hAnsi="宋体" w:eastAsia="宋体"/>
          <w:sz w:val="40"/>
          <w:szCs w:val="40"/>
        </w:rPr>
        <w:br w:type="page"/>
      </w:r>
    </w:p>
    <w:p w14:paraId="0AAB2A55">
      <w:pPr>
        <w:spacing w:after="1134"/>
        <w:jc w:val="center"/>
        <w:outlineLvl w:val="1"/>
        <w:rPr>
          <w:rFonts w:ascii="宋体" w:hAnsi="宋体" w:eastAsia="宋体"/>
          <w:sz w:val="40"/>
          <w:szCs w:val="40"/>
        </w:rPr>
      </w:pPr>
      <w:r>
        <w:rPr>
          <w:rFonts w:hint="eastAsia" w:ascii="宋体" w:hAnsi="宋体" w:eastAsia="宋体"/>
          <w:sz w:val="40"/>
          <w:szCs w:val="40"/>
        </w:rPr>
        <w:t>投标书目录</w:t>
      </w:r>
    </w:p>
    <w:tbl>
      <w:tblPr>
        <w:tblStyle w:val="18"/>
        <w:tblW w:w="9072" w:type="dxa"/>
        <w:jc w:val="center"/>
        <w:tblCellSpacing w:w="0" w:type="dxa"/>
        <w:tblLayout w:type="autofit"/>
        <w:tblCellMar>
          <w:top w:w="36" w:type="dxa"/>
          <w:left w:w="36" w:type="dxa"/>
          <w:bottom w:w="36" w:type="dxa"/>
          <w:right w:w="36" w:type="dxa"/>
        </w:tblCellMar>
      </w:tblPr>
      <w:tblGrid>
        <w:gridCol w:w="9072"/>
      </w:tblGrid>
      <w:tr w14:paraId="10B2FB54">
        <w:tblPrEx>
          <w:tblCellMar>
            <w:top w:w="36" w:type="dxa"/>
            <w:left w:w="36" w:type="dxa"/>
            <w:bottom w:w="36" w:type="dxa"/>
            <w:right w:w="36" w:type="dxa"/>
          </w:tblCellMar>
        </w:tblPrEx>
        <w:trPr>
          <w:trHeight w:val="2052" w:hRule="atLeast"/>
          <w:tblCellSpacing w:w="0" w:type="dxa"/>
          <w:jc w:val="center"/>
        </w:trPr>
        <w:tc>
          <w:tcPr>
            <w:tcW w:w="0" w:type="auto"/>
            <w:vAlign w:val="center"/>
          </w:tcPr>
          <w:p w14:paraId="5B81D7AC">
            <w:pPr>
              <w:spacing w:before="100" w:beforeAutospacing="1" w:after="100" w:afterAutospacing="1"/>
              <w:ind w:left="360"/>
              <w:rPr>
                <w:rFonts w:ascii="宋体" w:hAnsi="宋体" w:eastAsia="宋体"/>
                <w:color w:val="4F81BD" w:themeColor="accent1"/>
                <w:szCs w:val="21"/>
                <w14:textFill>
                  <w14:solidFill>
                    <w14:schemeClr w14:val="accent1"/>
                  </w14:solidFill>
                </w14:textFill>
              </w:rPr>
            </w:pPr>
            <w:bookmarkStart w:id="2" w:name="_Hlk86760759"/>
            <w:r>
              <w:rPr>
                <w:rFonts w:hint="eastAsia" w:ascii="宋体" w:hAnsi="宋体" w:eastAsia="宋体"/>
                <w:color w:val="4F81BD" w:themeColor="accent1"/>
                <w:szCs w:val="21"/>
                <w14:textFill>
                  <w14:solidFill>
                    <w14:schemeClr w14:val="accent1"/>
                  </w14:solidFill>
                </w14:textFill>
              </w:rPr>
              <w:t>1.投标文件正文（信息公开部分），主要包括以下内容：</w:t>
            </w:r>
          </w:p>
          <w:p w14:paraId="0F6704E3">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（1）投标函</w:t>
            </w:r>
          </w:p>
          <w:p w14:paraId="19A74EBD">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（2）政府采购投标及履约承诺函</w:t>
            </w:r>
          </w:p>
          <w:p w14:paraId="078AAF2A">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（3）投标人情况及资格证明文件</w:t>
            </w:r>
          </w:p>
          <w:p w14:paraId="51AE14CE">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（4）项目详细报价</w:t>
            </w:r>
          </w:p>
          <w:p w14:paraId="60AEE5C3">
            <w:pPr>
              <w:spacing w:before="100" w:beforeAutospacing="1" w:after="100" w:afterAutospacing="1"/>
              <w:ind w:left="360"/>
              <w:rPr>
                <w:rFonts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（5）投标人认为需要加以说明的其他内容</w:t>
            </w:r>
          </w:p>
          <w:p w14:paraId="42A2EB9B">
            <w:pPr>
              <w:spacing w:before="100" w:beforeAutospacing="1" w:after="100" w:afterAutospacing="1"/>
              <w:ind w:left="360"/>
              <w:rPr>
                <w:rFonts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2.投标文件附件（信息不公开部分）：主要包括以下内容：</w:t>
            </w:r>
          </w:p>
          <w:p w14:paraId="689B18CE">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（1）法定代表人（负责人或执行事务合伙人）资格证明书</w:t>
            </w:r>
          </w:p>
          <w:p w14:paraId="5B75C8FB">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（2）投标文件签署授权委托书</w:t>
            </w:r>
          </w:p>
          <w:p w14:paraId="38D611FF">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（3）供应商基本情况表</w:t>
            </w:r>
          </w:p>
          <w:p w14:paraId="0AA528C0">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（4）供应商基本情况表及附件</w:t>
            </w:r>
          </w:p>
          <w:p w14:paraId="410EF39A">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（5）实质性条款响应情况表</w:t>
            </w:r>
          </w:p>
          <w:p w14:paraId="16076E1C">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（6）技术要求偏离表</w:t>
            </w:r>
          </w:p>
          <w:p w14:paraId="4B64E36A">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（7）商务要求偏离表</w:t>
            </w:r>
          </w:p>
          <w:p w14:paraId="791AF9C7">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（8）项目分析与技术保障方案</w:t>
            </w:r>
          </w:p>
          <w:p w14:paraId="4A858E27">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（9）安装调试保障方案</w:t>
            </w:r>
          </w:p>
          <w:p w14:paraId="1E053F2C">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（10）培训服务方案</w:t>
            </w:r>
          </w:p>
          <w:p w14:paraId="7D9CDFC5">
            <w:pPr>
              <w:spacing w:before="100" w:beforeAutospacing="1" w:after="100" w:afterAutospacing="1"/>
              <w:ind w:left="360"/>
              <w:rPr>
                <w:rFonts w:hint="eastAsia" w:ascii="宋体" w:hAnsi="宋体" w:eastAsia="宋体"/>
                <w:color w:val="4F81BD" w:themeColor="accent1"/>
                <w:szCs w:val="21"/>
                <w14:textFill>
                  <w14:solidFill>
                    <w14:schemeClr w14:val="accent1"/>
                  </w14:solidFill>
                </w14:textFill>
              </w:rPr>
            </w:pPr>
            <w:r>
              <w:rPr>
                <w:rFonts w:hint="eastAsia" w:ascii="宋体" w:hAnsi="宋体" w:eastAsia="宋体"/>
                <w:color w:val="4F81BD" w:themeColor="accent1"/>
                <w:szCs w:val="21"/>
                <w14:textFill>
                  <w14:solidFill>
                    <w14:schemeClr w14:val="accent1"/>
                  </w14:solidFill>
                </w14:textFill>
              </w:rPr>
              <w:t>（11）免费保修期外售后维保方案</w:t>
            </w:r>
          </w:p>
          <w:p w14:paraId="185507B0">
            <w:pPr>
              <w:spacing w:before="100" w:beforeAutospacing="1" w:after="100" w:afterAutospacing="1"/>
              <w:ind w:left="360"/>
              <w:rPr>
                <w:rFonts w:ascii="宋体" w:hAnsi="宋体" w:eastAsia="宋体"/>
                <w:szCs w:val="21"/>
              </w:rPr>
            </w:pPr>
            <w:r>
              <w:rPr>
                <w:rFonts w:hint="eastAsia" w:ascii="宋体" w:hAnsi="宋体" w:eastAsia="宋体"/>
                <w:color w:val="4F81BD" w:themeColor="accent1"/>
                <w:szCs w:val="21"/>
                <w14:textFill>
                  <w14:solidFill>
                    <w14:schemeClr w14:val="accent1"/>
                  </w14:solidFill>
                </w14:textFill>
              </w:rPr>
              <w:t>（12）投标人认为需要加以说明的其他内容（格式自定）</w:t>
            </w:r>
          </w:p>
        </w:tc>
      </w:tr>
      <w:bookmarkEnd w:id="2"/>
    </w:tbl>
    <w:p w14:paraId="68B35665">
      <w:pPr>
        <w:rPr>
          <w:rFonts w:ascii="宋体" w:hAnsi="宋体" w:eastAsia="宋体"/>
        </w:rPr>
      </w:pPr>
    </w:p>
    <w:p w14:paraId="3A6265E6">
      <w:pPr>
        <w:rPr>
          <w:rFonts w:ascii="宋体" w:hAnsi="宋体" w:eastAsia="宋体"/>
        </w:rPr>
      </w:pPr>
    </w:p>
    <w:p w14:paraId="69EEE4E3">
      <w:pPr>
        <w:rPr>
          <w:rFonts w:ascii="宋体" w:hAnsi="宋体" w:eastAsia="宋体"/>
        </w:rPr>
      </w:pPr>
    </w:p>
    <w:p w14:paraId="699E55FE">
      <w:pPr>
        <w:jc w:val="center"/>
        <w:rPr>
          <w:rFonts w:ascii="宋体" w:hAnsi="宋体" w:eastAsia="宋体"/>
          <w:b/>
          <w:sz w:val="120"/>
          <w:szCs w:val="120"/>
        </w:rPr>
      </w:pPr>
      <w:r>
        <w:rPr>
          <w:rFonts w:hint="eastAsia" w:ascii="宋体" w:hAnsi="宋体" w:eastAsia="宋体"/>
          <w:b/>
          <w:sz w:val="120"/>
          <w:szCs w:val="120"/>
        </w:rPr>
        <w:br w:type="page"/>
      </w:r>
      <w:r>
        <w:rPr>
          <w:rFonts w:hint="eastAsia" w:ascii="宋体" w:hAnsi="宋体" w:eastAsia="宋体"/>
          <w:b/>
          <w:sz w:val="120"/>
          <w:szCs w:val="120"/>
        </w:rPr>
        <w:t>政府采购</w:t>
      </w:r>
    </w:p>
    <w:p w14:paraId="6143C0C1">
      <w:pPr>
        <w:jc w:val="center"/>
        <w:rPr>
          <w:rFonts w:ascii="宋体" w:hAnsi="宋体" w:eastAsia="宋体"/>
          <w:b/>
          <w:sz w:val="120"/>
          <w:szCs w:val="120"/>
        </w:rPr>
      </w:pPr>
      <w:r>
        <w:rPr>
          <w:rFonts w:hint="eastAsia" w:ascii="宋体" w:hAnsi="宋体" w:eastAsia="宋体"/>
          <w:b/>
          <w:sz w:val="120"/>
          <w:szCs w:val="120"/>
        </w:rPr>
        <w:t>招标文件</w:t>
      </w:r>
    </w:p>
    <w:p w14:paraId="346B354E">
      <w:pPr>
        <w:jc w:val="center"/>
        <w:rPr>
          <w:rFonts w:ascii="宋体" w:hAnsi="宋体" w:eastAsia="宋体"/>
          <w:b/>
          <w:sz w:val="52"/>
          <w:szCs w:val="52"/>
        </w:rPr>
      </w:pPr>
      <w:r>
        <w:rPr>
          <w:rFonts w:hint="eastAsia" w:ascii="宋体" w:hAnsi="宋体" w:eastAsia="宋体"/>
          <w:b/>
          <w:sz w:val="52"/>
          <w:szCs w:val="52"/>
        </w:rPr>
        <w:t>（货物类）</w:t>
      </w:r>
    </w:p>
    <w:p w14:paraId="542DF875">
      <w:pPr>
        <w:rPr>
          <w:rFonts w:ascii="宋体" w:hAnsi="宋体" w:eastAsia="宋体"/>
        </w:rPr>
      </w:pPr>
    </w:p>
    <w:p w14:paraId="5329AC64">
      <w:pPr>
        <w:rPr>
          <w:rFonts w:ascii="宋体" w:hAnsi="宋体" w:eastAsia="宋体"/>
        </w:rPr>
      </w:pPr>
    </w:p>
    <w:p w14:paraId="16CBC6F2">
      <w:pPr>
        <w:rPr>
          <w:rFonts w:ascii="宋体" w:hAnsi="宋体" w:eastAsia="宋体"/>
        </w:rPr>
      </w:pPr>
    </w:p>
    <w:p w14:paraId="60C73497">
      <w:pPr>
        <w:rPr>
          <w:rFonts w:ascii="宋体" w:hAnsi="宋体" w:eastAsia="宋体"/>
        </w:rPr>
      </w:pPr>
    </w:p>
    <w:p w14:paraId="55249E5F">
      <w:pPr>
        <w:rPr>
          <w:rFonts w:ascii="宋体" w:hAnsi="宋体" w:eastAsia="宋体"/>
        </w:rPr>
      </w:pPr>
    </w:p>
    <w:p w14:paraId="6397058F">
      <w:pPr>
        <w:rPr>
          <w:rFonts w:ascii="宋体" w:hAnsi="宋体" w:eastAsia="宋体"/>
        </w:rPr>
      </w:pPr>
    </w:p>
    <w:p w14:paraId="723FD610">
      <w:pPr>
        <w:rPr>
          <w:rFonts w:ascii="宋体" w:hAnsi="宋体" w:eastAsia="宋体"/>
        </w:rPr>
      </w:pPr>
    </w:p>
    <w:p w14:paraId="1C3AEB9D">
      <w:pPr>
        <w:rPr>
          <w:rFonts w:ascii="宋体" w:hAnsi="宋体" w:eastAsia="宋体"/>
        </w:rPr>
      </w:pPr>
    </w:p>
    <w:p w14:paraId="6AD37E61">
      <w:pPr>
        <w:rPr>
          <w:rFonts w:ascii="宋体" w:hAnsi="宋体" w:eastAsia="宋体"/>
        </w:rPr>
      </w:pPr>
    </w:p>
    <w:p w14:paraId="08DB257B">
      <w:pPr>
        <w:rPr>
          <w:rFonts w:ascii="宋体" w:hAnsi="宋体" w:eastAsia="宋体"/>
        </w:rPr>
      </w:pPr>
    </w:p>
    <w:p w14:paraId="43FB10AB">
      <w:pPr>
        <w:rPr>
          <w:rFonts w:ascii="宋体" w:hAnsi="宋体" w:eastAsia="宋体"/>
        </w:rPr>
      </w:pPr>
    </w:p>
    <w:p w14:paraId="6EA98927">
      <w:pPr>
        <w:rPr>
          <w:rFonts w:ascii="宋体" w:hAnsi="宋体" w:eastAsia="宋体"/>
        </w:rPr>
      </w:pPr>
    </w:p>
    <w:p w14:paraId="0C0DAA87">
      <w:pPr>
        <w:rPr>
          <w:rFonts w:ascii="宋体" w:hAnsi="宋体" w:eastAsia="宋体"/>
        </w:rPr>
      </w:pPr>
    </w:p>
    <w:p w14:paraId="4D9821E8">
      <w:pPr>
        <w:rPr>
          <w:rFonts w:ascii="宋体" w:hAnsi="宋体" w:eastAsia="宋体"/>
        </w:rPr>
      </w:pPr>
    </w:p>
    <w:p w14:paraId="5F00EED7">
      <w:pPr>
        <w:rPr>
          <w:rFonts w:ascii="宋体" w:hAnsi="宋体" w:eastAsia="宋体"/>
        </w:rPr>
      </w:pPr>
    </w:p>
    <w:p w14:paraId="326661D5">
      <w:pPr>
        <w:rPr>
          <w:rFonts w:ascii="宋体" w:hAnsi="宋体" w:eastAsia="宋体"/>
        </w:rPr>
      </w:pPr>
    </w:p>
    <w:p w14:paraId="15F20452">
      <w:pPr>
        <w:rPr>
          <w:rFonts w:ascii="宋体" w:hAnsi="宋体" w:eastAsia="宋体"/>
        </w:rPr>
      </w:pPr>
    </w:p>
    <w:p w14:paraId="2E84DCB2">
      <w:pPr>
        <w:rPr>
          <w:rFonts w:ascii="宋体" w:hAnsi="宋体" w:eastAsia="宋体"/>
        </w:rPr>
      </w:pPr>
    </w:p>
    <w:p w14:paraId="032134AE">
      <w:pPr>
        <w:rPr>
          <w:rFonts w:ascii="宋体" w:hAnsi="宋体" w:eastAsia="宋体"/>
        </w:rPr>
      </w:pPr>
    </w:p>
    <w:p w14:paraId="1A09631F">
      <w:pPr>
        <w:jc w:val="center"/>
        <w:rPr>
          <w:rFonts w:ascii="宋体" w:hAnsi="宋体" w:eastAsia="宋体"/>
          <w:b/>
          <w:sz w:val="44"/>
          <w:szCs w:val="44"/>
        </w:rPr>
      </w:pPr>
      <w:bookmarkStart w:id="3" w:name="_Hlk71465316"/>
      <w:r>
        <w:rPr>
          <w:rFonts w:hint="eastAsia" w:ascii="宋体" w:hAnsi="宋体" w:eastAsia="宋体"/>
          <w:b/>
          <w:sz w:val="44"/>
          <w:szCs w:val="44"/>
        </w:rPr>
        <w:t>友和保险经纪有限公司</w:t>
      </w:r>
    </w:p>
    <w:p w14:paraId="41460EED">
      <w:pPr>
        <w:jc w:val="center"/>
        <w:rPr>
          <w:rFonts w:ascii="宋体" w:hAnsi="宋体" w:eastAsia="宋体"/>
          <w:b/>
          <w:sz w:val="44"/>
          <w:szCs w:val="44"/>
        </w:rPr>
      </w:pPr>
      <w:r>
        <w:rPr>
          <w:rFonts w:hint="eastAsia" w:ascii="宋体" w:hAnsi="宋体" w:eastAsia="宋体"/>
          <w:b/>
          <w:sz w:val="44"/>
          <w:szCs w:val="44"/>
        </w:rPr>
        <w:t>（</w:t>
      </w:r>
      <w:r>
        <w:rPr>
          <w:rFonts w:ascii="宋体" w:hAnsi="宋体" w:eastAsia="宋体"/>
          <w:b/>
          <w:sz w:val="44"/>
          <w:szCs w:val="44"/>
        </w:rPr>
        <w:t>20</w:t>
      </w:r>
      <w:r>
        <w:rPr>
          <w:rFonts w:hint="eastAsia" w:ascii="宋体" w:hAnsi="宋体" w:eastAsia="宋体"/>
          <w:b/>
          <w:sz w:val="44"/>
          <w:szCs w:val="44"/>
        </w:rPr>
        <w:t>25）</w:t>
      </w:r>
      <w:bookmarkEnd w:id="3"/>
    </w:p>
    <w:p w14:paraId="204CD480">
      <w:pPr>
        <w:ind w:firstLine="435"/>
        <w:rPr>
          <w:rFonts w:ascii="宋体" w:hAnsi="宋体" w:eastAsia="宋体"/>
        </w:rPr>
      </w:pPr>
    </w:p>
    <w:p w14:paraId="340E4F90">
      <w:pPr>
        <w:rPr>
          <w:rFonts w:ascii="宋体" w:hAnsi="宋体" w:eastAsia="宋体"/>
        </w:rPr>
      </w:pPr>
      <w:r>
        <w:rPr>
          <w:rFonts w:ascii="宋体" w:hAnsi="宋体" w:eastAsia="宋体"/>
        </w:rPr>
        <w:br w:type="page"/>
      </w:r>
    </w:p>
    <w:p w14:paraId="3269C3A8">
      <w:pPr>
        <w:ind w:firstLine="3654" w:firstLineChars="1300"/>
        <w:outlineLvl w:val="1"/>
        <w:rPr>
          <w:rFonts w:ascii="宋体" w:hAnsi="宋体" w:eastAsia="宋体"/>
          <w:color w:val="FF0000"/>
          <w:szCs w:val="21"/>
        </w:rPr>
      </w:pPr>
      <w:bookmarkStart w:id="4" w:name="_Hlk73564573"/>
      <w:r>
        <w:rPr>
          <w:rFonts w:hint="eastAsia" w:ascii="宋体" w:hAnsi="宋体" w:eastAsia="宋体"/>
          <w:b/>
          <w:bCs/>
          <w:color w:val="FF0000"/>
          <w:kern w:val="44"/>
          <w:sz w:val="28"/>
          <w:szCs w:val="44"/>
        </w:rPr>
        <w:t>警示条款</w:t>
      </w:r>
    </w:p>
    <w:p w14:paraId="6042F6AB">
      <w:pPr>
        <w:ind w:firstLine="480" w:firstLineChars="200"/>
        <w:rPr>
          <w:rFonts w:ascii="宋体" w:hAnsi="宋体" w:eastAsia="宋体"/>
          <w:color w:val="000000" w:themeColor="text1"/>
          <w14:textFill>
            <w14:solidFill>
              <w14:schemeClr w14:val="tx1"/>
            </w14:solidFill>
          </w14:textFill>
        </w:rPr>
      </w:pPr>
    </w:p>
    <w:bookmarkEnd w:id="4"/>
    <w:p w14:paraId="7ED6CF32">
      <w:pPr>
        <w:ind w:firstLine="480" w:firstLineChars="200"/>
        <w:rPr>
          <w:rFonts w:ascii="宋体" w:hAnsi="宋体"/>
          <w:color w:val="FF0000"/>
        </w:rPr>
      </w:pPr>
      <w:r>
        <w:rPr>
          <w:rFonts w:hint="eastAsia" w:ascii="宋体" w:hAnsi="宋体"/>
          <w:color w:val="FF0000"/>
        </w:rPr>
        <w:t>一、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1884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1C19C1D6">
            <w:pPr>
              <w:widowControl w:val="0"/>
              <w:jc w:val="center"/>
              <w:rPr>
                <w:rFonts w:ascii="宋体" w:hAnsi="宋体"/>
                <w:color w:val="FF0000"/>
              </w:rPr>
            </w:pPr>
            <w:r>
              <w:rPr>
                <w:rFonts w:hint="eastAsia" w:ascii="宋体" w:hAnsi="宋体"/>
                <w:color w:val="FF0000"/>
              </w:rPr>
              <w:t>序号</w:t>
            </w:r>
          </w:p>
        </w:tc>
        <w:tc>
          <w:tcPr>
            <w:tcW w:w="7711" w:type="dxa"/>
            <w:vAlign w:val="center"/>
          </w:tcPr>
          <w:p w14:paraId="0C9612F7">
            <w:pPr>
              <w:widowControl w:val="0"/>
              <w:jc w:val="center"/>
              <w:rPr>
                <w:rFonts w:ascii="宋体" w:hAnsi="宋体"/>
                <w:color w:val="FF0000"/>
              </w:rPr>
            </w:pPr>
            <w:r>
              <w:rPr>
                <w:rFonts w:hint="eastAsia" w:ascii="宋体" w:hAnsi="宋体"/>
                <w:color w:val="FF0000"/>
              </w:rPr>
              <w:t>供应商参与投标禁止情形</w:t>
            </w:r>
          </w:p>
        </w:tc>
      </w:tr>
      <w:tr w14:paraId="1343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26CF2445">
            <w:pPr>
              <w:widowControl w:val="0"/>
              <w:jc w:val="center"/>
              <w:rPr>
                <w:rFonts w:ascii="宋体" w:hAnsi="宋体"/>
                <w:color w:val="FF0000"/>
              </w:rPr>
            </w:pPr>
            <w:r>
              <w:rPr>
                <w:rFonts w:hint="eastAsia" w:ascii="宋体" w:hAnsi="宋体"/>
                <w:color w:val="FF0000"/>
              </w:rPr>
              <w:t>1</w:t>
            </w:r>
          </w:p>
        </w:tc>
        <w:tc>
          <w:tcPr>
            <w:tcW w:w="7711" w:type="dxa"/>
            <w:vAlign w:val="center"/>
          </w:tcPr>
          <w:p w14:paraId="7C992B1F">
            <w:pPr>
              <w:widowControl w:val="0"/>
              <w:jc w:val="both"/>
              <w:rPr>
                <w:rFonts w:ascii="宋体" w:hAnsi="宋体"/>
                <w:color w:val="FF0000"/>
              </w:rPr>
            </w:pPr>
            <w:r>
              <w:rPr>
                <w:rFonts w:hint="eastAsia" w:ascii="宋体" w:hAnsi="宋体"/>
                <w:color w:val="FF0000"/>
              </w:rPr>
              <w:t>与其他投标供应商的法定代表人、主要经营负责人、投标授权代表人、项目负责人、主要技术人员为</w:t>
            </w:r>
            <w:r>
              <w:rPr>
                <w:rFonts w:hint="eastAsia" w:ascii="宋体" w:hAnsi="宋体"/>
                <w:b/>
                <w:bCs/>
                <w:color w:val="FF0000"/>
              </w:rPr>
              <w:t>同一人、属同一单位或者在同一单位缴纳社会保险。</w:t>
            </w:r>
          </w:p>
        </w:tc>
      </w:tr>
      <w:tr w14:paraId="2BF5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4A2A1687">
            <w:pPr>
              <w:widowControl w:val="0"/>
              <w:jc w:val="center"/>
              <w:rPr>
                <w:rFonts w:ascii="宋体" w:hAnsi="宋体"/>
                <w:color w:val="FF0000"/>
              </w:rPr>
            </w:pPr>
            <w:r>
              <w:rPr>
                <w:rFonts w:hint="eastAsia" w:ascii="宋体" w:hAnsi="宋体"/>
                <w:color w:val="FF0000"/>
              </w:rPr>
              <w:t>2</w:t>
            </w:r>
          </w:p>
        </w:tc>
        <w:tc>
          <w:tcPr>
            <w:tcW w:w="7711" w:type="dxa"/>
            <w:vAlign w:val="center"/>
          </w:tcPr>
          <w:p w14:paraId="2F5139E4">
            <w:pPr>
              <w:widowControl w:val="0"/>
              <w:jc w:val="both"/>
              <w:rPr>
                <w:rFonts w:ascii="宋体" w:hAnsi="宋体"/>
                <w:color w:val="FF0000"/>
              </w:rPr>
            </w:pPr>
            <w:r>
              <w:rPr>
                <w:rFonts w:hint="eastAsia" w:ascii="宋体" w:hAnsi="宋体"/>
                <w:color w:val="FF0000"/>
              </w:rPr>
              <w:t>参与本项目政府采购活动时，与其他投标供应商存在单位负责人为</w:t>
            </w:r>
            <w:r>
              <w:rPr>
                <w:rFonts w:hint="eastAsia" w:ascii="宋体" w:hAnsi="宋体"/>
                <w:b/>
                <w:bCs/>
                <w:color w:val="FF0000"/>
              </w:rPr>
              <w:t>同一人或直接控股、管理关系</w:t>
            </w:r>
            <w:r>
              <w:rPr>
                <w:rFonts w:hint="eastAsia" w:ascii="宋体" w:hAnsi="宋体"/>
                <w:color w:val="FF0000"/>
              </w:rPr>
              <w:t>。</w:t>
            </w:r>
          </w:p>
        </w:tc>
      </w:tr>
      <w:tr w14:paraId="65B9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0918595E">
            <w:pPr>
              <w:widowControl w:val="0"/>
              <w:jc w:val="center"/>
              <w:rPr>
                <w:rFonts w:ascii="宋体" w:hAnsi="宋体"/>
                <w:color w:val="FF0000"/>
              </w:rPr>
            </w:pPr>
            <w:r>
              <w:rPr>
                <w:rFonts w:hint="eastAsia" w:ascii="宋体" w:hAnsi="宋体"/>
                <w:color w:val="FF0000"/>
              </w:rPr>
              <w:t>3</w:t>
            </w:r>
          </w:p>
        </w:tc>
        <w:tc>
          <w:tcPr>
            <w:tcW w:w="7711" w:type="dxa"/>
            <w:vAlign w:val="center"/>
          </w:tcPr>
          <w:p w14:paraId="55FD9223">
            <w:pPr>
              <w:widowControl w:val="0"/>
              <w:jc w:val="both"/>
              <w:rPr>
                <w:rFonts w:ascii="宋体" w:hAnsi="宋体"/>
                <w:color w:val="FF0000"/>
              </w:rPr>
            </w:pPr>
            <w:r>
              <w:rPr>
                <w:rFonts w:hint="eastAsia" w:ascii="宋体" w:hAnsi="宋体"/>
                <w:color w:val="FF0000"/>
              </w:rPr>
              <w:t>与其他投标供应商的投标文件或部分投标文件</w:t>
            </w:r>
            <w:r>
              <w:rPr>
                <w:rFonts w:hint="eastAsia" w:ascii="宋体" w:hAnsi="宋体"/>
                <w:b/>
                <w:bCs/>
                <w:color w:val="FF0000"/>
              </w:rPr>
              <w:t>相互混装或存在非正常一致</w:t>
            </w:r>
            <w:r>
              <w:rPr>
                <w:rFonts w:hint="eastAsia" w:ascii="宋体" w:hAnsi="宋体"/>
                <w:color w:val="FF0000"/>
              </w:rPr>
              <w:t>。</w:t>
            </w:r>
          </w:p>
        </w:tc>
      </w:tr>
      <w:tr w14:paraId="6756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4EBBE6BC">
            <w:pPr>
              <w:widowControl w:val="0"/>
              <w:jc w:val="center"/>
              <w:rPr>
                <w:rFonts w:ascii="宋体" w:hAnsi="宋体"/>
                <w:color w:val="FF0000"/>
              </w:rPr>
            </w:pPr>
            <w:r>
              <w:rPr>
                <w:rFonts w:hint="eastAsia" w:ascii="宋体" w:hAnsi="宋体"/>
                <w:color w:val="FF0000"/>
              </w:rPr>
              <w:t>4</w:t>
            </w:r>
          </w:p>
        </w:tc>
        <w:tc>
          <w:tcPr>
            <w:tcW w:w="7711" w:type="dxa"/>
            <w:vAlign w:val="center"/>
          </w:tcPr>
          <w:p w14:paraId="189C4F4A">
            <w:pPr>
              <w:widowControl w:val="0"/>
              <w:jc w:val="both"/>
              <w:rPr>
                <w:rFonts w:ascii="宋体" w:hAnsi="宋体"/>
                <w:color w:val="FF0000"/>
              </w:rPr>
            </w:pPr>
            <w:r>
              <w:rPr>
                <w:rFonts w:hint="eastAsia" w:ascii="宋体" w:hAnsi="宋体"/>
                <w:color w:val="FF0000"/>
              </w:rPr>
              <w:t>与其他投标供应商的投标文件由</w:t>
            </w:r>
            <w:r>
              <w:rPr>
                <w:rFonts w:hint="eastAsia" w:ascii="宋体" w:hAnsi="宋体"/>
                <w:b/>
                <w:bCs/>
                <w:color w:val="FF0000"/>
              </w:rPr>
              <w:t>同一单位或者同一人编制</w:t>
            </w:r>
            <w:r>
              <w:rPr>
                <w:rFonts w:hint="eastAsia" w:ascii="宋体" w:hAnsi="宋体"/>
                <w:color w:val="FF0000"/>
              </w:rPr>
              <w:t>，或者使用</w:t>
            </w:r>
            <w:r>
              <w:rPr>
                <w:rFonts w:hint="eastAsia" w:ascii="宋体" w:hAnsi="宋体"/>
                <w:b/>
                <w:bCs/>
                <w:color w:val="FF0000"/>
              </w:rPr>
              <w:t>同一设备编制</w:t>
            </w:r>
            <w:r>
              <w:rPr>
                <w:rFonts w:hint="eastAsia" w:ascii="宋体" w:hAnsi="宋体"/>
                <w:color w:val="FF0000"/>
              </w:rPr>
              <w:t>（“文件制作机器码”“文件创建标识码”一致）。</w:t>
            </w:r>
          </w:p>
        </w:tc>
      </w:tr>
      <w:tr w14:paraId="5DCF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53295066">
            <w:pPr>
              <w:widowControl w:val="0"/>
              <w:jc w:val="center"/>
              <w:rPr>
                <w:rFonts w:ascii="宋体" w:hAnsi="宋体"/>
                <w:color w:val="FF0000"/>
              </w:rPr>
            </w:pPr>
            <w:r>
              <w:rPr>
                <w:rFonts w:hint="eastAsia" w:ascii="宋体" w:hAnsi="宋体"/>
                <w:color w:val="FF0000"/>
              </w:rPr>
              <w:t>5</w:t>
            </w:r>
          </w:p>
        </w:tc>
        <w:tc>
          <w:tcPr>
            <w:tcW w:w="7711" w:type="dxa"/>
            <w:vAlign w:val="center"/>
          </w:tcPr>
          <w:p w14:paraId="4BE79FB7">
            <w:pPr>
              <w:widowControl w:val="0"/>
              <w:jc w:val="both"/>
              <w:rPr>
                <w:rFonts w:ascii="宋体" w:hAnsi="宋体"/>
                <w:color w:val="FF0000"/>
              </w:rPr>
            </w:pPr>
            <w:r>
              <w:rPr>
                <w:rFonts w:hint="eastAsia" w:ascii="宋体" w:hAnsi="宋体"/>
                <w:color w:val="FF0000"/>
              </w:rPr>
              <w:t>提供</w:t>
            </w:r>
            <w:r>
              <w:rPr>
                <w:rFonts w:hint="eastAsia" w:ascii="宋体" w:hAnsi="宋体"/>
                <w:b/>
                <w:bCs/>
                <w:color w:val="FF0000"/>
              </w:rPr>
              <w:t>未经出具机构核实</w:t>
            </w:r>
            <w:r>
              <w:rPr>
                <w:rFonts w:hint="eastAsia" w:ascii="宋体" w:hAnsi="宋体"/>
                <w:color w:val="FF0000"/>
              </w:rPr>
              <w:t>的虚假的检验检测报告、业绩材料、社保缴纳证明、学历学位证书、职称认证证书等材料。</w:t>
            </w:r>
          </w:p>
        </w:tc>
      </w:tr>
      <w:tr w14:paraId="6739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7CA97C4F">
            <w:pPr>
              <w:widowControl w:val="0"/>
              <w:jc w:val="center"/>
              <w:rPr>
                <w:rFonts w:ascii="宋体" w:hAnsi="宋体"/>
                <w:color w:val="FF0000"/>
              </w:rPr>
            </w:pPr>
            <w:r>
              <w:rPr>
                <w:rFonts w:hint="eastAsia" w:ascii="宋体" w:hAnsi="宋体"/>
                <w:color w:val="FF0000"/>
              </w:rPr>
              <w:t>6</w:t>
            </w:r>
          </w:p>
        </w:tc>
        <w:tc>
          <w:tcPr>
            <w:tcW w:w="7711" w:type="dxa"/>
            <w:vAlign w:val="center"/>
          </w:tcPr>
          <w:p w14:paraId="64650A43">
            <w:pPr>
              <w:widowControl w:val="0"/>
              <w:jc w:val="both"/>
              <w:rPr>
                <w:rFonts w:ascii="宋体" w:hAnsi="宋体"/>
                <w:color w:val="FF0000"/>
              </w:rPr>
            </w:pPr>
            <w:r>
              <w:rPr>
                <w:rFonts w:hint="eastAsia" w:ascii="宋体" w:hAnsi="宋体"/>
                <w:color w:val="FF0000"/>
              </w:rPr>
              <w:t>擅自将投标密钥或电子营业执照出借他人使用或未妥善保管。</w:t>
            </w:r>
          </w:p>
        </w:tc>
      </w:tr>
    </w:tbl>
    <w:p w14:paraId="5A573076">
      <w:pPr>
        <w:ind w:firstLine="480" w:firstLineChars="200"/>
        <w:rPr>
          <w:rFonts w:ascii="宋体" w:hAnsi="宋体"/>
          <w:color w:val="FF0000"/>
        </w:rPr>
      </w:pPr>
      <w:r>
        <w:rPr>
          <w:rFonts w:hint="eastAsia" w:ascii="宋体" w:hAnsi="宋体" w:eastAsia="宋体"/>
          <w:color w:val="FF0000"/>
        </w:rPr>
        <w:t>二</w:t>
      </w:r>
      <w:r>
        <w:rPr>
          <w:rFonts w:hint="eastAsia" w:ascii="宋体" w:hAnsi="宋体"/>
          <w:color w:val="FF0000"/>
        </w:rPr>
        <w:t>、</w:t>
      </w:r>
      <w:r>
        <w:rPr>
          <w:rFonts w:hint="eastAsia" w:ascii="宋体" w:hAnsi="宋体"/>
          <w:b/>
          <w:bCs/>
          <w:color w:val="FF0000"/>
        </w:rPr>
        <w:t>《深圳经济特区政府采购条例》第五十七条</w:t>
      </w:r>
      <w:r>
        <w:rPr>
          <w:rFonts w:hint="eastAsia" w:ascii="宋体" w:hAnsi="宋体"/>
          <w:color w:val="FF0000"/>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303FBDB">
      <w:pPr>
        <w:ind w:firstLine="480" w:firstLineChars="200"/>
        <w:rPr>
          <w:rFonts w:ascii="宋体" w:hAnsi="宋体"/>
          <w:color w:val="FF0000"/>
        </w:rPr>
      </w:pPr>
      <w:r>
        <w:rPr>
          <w:rFonts w:hint="eastAsia" w:ascii="宋体" w:hAnsi="宋体"/>
          <w:color w:val="FF0000"/>
        </w:rPr>
        <w:t>（一）在采购活动中应当回避而未回避的；</w:t>
      </w:r>
    </w:p>
    <w:p w14:paraId="3906EA76">
      <w:pPr>
        <w:ind w:firstLine="480" w:firstLineChars="200"/>
        <w:rPr>
          <w:rFonts w:ascii="宋体" w:hAnsi="宋体"/>
          <w:color w:val="FF0000"/>
        </w:rPr>
      </w:pPr>
      <w:r>
        <w:rPr>
          <w:rFonts w:hint="eastAsia" w:ascii="宋体" w:hAnsi="宋体"/>
          <w:color w:val="FF0000"/>
        </w:rPr>
        <w:t>（二）未按本条例规定签订、履行采购合同，造成严重后果的；</w:t>
      </w:r>
    </w:p>
    <w:p w14:paraId="644047FB">
      <w:pPr>
        <w:ind w:firstLine="480" w:firstLineChars="200"/>
        <w:rPr>
          <w:rFonts w:ascii="宋体" w:hAnsi="宋体"/>
          <w:color w:val="FF0000"/>
        </w:rPr>
      </w:pPr>
      <w:r>
        <w:rPr>
          <w:rFonts w:hint="eastAsia" w:ascii="宋体" w:hAnsi="宋体"/>
          <w:color w:val="FF0000"/>
        </w:rPr>
        <w:t>（三）隐瞒真实情况，提供虚假资料的；</w:t>
      </w:r>
    </w:p>
    <w:p w14:paraId="43D188EF">
      <w:pPr>
        <w:ind w:firstLine="480" w:firstLineChars="200"/>
        <w:rPr>
          <w:rFonts w:ascii="宋体" w:hAnsi="宋体"/>
          <w:color w:val="FF0000"/>
        </w:rPr>
      </w:pPr>
      <w:r>
        <w:rPr>
          <w:rFonts w:hint="eastAsia" w:ascii="宋体" w:hAnsi="宋体"/>
          <w:color w:val="FF0000"/>
        </w:rPr>
        <w:t>（四）以非法手段排斥其他供应商参与竞争的；</w:t>
      </w:r>
    </w:p>
    <w:p w14:paraId="70C8A19D">
      <w:pPr>
        <w:ind w:firstLine="480" w:firstLineChars="200"/>
        <w:rPr>
          <w:rFonts w:ascii="宋体" w:hAnsi="宋体"/>
          <w:color w:val="FF0000"/>
        </w:rPr>
      </w:pPr>
      <w:r>
        <w:rPr>
          <w:rFonts w:hint="eastAsia" w:ascii="宋体" w:hAnsi="宋体"/>
          <w:color w:val="FF0000"/>
        </w:rPr>
        <w:t>（五）与其他采购参加人串通投标的；</w:t>
      </w:r>
    </w:p>
    <w:p w14:paraId="629DD237">
      <w:pPr>
        <w:ind w:firstLine="480" w:firstLineChars="200"/>
        <w:rPr>
          <w:rFonts w:ascii="宋体" w:hAnsi="宋体"/>
          <w:color w:val="FF0000"/>
        </w:rPr>
      </w:pPr>
      <w:r>
        <w:rPr>
          <w:rFonts w:hint="eastAsia" w:ascii="宋体" w:hAnsi="宋体"/>
          <w:color w:val="FF0000"/>
        </w:rPr>
        <w:t>（六）恶意投诉的；</w:t>
      </w:r>
    </w:p>
    <w:p w14:paraId="32E133B5">
      <w:pPr>
        <w:ind w:firstLine="480" w:firstLineChars="200"/>
        <w:rPr>
          <w:rFonts w:ascii="宋体" w:hAnsi="宋体"/>
          <w:color w:val="FF0000"/>
        </w:rPr>
      </w:pPr>
      <w:r>
        <w:rPr>
          <w:rFonts w:hint="eastAsia" w:ascii="宋体" w:hAnsi="宋体"/>
          <w:color w:val="FF0000"/>
        </w:rPr>
        <w:t>（七）向采购项目相关人行贿或者提供其他不当利益的；</w:t>
      </w:r>
    </w:p>
    <w:p w14:paraId="17E673A2">
      <w:pPr>
        <w:ind w:firstLine="480" w:firstLineChars="200"/>
        <w:rPr>
          <w:rFonts w:ascii="宋体" w:hAnsi="宋体"/>
          <w:color w:val="FF0000"/>
        </w:rPr>
      </w:pPr>
      <w:r>
        <w:rPr>
          <w:rFonts w:hint="eastAsia" w:ascii="宋体" w:hAnsi="宋体"/>
          <w:color w:val="FF0000"/>
        </w:rPr>
        <w:t>（八）阻碍、抗拒主管部门监督检查的；</w:t>
      </w:r>
    </w:p>
    <w:p w14:paraId="40F0713B">
      <w:pPr>
        <w:ind w:firstLine="480" w:firstLineChars="200"/>
        <w:rPr>
          <w:rFonts w:ascii="宋体" w:hAnsi="宋体"/>
          <w:color w:val="FF0000"/>
        </w:rPr>
      </w:pPr>
      <w:r>
        <w:rPr>
          <w:rFonts w:hint="eastAsia" w:ascii="宋体" w:hAnsi="宋体"/>
          <w:color w:val="FF0000"/>
        </w:rPr>
        <w:t>（九）其他违反本条例规定的行为。</w:t>
      </w:r>
    </w:p>
    <w:p w14:paraId="6D35C205">
      <w:pPr>
        <w:ind w:firstLine="482" w:firstLineChars="200"/>
        <w:rPr>
          <w:rFonts w:ascii="宋体" w:hAnsi="宋体"/>
          <w:color w:val="FF0000"/>
        </w:rPr>
      </w:pPr>
      <w:r>
        <w:rPr>
          <w:rFonts w:hint="eastAsia" w:ascii="宋体" w:hAnsi="宋体" w:eastAsia="宋体"/>
          <w:b/>
          <w:bCs/>
          <w:color w:val="FF0000"/>
        </w:rPr>
        <w:t>三</w:t>
      </w:r>
      <w:r>
        <w:rPr>
          <w:rFonts w:hint="eastAsia" w:ascii="宋体" w:hAnsi="宋体"/>
          <w:b/>
          <w:bCs/>
          <w:color w:val="FF0000"/>
        </w:rPr>
        <w:t>、《深圳经济特区政府采购条例实施细则》第七十五条 </w:t>
      </w:r>
      <w:r>
        <w:rPr>
          <w:rFonts w:hint="eastAsia" w:ascii="宋体" w:hAnsi="宋体"/>
          <w:color w:val="FF000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78929C77">
      <w:pPr>
        <w:ind w:firstLine="482" w:firstLineChars="200"/>
        <w:rPr>
          <w:rFonts w:ascii="宋体" w:hAnsi="宋体"/>
          <w:color w:val="FF0000"/>
        </w:rPr>
      </w:pPr>
      <w:r>
        <w:rPr>
          <w:rFonts w:hint="eastAsia" w:ascii="宋体" w:hAnsi="宋体" w:eastAsia="宋体"/>
          <w:b/>
          <w:bCs/>
          <w:color w:val="FF0000"/>
        </w:rPr>
        <w:t>四</w:t>
      </w:r>
      <w:r>
        <w:rPr>
          <w:rFonts w:hint="eastAsia" w:ascii="宋体" w:hAnsi="宋体"/>
          <w:b/>
          <w:bCs/>
          <w:color w:val="FF0000"/>
        </w:rPr>
        <w:t>、《深圳经济特区政府采购条例实施细则》第七十七条 </w:t>
      </w:r>
      <w:r>
        <w:rPr>
          <w:rFonts w:hint="eastAsia" w:ascii="宋体" w:hAnsi="宋体"/>
          <w:color w:val="FF0000"/>
        </w:rPr>
        <w:t>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30F6F29">
      <w:pPr>
        <w:ind w:firstLine="480" w:firstLineChars="200"/>
        <w:rPr>
          <w:rFonts w:ascii="宋体" w:hAnsi="宋体"/>
          <w:color w:val="FF0000"/>
        </w:rPr>
      </w:pPr>
      <w:r>
        <w:rPr>
          <w:rFonts w:hint="eastAsia" w:ascii="宋体" w:hAnsi="宋体"/>
          <w:color w:val="FF0000"/>
        </w:rPr>
        <w:t>投标供应商不能提供项目负责人或者主要技术人员的劳动合同、社会保险等劳动关系证明材料的，视为存在前款第（三）项规定的情形。</w:t>
      </w:r>
    </w:p>
    <w:p w14:paraId="4A8FC4D5">
      <w:pPr>
        <w:ind w:firstLine="480" w:firstLineChars="200"/>
        <w:rPr>
          <w:rFonts w:ascii="宋体" w:hAnsi="宋体" w:eastAsia="宋体"/>
          <w:color w:val="FF0000"/>
        </w:rPr>
      </w:pPr>
      <w:r>
        <w:rPr>
          <w:rFonts w:hint="eastAsia" w:ascii="宋体" w:hAnsi="宋体" w:eastAsia="宋体"/>
          <w:color w:val="FF0000"/>
        </w:rPr>
        <w:t>五</w:t>
      </w:r>
      <w:r>
        <w:rPr>
          <w:rFonts w:hint="eastAsia" w:ascii="宋体" w:hAnsi="宋体"/>
          <w:color w:val="FF0000"/>
        </w:rPr>
        <w:t>、请投标供应商阅读《政府采购违法行为风险知悉确认书》（内容详见“投标文件附件（信息不公开部分）”中“投标人认为需要加以说明的其他内容（格式自定）”</w:t>
      </w:r>
      <w:r>
        <w:rPr>
          <w:rFonts w:hint="eastAsia" w:ascii="宋体" w:hAnsi="宋体" w:eastAsia="宋体"/>
          <w:color w:val="FF0000"/>
        </w:rPr>
        <w:t>）</w:t>
      </w:r>
      <w:r>
        <w:rPr>
          <w:rFonts w:hint="eastAsia" w:ascii="宋体" w:hAnsi="宋体"/>
          <w:color w:val="FF0000"/>
        </w:rPr>
        <w:t>，并经各投标供应商负责人或投标授权代表签字并加盖单位公章后，扫描上传至投标文件一并提交。</w:t>
      </w:r>
    </w:p>
    <w:p w14:paraId="2FE2CC79">
      <w:pPr>
        <w:ind w:firstLine="480" w:firstLineChars="200"/>
        <w:rPr>
          <w:rFonts w:ascii="宋体" w:hAnsi="宋体"/>
          <w:color w:val="FF0000"/>
        </w:rPr>
      </w:pPr>
      <w:r>
        <w:rPr>
          <w:rFonts w:hint="eastAsia" w:ascii="宋体" w:hAnsi="宋体"/>
          <w:color w:val="FF0000"/>
        </w:rPr>
        <w:t>注：该风险知悉确认书用于对供应商违法行为的警示，不作为供应商资格性审查及符合性审查条件。</w:t>
      </w:r>
    </w:p>
    <w:p w14:paraId="0685CACE">
      <w:pPr>
        <w:ind w:firstLine="480" w:firstLineChars="200"/>
        <w:rPr>
          <w:rFonts w:ascii="宋体" w:hAnsi="宋体"/>
          <w:color w:val="FF0000"/>
        </w:rPr>
      </w:pPr>
      <w:r>
        <w:rPr>
          <w:rFonts w:hint="eastAsia" w:ascii="宋体" w:hAnsi="宋体"/>
          <w:color w:val="FF0000"/>
        </w:rPr>
        <w:t>六、供应商在使用深圳政府采购智慧平台的投标文件制作工具创建投标文件时，该工具将自动在投标文件中记录文件创建标识码，同时提取投标文件制作电脑的网卡MAC地址、硬盘序列号、CPU 序列号、主板序列号和工具标识号，经加密生成文件制作机器码并在投标文件中记录。文件制作机器码一致表明不同供应商使用了同一设备编制投标文件，文件创建标识码一致表明不同供应商的投标文件为同一份文件，IP 地址一致表明上传投标文件时使用了相同的网络。</w:t>
      </w:r>
    </w:p>
    <w:p w14:paraId="7A47051B">
      <w:pPr>
        <w:ind w:firstLine="480" w:firstLineChars="200"/>
        <w:rPr>
          <w:rFonts w:ascii="宋体" w:hAnsi="宋体"/>
          <w:color w:val="FF0000"/>
        </w:rPr>
      </w:pPr>
      <w:r>
        <w:rPr>
          <w:rFonts w:hint="eastAsia" w:ascii="宋体" w:hAnsi="宋体" w:eastAsia="宋体"/>
          <w:color w:val="FF0000"/>
        </w:rPr>
        <w:t>七</w:t>
      </w:r>
      <w:r>
        <w:rPr>
          <w:rFonts w:hint="eastAsia" w:ascii="宋体" w:hAnsi="宋体"/>
          <w:color w:val="FF0000"/>
        </w:rPr>
        <w:t>、为避免出现不同供应商投标文件的文件制作机器码、文件创建标识码、IP地址一致的异常情况，建议各供应商编制、上传投标文件时不要使用公共电脑设备或公共网络。</w:t>
      </w:r>
    </w:p>
    <w:p w14:paraId="001A09FB">
      <w:pPr>
        <w:ind w:firstLine="480" w:firstLineChars="200"/>
        <w:rPr>
          <w:rFonts w:ascii="宋体" w:hAnsi="宋体"/>
          <w:color w:val="FF0000"/>
        </w:rPr>
      </w:pPr>
      <w:r>
        <w:rPr>
          <w:rFonts w:hint="eastAsia" w:ascii="宋体" w:hAnsi="宋体" w:eastAsia="宋体"/>
          <w:color w:val="FF0000"/>
        </w:rPr>
        <w:t>八</w:t>
      </w:r>
      <w:r>
        <w:rPr>
          <w:rFonts w:hint="eastAsia" w:ascii="宋体" w:hAnsi="宋体"/>
          <w:color w:val="FF000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125FD1E9">
      <w:pPr>
        <w:rPr>
          <w:rFonts w:ascii="宋体" w:hAnsi="宋体" w:eastAsia="宋体"/>
        </w:rPr>
      </w:pPr>
    </w:p>
    <w:p w14:paraId="4C64BBA5">
      <w:pPr>
        <w:pStyle w:val="2"/>
        <w:rPr>
          <w:rFonts w:eastAsia="宋体"/>
        </w:rPr>
      </w:pPr>
      <w:bookmarkStart w:id="5" w:name="_Hlk72218009"/>
      <w:r>
        <w:rPr>
          <w:rFonts w:hint="eastAsia" w:eastAsia="宋体"/>
        </w:rPr>
        <w:br w:type="page"/>
      </w:r>
      <w:r>
        <w:rPr>
          <w:rFonts w:hint="eastAsia" w:eastAsia="宋体"/>
        </w:rPr>
        <w:t>目   录</w:t>
      </w:r>
    </w:p>
    <w:p w14:paraId="08EA17E1">
      <w:pPr>
        <w:spacing w:line="360" w:lineRule="auto"/>
        <w:outlineLvl w:val="0"/>
        <w:rPr>
          <w:rFonts w:ascii="宋体" w:hAnsi="宋体" w:eastAsia="宋体"/>
          <w:b/>
        </w:rPr>
      </w:pPr>
      <w:r>
        <w:rPr>
          <w:rFonts w:hint="eastAsia" w:ascii="宋体" w:hAnsi="宋体" w:eastAsia="宋体"/>
          <w:b/>
        </w:rPr>
        <w:t>第一册  专用条款</w:t>
      </w:r>
    </w:p>
    <w:p w14:paraId="0F452721">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招标公告</w:t>
      </w:r>
    </w:p>
    <w:p w14:paraId="7EEC7A49">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第二章  </w:t>
      </w:r>
      <w:bookmarkStart w:id="6" w:name="_Hlk71994379"/>
      <w:r>
        <w:rPr>
          <w:rFonts w:hint="eastAsia" w:ascii="宋体" w:hAnsi="宋体" w:eastAsia="宋体"/>
          <w:color w:val="000000" w:themeColor="text1"/>
          <w:szCs w:val="21"/>
          <w14:textFill>
            <w14:solidFill>
              <w14:schemeClr w14:val="tx1"/>
            </w14:solidFill>
          </w14:textFill>
        </w:rPr>
        <w:t>对通用条款的补充内容及其他关键信息</w:t>
      </w:r>
      <w:bookmarkEnd w:id="6"/>
    </w:p>
    <w:p w14:paraId="186C9CE3">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用户需求书</w:t>
      </w:r>
    </w:p>
    <w:p w14:paraId="3B6C839A">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投标文件组成要求及格式</w:t>
      </w:r>
    </w:p>
    <w:p w14:paraId="68519B6E">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合同条款及格式</w:t>
      </w:r>
    </w:p>
    <w:p w14:paraId="6CF2B204">
      <w:pPr>
        <w:spacing w:line="360" w:lineRule="auto"/>
        <w:rPr>
          <w:rFonts w:ascii="宋体" w:hAnsi="宋体" w:eastAsia="宋体"/>
          <w:b/>
        </w:rPr>
      </w:pPr>
    </w:p>
    <w:p w14:paraId="7CB49DBD">
      <w:pPr>
        <w:spacing w:line="360" w:lineRule="auto"/>
        <w:outlineLvl w:val="0"/>
        <w:rPr>
          <w:rFonts w:ascii="宋体" w:hAnsi="宋体" w:eastAsia="宋体"/>
          <w:b/>
        </w:rPr>
      </w:pPr>
      <w:r>
        <w:rPr>
          <w:rFonts w:hint="eastAsia" w:ascii="宋体" w:hAnsi="宋体" w:eastAsia="宋体"/>
          <w:b/>
        </w:rPr>
        <w:t>第二册  通用条款</w:t>
      </w:r>
    </w:p>
    <w:p w14:paraId="00643F8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总则</w:t>
      </w:r>
    </w:p>
    <w:p w14:paraId="33180971">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第二章  招标文件</w:t>
      </w:r>
    </w:p>
    <w:p w14:paraId="3F80D352">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投标文件的编制</w:t>
      </w:r>
    </w:p>
    <w:p w14:paraId="0D6FB5F9">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投标文件的递交</w:t>
      </w:r>
    </w:p>
    <w:p w14:paraId="553A8622">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开标</w:t>
      </w:r>
    </w:p>
    <w:p w14:paraId="318D7E45">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第六章  评审要求</w:t>
      </w:r>
    </w:p>
    <w:p w14:paraId="1A4D946A">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第七章  评审程序及评审方法</w:t>
      </w:r>
    </w:p>
    <w:p w14:paraId="33E27F0B">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第八章  定标及公示</w:t>
      </w:r>
    </w:p>
    <w:p w14:paraId="01E815FB">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第九章  公开招标失败的后续处理</w:t>
      </w:r>
    </w:p>
    <w:p w14:paraId="43A550E3">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第十章  合同的授予与备案</w:t>
      </w:r>
    </w:p>
    <w:p w14:paraId="3D74669F">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第十一章  质疑处理</w:t>
      </w:r>
    </w:p>
    <w:bookmarkEnd w:id="5"/>
    <w:p w14:paraId="0E75125B">
      <w:pPr>
        <w:rPr>
          <w:rFonts w:ascii="宋体" w:hAnsi="宋体" w:eastAsia="宋体"/>
          <w:b/>
          <w:bCs/>
          <w:kern w:val="44"/>
          <w:sz w:val="28"/>
          <w:szCs w:val="44"/>
        </w:rPr>
      </w:pPr>
      <w:bookmarkStart w:id="7" w:name="合同格式"/>
      <w:bookmarkEnd w:id="7"/>
      <w:bookmarkStart w:id="8" w:name="bt投标文件签署授权委托书"/>
      <w:bookmarkEnd w:id="8"/>
      <w:bookmarkStart w:id="9" w:name="bt其他资料由投标人自定"/>
      <w:bookmarkEnd w:id="9"/>
      <w:bookmarkStart w:id="10" w:name="bt其他资料2"/>
      <w:bookmarkEnd w:id="10"/>
      <w:bookmarkStart w:id="11" w:name="bt开标一览表"/>
      <w:bookmarkEnd w:id="11"/>
      <w:bookmarkStart w:id="12" w:name="bt投标人须知"/>
      <w:bookmarkEnd w:id="12"/>
      <w:bookmarkStart w:id="13" w:name="bt商务标投标文件格式"/>
      <w:bookmarkEnd w:id="13"/>
      <w:bookmarkStart w:id="14" w:name="bt投标函"/>
      <w:bookmarkEnd w:id="14"/>
      <w:bookmarkStart w:id="15" w:name="bt合同条款及格式"/>
      <w:bookmarkEnd w:id="15"/>
      <w:bookmarkStart w:id="16" w:name="bt合同格式"/>
      <w:bookmarkEnd w:id="16"/>
      <w:bookmarkStart w:id="17" w:name="bt投标报价汇总表"/>
      <w:bookmarkEnd w:id="17"/>
      <w:bookmarkStart w:id="18" w:name="bt本工程承诺书"/>
      <w:bookmarkEnd w:id="18"/>
      <w:bookmarkStart w:id="19" w:name="bt合同条款"/>
      <w:bookmarkEnd w:id="19"/>
      <w:bookmarkStart w:id="20" w:name="bt说明"/>
      <w:bookmarkEnd w:id="20"/>
      <w:bookmarkStart w:id="21" w:name="bt项目管理班子配备情况"/>
      <w:bookmarkEnd w:id="21"/>
      <w:bookmarkStart w:id="22" w:name="bt技术标投标文件格式"/>
      <w:bookmarkEnd w:id="22"/>
      <w:bookmarkStart w:id="23" w:name="bt投标人情况介绍"/>
      <w:bookmarkEnd w:id="23"/>
      <w:r>
        <w:rPr>
          <w:rFonts w:ascii="宋体" w:hAnsi="宋体" w:eastAsia="宋体"/>
        </w:rPr>
        <w:br w:type="page"/>
      </w:r>
    </w:p>
    <w:p w14:paraId="3C7DEFEE">
      <w:pPr>
        <w:pStyle w:val="2"/>
        <w:rPr>
          <w:rFonts w:eastAsia="宋体"/>
          <w:color w:val="FF0000"/>
          <w:sz w:val="24"/>
        </w:rPr>
      </w:pPr>
      <w:r>
        <w:rPr>
          <w:rFonts w:hint="eastAsia" w:eastAsia="宋体"/>
        </w:rPr>
        <w:t>第一册  专用条款</w:t>
      </w:r>
    </w:p>
    <w:p w14:paraId="454E0086">
      <w:pPr>
        <w:spacing w:line="400" w:lineRule="exact"/>
        <w:jc w:val="center"/>
        <w:rPr>
          <w:rFonts w:ascii="仿宋" w:hAnsi="仿宋" w:eastAsia="仿宋" w:cs="仿宋"/>
          <w:b/>
          <w:bCs/>
          <w:color w:val="FF0000"/>
          <w:sz w:val="28"/>
          <w:szCs w:val="28"/>
        </w:rPr>
      </w:pPr>
      <w:r>
        <w:rPr>
          <w:rFonts w:hint="eastAsia" w:ascii="仿宋" w:hAnsi="仿宋" w:eastAsia="仿宋" w:cs="仿宋"/>
          <w:b/>
          <w:bCs/>
          <w:color w:val="FF0000"/>
          <w:sz w:val="28"/>
          <w:szCs w:val="28"/>
        </w:rPr>
        <w:t>本公告内涉及时间的相关内容均已对外发布的招标公告内容为准</w:t>
      </w:r>
    </w:p>
    <w:p w14:paraId="1B5C22AA">
      <w:pPr>
        <w:rPr>
          <w:b/>
          <w:bCs/>
          <w:color w:val="000000" w:themeColor="text1"/>
          <w14:textFill>
            <w14:solidFill>
              <w14:schemeClr w14:val="tx1"/>
            </w14:solidFill>
          </w14:textFill>
        </w:rPr>
      </w:pPr>
    </w:p>
    <w:p w14:paraId="35F53FC8">
      <w:pPr>
        <w:pStyle w:val="5"/>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第一章  招标公告</w:t>
      </w:r>
    </w:p>
    <w:p w14:paraId="38EA27A2">
      <w:pPr>
        <w:ind w:firstLine="482" w:firstLineChars="200"/>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一、项目概况：</w:t>
      </w:r>
    </w:p>
    <w:p w14:paraId="2BDE862C">
      <w:pPr>
        <w:spacing w:line="400" w:lineRule="exact"/>
        <w:ind w:firstLine="480" w:firstLineChars="200"/>
        <w:rPr>
          <w:rFonts w:ascii="宋体" w:hAnsi="宋体" w:eastAsia="宋体" w:cs="宋体"/>
        </w:rPr>
      </w:pPr>
      <w:r>
        <w:rPr>
          <w:rFonts w:hint="eastAsia" w:ascii="宋体" w:hAnsi="宋体" w:eastAsia="宋体" w:cs="宋体"/>
          <w:color w:val="FF0000"/>
          <w:highlight w:val="yellow"/>
          <w:u w:val="single"/>
          <w:lang w:eastAsia="zh-CN"/>
        </w:rPr>
        <w:t>ROV及附属配套</w:t>
      </w:r>
      <w:r>
        <w:rPr>
          <w:rFonts w:hint="eastAsia" w:ascii="宋体" w:hAnsi="宋体" w:eastAsia="宋体" w:cs="宋体"/>
        </w:rPr>
        <w:t>的潜在投标人应在（本公告附件中）获取招标文件，于</w:t>
      </w:r>
      <w:r>
        <w:rPr>
          <w:rFonts w:hint="eastAsia" w:ascii="宋体" w:hAnsi="宋体" w:eastAsia="宋体" w:cs="宋体"/>
          <w:color w:val="FF0000"/>
          <w:highlight w:val="yellow"/>
        </w:rPr>
        <w:t>2025年X月X日XX时XX分XX秒</w:t>
      </w:r>
      <w:r>
        <w:rPr>
          <w:rFonts w:hint="eastAsia" w:ascii="宋体" w:hAnsi="宋体" w:eastAsia="宋体" w:cs="宋体"/>
        </w:rPr>
        <w:t>（北京时间）前递交投标文件。</w:t>
      </w:r>
    </w:p>
    <w:p w14:paraId="6119D4CD">
      <w:pPr>
        <w:spacing w:line="400" w:lineRule="exact"/>
        <w:ind w:firstLine="480" w:firstLineChars="200"/>
        <w:rPr>
          <w:rFonts w:ascii="宋体" w:hAnsi="宋体" w:eastAsia="宋体" w:cs="宋体"/>
        </w:rPr>
      </w:pPr>
      <w:r>
        <w:rPr>
          <w:rFonts w:hint="eastAsia" w:ascii="宋体" w:hAnsi="宋体" w:eastAsia="宋体" w:cs="宋体"/>
        </w:rPr>
        <w:t>一、项目基本情况</w:t>
      </w:r>
    </w:p>
    <w:p w14:paraId="28CD6F5C">
      <w:pPr>
        <w:spacing w:line="400" w:lineRule="exact"/>
        <w:ind w:firstLine="480" w:firstLineChars="200"/>
        <w:rPr>
          <w:rFonts w:ascii="宋体" w:hAnsi="宋体" w:eastAsia="宋体" w:cs="宋体"/>
        </w:rPr>
      </w:pPr>
      <w:r>
        <w:rPr>
          <w:rFonts w:hint="eastAsia" w:ascii="宋体" w:hAnsi="宋体" w:eastAsia="宋体" w:cs="宋体"/>
        </w:rPr>
        <w:t>1.项目编号：</w:t>
      </w:r>
      <w:r>
        <w:rPr>
          <w:rFonts w:hint="eastAsia" w:ascii="宋体" w:hAnsi="宋体" w:eastAsia="宋体" w:cs="宋体"/>
          <w:color w:val="FF0000"/>
          <w:highlight w:val="yellow"/>
          <w:u w:val="single"/>
        </w:rPr>
        <w:t>SZDL2025XXXXXX</w:t>
      </w:r>
    </w:p>
    <w:p w14:paraId="65197F4B">
      <w:pPr>
        <w:spacing w:line="40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rPr>
        <w:t>2.项目名称：</w:t>
      </w:r>
      <w:r>
        <w:rPr>
          <w:rFonts w:hint="eastAsia" w:ascii="宋体" w:hAnsi="宋体" w:eastAsia="宋体" w:cs="宋体"/>
          <w:color w:val="auto"/>
          <w:highlight w:val="none"/>
          <w:u w:val="single"/>
          <w:lang w:eastAsia="zh-CN"/>
        </w:rPr>
        <w:t>ROV及附属配套</w:t>
      </w:r>
    </w:p>
    <w:p w14:paraId="684A863E">
      <w:pPr>
        <w:spacing w:line="400" w:lineRule="exact"/>
        <w:ind w:firstLine="480" w:firstLineChars="200"/>
        <w:rPr>
          <w:rFonts w:ascii="宋体" w:hAnsi="宋体" w:eastAsia="宋体" w:cs="宋体"/>
          <w:color w:val="auto"/>
          <w:highlight w:val="none"/>
        </w:rPr>
      </w:pPr>
      <w:r>
        <w:rPr>
          <w:rFonts w:hint="eastAsia" w:ascii="宋体" w:hAnsi="宋体" w:eastAsia="宋体" w:cs="宋体"/>
          <w:color w:val="auto"/>
          <w:highlight w:val="none"/>
        </w:rPr>
        <w:t>3.预算金额：16</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200</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000.</w:t>
      </w: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rPr>
        <w:t>元</w:t>
      </w:r>
    </w:p>
    <w:p w14:paraId="44ED3EF3">
      <w:pPr>
        <w:spacing w:line="400" w:lineRule="exact"/>
        <w:ind w:firstLine="480" w:firstLineChars="200"/>
        <w:rPr>
          <w:rFonts w:ascii="宋体" w:hAnsi="宋体" w:eastAsia="宋体" w:cs="宋体"/>
          <w:color w:val="auto"/>
          <w:highlight w:val="none"/>
        </w:rPr>
      </w:pPr>
      <w:r>
        <w:rPr>
          <w:rFonts w:hint="eastAsia" w:ascii="宋体" w:hAnsi="宋体" w:eastAsia="宋体" w:cs="宋体"/>
          <w:color w:val="auto"/>
          <w:highlight w:val="none"/>
        </w:rPr>
        <w:t>4.最高限价：16</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200</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000.</w:t>
      </w: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rPr>
        <w:t>元</w:t>
      </w:r>
    </w:p>
    <w:p w14:paraId="6E74FBBE">
      <w:pPr>
        <w:spacing w:line="400" w:lineRule="exact"/>
        <w:ind w:firstLine="480" w:firstLineChars="200"/>
        <w:rPr>
          <w:rFonts w:ascii="宋体" w:hAnsi="宋体" w:eastAsia="宋体" w:cs="宋体"/>
        </w:rPr>
      </w:pPr>
      <w:r>
        <w:rPr>
          <w:rFonts w:hint="eastAsia" w:ascii="宋体" w:hAnsi="宋体" w:eastAsia="宋体" w:cs="宋体"/>
        </w:rPr>
        <w:t>5.采购需求：</w:t>
      </w:r>
    </w:p>
    <w:tbl>
      <w:tblPr>
        <w:tblStyle w:val="18"/>
        <w:tblW w:w="7941" w:type="dxa"/>
        <w:tblInd w:w="0" w:type="dxa"/>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fixed"/>
        <w:tblCellMar>
          <w:top w:w="60" w:type="dxa"/>
          <w:left w:w="60" w:type="dxa"/>
          <w:bottom w:w="60" w:type="dxa"/>
          <w:right w:w="60" w:type="dxa"/>
        </w:tblCellMar>
      </w:tblPr>
      <w:tblGrid>
        <w:gridCol w:w="2228"/>
        <w:gridCol w:w="714"/>
        <w:gridCol w:w="714"/>
        <w:gridCol w:w="3571"/>
        <w:gridCol w:w="714"/>
      </w:tblGrid>
      <w:tr w14:paraId="2B77176F">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0A8EB98E">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标的名称</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3B82592B">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数量</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7FF92F3E">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单位</w:t>
            </w:r>
          </w:p>
        </w:tc>
        <w:tc>
          <w:tcPr>
            <w:tcW w:w="3571"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2BFD5543">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简要技术需求（服务需求）</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23622A72">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备注</w:t>
            </w:r>
          </w:p>
        </w:tc>
      </w:tr>
      <w:tr w14:paraId="5B0CBB62">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vAlign w:val="center"/>
          </w:tcPr>
          <w:p w14:paraId="3D262C64">
            <w:pPr>
              <w:spacing w:before="100" w:beforeAutospacing="1" w:after="100" w:afterAutospacing="1"/>
              <w:jc w:val="center"/>
              <w:rPr>
                <w:rFonts w:hint="eastAsia" w:cs="宋体" w:asciiTheme="minorEastAsia" w:hAnsiTheme="minorEastAsia" w:eastAsiaTheme="minorEastAsia"/>
                <w:color w:val="auto"/>
                <w:szCs w:val="21"/>
                <w:highlight w:val="none"/>
                <w:u w:val="none"/>
                <w:lang w:eastAsia="zh-CN"/>
              </w:rPr>
            </w:pPr>
            <w:r>
              <w:rPr>
                <w:rFonts w:hint="eastAsia" w:ascii="宋体" w:hAnsi="宋体" w:eastAsia="宋体" w:cs="宋体"/>
                <w:color w:val="auto"/>
                <w:highlight w:val="none"/>
                <w:u w:val="none"/>
                <w:lang w:eastAsia="zh-CN"/>
              </w:rPr>
              <w:t>ROV及附属配套</w:t>
            </w:r>
          </w:p>
        </w:tc>
        <w:tc>
          <w:tcPr>
            <w:tcW w:w="714" w:type="dxa"/>
            <w:tcBorders>
              <w:top w:val="outset" w:color="AAAAAA" w:sz="6" w:space="0"/>
              <w:left w:val="outset" w:color="AAAAAA" w:sz="6" w:space="0"/>
              <w:bottom w:val="outset" w:color="AAAAAA" w:sz="6" w:space="0"/>
              <w:right w:val="outset" w:color="AAAAAA" w:sz="6" w:space="0"/>
            </w:tcBorders>
            <w:vAlign w:val="center"/>
          </w:tcPr>
          <w:p w14:paraId="4CAF3D14">
            <w:pPr>
              <w:spacing w:before="100" w:beforeAutospacing="1" w:after="100" w:afterAutospacing="1"/>
              <w:jc w:val="center"/>
              <w:rPr>
                <w:rFonts w:cs="宋体" w:asciiTheme="minorEastAsia" w:hAnsiTheme="minorEastAsia" w:eastAsiaTheme="minorEastAsia"/>
                <w:color w:val="auto"/>
                <w:szCs w:val="21"/>
                <w:highlight w:val="none"/>
                <w:u w:val="none"/>
              </w:rPr>
            </w:pPr>
            <w:r>
              <w:rPr>
                <w:rFonts w:cs="宋体" w:asciiTheme="minorEastAsia" w:hAnsiTheme="minorEastAsia" w:eastAsiaTheme="minorEastAsia"/>
                <w:color w:val="auto"/>
                <w:szCs w:val="21"/>
                <w:highlight w:val="none"/>
                <w:u w:val="none"/>
              </w:rPr>
              <w:t>1.0</w:t>
            </w:r>
          </w:p>
        </w:tc>
        <w:tc>
          <w:tcPr>
            <w:tcW w:w="714" w:type="dxa"/>
            <w:tcBorders>
              <w:top w:val="outset" w:color="AAAAAA" w:sz="6" w:space="0"/>
              <w:left w:val="outset" w:color="AAAAAA" w:sz="6" w:space="0"/>
              <w:bottom w:val="outset" w:color="AAAAAA" w:sz="6" w:space="0"/>
              <w:right w:val="outset" w:color="AAAAAA" w:sz="6" w:space="0"/>
            </w:tcBorders>
            <w:vAlign w:val="center"/>
          </w:tcPr>
          <w:p w14:paraId="097C758C">
            <w:pPr>
              <w:spacing w:before="100" w:beforeAutospacing="1" w:after="100" w:afterAutospacing="1"/>
              <w:jc w:val="center"/>
              <w:rPr>
                <w:rFonts w:cs="宋体" w:asciiTheme="minorEastAsia" w:hAnsiTheme="minorEastAsia" w:eastAsiaTheme="minorEastAsia"/>
                <w:color w:val="auto"/>
                <w:szCs w:val="21"/>
                <w:highlight w:val="none"/>
                <w:u w:val="none"/>
              </w:rPr>
            </w:pPr>
            <w:r>
              <w:rPr>
                <w:rFonts w:cs="宋体" w:asciiTheme="minorEastAsia" w:hAnsiTheme="minorEastAsia" w:eastAsiaTheme="minorEastAsia"/>
                <w:color w:val="auto"/>
                <w:szCs w:val="21"/>
                <w:highlight w:val="none"/>
                <w:u w:val="none"/>
              </w:rPr>
              <w:t>项</w:t>
            </w:r>
          </w:p>
        </w:tc>
        <w:tc>
          <w:tcPr>
            <w:tcW w:w="3571" w:type="dxa"/>
            <w:tcBorders>
              <w:top w:val="outset" w:color="AAAAAA" w:sz="6" w:space="0"/>
              <w:left w:val="outset" w:color="AAAAAA" w:sz="6" w:space="0"/>
              <w:bottom w:val="outset" w:color="AAAAAA" w:sz="6" w:space="0"/>
              <w:right w:val="outset" w:color="AAAAAA" w:sz="6" w:space="0"/>
            </w:tcBorders>
            <w:vAlign w:val="center"/>
          </w:tcPr>
          <w:p w14:paraId="55B6704E">
            <w:pPr>
              <w:spacing w:before="100" w:beforeAutospacing="1" w:after="100" w:afterAutospacing="1"/>
              <w:jc w:val="center"/>
              <w:rPr>
                <w:rFonts w:cs="宋体" w:asciiTheme="minorEastAsia" w:hAnsiTheme="minorEastAsia" w:eastAsiaTheme="minorEastAsia"/>
                <w:color w:val="auto"/>
                <w:szCs w:val="21"/>
                <w:highlight w:val="none"/>
                <w:u w:val="none"/>
              </w:rPr>
            </w:pPr>
            <w:r>
              <w:rPr>
                <w:rFonts w:cs="宋体" w:asciiTheme="minorEastAsia" w:hAnsiTheme="minorEastAsia" w:eastAsiaTheme="minorEastAsia"/>
                <w:color w:val="auto"/>
                <w:szCs w:val="21"/>
                <w:highlight w:val="none"/>
                <w:u w:val="none"/>
              </w:rPr>
              <w:t>详见采购文件</w:t>
            </w:r>
          </w:p>
        </w:tc>
        <w:tc>
          <w:tcPr>
            <w:tcW w:w="714" w:type="dxa"/>
            <w:tcBorders>
              <w:top w:val="outset" w:color="AAAAAA" w:sz="6" w:space="0"/>
              <w:left w:val="outset" w:color="AAAAAA" w:sz="6" w:space="0"/>
              <w:bottom w:val="outset" w:color="AAAAAA" w:sz="6" w:space="0"/>
              <w:right w:val="outset" w:color="AAAAAA" w:sz="6" w:space="0"/>
            </w:tcBorders>
            <w:vAlign w:val="center"/>
          </w:tcPr>
          <w:p w14:paraId="766FA307">
            <w:pPr>
              <w:jc w:val="center"/>
              <w:rPr>
                <w:rFonts w:cs="宋体" w:asciiTheme="minorEastAsia" w:hAnsiTheme="minorEastAsia" w:eastAsiaTheme="minorEastAsia"/>
                <w:szCs w:val="21"/>
              </w:rPr>
            </w:pPr>
          </w:p>
        </w:tc>
      </w:tr>
    </w:tbl>
    <w:p w14:paraId="1EB2308A">
      <w:pPr>
        <w:spacing w:line="400" w:lineRule="exact"/>
        <w:ind w:firstLine="480" w:firstLineChars="200"/>
        <w:rPr>
          <w:rFonts w:ascii="宋体" w:hAnsi="宋体" w:eastAsia="宋体" w:cs="宋体"/>
        </w:rPr>
      </w:pPr>
      <w:r>
        <w:rPr>
          <w:rFonts w:hint="eastAsia" w:ascii="宋体" w:hAnsi="宋体" w:eastAsia="宋体" w:cs="宋体"/>
        </w:rPr>
        <w:t>6.合同履行期限：详见招标文件。</w:t>
      </w:r>
    </w:p>
    <w:p w14:paraId="2946008B">
      <w:pPr>
        <w:spacing w:line="400" w:lineRule="exact"/>
        <w:ind w:firstLine="480" w:firstLineChars="200"/>
        <w:rPr>
          <w:rFonts w:ascii="宋体" w:hAnsi="宋体" w:eastAsia="宋体" w:cs="宋体"/>
        </w:rPr>
      </w:pPr>
      <w:r>
        <w:rPr>
          <w:rFonts w:hint="eastAsia" w:ascii="宋体" w:hAnsi="宋体" w:eastAsia="宋体" w:cs="宋体"/>
        </w:rPr>
        <w:t>7.本项目不接受联合体投标。</w:t>
      </w:r>
    </w:p>
    <w:p w14:paraId="08EFABFE">
      <w:pPr>
        <w:rPr>
          <w:rFonts w:ascii="宋体" w:hAnsi="宋体" w:eastAsia="宋体" w:cs="宋体"/>
          <w:b/>
          <w:color w:val="000000" w:themeColor="text1"/>
          <w:szCs w:val="21"/>
          <w14:textFill>
            <w14:solidFill>
              <w14:schemeClr w14:val="tx1"/>
            </w14:solidFill>
          </w14:textFill>
        </w:rPr>
      </w:pPr>
    </w:p>
    <w:p w14:paraId="234B7E2D">
      <w:pPr>
        <w:ind w:firstLine="482" w:firstLineChars="200"/>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二、投标人的资格要求：</w:t>
      </w:r>
    </w:p>
    <w:p w14:paraId="7521C8D4">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1.投标人必须具有独立法人资格或是具有独立承担民事责任的能力的其他组织或者自然人。（提供营业执照或事业单位法人证书或其他证明材料扫描件，如果参与投标的供应商为分公司则须提供分公司营业执照、其所属集团(或总公司)等具有独立法人资格的组织出具愿为其参与本项目投标以及履约行为承担民事责任的授权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上述资料原件备查）</w:t>
      </w:r>
    </w:p>
    <w:p w14:paraId="1AD46FD9">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2.本项目不接受联合体投标，不接受进口产品参与投标（由供应商在《政府采购投标及履约承诺函》中作出声明）；</w:t>
      </w:r>
    </w:p>
    <w:p w14:paraId="48DC1748">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3.参与本项目政府采购活动时不存在被有关部门禁止参与政府采购活动且在有效期内的情况（由供应商在《政府采购投标及履约承诺函》中作出声明）；</w:t>
      </w:r>
    </w:p>
    <w:p w14:paraId="1D5C01D2">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4.具备《中华人民共和国政府采购法》第二十二条第一款的条件（由供应商在《政府采购投标及履约承诺函》中作出声明）；</w:t>
      </w:r>
    </w:p>
    <w:p w14:paraId="57C34764">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5.未被列入失信被执行人、重大税收违法失信主体、政府采购严重违法失信行为记录名单（由供应商在《政府采购投标及履约承诺函》中作出声明）。</w:t>
      </w:r>
    </w:p>
    <w:p w14:paraId="7D12F114">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6.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4F8D7462">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7.不存在《深圳市财政局政府采购供应商信用信息管理办法》（深财规〔2023〕3 号）列明的严重违法失信行为（由供应商在《政府采购投标及履约承诺函》中作出声明）；</w:t>
      </w:r>
    </w:p>
    <w:p w14:paraId="65E26D48">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8.为本项目提供整体设计、规范编制或者项目管理、监理、检测等服务的供应商，不得参加本项目投标。（由供应商在《政府采购投标及履约承诺函》中作出声明）；</w:t>
      </w:r>
    </w:p>
    <w:p w14:paraId="3BFCA707">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9.</w:t>
      </w:r>
      <w:r>
        <w:rPr>
          <w:rFonts w:hint="eastAsia" w:ascii="宋体" w:hAnsi="宋体" w:eastAsia="宋体"/>
          <w:szCs w:val="21"/>
          <w:lang w:val="en-US" w:eastAsia="zh-CN"/>
        </w:rPr>
        <w:t>能</w:t>
      </w:r>
      <w:r>
        <w:rPr>
          <w:rFonts w:hint="eastAsia" w:ascii="宋体" w:hAnsi="宋体"/>
          <w:szCs w:val="21"/>
        </w:rPr>
        <w:t>提供履行合同所必需的设备和专业技术能力。（由供应商在《政府采购投标及履约承诺函》中作出声明）</w:t>
      </w:r>
    </w:p>
    <w:p w14:paraId="46344DA0">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lang w:val="en-US" w:eastAsia="zh-CN"/>
        </w:rPr>
        <w:t>10</w:t>
      </w:r>
      <w:r>
        <w:rPr>
          <w:rFonts w:hint="eastAsia" w:ascii="宋体" w:hAnsi="宋体"/>
          <w:szCs w:val="21"/>
        </w:rPr>
        <w:t>.本项目是否专门面向中小微企业采购：否（由供应商在《中小企业声明函（货物）》或《残疾人福利性单位声明函》或《监狱企业声明函》中作出声明）；</w:t>
      </w:r>
    </w:p>
    <w:p w14:paraId="1B815BCC">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本项目所属行业类型为：</w:t>
      </w:r>
      <w:r>
        <w:rPr>
          <w:rFonts w:hint="eastAsia" w:ascii="宋体" w:hAnsi="宋体"/>
          <w:szCs w:val="21"/>
          <w:u w:val="single"/>
        </w:rPr>
        <w:t xml:space="preserve">  工业   </w:t>
      </w:r>
      <w:r>
        <w:rPr>
          <w:rFonts w:hint="eastAsia" w:ascii="宋体" w:hAnsi="宋体"/>
          <w:szCs w:val="21"/>
        </w:rPr>
        <w:t xml:space="preserve"> 。</w:t>
      </w:r>
    </w:p>
    <w:p w14:paraId="7157AA5D">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注：（1）采购代理机构将通过“信用中国”中“信用服务”栏的“重大税收违法失信主体”“失信被执行人”，“中国政府采购网”中的“政府采购严重违法失信行为记录名单”“深圳信用网”以及“深圳市政府采购监管网”为供应商信用信息的查询渠道，相关信息以开标当日的查询结果为准。信用信息查询记录应当作为项目档案材料一并保存；</w:t>
      </w:r>
    </w:p>
    <w:p w14:paraId="36542578">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2）采购代理机构将通过国家企业信用信息公示系统(https://www.gsxt.gov.cn/index.html）或机关赋码和事业单位登记管理网（http://gjsy.gov.cn/sydwfrxxcx/)或全国社会组织信用信息公示平台（https://xxgs.chinanpo.mca.gov.cn/gsxt/newList 等网站查询供应商信息，相关信息以截标当日的查询结果为准；</w:t>
      </w:r>
    </w:p>
    <w:p w14:paraId="19DC76B5">
      <w:pPr>
        <w:keepNext w:val="0"/>
        <w:keepLines w:val="0"/>
        <w:pageBreakBefore w:val="0"/>
        <w:widowControl/>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（3）供应商投标（上传投标文件）请先行办理注册手续，具体请按照本公告“六、其他补充事宜”相关内容指引办理。</w:t>
      </w:r>
    </w:p>
    <w:p w14:paraId="7B91E19A">
      <w:pPr>
        <w:ind w:firstLine="482" w:firstLineChars="200"/>
        <w:rPr>
          <w:rFonts w:ascii="宋体" w:hAnsi="宋体" w:eastAsia="宋体" w:cs="宋体"/>
          <w:b/>
          <w:color w:val="000000" w:themeColor="text1"/>
          <w:szCs w:val="21"/>
          <w14:textFill>
            <w14:solidFill>
              <w14:schemeClr w14:val="tx1"/>
            </w14:solidFill>
          </w14:textFill>
        </w:rPr>
      </w:pPr>
    </w:p>
    <w:p w14:paraId="548F1891">
      <w:pPr>
        <w:ind w:firstLine="482" w:firstLineChars="200"/>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三、获取招标文件</w:t>
      </w:r>
    </w:p>
    <w:p w14:paraId="14F9310D">
      <w:pPr>
        <w:spacing w:line="400" w:lineRule="exact"/>
        <w:ind w:firstLine="480" w:firstLineChars="200"/>
        <w:rPr>
          <w:rFonts w:ascii="宋体" w:hAnsi="宋体" w:eastAsia="宋体" w:cs="宋体"/>
        </w:rPr>
      </w:pPr>
      <w:r>
        <w:rPr>
          <w:rFonts w:hint="eastAsia" w:ascii="宋体" w:hAnsi="宋体" w:eastAsia="宋体" w:cs="宋体"/>
        </w:rPr>
        <w:t>时间：发布招标公告当日至</w:t>
      </w:r>
      <w:r>
        <w:rPr>
          <w:rFonts w:hint="eastAsia" w:ascii="宋体" w:hAnsi="宋体" w:eastAsia="宋体" w:cs="宋体"/>
          <w:color w:val="FF0000"/>
          <w:highlight w:val="yellow"/>
        </w:rPr>
        <w:t>2025年X月X日XX时XX分XX秒</w:t>
      </w:r>
      <w:r>
        <w:rPr>
          <w:rFonts w:hint="eastAsia" w:ascii="宋体" w:hAnsi="宋体" w:eastAsia="宋体" w:cs="宋体"/>
        </w:rPr>
        <w:t xml:space="preserve">（北京时间） </w:t>
      </w:r>
    </w:p>
    <w:p w14:paraId="14854BB0">
      <w:pPr>
        <w:spacing w:line="400" w:lineRule="exact"/>
        <w:ind w:firstLine="480" w:firstLineChars="200"/>
        <w:rPr>
          <w:rFonts w:ascii="宋体" w:hAnsi="宋体" w:eastAsia="宋体" w:cs="宋体"/>
        </w:rPr>
      </w:pPr>
      <w:r>
        <w:rPr>
          <w:rFonts w:hint="eastAsia" w:ascii="宋体" w:hAnsi="宋体" w:eastAsia="宋体" w:cs="宋体"/>
        </w:rPr>
        <w:t>地点：登录深圳政府采购智慧平台（http://zfcg.szggzy.com:8081）下载本项目的招标文件。</w:t>
      </w:r>
    </w:p>
    <w:p w14:paraId="4F353AE9">
      <w:pPr>
        <w:spacing w:line="400" w:lineRule="exact"/>
        <w:ind w:firstLine="480" w:firstLineChars="200"/>
        <w:rPr>
          <w:rFonts w:ascii="宋体" w:hAnsi="宋体" w:eastAsia="宋体" w:cs="宋体"/>
        </w:rPr>
      </w:pPr>
      <w:r>
        <w:rPr>
          <w:rFonts w:hint="eastAsia" w:ascii="宋体" w:hAnsi="宋体" w:eastAsia="宋体" w:cs="宋体"/>
        </w:rPr>
        <w:t xml:space="preserve">方式：在线下载。 </w:t>
      </w:r>
    </w:p>
    <w:p w14:paraId="5E12F359">
      <w:pPr>
        <w:spacing w:line="400" w:lineRule="exact"/>
        <w:ind w:firstLine="480" w:firstLineChars="200"/>
        <w:rPr>
          <w:rFonts w:ascii="宋体" w:hAnsi="宋体" w:eastAsia="宋体" w:cs="宋体"/>
        </w:rPr>
      </w:pPr>
      <w:r>
        <w:rPr>
          <w:rFonts w:hint="eastAsia" w:ascii="宋体" w:hAnsi="宋体" w:eastAsia="宋体" w:cs="宋体"/>
        </w:rPr>
        <w:t>售价：免费。</w:t>
      </w:r>
    </w:p>
    <w:p w14:paraId="3D7B4926">
      <w:pPr>
        <w:spacing w:line="400" w:lineRule="exact"/>
        <w:ind w:firstLine="480" w:firstLineChars="200"/>
        <w:jc w:val="both"/>
        <w:rPr>
          <w:rFonts w:ascii="宋体" w:hAnsi="宋体" w:eastAsia="宋体" w:cs="宋体"/>
        </w:rPr>
      </w:pPr>
      <w:r>
        <w:rPr>
          <w:rFonts w:hint="eastAsia" w:ascii="宋体" w:hAnsi="宋体" w:eastAsia="宋体" w:cs="宋体"/>
        </w:rPr>
        <w:t>凡已注册的深圳市网上政府采购供应商，按照授予的操作权限，可于发布招标公告当日至</w:t>
      </w:r>
      <w:r>
        <w:rPr>
          <w:rFonts w:hint="eastAsia" w:ascii="宋体" w:hAnsi="宋体" w:eastAsia="宋体" w:cs="宋体"/>
          <w:color w:val="FF0000"/>
          <w:highlight w:val="yellow"/>
        </w:rPr>
        <w:t>2025年X月X日XX时XX分XX秒</w:t>
      </w:r>
      <w:r>
        <w:rPr>
          <w:rFonts w:hint="eastAsia" w:ascii="宋体" w:hAnsi="宋体" w:eastAsia="宋体" w:cs="宋体"/>
        </w:rPr>
        <w:t>（北京时间）期间登录深圳政府采购智慧平台（http://zfcg.szggzy.com:8081/）下载本项目的采购文件。投标人如确定参加投标，首先要在深圳政府采购智慧平台网上办事子系统（http://zfcg.szggzy.com:8081/TPBidder/memberLogin）网上报名投标，方法为在网上办事子系统后点击“【招标公告】→【我要报名】”；如果网上报名后上传了投标文件，又不参加投标，应再到【我的项目】→【项目流程】→【递交投标(应答)文件】功能点中进行“【撤回本次投标】”操作；如果是未注册为深圳政府采购智慧平台（http://zfcg.szggzy.com:8081/）的供应商，请先办理密钥（请点击），并前往深圳公共资源交易中心（深圳交易集团有限公司政府采购业务分公司）绑定深圳政府采购智慧平台用户（地址：深圳市南山区沙河西路3185号南山智谷A座（深圳交易集团总部大楼）3楼前台，咨询电话：0755-83948165、0755-83938966、4008301330），再进行投标报名。在网上报名后，点击“【我的项目】→【项目流程】→【采购文件下载】”进行招标文件的下载。</w:t>
      </w:r>
    </w:p>
    <w:p w14:paraId="1D8B60B7">
      <w:pPr>
        <w:ind w:firstLine="482" w:firstLineChars="200"/>
        <w:rPr>
          <w:rFonts w:ascii="宋体" w:hAnsi="宋体" w:eastAsia="宋体" w:cs="宋体"/>
          <w:b/>
          <w:color w:val="000000" w:themeColor="text1"/>
          <w:szCs w:val="21"/>
          <w14:textFill>
            <w14:solidFill>
              <w14:schemeClr w14:val="tx1"/>
            </w14:solidFill>
          </w14:textFill>
        </w:rPr>
      </w:pPr>
    </w:p>
    <w:p w14:paraId="0498100D">
      <w:pPr>
        <w:ind w:firstLine="482" w:firstLineChars="200"/>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四、提交投标文件截止时间、开标时间和地点</w:t>
      </w:r>
    </w:p>
    <w:p w14:paraId="1D08E960">
      <w:pPr>
        <w:wordWrap w:val="0"/>
        <w:spacing w:line="400" w:lineRule="exact"/>
        <w:ind w:firstLine="480" w:firstLineChars="200"/>
        <w:jc w:val="both"/>
        <w:rPr>
          <w:rFonts w:ascii="宋体" w:hAnsi="宋体" w:eastAsia="宋体" w:cs="宋体"/>
        </w:rPr>
      </w:pPr>
      <w:r>
        <w:rPr>
          <w:rFonts w:hint="eastAsia" w:ascii="宋体" w:hAnsi="宋体" w:eastAsia="宋体" w:cs="宋体"/>
        </w:rPr>
        <w:t>1.投标截止时间：所有投标文件应于</w:t>
      </w:r>
      <w:r>
        <w:rPr>
          <w:rFonts w:hint="eastAsia" w:ascii="宋体" w:hAnsi="宋体" w:eastAsia="宋体" w:cs="宋体"/>
          <w:color w:val="FF0000"/>
          <w:highlight w:val="yellow"/>
        </w:rPr>
        <w:t>2025年X月X日XX时XX分XX秒（北京时间）</w:t>
      </w:r>
      <w:r>
        <w:rPr>
          <w:rFonts w:hint="eastAsia" w:ascii="宋体" w:hAnsi="宋体" w:eastAsia="宋体" w:cs="宋体"/>
        </w:rPr>
        <w:t>之前上传到深圳政府采购智慧平台（http://zfcg.szggzy.com:8081/）。具体操作为登录“深圳政府采购智慧平台用户网上办事子系统（http://zfcg.szggzy.com:8081/TPBidder/memberLogin）”，用“【我的项目】→【项目流程】→【递交投标(应答)文件】”功能点上传投标文件。本项目电子投标文件最大容量为100MB，超过此容量的文件将被拒绝。</w:t>
      </w:r>
    </w:p>
    <w:p w14:paraId="6198927D">
      <w:pPr>
        <w:wordWrap w:val="0"/>
        <w:spacing w:line="400" w:lineRule="exact"/>
        <w:ind w:firstLine="480" w:firstLineChars="200"/>
        <w:jc w:val="both"/>
        <w:rPr>
          <w:rFonts w:ascii="宋体" w:hAnsi="宋体" w:eastAsia="宋体" w:cs="宋体"/>
        </w:rPr>
      </w:pPr>
      <w:r>
        <w:rPr>
          <w:rFonts w:hint="eastAsia" w:ascii="宋体" w:hAnsi="宋体" w:eastAsia="宋体" w:cs="宋体"/>
        </w:rPr>
        <w:t>2.开标时间和地点：定于</w:t>
      </w:r>
      <w:r>
        <w:rPr>
          <w:rFonts w:hint="eastAsia" w:ascii="宋体" w:hAnsi="宋体" w:eastAsia="宋体" w:cs="宋体"/>
          <w:color w:val="FF0000"/>
          <w:highlight w:val="yellow"/>
        </w:rPr>
        <w:t>2025年X月X日XX时XX分XX秒（北京时间）</w:t>
      </w:r>
      <w:r>
        <w:rPr>
          <w:rFonts w:hint="eastAsia" w:ascii="宋体" w:hAnsi="宋体" w:eastAsia="宋体" w:cs="宋体"/>
        </w:rPr>
        <w:t>，在</w:t>
      </w:r>
      <w:r>
        <w:rPr>
          <w:rFonts w:hint="eastAsia" w:ascii="宋体" w:hAnsi="宋体" w:eastAsia="宋体" w:cs="宋体"/>
          <w:highlight w:val="yellow"/>
        </w:rPr>
        <w:t>友和保险经纪有限公司</w:t>
      </w:r>
      <w:r>
        <w:rPr>
          <w:rFonts w:hint="eastAsia" w:ascii="宋体" w:hAnsi="宋体" w:eastAsia="宋体" w:cs="宋体"/>
        </w:rPr>
        <w:t>公开开标。供应商可以登录“深圳政府采购智慧平台用户网上办事子系统（http://zfcg.szggzy.com:8081/TPBidder/memberLogin）”，在“【我的项目】→【项目流程】→【开标及解密】”进行在线解密、查询开标情况。</w:t>
      </w:r>
    </w:p>
    <w:p w14:paraId="4F26A572">
      <w:pPr>
        <w:wordWrap w:val="0"/>
        <w:spacing w:line="400" w:lineRule="exact"/>
        <w:ind w:firstLine="480" w:firstLineChars="200"/>
        <w:jc w:val="both"/>
        <w:rPr>
          <w:rFonts w:ascii="宋体" w:hAnsi="宋体" w:eastAsia="宋体" w:cs="宋体"/>
        </w:rPr>
      </w:pPr>
      <w:r>
        <w:rPr>
          <w:rFonts w:hint="eastAsia" w:ascii="宋体" w:hAnsi="宋体" w:eastAsia="宋体" w:cs="宋体"/>
        </w:rPr>
        <w:t>3.在线解密：投标人须在</w:t>
      </w:r>
      <w:r>
        <w:rPr>
          <w:rFonts w:hint="eastAsia" w:ascii="宋体" w:hAnsi="宋体" w:eastAsia="宋体" w:cs="宋体"/>
          <w:color w:val="FF0000"/>
          <w:highlight w:val="yellow"/>
        </w:rPr>
        <w:t>开标当日XX:XX:XX-XX:XX:XX期间</w:t>
      </w:r>
      <w:r>
        <w:rPr>
          <w:rFonts w:hint="eastAsia" w:ascii="宋体" w:hAnsi="宋体" w:eastAsia="宋体" w:cs="宋体"/>
        </w:rPr>
        <w:t>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74E0F4E6">
      <w:pPr>
        <w:ind w:firstLine="482" w:firstLineChars="200"/>
        <w:rPr>
          <w:rFonts w:ascii="宋体" w:hAnsi="宋体" w:eastAsia="宋体" w:cs="宋体"/>
          <w:b/>
          <w:color w:val="000000" w:themeColor="text1"/>
          <w:szCs w:val="21"/>
          <w14:textFill>
            <w14:solidFill>
              <w14:schemeClr w14:val="tx1"/>
            </w14:solidFill>
          </w14:textFill>
        </w:rPr>
      </w:pPr>
    </w:p>
    <w:p w14:paraId="226CA61F">
      <w:pPr>
        <w:ind w:firstLine="482" w:firstLineChars="200"/>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五、公告期限</w:t>
      </w:r>
    </w:p>
    <w:p w14:paraId="46F0FF75">
      <w:pPr>
        <w:spacing w:line="400" w:lineRule="exact"/>
        <w:ind w:firstLine="480" w:firstLineChars="200"/>
        <w:rPr>
          <w:rFonts w:ascii="宋体" w:hAnsi="宋体" w:eastAsia="宋体" w:cs="宋体"/>
        </w:rPr>
      </w:pPr>
      <w:r>
        <w:rPr>
          <w:rFonts w:hint="eastAsia" w:ascii="宋体" w:hAnsi="宋体" w:eastAsia="宋体" w:cs="宋体"/>
        </w:rPr>
        <w:t>自本公告发布之日起5个工作日。</w:t>
      </w:r>
    </w:p>
    <w:p w14:paraId="732EC241">
      <w:pPr>
        <w:ind w:firstLine="482" w:firstLineChars="200"/>
        <w:rPr>
          <w:rFonts w:ascii="宋体" w:hAnsi="宋体" w:eastAsia="宋体" w:cs="宋体"/>
          <w:b/>
          <w:color w:val="000000" w:themeColor="text1"/>
          <w:szCs w:val="21"/>
          <w14:textFill>
            <w14:solidFill>
              <w14:schemeClr w14:val="tx1"/>
            </w14:solidFill>
          </w14:textFill>
        </w:rPr>
      </w:pPr>
    </w:p>
    <w:p w14:paraId="2FFDC21D">
      <w:pPr>
        <w:ind w:firstLine="482" w:firstLineChars="200"/>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六、其他补充事宜</w:t>
      </w:r>
    </w:p>
    <w:p w14:paraId="5F9CC28B">
      <w:pPr>
        <w:wordWrap w:val="0"/>
        <w:spacing w:line="400" w:lineRule="exact"/>
        <w:ind w:firstLine="480" w:firstLineChars="200"/>
        <w:jc w:val="both"/>
        <w:rPr>
          <w:rFonts w:ascii="宋体" w:hAnsi="宋体" w:eastAsia="宋体" w:cs="宋体"/>
        </w:rPr>
      </w:pPr>
      <w:r>
        <w:rPr>
          <w:rFonts w:hint="eastAsia" w:ascii="宋体" w:hAnsi="宋体" w:eastAsia="宋体" w:cs="宋体"/>
        </w:rPr>
        <w:t>1.本项目实行网上投标，采用电子投标文件。</w:t>
      </w:r>
    </w:p>
    <w:p w14:paraId="54481F5D">
      <w:pPr>
        <w:wordWrap w:val="0"/>
        <w:spacing w:line="400" w:lineRule="exact"/>
        <w:ind w:firstLine="480" w:firstLineChars="200"/>
        <w:jc w:val="both"/>
        <w:rPr>
          <w:rFonts w:ascii="宋体" w:hAnsi="宋体" w:eastAsia="宋体" w:cs="宋体"/>
        </w:rPr>
      </w:pPr>
      <w:r>
        <w:rPr>
          <w:rFonts w:hint="eastAsia" w:ascii="宋体" w:hAnsi="宋体" w:eastAsia="宋体" w:cs="宋体"/>
        </w:rPr>
        <w:t>2.报名操作：投标人如确定参加投标，首先要在深圳政府采购网上报名投标，方法为登录深圳政府采购智慧(监管)平台（http://zfcg.szggzy.com:8081/）网后点击“招标公告”选中要报名标段点击“我要报名”或“待办→邀请提醒”；如果网上报名后上传了投标文件，又不参加投标，应再到【我的项目】→【项目流程】→【递交投标(应答)文件】→【上传投标文件】功能点中进行“撤标”操作；如果是未注册为深圳政府采购的供应商，请访问深圳公共资源交易中心（统一用户中心 https://trade.szggzy.com/ggzy/center/#/login）,先办理注册手续（注册咨询：0755-36568999），再进行投标报名。在网上报名后，点击“我的项目→项目流程”中进行招标文件的下载。</w:t>
      </w:r>
    </w:p>
    <w:p w14:paraId="640F4FBA">
      <w:pPr>
        <w:wordWrap w:val="0"/>
        <w:spacing w:line="400" w:lineRule="exact"/>
        <w:ind w:firstLine="480" w:firstLineChars="200"/>
        <w:jc w:val="both"/>
        <w:rPr>
          <w:rFonts w:ascii="宋体" w:hAnsi="宋体" w:eastAsia="宋体" w:cs="宋体"/>
        </w:rPr>
      </w:pPr>
      <w:r>
        <w:rPr>
          <w:rFonts w:hint="eastAsia" w:ascii="宋体" w:hAnsi="宋体" w:eastAsia="宋体" w:cs="宋体"/>
        </w:rPr>
        <w:t>3.开标操作：投标人可以登录“深圳政府采购智慧(监管)平台 （http://zfcg.szggzy.com:8081/）网站”，在系统登录首页面即可查看开标情况。</w:t>
      </w:r>
    </w:p>
    <w:p w14:paraId="3E932FFE">
      <w:pPr>
        <w:wordWrap w:val="0"/>
        <w:spacing w:line="400" w:lineRule="exact"/>
        <w:ind w:firstLine="480" w:firstLineChars="200"/>
        <w:jc w:val="both"/>
        <w:rPr>
          <w:rFonts w:ascii="宋体" w:hAnsi="宋体" w:eastAsia="宋体" w:cs="宋体"/>
        </w:rPr>
      </w:pPr>
      <w:r>
        <w:rPr>
          <w:rFonts w:hint="eastAsia" w:ascii="宋体" w:hAnsi="宋体" w:eastAsia="宋体" w:cs="宋体"/>
        </w:rPr>
        <w:t>4.投标操作：具体操作为登录“深圳政府采购智慧(监管)平台 （http://zfcg.szggzy.com:8081/） 网站”，用“我的项目→项目流程→递交投标(应答)文件→上传投标文件”功能点上传投标文件。本项目电子投标文件最大容量为100MB，超过此容量的文件将被拒绝。</w:t>
      </w:r>
    </w:p>
    <w:p w14:paraId="37F02251">
      <w:pPr>
        <w:wordWrap w:val="0"/>
        <w:spacing w:line="400" w:lineRule="exact"/>
        <w:ind w:firstLine="480" w:firstLineChars="200"/>
        <w:jc w:val="both"/>
        <w:rPr>
          <w:rFonts w:ascii="宋体" w:hAnsi="宋体" w:eastAsia="宋体" w:cs="宋体"/>
        </w:rPr>
      </w:pPr>
      <w:r>
        <w:rPr>
          <w:rFonts w:hint="eastAsia" w:ascii="宋体" w:hAnsi="宋体" w:eastAsia="宋体" w:cs="宋体"/>
        </w:rPr>
        <w:t>5.采购文件澄清/修改事项：</w:t>
      </w:r>
      <w:r>
        <w:rPr>
          <w:rFonts w:hint="eastAsia" w:ascii="宋体" w:hAnsi="宋体" w:eastAsia="宋体" w:cs="宋体"/>
          <w:color w:val="FF0000"/>
          <w:highlight w:val="yellow"/>
        </w:rPr>
        <w:t>2025年X月X日XX:XX:XX（北京时间）前</w:t>
      </w:r>
      <w:r>
        <w:rPr>
          <w:rFonts w:hint="eastAsia" w:ascii="宋体" w:hAnsi="宋体" w:eastAsia="宋体" w:cs="宋体"/>
        </w:rPr>
        <w:t>，供应商如果认为采购文件存在不明确、不清晰和前后不一致等问题，可登录深圳公共资源交易中心网（http://zfcg.szggzy.com:8081/）→“深圳政府采购智慧平台用户网上办事子系统（http://zfcg.szggzy.com:8081/TPBidder/memberLogin）”，在“【我的项目】→【项目流程】→【提问】”功能点中填写需澄清内容</w:t>
      </w:r>
      <w:r>
        <w:rPr>
          <w:rFonts w:hint="eastAsia" w:ascii="宋体" w:hAnsi="宋体" w:eastAsia="宋体" w:cs="宋体"/>
          <w:color w:val="FF0000"/>
          <w:highlight w:val="yellow"/>
        </w:rPr>
        <w:t>2025年X月X日XX:XX:XX（北京时间）</w:t>
      </w:r>
      <w:r>
        <w:rPr>
          <w:rFonts w:hint="eastAsia" w:ascii="宋体" w:hAnsi="宋体" w:eastAsia="宋体" w:cs="宋体"/>
        </w:rPr>
        <w:t>前将采购文件澄清/修改情况在“【我的项目】→【项目流程】→【答疑澄清文件下载】”中公布，望投标人予以关注。</w:t>
      </w:r>
    </w:p>
    <w:p w14:paraId="2A88C2DD">
      <w:pPr>
        <w:wordWrap w:val="0"/>
        <w:spacing w:line="400" w:lineRule="exact"/>
        <w:ind w:firstLine="480" w:firstLineChars="200"/>
        <w:jc w:val="both"/>
        <w:rPr>
          <w:rFonts w:ascii="宋体" w:hAnsi="宋体" w:eastAsia="宋体" w:cs="宋体"/>
        </w:rPr>
      </w:pPr>
      <w:r>
        <w:rPr>
          <w:rFonts w:hint="eastAsia" w:ascii="宋体" w:hAnsi="宋体" w:eastAsia="宋体" w:cs="宋体"/>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请质疑供应商根据深圳公共资源交易中心网（ https://www.szggzy.com/globalSearch/details.html?contentId=1211037）所发布的质疑指引、质疑函模板填写质疑函并提交质疑材料。质疑材料可以采用现场或邮寄方式提交，采用邮寄方式提交的，交邮时间应在本公告发布之日起七个工作日内。质疑材料现场提交、邮寄地址：深圳市福田区福田体育公园西北角友和招标代理服务中心（靠近北门）。</w:t>
      </w:r>
      <w:r>
        <w:rPr>
          <w:rFonts w:hint="eastAsia" w:ascii="宋体" w:hAnsi="宋体" w:eastAsia="宋体" w:cs="宋体"/>
          <w:color w:val="FF0000"/>
          <w:highlight w:val="yellow"/>
        </w:rPr>
        <w:t>质疑咨询电话：0755-83889026</w:t>
      </w:r>
      <w:r>
        <w:rPr>
          <w:rFonts w:hint="eastAsia" w:ascii="宋体" w:hAnsi="宋体" w:eastAsia="宋体" w:cs="宋体"/>
        </w:rPr>
        <w:t xml:space="preserve">。根据《深圳经济特区政府采购条例》第四十二条“供应商投诉的事项应当是经过质疑的事项”的规定，未经正式质疑的，将影响供应商行使向财政部门提起投诉的权利。） </w:t>
      </w:r>
    </w:p>
    <w:p w14:paraId="36F7BDCB">
      <w:pPr>
        <w:wordWrap w:val="0"/>
        <w:spacing w:line="400" w:lineRule="exact"/>
        <w:ind w:firstLine="480" w:firstLineChars="200"/>
        <w:jc w:val="both"/>
        <w:rPr>
          <w:rFonts w:ascii="宋体" w:hAnsi="宋体" w:eastAsia="宋体" w:cs="宋体"/>
        </w:rPr>
      </w:pPr>
      <w:r>
        <w:rPr>
          <w:rFonts w:hint="eastAsia" w:ascii="宋体" w:hAnsi="宋体" w:eastAsia="宋体" w:cs="宋体"/>
        </w:rPr>
        <w:t>6.</w:t>
      </w:r>
      <w:r>
        <w:rPr>
          <w:rFonts w:hint="eastAsia" w:ascii="宋体" w:hAnsi="宋体" w:eastAsia="宋体" w:cs="宋体"/>
          <w:highlight w:val="yellow"/>
        </w:rPr>
        <w:t>友和保险经纪有限公司</w:t>
      </w:r>
      <w:r>
        <w:rPr>
          <w:rFonts w:hint="eastAsia" w:ascii="宋体" w:hAnsi="宋体" w:eastAsia="宋体" w:cs="宋体"/>
        </w:rPr>
        <w:t xml:space="preserve">有权对投标人就本项目要求提供的相关证明资料（原件）进行审查。供应商提供虚假资料被查实的，则可能面临被取消本项目中标资格、列入不良行为记录名单和三年内禁止参与深圳市政府采购活动的风险。 </w:t>
      </w:r>
    </w:p>
    <w:p w14:paraId="18471B98">
      <w:pPr>
        <w:wordWrap w:val="0"/>
        <w:spacing w:line="400" w:lineRule="exact"/>
        <w:ind w:firstLine="480" w:firstLineChars="200"/>
        <w:jc w:val="both"/>
        <w:rPr>
          <w:rFonts w:ascii="宋体" w:hAnsi="宋体" w:eastAsia="宋体" w:cs="宋体"/>
        </w:rPr>
      </w:pPr>
      <w:r>
        <w:rPr>
          <w:rFonts w:hint="eastAsia" w:ascii="宋体" w:hAnsi="宋体" w:eastAsia="宋体" w:cs="宋体"/>
        </w:rPr>
        <w:t>7.本招标公告及本项目招标文件所涉及的时间一律为北京时间。投标人有义务在招标活动期间浏览深圳公共资源交易中心（深圳交易集团有限公司政府采购业务分公司）网（http://zfcg.szggzy.com:8081），在深圳公共资源交易中心（深圳交易集团有限公司政府采购业务分公司）网上公布的与本次招标项目有关的信息视为已送达各投标人。</w:t>
      </w:r>
    </w:p>
    <w:p w14:paraId="5948A2FA">
      <w:pPr>
        <w:wordWrap w:val="0"/>
        <w:spacing w:line="400" w:lineRule="exact"/>
        <w:ind w:firstLine="480" w:firstLineChars="200"/>
        <w:jc w:val="both"/>
        <w:rPr>
          <w:rFonts w:ascii="宋体" w:hAnsi="宋体" w:eastAsia="宋体" w:cs="宋体"/>
        </w:rPr>
      </w:pPr>
      <w:r>
        <w:rPr>
          <w:rFonts w:hint="eastAsia" w:ascii="宋体" w:hAnsi="宋体" w:eastAsia="宋体" w:cs="宋体"/>
        </w:rPr>
        <w:t>8.本项目不需要投标保证金。</w:t>
      </w:r>
    </w:p>
    <w:p w14:paraId="6F78DE25">
      <w:pPr>
        <w:ind w:firstLine="482" w:firstLineChars="200"/>
        <w:rPr>
          <w:rFonts w:ascii="宋体" w:hAnsi="宋体" w:eastAsia="宋体" w:cs="宋体"/>
          <w:b/>
          <w:color w:val="000000" w:themeColor="text1"/>
          <w:szCs w:val="21"/>
          <w14:textFill>
            <w14:solidFill>
              <w14:schemeClr w14:val="tx1"/>
            </w14:solidFill>
          </w14:textFill>
        </w:rPr>
      </w:pPr>
    </w:p>
    <w:p w14:paraId="4C0FEC00">
      <w:pPr>
        <w:ind w:firstLine="482" w:firstLineChars="200"/>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七、对本次采购提出询问，请按以下方式联系</w:t>
      </w:r>
    </w:p>
    <w:p w14:paraId="393DC83A">
      <w:pPr>
        <w:spacing w:line="400" w:lineRule="exact"/>
        <w:ind w:firstLine="480" w:firstLineChars="200"/>
        <w:rPr>
          <w:rFonts w:ascii="宋体" w:hAnsi="宋体" w:eastAsia="宋体" w:cs="宋体"/>
        </w:rPr>
      </w:pPr>
      <w:r>
        <w:rPr>
          <w:rFonts w:hint="eastAsia" w:ascii="宋体" w:hAnsi="宋体" w:eastAsia="宋体" w:cs="宋体"/>
        </w:rPr>
        <w:t>1.采购人信息</w:t>
      </w:r>
    </w:p>
    <w:p w14:paraId="3B93502F">
      <w:pPr>
        <w:spacing w:line="400" w:lineRule="exact"/>
        <w:ind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名　称：</w:t>
      </w:r>
      <w:r>
        <w:rPr>
          <w:rFonts w:hint="eastAsia" w:ascii="宋体" w:hAnsi="宋体"/>
          <w:szCs w:val="21"/>
        </w:rPr>
        <w:t>哈尔滨工业大学（深圳）</w:t>
      </w:r>
    </w:p>
    <w:p w14:paraId="6278C7E3">
      <w:pPr>
        <w:spacing w:line="400" w:lineRule="exact"/>
        <w:ind w:firstLine="480" w:firstLineChars="200"/>
        <w:rPr>
          <w:rFonts w:ascii="宋体" w:hAnsi="宋体" w:eastAsia="宋体" w:cs="宋体"/>
          <w:color w:val="auto"/>
          <w:highlight w:val="none"/>
        </w:rPr>
      </w:pPr>
      <w:r>
        <w:rPr>
          <w:rFonts w:hint="eastAsia" w:ascii="宋体" w:hAnsi="宋体" w:eastAsia="宋体" w:cs="宋体"/>
          <w:color w:val="auto"/>
          <w:highlight w:val="none"/>
        </w:rPr>
        <w:t>地　址：深圳市南山区桃源街道深圳大学城哈尔滨工业大学校区</w:t>
      </w:r>
    </w:p>
    <w:p w14:paraId="35480087">
      <w:pPr>
        <w:spacing w:line="400" w:lineRule="exact"/>
        <w:ind w:firstLine="480" w:firstLineChars="200"/>
        <w:rPr>
          <w:rFonts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color w:val="auto"/>
          <w:szCs w:val="21"/>
          <w:highlight w:val="none"/>
        </w:rPr>
        <w:t>陈洪生</w:t>
      </w:r>
    </w:p>
    <w:p w14:paraId="0A00862C">
      <w:pPr>
        <w:spacing w:line="400" w:lineRule="exact"/>
        <w:ind w:firstLine="480" w:firstLineChars="200"/>
        <w:rPr>
          <w:rFonts w:ascii="宋体" w:hAnsi="宋体" w:eastAsia="宋体" w:cs="宋体"/>
        </w:rPr>
      </w:pPr>
      <w:r>
        <w:rPr>
          <w:rFonts w:hint="eastAsia" w:ascii="宋体" w:hAnsi="宋体" w:eastAsia="宋体" w:cs="宋体"/>
        </w:rPr>
        <w:t>2.招标机构</w:t>
      </w:r>
    </w:p>
    <w:p w14:paraId="239D6FCC">
      <w:pPr>
        <w:spacing w:line="400" w:lineRule="exact"/>
        <w:ind w:firstLine="480" w:firstLineChars="200"/>
        <w:rPr>
          <w:rFonts w:ascii="宋体" w:hAnsi="宋体" w:eastAsia="宋体" w:cs="宋体"/>
        </w:rPr>
      </w:pPr>
      <w:r>
        <w:rPr>
          <w:rFonts w:hint="eastAsia" w:ascii="宋体" w:hAnsi="宋体" w:eastAsia="宋体" w:cs="宋体"/>
        </w:rPr>
        <w:t>名　称：</w:t>
      </w:r>
      <w:r>
        <w:rPr>
          <w:rFonts w:hint="eastAsia" w:ascii="宋体" w:hAnsi="宋体" w:eastAsia="宋体" w:cs="宋体"/>
          <w:highlight w:val="yellow"/>
        </w:rPr>
        <w:t>友和保险经纪有限公司</w:t>
      </w:r>
    </w:p>
    <w:p w14:paraId="65805837">
      <w:pPr>
        <w:spacing w:line="400" w:lineRule="exact"/>
        <w:ind w:firstLine="480" w:firstLineChars="200"/>
        <w:rPr>
          <w:rFonts w:ascii="宋体" w:hAnsi="宋体" w:eastAsia="宋体" w:cs="宋体"/>
        </w:rPr>
      </w:pPr>
      <w:r>
        <w:rPr>
          <w:rFonts w:hint="eastAsia" w:ascii="宋体" w:hAnsi="宋体" w:eastAsia="宋体" w:cs="宋体"/>
        </w:rPr>
        <w:t>地　址：深圳市福田区福田体育公园西北角友和招标代理服务中心（靠近北门）</w:t>
      </w:r>
    </w:p>
    <w:p w14:paraId="1FC3EEE4">
      <w:pPr>
        <w:spacing w:line="400" w:lineRule="exact"/>
        <w:ind w:firstLine="480" w:firstLineChars="200"/>
        <w:rPr>
          <w:rFonts w:ascii="宋体" w:hAnsi="宋体" w:eastAsia="宋体" w:cs="宋体"/>
        </w:rPr>
      </w:pPr>
      <w:r>
        <w:rPr>
          <w:rFonts w:hint="eastAsia" w:ascii="宋体" w:hAnsi="宋体" w:eastAsia="宋体" w:cs="宋体"/>
        </w:rPr>
        <w:t>监督举报：0755-83889803、83889016</w:t>
      </w:r>
    </w:p>
    <w:p w14:paraId="53941E85">
      <w:pPr>
        <w:spacing w:line="400" w:lineRule="exact"/>
        <w:ind w:firstLine="480" w:firstLineChars="200"/>
        <w:rPr>
          <w:rFonts w:ascii="宋体" w:hAnsi="宋体" w:eastAsia="宋体" w:cs="宋体"/>
        </w:rPr>
      </w:pPr>
      <w:r>
        <w:rPr>
          <w:rFonts w:hint="eastAsia" w:ascii="宋体" w:hAnsi="宋体" w:eastAsia="宋体" w:cs="宋体"/>
        </w:rPr>
        <w:t>3.项目联系方式</w:t>
      </w:r>
    </w:p>
    <w:p w14:paraId="56EF8720">
      <w:pPr>
        <w:spacing w:line="400" w:lineRule="exact"/>
        <w:ind w:firstLine="480" w:firstLineChars="200"/>
        <w:rPr>
          <w:rFonts w:ascii="宋体" w:hAnsi="宋体" w:eastAsia="宋体" w:cs="宋体"/>
          <w:color w:val="auto"/>
          <w:highlight w:val="none"/>
        </w:rPr>
      </w:pPr>
      <w:r>
        <w:rPr>
          <w:rFonts w:hint="eastAsia" w:ascii="宋体" w:hAnsi="宋体" w:eastAsia="宋体" w:cs="宋体"/>
          <w:color w:val="auto"/>
          <w:highlight w:val="none"/>
        </w:rPr>
        <w:t>项目联系人：</w:t>
      </w:r>
      <w:r>
        <w:rPr>
          <w:rFonts w:hint="eastAsia" w:ascii="宋体" w:hAnsi="宋体" w:eastAsia="宋体" w:cs="宋体"/>
          <w:color w:val="auto"/>
          <w:highlight w:val="none"/>
          <w:lang w:val="en-US" w:eastAsia="zh-CN"/>
        </w:rPr>
        <w:t>潘艺伟</w:t>
      </w:r>
      <w:r>
        <w:rPr>
          <w:rFonts w:hint="eastAsia" w:ascii="宋体" w:hAnsi="宋体" w:eastAsia="宋体" w:cs="宋体"/>
          <w:color w:val="auto"/>
          <w:highlight w:val="none"/>
        </w:rPr>
        <w:t>/张挺/</w:t>
      </w:r>
      <w:r>
        <w:rPr>
          <w:rFonts w:hint="eastAsia" w:ascii="宋体" w:hAnsi="宋体" w:eastAsia="宋体" w:cs="宋体"/>
          <w:color w:val="auto"/>
          <w:highlight w:val="none"/>
          <w:lang w:val="en-US" w:eastAsia="zh-CN"/>
        </w:rPr>
        <w:t>陈少群</w:t>
      </w:r>
    </w:p>
    <w:p w14:paraId="75D85E2F">
      <w:pPr>
        <w:spacing w:line="400" w:lineRule="exact"/>
        <w:ind w:firstLine="480" w:firstLineChars="200"/>
        <w:rPr>
          <w:rFonts w:ascii="宋体" w:hAnsi="宋体" w:eastAsia="宋体" w:cs="宋体"/>
          <w:color w:val="auto"/>
          <w:highlight w:val="none"/>
        </w:rPr>
      </w:pPr>
      <w:r>
        <w:rPr>
          <w:rFonts w:hint="eastAsia" w:ascii="宋体" w:hAnsi="宋体" w:eastAsia="宋体" w:cs="宋体"/>
          <w:color w:val="auto"/>
          <w:highlight w:val="none"/>
        </w:rPr>
        <w:t>项目咨询：0755-83881283、0755-83889026</w:t>
      </w:r>
    </w:p>
    <w:p w14:paraId="67256BD6">
      <w:pPr>
        <w:widowControl w:val="0"/>
        <w:adjustRightInd w:val="0"/>
        <w:snapToGrid w:val="0"/>
        <w:spacing w:line="400" w:lineRule="exact"/>
        <w:ind w:firstLine="480" w:firstLineChars="200"/>
        <w:rPr>
          <w:rFonts w:ascii="宋体" w:hAnsi="宋体" w:eastAsia="宋体" w:cs="宋体"/>
        </w:rPr>
      </w:pPr>
      <w:r>
        <w:rPr>
          <w:rFonts w:hint="eastAsia" w:ascii="宋体" w:hAnsi="宋体" w:eastAsia="宋体" w:cs="宋体"/>
        </w:rPr>
        <w:t>投标报名：0755-83881111（总机）</w:t>
      </w:r>
    </w:p>
    <w:p w14:paraId="0EF564DD">
      <w:pPr>
        <w:pStyle w:val="33"/>
        <w:widowControl w:val="0"/>
        <w:adjustRightInd w:val="0"/>
        <w:snapToGrid w:val="0"/>
        <w:spacing w:line="400" w:lineRule="exact"/>
        <w:ind w:left="480" w:leftChars="200" w:firstLine="0" w:firstLineChars="0"/>
        <w:rPr>
          <w:rFonts w:ascii="宋体" w:hAnsi="宋体" w:eastAsia="宋体" w:cs="宋体"/>
        </w:rPr>
      </w:pPr>
      <w:r>
        <w:rPr>
          <w:rFonts w:hint="eastAsia" w:ascii="宋体" w:hAnsi="宋体" w:eastAsia="宋体" w:cs="宋体"/>
        </w:rPr>
        <w:t>4.相关项目信息查询网址</w:t>
      </w:r>
    </w:p>
    <w:p w14:paraId="3090E1CA">
      <w:pPr>
        <w:widowControl w:val="0"/>
        <w:adjustRightInd w:val="0"/>
        <w:snapToGrid w:val="0"/>
        <w:spacing w:line="400" w:lineRule="exact"/>
        <w:ind w:firstLine="480" w:firstLineChars="200"/>
        <w:rPr>
          <w:rFonts w:ascii="宋体" w:hAnsi="宋体" w:eastAsia="宋体" w:cs="宋体"/>
        </w:rPr>
      </w:pPr>
      <w:r>
        <w:rPr>
          <w:rFonts w:hint="eastAsia" w:ascii="宋体" w:hAnsi="宋体" w:eastAsia="宋体" w:cs="宋体"/>
        </w:rPr>
        <w:t>深圳政府采购智慧平台 http://zfcg.szggzy.com:8081/</w:t>
      </w:r>
    </w:p>
    <w:p w14:paraId="6DF4F79E">
      <w:pPr>
        <w:widowControl w:val="0"/>
        <w:adjustRightInd w:val="0"/>
        <w:snapToGrid w:val="0"/>
        <w:spacing w:line="400" w:lineRule="exact"/>
        <w:ind w:firstLine="480" w:firstLineChars="200"/>
        <w:rPr>
          <w:rFonts w:ascii="宋体" w:hAnsi="宋体" w:eastAsia="宋体" w:cs="宋体"/>
        </w:rPr>
      </w:pPr>
      <w:r>
        <w:rPr>
          <w:rFonts w:hint="eastAsia" w:ascii="宋体" w:hAnsi="宋体" w:eastAsia="宋体" w:cs="宋体"/>
        </w:rPr>
        <w:t>友和招标代理服务网 http://yhzb.uho.cn/</w:t>
      </w:r>
    </w:p>
    <w:p w14:paraId="6A502354">
      <w:pPr>
        <w:spacing w:line="400" w:lineRule="exact"/>
        <w:ind w:firstLine="480" w:firstLineChars="200"/>
        <w:rPr>
          <w:rFonts w:eastAsia="宋体"/>
        </w:rPr>
      </w:pPr>
    </w:p>
    <w:p w14:paraId="11E65057">
      <w:pPr>
        <w:spacing w:line="400" w:lineRule="exact"/>
        <w:ind w:firstLine="480" w:firstLineChars="200"/>
        <w:rPr>
          <w:rFonts w:ascii="宋体" w:hAnsi="宋体" w:eastAsia="宋体" w:cs="宋体"/>
        </w:rPr>
      </w:pPr>
    </w:p>
    <w:p w14:paraId="4FFC696D">
      <w:pPr>
        <w:spacing w:line="400" w:lineRule="exact"/>
        <w:ind w:firstLine="480" w:firstLineChars="200"/>
        <w:jc w:val="right"/>
        <w:rPr>
          <w:rFonts w:ascii="宋体" w:hAnsi="宋体" w:eastAsia="宋体" w:cs="宋体"/>
          <w:highlight w:val="yellow"/>
        </w:rPr>
      </w:pPr>
      <w:r>
        <w:rPr>
          <w:rFonts w:hint="eastAsia" w:ascii="宋体" w:hAnsi="宋体" w:eastAsia="宋体" w:cs="宋体"/>
          <w:highlight w:val="yellow"/>
        </w:rPr>
        <w:t>友和保险经纪有限公司</w:t>
      </w:r>
    </w:p>
    <w:p w14:paraId="390A18DC">
      <w:pPr>
        <w:rPr>
          <w:rFonts w:ascii="宋体" w:hAnsi="宋体" w:eastAsia="宋体" w:cs="宋体"/>
          <w:b/>
          <w:bCs/>
          <w:szCs w:val="21"/>
        </w:rPr>
      </w:pPr>
    </w:p>
    <w:p w14:paraId="5273D9A3">
      <w:pPr>
        <w:pStyle w:val="6"/>
        <w:spacing w:before="60" w:beforeLines="25" w:after="60" w:afterLines="25" w:line="360" w:lineRule="auto"/>
        <w:ind w:firstLine="0"/>
        <w:rPr>
          <w:rFonts w:ascii="宋体" w:hAnsi="宋体" w:eastAsia="宋体"/>
          <w:b/>
          <w:sz w:val="28"/>
          <w:szCs w:val="28"/>
          <w:highlight w:val="yellow"/>
        </w:rPr>
      </w:pPr>
      <w:r>
        <w:rPr>
          <w:rFonts w:hint="eastAsia"/>
        </w:rPr>
        <w:t>完整公告内容详见：</w:t>
      </w:r>
      <w:r>
        <w:rPr>
          <w:rFonts w:hint="eastAsia"/>
          <w:highlight w:val="yellow"/>
        </w:rPr>
        <w:t>http://zfcg.szggzy.com:8081/</w:t>
      </w:r>
    </w:p>
    <w:p w14:paraId="6B9144BC">
      <w:pPr>
        <w:rPr>
          <w:rFonts w:ascii="宋体" w:hAnsi="宋体" w:eastAsia="宋体"/>
          <w:b/>
          <w:bCs/>
          <w:sz w:val="28"/>
          <w:szCs w:val="28"/>
        </w:rPr>
      </w:pPr>
      <w:r>
        <w:rPr>
          <w:rFonts w:ascii="宋体" w:hAnsi="宋体" w:eastAsia="宋体"/>
          <w:sz w:val="28"/>
          <w:szCs w:val="28"/>
        </w:rPr>
        <w:br w:type="page"/>
      </w:r>
    </w:p>
    <w:p w14:paraId="3215CAE8">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7108E2AF">
      <w:pPr>
        <w:pStyle w:val="5"/>
        <w:spacing w:before="120" w:beforeLines="50" w:after="120" w:afterLines="50"/>
        <w:rPr>
          <w:szCs w:val="24"/>
        </w:rPr>
      </w:pPr>
      <w:bookmarkStart w:id="25" w:name="_Toc73521635"/>
      <w:bookmarkStart w:id="26" w:name="_Toc73518117"/>
      <w:bookmarkStart w:id="27" w:name="_Toc73521547"/>
      <w:bookmarkStart w:id="28" w:name="_Toc101074876"/>
      <w:bookmarkStart w:id="29" w:name="_Toc60560625"/>
      <w:bookmarkStart w:id="30" w:name="_Toc73517639"/>
      <w:bookmarkStart w:id="31" w:name="_Toc100052364"/>
      <w:bookmarkStart w:id="32" w:name="_Toc60631620"/>
      <w:r>
        <w:rPr>
          <w:rFonts w:hint="eastAsia"/>
          <w:szCs w:val="24"/>
        </w:rPr>
        <w:t>一、对通用条款的补充内容</w:t>
      </w:r>
    </w:p>
    <w:bookmarkEnd w:id="25"/>
    <w:bookmarkEnd w:id="26"/>
    <w:bookmarkEnd w:id="27"/>
    <w:bookmarkEnd w:id="28"/>
    <w:bookmarkEnd w:id="29"/>
    <w:bookmarkEnd w:id="30"/>
    <w:bookmarkEnd w:id="31"/>
    <w:bookmarkEnd w:id="32"/>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2409"/>
        <w:gridCol w:w="4980"/>
      </w:tblGrid>
      <w:tr w14:paraId="7A1A2C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EAB5335">
            <w:pPr>
              <w:jc w:val="center"/>
              <w:rPr>
                <w:rFonts w:ascii="宋体" w:hAnsi="宋体" w:eastAsia="宋体"/>
                <w:b/>
                <w:bCs/>
              </w:rPr>
            </w:pPr>
            <w:bookmarkStart w:id="33" w:name="_Hlk72218097"/>
            <w:r>
              <w:rPr>
                <w:rFonts w:hint="eastAsia" w:ascii="宋体" w:hAnsi="宋体" w:eastAsia="宋体"/>
                <w:b/>
                <w:bCs/>
              </w:rPr>
              <w:t>通用条款序号</w:t>
            </w:r>
          </w:p>
        </w:tc>
        <w:tc>
          <w:tcPr>
            <w:tcW w:w="2409" w:type="dxa"/>
            <w:vAlign w:val="center"/>
          </w:tcPr>
          <w:p w14:paraId="362EDCC3">
            <w:pPr>
              <w:jc w:val="center"/>
              <w:rPr>
                <w:rFonts w:ascii="宋体" w:hAnsi="宋体" w:eastAsia="宋体"/>
                <w:b/>
                <w:bCs/>
              </w:rPr>
            </w:pPr>
            <w:r>
              <w:rPr>
                <w:rFonts w:hint="eastAsia" w:ascii="宋体" w:hAnsi="宋体" w:eastAsia="宋体"/>
                <w:b/>
                <w:bCs/>
              </w:rPr>
              <w:t>涉及事项</w:t>
            </w:r>
          </w:p>
        </w:tc>
        <w:tc>
          <w:tcPr>
            <w:tcW w:w="4980" w:type="dxa"/>
            <w:vAlign w:val="center"/>
          </w:tcPr>
          <w:p w14:paraId="55739CC2">
            <w:pPr>
              <w:jc w:val="center"/>
              <w:rPr>
                <w:rFonts w:ascii="宋体" w:hAnsi="宋体" w:eastAsia="宋体"/>
                <w:b/>
                <w:bCs/>
              </w:rPr>
            </w:pPr>
            <w:r>
              <w:rPr>
                <w:rFonts w:hint="eastAsia" w:ascii="宋体" w:hAnsi="宋体" w:eastAsia="宋体"/>
                <w:b/>
                <w:bCs/>
              </w:rPr>
              <w:t>具 体 补 充 内 容</w:t>
            </w:r>
          </w:p>
        </w:tc>
      </w:tr>
      <w:tr w14:paraId="58B651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8E9165E">
            <w:pPr>
              <w:jc w:val="center"/>
              <w:rPr>
                <w:rFonts w:ascii="宋体" w:hAnsi="宋体" w:eastAsia="宋体"/>
              </w:rPr>
            </w:pPr>
            <w:r>
              <w:rPr>
                <w:rFonts w:hint="eastAsia" w:ascii="宋体" w:hAnsi="宋体" w:eastAsia="宋体"/>
              </w:rPr>
              <w:t>3</w:t>
            </w:r>
            <w:r>
              <w:rPr>
                <w:rFonts w:ascii="宋体" w:hAnsi="宋体" w:eastAsia="宋体"/>
              </w:rPr>
              <w:t>.1</w:t>
            </w:r>
          </w:p>
        </w:tc>
        <w:tc>
          <w:tcPr>
            <w:tcW w:w="2409" w:type="dxa"/>
            <w:vAlign w:val="center"/>
          </w:tcPr>
          <w:p w14:paraId="24C89A90">
            <w:pPr>
              <w:jc w:val="center"/>
              <w:rPr>
                <w:rFonts w:ascii="宋体" w:hAnsi="宋体" w:eastAsia="宋体"/>
              </w:rPr>
            </w:pPr>
            <w:r>
              <w:rPr>
                <w:rFonts w:hint="eastAsia" w:ascii="宋体" w:hAnsi="宋体" w:eastAsia="宋体"/>
              </w:rPr>
              <w:t>采购人</w:t>
            </w:r>
          </w:p>
        </w:tc>
        <w:tc>
          <w:tcPr>
            <w:tcW w:w="4980" w:type="dxa"/>
            <w:vAlign w:val="center"/>
          </w:tcPr>
          <w:p w14:paraId="5119E394">
            <w:pPr>
              <w:jc w:val="center"/>
              <w:rPr>
                <w:rFonts w:ascii="宋体" w:hAnsi="宋体" w:eastAsia="宋体"/>
              </w:rPr>
            </w:pPr>
            <w:r>
              <w:rPr>
                <w:rFonts w:hint="eastAsia" w:ascii="宋体" w:hAnsi="宋体"/>
                <w:szCs w:val="21"/>
              </w:rPr>
              <w:t>哈尔滨工业大学（深圳）</w:t>
            </w:r>
          </w:p>
        </w:tc>
      </w:tr>
      <w:tr w14:paraId="0E71AB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74BC0E8">
            <w:pPr>
              <w:jc w:val="center"/>
              <w:rPr>
                <w:rFonts w:ascii="宋体" w:hAnsi="宋体" w:eastAsia="宋体"/>
              </w:rPr>
            </w:pPr>
            <w:r>
              <w:rPr>
                <w:rFonts w:hint="eastAsia" w:ascii="宋体" w:hAnsi="宋体" w:eastAsia="宋体"/>
              </w:rPr>
              <w:t>3</w:t>
            </w:r>
            <w:r>
              <w:rPr>
                <w:rFonts w:ascii="宋体" w:hAnsi="宋体" w:eastAsia="宋体"/>
              </w:rPr>
              <w:t>.2</w:t>
            </w:r>
          </w:p>
        </w:tc>
        <w:tc>
          <w:tcPr>
            <w:tcW w:w="2409" w:type="dxa"/>
            <w:vAlign w:val="center"/>
          </w:tcPr>
          <w:p w14:paraId="3E99AC78">
            <w:pPr>
              <w:jc w:val="center"/>
              <w:rPr>
                <w:rFonts w:ascii="宋体" w:hAnsi="宋体" w:eastAsia="宋体"/>
              </w:rPr>
            </w:pPr>
            <w:r>
              <w:rPr>
                <w:rFonts w:hint="eastAsia" w:ascii="宋体" w:hAnsi="宋体" w:eastAsia="宋体"/>
              </w:rPr>
              <w:t>招标机构</w:t>
            </w:r>
          </w:p>
        </w:tc>
        <w:tc>
          <w:tcPr>
            <w:tcW w:w="4980" w:type="dxa"/>
            <w:vAlign w:val="center"/>
          </w:tcPr>
          <w:p w14:paraId="32B625E8">
            <w:pPr>
              <w:jc w:val="center"/>
              <w:rPr>
                <w:rFonts w:ascii="宋体" w:hAnsi="宋体" w:eastAsia="宋体"/>
              </w:rPr>
            </w:pPr>
            <w:r>
              <w:rPr>
                <w:rFonts w:hint="eastAsia" w:ascii="宋体" w:hAnsi="宋体" w:eastAsia="宋体"/>
              </w:rPr>
              <w:t>友和保险经纪有限公司</w:t>
            </w:r>
          </w:p>
        </w:tc>
      </w:tr>
      <w:tr w14:paraId="77BF2F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DC87C75">
            <w:pPr>
              <w:jc w:val="center"/>
              <w:rPr>
                <w:rFonts w:ascii="宋体" w:hAnsi="宋体" w:eastAsia="宋体"/>
              </w:rPr>
            </w:pPr>
            <w:r>
              <w:rPr>
                <w:rFonts w:hint="eastAsia" w:ascii="宋体" w:hAnsi="宋体" w:eastAsia="宋体"/>
              </w:rPr>
              <w:t>5</w:t>
            </w:r>
            <w:r>
              <w:rPr>
                <w:rFonts w:ascii="宋体" w:hAnsi="宋体" w:eastAsia="宋体"/>
              </w:rPr>
              <w:t>.3</w:t>
            </w:r>
          </w:p>
        </w:tc>
        <w:tc>
          <w:tcPr>
            <w:tcW w:w="2409" w:type="dxa"/>
            <w:vAlign w:val="center"/>
          </w:tcPr>
          <w:p w14:paraId="5A852557">
            <w:pPr>
              <w:jc w:val="center"/>
              <w:rPr>
                <w:rFonts w:ascii="宋体" w:hAnsi="宋体" w:eastAsia="宋体"/>
              </w:rPr>
            </w:pPr>
            <w:r>
              <w:rPr>
                <w:rFonts w:hint="eastAsia" w:ascii="宋体" w:hAnsi="宋体" w:eastAsia="宋体"/>
              </w:rPr>
              <w:t>联合体投标</w:t>
            </w:r>
          </w:p>
        </w:tc>
        <w:tc>
          <w:tcPr>
            <w:tcW w:w="4980" w:type="dxa"/>
            <w:vAlign w:val="center"/>
          </w:tcPr>
          <w:p w14:paraId="145909E9">
            <w:pPr>
              <w:jc w:val="center"/>
              <w:rPr>
                <w:rFonts w:ascii="宋体" w:hAnsi="宋体" w:eastAsia="宋体"/>
              </w:rPr>
            </w:pPr>
            <w:r>
              <w:rPr>
                <w:rFonts w:hint="eastAsia" w:ascii="宋体" w:hAnsi="宋体" w:eastAsia="宋体"/>
              </w:rPr>
              <w:t>不接受</w:t>
            </w:r>
          </w:p>
        </w:tc>
      </w:tr>
      <w:tr w14:paraId="553913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D718587">
            <w:pPr>
              <w:jc w:val="center"/>
              <w:rPr>
                <w:rFonts w:ascii="宋体" w:hAnsi="宋体" w:eastAsia="宋体"/>
              </w:rPr>
            </w:pPr>
            <w:r>
              <w:rPr>
                <w:rFonts w:hint="eastAsia" w:ascii="宋体" w:hAnsi="宋体" w:eastAsia="宋体"/>
              </w:rPr>
              <w:t>9</w:t>
            </w:r>
          </w:p>
        </w:tc>
        <w:tc>
          <w:tcPr>
            <w:tcW w:w="2409" w:type="dxa"/>
            <w:vAlign w:val="center"/>
          </w:tcPr>
          <w:p w14:paraId="06E6199D">
            <w:pPr>
              <w:jc w:val="center"/>
              <w:rPr>
                <w:rFonts w:ascii="宋体" w:hAnsi="宋体" w:eastAsia="宋体"/>
              </w:rPr>
            </w:pPr>
            <w:r>
              <w:rPr>
                <w:rFonts w:hint="eastAsia" w:ascii="宋体" w:hAnsi="宋体" w:eastAsia="宋体"/>
              </w:rPr>
              <w:t>踏勘现场</w:t>
            </w:r>
          </w:p>
        </w:tc>
        <w:tc>
          <w:tcPr>
            <w:tcW w:w="4980" w:type="dxa"/>
            <w:vAlign w:val="center"/>
          </w:tcPr>
          <w:p w14:paraId="29AF92D0">
            <w:pPr>
              <w:jc w:val="center"/>
              <w:rPr>
                <w:rFonts w:ascii="宋体" w:hAnsi="宋体" w:eastAsia="宋体"/>
              </w:rPr>
            </w:pPr>
            <w:r>
              <w:rPr>
                <w:rFonts w:hint="eastAsia" w:ascii="宋体" w:hAnsi="宋体" w:eastAsia="宋体"/>
              </w:rPr>
              <w:t>不组织</w:t>
            </w:r>
          </w:p>
        </w:tc>
      </w:tr>
      <w:tr w14:paraId="2F5E0A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1443C9A">
            <w:pPr>
              <w:jc w:val="center"/>
              <w:rPr>
                <w:rFonts w:ascii="宋体" w:hAnsi="宋体" w:eastAsia="宋体"/>
              </w:rPr>
            </w:pPr>
            <w:r>
              <w:rPr>
                <w:rFonts w:hint="eastAsia" w:ascii="宋体" w:hAnsi="宋体" w:eastAsia="宋体"/>
              </w:rPr>
              <w:t>1</w:t>
            </w:r>
            <w:r>
              <w:rPr>
                <w:rFonts w:ascii="宋体" w:hAnsi="宋体" w:eastAsia="宋体"/>
              </w:rPr>
              <w:t>0</w:t>
            </w:r>
          </w:p>
        </w:tc>
        <w:tc>
          <w:tcPr>
            <w:tcW w:w="2409" w:type="dxa"/>
            <w:vAlign w:val="center"/>
          </w:tcPr>
          <w:p w14:paraId="5A677D68">
            <w:pPr>
              <w:jc w:val="center"/>
              <w:rPr>
                <w:rFonts w:ascii="宋体" w:hAnsi="宋体" w:eastAsia="宋体"/>
              </w:rPr>
            </w:pPr>
            <w:r>
              <w:rPr>
                <w:rFonts w:hint="eastAsia" w:ascii="宋体" w:hAnsi="宋体" w:eastAsia="宋体"/>
              </w:rPr>
              <w:t>标前会议</w:t>
            </w:r>
          </w:p>
        </w:tc>
        <w:tc>
          <w:tcPr>
            <w:tcW w:w="4980" w:type="dxa"/>
            <w:vAlign w:val="center"/>
          </w:tcPr>
          <w:p w14:paraId="2E8BC1FB">
            <w:pPr>
              <w:jc w:val="center"/>
              <w:rPr>
                <w:rFonts w:ascii="宋体" w:hAnsi="宋体" w:eastAsia="宋体"/>
              </w:rPr>
            </w:pPr>
            <w:r>
              <w:rPr>
                <w:rFonts w:hint="eastAsia" w:ascii="宋体" w:hAnsi="宋体" w:eastAsia="宋体"/>
              </w:rPr>
              <w:t>不组织</w:t>
            </w:r>
          </w:p>
        </w:tc>
      </w:tr>
      <w:tr w14:paraId="3BEBA1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A980B54">
            <w:pPr>
              <w:jc w:val="center"/>
              <w:rPr>
                <w:rFonts w:ascii="宋体" w:hAnsi="宋体" w:eastAsia="宋体"/>
              </w:rPr>
            </w:pPr>
            <w:r>
              <w:rPr>
                <w:rFonts w:hint="eastAsia" w:ascii="宋体" w:hAnsi="宋体" w:eastAsia="宋体"/>
              </w:rPr>
              <w:t>2</w:t>
            </w:r>
            <w:r>
              <w:rPr>
                <w:rFonts w:ascii="宋体" w:hAnsi="宋体" w:eastAsia="宋体"/>
              </w:rPr>
              <w:t>0</w:t>
            </w:r>
          </w:p>
        </w:tc>
        <w:tc>
          <w:tcPr>
            <w:tcW w:w="2409" w:type="dxa"/>
            <w:vAlign w:val="center"/>
          </w:tcPr>
          <w:p w14:paraId="770DEF49">
            <w:pPr>
              <w:jc w:val="center"/>
              <w:rPr>
                <w:rFonts w:ascii="宋体" w:hAnsi="宋体" w:eastAsia="宋体"/>
              </w:rPr>
            </w:pPr>
            <w:r>
              <w:rPr>
                <w:rFonts w:hint="eastAsia" w:ascii="宋体" w:hAnsi="宋体" w:eastAsia="宋体"/>
              </w:rPr>
              <w:t>投标有效期</w:t>
            </w:r>
          </w:p>
        </w:tc>
        <w:tc>
          <w:tcPr>
            <w:tcW w:w="4980" w:type="dxa"/>
            <w:vAlign w:val="center"/>
          </w:tcPr>
          <w:p w14:paraId="6B74C092">
            <w:pPr>
              <w:jc w:val="center"/>
              <w:rPr>
                <w:rFonts w:ascii="宋体" w:hAnsi="宋体" w:eastAsia="宋体"/>
              </w:rPr>
            </w:pPr>
            <w:r>
              <w:rPr>
                <w:rFonts w:hint="eastAsia" w:ascii="宋体" w:hAnsi="宋体" w:eastAsia="宋体"/>
              </w:rPr>
              <w:t>1</w:t>
            </w:r>
            <w:r>
              <w:rPr>
                <w:rFonts w:ascii="宋体" w:hAnsi="宋体" w:eastAsia="宋体"/>
              </w:rPr>
              <w:t>20</w:t>
            </w:r>
            <w:r>
              <w:rPr>
                <w:rFonts w:hint="eastAsia" w:ascii="宋体" w:hAnsi="宋体" w:eastAsia="宋体"/>
              </w:rPr>
              <w:t>个日历日</w:t>
            </w:r>
          </w:p>
        </w:tc>
      </w:tr>
      <w:tr w14:paraId="66C110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6784A17">
            <w:pPr>
              <w:jc w:val="center"/>
              <w:rPr>
                <w:rFonts w:ascii="宋体" w:hAnsi="宋体" w:eastAsia="宋体"/>
              </w:rPr>
            </w:pPr>
            <w:r>
              <w:rPr>
                <w:rFonts w:hint="eastAsia" w:ascii="宋体" w:hAnsi="宋体" w:eastAsia="宋体"/>
              </w:rPr>
              <w:t>2</w:t>
            </w:r>
            <w:r>
              <w:rPr>
                <w:rFonts w:ascii="宋体" w:hAnsi="宋体" w:eastAsia="宋体"/>
              </w:rPr>
              <w:t>2</w:t>
            </w:r>
          </w:p>
        </w:tc>
        <w:tc>
          <w:tcPr>
            <w:tcW w:w="2409" w:type="dxa"/>
            <w:vAlign w:val="center"/>
          </w:tcPr>
          <w:p w14:paraId="0CAE54D6">
            <w:pPr>
              <w:jc w:val="center"/>
              <w:rPr>
                <w:rFonts w:ascii="宋体" w:hAnsi="宋体" w:eastAsia="宋体"/>
              </w:rPr>
            </w:pPr>
            <w:r>
              <w:rPr>
                <w:rFonts w:hint="eastAsia" w:ascii="宋体" w:hAnsi="宋体" w:eastAsia="宋体"/>
              </w:rPr>
              <w:t>投标人的替代方案</w:t>
            </w:r>
          </w:p>
        </w:tc>
        <w:tc>
          <w:tcPr>
            <w:tcW w:w="4980" w:type="dxa"/>
            <w:vAlign w:val="center"/>
          </w:tcPr>
          <w:p w14:paraId="14017B89">
            <w:pPr>
              <w:jc w:val="center"/>
              <w:rPr>
                <w:rFonts w:ascii="宋体" w:hAnsi="宋体" w:eastAsia="宋体"/>
              </w:rPr>
            </w:pPr>
            <w:r>
              <w:rPr>
                <w:rFonts w:hint="eastAsia" w:ascii="宋体" w:hAnsi="宋体" w:eastAsia="宋体"/>
              </w:rPr>
              <w:t>不接受</w:t>
            </w:r>
          </w:p>
        </w:tc>
      </w:tr>
      <w:tr w14:paraId="5DA01F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B4EBFAC">
            <w:pPr>
              <w:jc w:val="center"/>
              <w:rPr>
                <w:rFonts w:ascii="宋体" w:hAnsi="宋体" w:eastAsia="宋体"/>
              </w:rPr>
            </w:pPr>
            <w:r>
              <w:rPr>
                <w:rFonts w:hint="eastAsia" w:ascii="宋体" w:hAnsi="宋体" w:eastAsia="宋体"/>
              </w:rPr>
              <w:t>2</w:t>
            </w:r>
            <w:r>
              <w:rPr>
                <w:rFonts w:ascii="宋体" w:hAnsi="宋体" w:eastAsia="宋体"/>
              </w:rPr>
              <w:t>5</w:t>
            </w:r>
          </w:p>
        </w:tc>
        <w:tc>
          <w:tcPr>
            <w:tcW w:w="2409" w:type="dxa"/>
            <w:vAlign w:val="center"/>
          </w:tcPr>
          <w:p w14:paraId="35F1227C">
            <w:pPr>
              <w:jc w:val="center"/>
              <w:rPr>
                <w:rFonts w:ascii="宋体" w:hAnsi="宋体" w:eastAsia="宋体"/>
              </w:rPr>
            </w:pPr>
            <w:r>
              <w:rPr>
                <w:rFonts w:hint="eastAsia" w:ascii="宋体" w:hAnsi="宋体" w:eastAsia="宋体"/>
              </w:rPr>
              <w:t>投标文件的大小</w:t>
            </w:r>
          </w:p>
        </w:tc>
        <w:tc>
          <w:tcPr>
            <w:tcW w:w="4980" w:type="dxa"/>
            <w:vAlign w:val="center"/>
          </w:tcPr>
          <w:p w14:paraId="04842628">
            <w:pPr>
              <w:jc w:val="center"/>
              <w:rPr>
                <w:rFonts w:ascii="宋体" w:hAnsi="宋体" w:eastAsia="宋体"/>
              </w:rPr>
            </w:pPr>
            <w:r>
              <w:rPr>
                <w:rFonts w:hint="eastAsia" w:ascii="宋体" w:hAnsi="宋体" w:eastAsia="宋体"/>
              </w:rPr>
              <w:t>投标文件大小不得超过100MB</w:t>
            </w:r>
          </w:p>
        </w:tc>
      </w:tr>
      <w:tr w14:paraId="60F3EC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A5D45E6">
            <w:pPr>
              <w:jc w:val="center"/>
              <w:rPr>
                <w:rFonts w:ascii="宋体" w:hAnsi="宋体" w:eastAsia="宋体"/>
              </w:rPr>
            </w:pPr>
            <w:r>
              <w:rPr>
                <w:rFonts w:hint="eastAsia" w:ascii="宋体" w:hAnsi="宋体" w:eastAsia="宋体"/>
              </w:rPr>
              <w:t>2</w:t>
            </w:r>
            <w:r>
              <w:rPr>
                <w:rFonts w:ascii="宋体" w:hAnsi="宋体" w:eastAsia="宋体"/>
              </w:rPr>
              <w:t>6</w:t>
            </w:r>
          </w:p>
        </w:tc>
        <w:tc>
          <w:tcPr>
            <w:tcW w:w="2409" w:type="dxa"/>
            <w:vAlign w:val="center"/>
          </w:tcPr>
          <w:p w14:paraId="1C771B1F">
            <w:pPr>
              <w:jc w:val="center"/>
              <w:rPr>
                <w:rFonts w:ascii="宋体" w:hAnsi="宋体" w:eastAsia="宋体"/>
              </w:rPr>
            </w:pPr>
            <w:bookmarkStart w:id="34" w:name="_Hlk71664860"/>
            <w:r>
              <w:rPr>
                <w:rFonts w:hint="eastAsia" w:ascii="宋体" w:hAnsi="宋体" w:eastAsia="宋体"/>
              </w:rPr>
              <w:t>样品、现场演示、方案讲解</w:t>
            </w:r>
            <w:bookmarkEnd w:id="34"/>
          </w:p>
        </w:tc>
        <w:tc>
          <w:tcPr>
            <w:tcW w:w="4980" w:type="dxa"/>
            <w:vAlign w:val="center"/>
          </w:tcPr>
          <w:p w14:paraId="14B05834">
            <w:pPr>
              <w:jc w:val="center"/>
              <w:rPr>
                <w:rFonts w:hint="eastAsia" w:ascii="宋体" w:hAnsi="宋体" w:eastAsia="宋体"/>
                <w:lang w:eastAsia="zh-CN"/>
              </w:rPr>
            </w:pPr>
            <w:r>
              <w:rPr>
                <w:rFonts w:hint="eastAsia" w:ascii="宋体" w:hAnsi="宋体" w:eastAsia="宋体"/>
                <w:lang w:val="en-US" w:eastAsia="zh-CN"/>
              </w:rPr>
              <w:t>有</w:t>
            </w:r>
          </w:p>
        </w:tc>
      </w:tr>
      <w:tr w14:paraId="5C3F26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7C8D3D2">
            <w:pPr>
              <w:jc w:val="center"/>
              <w:rPr>
                <w:rFonts w:ascii="宋体" w:hAnsi="宋体" w:eastAsia="宋体"/>
              </w:rPr>
            </w:pPr>
            <w:r>
              <w:rPr>
                <w:rFonts w:hint="eastAsia" w:ascii="宋体" w:hAnsi="宋体" w:eastAsia="宋体"/>
              </w:rPr>
              <w:t>3</w:t>
            </w:r>
            <w:r>
              <w:rPr>
                <w:rFonts w:ascii="宋体" w:hAnsi="宋体" w:eastAsia="宋体"/>
              </w:rPr>
              <w:t>7</w:t>
            </w:r>
          </w:p>
        </w:tc>
        <w:tc>
          <w:tcPr>
            <w:tcW w:w="2409" w:type="dxa"/>
            <w:vAlign w:val="center"/>
          </w:tcPr>
          <w:p w14:paraId="505C7346">
            <w:pPr>
              <w:jc w:val="center"/>
              <w:rPr>
                <w:rFonts w:ascii="宋体" w:hAnsi="宋体" w:eastAsia="宋体"/>
              </w:rPr>
            </w:pPr>
            <w:r>
              <w:rPr>
                <w:rFonts w:hint="eastAsia" w:ascii="宋体" w:hAnsi="宋体" w:eastAsia="宋体"/>
              </w:rPr>
              <w:t>评审方法</w:t>
            </w:r>
          </w:p>
        </w:tc>
        <w:tc>
          <w:tcPr>
            <w:tcW w:w="4980" w:type="dxa"/>
            <w:vAlign w:val="center"/>
          </w:tcPr>
          <w:p w14:paraId="15382527">
            <w:pPr>
              <w:jc w:val="center"/>
              <w:rPr>
                <w:rFonts w:ascii="宋体" w:hAnsi="宋体" w:eastAsia="宋体"/>
              </w:rPr>
            </w:pPr>
            <w:r>
              <w:rPr>
                <w:rFonts w:hint="eastAsia" w:ascii="宋体" w:hAnsi="宋体" w:eastAsia="宋体"/>
              </w:rPr>
              <w:t>综合评分法</w:t>
            </w:r>
          </w:p>
        </w:tc>
      </w:tr>
      <w:tr w14:paraId="3626B3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D43F1F0">
            <w:pPr>
              <w:jc w:val="center"/>
              <w:rPr>
                <w:rFonts w:ascii="宋体" w:hAnsi="宋体" w:eastAsia="宋体"/>
              </w:rPr>
            </w:pPr>
            <w:r>
              <w:rPr>
                <w:rFonts w:hint="eastAsia" w:ascii="宋体" w:hAnsi="宋体" w:eastAsia="宋体"/>
              </w:rPr>
              <w:t>3</w:t>
            </w:r>
            <w:r>
              <w:rPr>
                <w:rFonts w:ascii="宋体" w:hAnsi="宋体" w:eastAsia="宋体"/>
              </w:rPr>
              <w:t>8</w:t>
            </w:r>
          </w:p>
        </w:tc>
        <w:tc>
          <w:tcPr>
            <w:tcW w:w="2409" w:type="dxa"/>
            <w:vAlign w:val="center"/>
          </w:tcPr>
          <w:p w14:paraId="5BF869D6">
            <w:pPr>
              <w:jc w:val="center"/>
              <w:rPr>
                <w:rFonts w:ascii="宋体" w:hAnsi="宋体" w:eastAsia="宋体"/>
              </w:rPr>
            </w:pPr>
            <w:r>
              <w:rPr>
                <w:rFonts w:hint="eastAsia" w:ascii="宋体" w:hAnsi="宋体" w:eastAsia="宋体"/>
              </w:rPr>
              <w:t>定标方法</w:t>
            </w:r>
          </w:p>
        </w:tc>
        <w:tc>
          <w:tcPr>
            <w:tcW w:w="4980" w:type="dxa"/>
            <w:vAlign w:val="center"/>
          </w:tcPr>
          <w:p w14:paraId="162D52FA">
            <w:pPr>
              <w:jc w:val="center"/>
              <w:rPr>
                <w:rFonts w:ascii="宋体" w:hAnsi="宋体" w:eastAsia="宋体"/>
              </w:rPr>
            </w:pPr>
            <w:r>
              <w:rPr>
                <w:rFonts w:hint="eastAsia" w:ascii="宋体" w:hAnsi="宋体" w:eastAsia="宋体"/>
                <w:color w:val="4F81BD" w:themeColor="accent1"/>
                <w14:textFill>
                  <w14:solidFill>
                    <w14:schemeClr w14:val="accent1"/>
                  </w14:solidFill>
                </w14:textFill>
              </w:rPr>
              <w:t>非评定分离</w:t>
            </w:r>
          </w:p>
        </w:tc>
      </w:tr>
      <w:tr w14:paraId="018911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52D749">
            <w:pPr>
              <w:jc w:val="center"/>
              <w:rPr>
                <w:rFonts w:ascii="宋体" w:hAnsi="宋体" w:eastAsia="宋体"/>
              </w:rPr>
            </w:pPr>
            <w:r>
              <w:rPr>
                <w:rFonts w:hint="eastAsia" w:ascii="宋体" w:hAnsi="宋体" w:eastAsia="宋体"/>
              </w:rPr>
              <w:t>4</w:t>
            </w:r>
            <w:r>
              <w:rPr>
                <w:rFonts w:ascii="宋体" w:hAnsi="宋体" w:eastAsia="宋体"/>
              </w:rPr>
              <w:t>6</w:t>
            </w:r>
          </w:p>
        </w:tc>
        <w:tc>
          <w:tcPr>
            <w:tcW w:w="2409" w:type="dxa"/>
            <w:vAlign w:val="center"/>
          </w:tcPr>
          <w:p w14:paraId="72C9DB4E">
            <w:pPr>
              <w:jc w:val="center"/>
              <w:rPr>
                <w:rFonts w:ascii="宋体" w:hAnsi="宋体" w:eastAsia="宋体"/>
              </w:rPr>
            </w:pPr>
            <w:r>
              <w:rPr>
                <w:rFonts w:hint="eastAsia" w:ascii="宋体" w:hAnsi="宋体" w:eastAsia="宋体"/>
              </w:rPr>
              <w:t>履约担保</w:t>
            </w:r>
          </w:p>
        </w:tc>
        <w:tc>
          <w:tcPr>
            <w:tcW w:w="4980" w:type="dxa"/>
            <w:vAlign w:val="center"/>
          </w:tcPr>
          <w:p w14:paraId="0BDC0BB6">
            <w:pPr>
              <w:jc w:val="center"/>
              <w:rPr>
                <w:rFonts w:ascii="宋体" w:hAnsi="宋体" w:eastAsia="宋体"/>
              </w:rPr>
            </w:pPr>
            <w:r>
              <w:rPr>
                <w:rFonts w:hint="eastAsia" w:ascii="宋体" w:hAnsi="宋体" w:eastAsia="宋体"/>
              </w:rPr>
              <w:t>无</w:t>
            </w:r>
          </w:p>
        </w:tc>
      </w:tr>
    </w:tbl>
    <w:p w14:paraId="76027FA0">
      <w:pPr>
        <w:rPr>
          <w:rFonts w:ascii="宋体" w:hAnsi="宋体" w:eastAsia="宋体"/>
          <w:b/>
        </w:rPr>
      </w:pPr>
      <w:r>
        <w:rPr>
          <w:rFonts w:hint="eastAsia" w:ascii="宋体" w:hAnsi="宋体" w:eastAsia="宋体"/>
          <w:szCs w:val="21"/>
        </w:rPr>
        <w:t>备注：本表是通用条款相关条款的补充和明确，如与通用条款内容相冲突的，以本表为准。</w:t>
      </w:r>
      <w:r>
        <w:rPr>
          <w:rFonts w:hint="eastAsia"/>
          <w:b/>
          <w:bCs/>
          <w:color w:val="FF0000"/>
          <w:szCs w:val="21"/>
        </w:rPr>
        <w:t>本项目使用深圳政府采购智慧平台进行操作，通用条款中如有与深圳政府采购智慧平台操作流程不一致的内容，请以深圳政府采购智慧平台</w:t>
      </w:r>
      <w:r>
        <w:rPr>
          <w:b/>
          <w:bCs/>
          <w:color w:val="FF0000"/>
          <w:szCs w:val="21"/>
        </w:rPr>
        <w:t>zfcg.szggzy.com:8081</w:t>
      </w:r>
      <w:r>
        <w:rPr>
          <w:rFonts w:hint="eastAsia"/>
          <w:b/>
          <w:bCs/>
          <w:color w:val="FF0000"/>
          <w:szCs w:val="21"/>
        </w:rPr>
        <w:t>公布的操作手册内容为准。</w:t>
      </w:r>
    </w:p>
    <w:bookmarkEnd w:id="33"/>
    <w:p w14:paraId="067E9CD6">
      <w:pPr>
        <w:pStyle w:val="5"/>
        <w:spacing w:before="120" w:beforeLines="50" w:after="120" w:afterLines="50"/>
        <w:rPr>
          <w:szCs w:val="24"/>
        </w:rPr>
      </w:pPr>
      <w:bookmarkStart w:id="35" w:name="_Hlk72218117"/>
      <w:r>
        <w:rPr>
          <w:rFonts w:hint="eastAsia"/>
          <w:szCs w:val="24"/>
        </w:rPr>
        <w:t>二、其他关键信息</w:t>
      </w:r>
    </w:p>
    <w:p w14:paraId="7626F1E6">
      <w:pPr>
        <w:ind w:firstLine="482" w:firstLineChars="200"/>
        <w:rPr>
          <w:rFonts w:ascii="宋体" w:hAnsi="宋体" w:eastAsia="宋体" w:cs="仿宋"/>
          <w:b/>
          <w:color w:val="FF0000"/>
        </w:rPr>
      </w:pPr>
      <w:bookmarkStart w:id="36" w:name="_Hlk72579427"/>
      <w:r>
        <w:rPr>
          <w:rFonts w:hint="eastAsia" w:ascii="宋体" w:hAnsi="宋体" w:eastAsia="宋体"/>
          <w:b/>
          <w:bCs/>
        </w:rPr>
        <w:t>（一）评标定标信息</w:t>
      </w:r>
    </w:p>
    <w:p w14:paraId="145B7F04">
      <w:pPr>
        <w:ind w:firstLine="482" w:firstLineChars="200"/>
        <w:rPr>
          <w:rFonts w:ascii="宋体" w:hAnsi="宋体" w:eastAsia="宋体" w:cs="仿宋"/>
          <w:b/>
          <w:color w:val="4F81BD" w:themeColor="accent1"/>
          <w14:textFill>
            <w14:solidFill>
              <w14:schemeClr w14:val="accent1"/>
            </w14:solidFill>
          </w14:textFill>
        </w:rPr>
      </w:pPr>
      <w:r>
        <w:rPr>
          <w:rFonts w:hint="eastAsia" w:ascii="宋体" w:hAnsi="宋体" w:eastAsia="宋体" w:cs="仿宋"/>
          <w:b/>
          <w:color w:val="4F81BD" w:themeColor="accent1"/>
          <w14:textFill>
            <w14:solidFill>
              <w14:schemeClr w14:val="accent1"/>
            </w14:solidFill>
          </w14:textFill>
        </w:rPr>
        <w:t>适用于非评定分离项目</w:t>
      </w:r>
    </w:p>
    <w:p w14:paraId="7DC12080">
      <w:pPr>
        <w:ind w:firstLine="480" w:firstLineChars="200"/>
        <w:rPr>
          <w:rFonts w:ascii="宋体" w:hAnsi="宋体" w:eastAsia="宋体" w:cs="仿宋"/>
          <w:color w:val="4F81BD" w:themeColor="accent1"/>
          <w14:textFill>
            <w14:solidFill>
              <w14:schemeClr w14:val="accent1"/>
            </w14:solidFill>
          </w14:textFill>
        </w:rPr>
      </w:pPr>
      <w:r>
        <w:rPr>
          <w:rFonts w:hint="eastAsia" w:ascii="宋体" w:hAnsi="宋体" w:eastAsia="宋体" w:cs="仿宋"/>
          <w:color w:val="4F81BD" w:themeColor="accent1"/>
          <w14:textFill>
            <w14:solidFill>
              <w14:schemeClr w14:val="accent1"/>
            </w14:solidFill>
          </w14:textFill>
        </w:rPr>
        <w:t>本次评标采用综合评分法，投标文件满足招标文件全部实质性要求，且按照招标文件中规定的各项评审因素进行量化打分，评标结果按评审后得分由高到低顺序排列。得分相同的，按投标报价由低到高顺序排列。得分且投标报价相同的，按技术/服务部分得分由高到低排列。得分、投标报价和技术/服务部分得分均相同的并列，出现并列情况采取随机抽取的方式确定，具体操作办法及流程由评审委员会确定，以评审总得分最高的投标人为中标供应商（排名第二的投标人为第一替补中标候选人、排名第三的投标人为第二替补中标候选人）。</w:t>
      </w:r>
    </w:p>
    <w:tbl>
      <w:tblPr>
        <w:tblStyle w:val="19"/>
        <w:tblpPr w:leftFromText="180" w:rightFromText="180" w:vertAnchor="text" w:horzAnchor="page" w:tblpX="1989" w:tblpY="141"/>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0"/>
        <w:gridCol w:w="4065"/>
      </w:tblGrid>
      <w:tr w14:paraId="5470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tcPr>
          <w:p w14:paraId="5A1EC5E6">
            <w:pPr>
              <w:widowControl w:val="0"/>
              <w:jc w:val="center"/>
              <w:rPr>
                <w:rFonts w:ascii="宋体" w:hAnsi="宋体" w:eastAsia="宋体"/>
              </w:rPr>
            </w:pPr>
            <w:bookmarkStart w:id="37" w:name="_Hlk74239733"/>
            <w:r>
              <w:rPr>
                <w:rFonts w:hint="eastAsia" w:ascii="宋体" w:hAnsi="宋体" w:eastAsia="宋体"/>
              </w:rPr>
              <w:t>评标方法</w:t>
            </w:r>
          </w:p>
        </w:tc>
        <w:tc>
          <w:tcPr>
            <w:tcW w:w="4065" w:type="dxa"/>
          </w:tcPr>
          <w:p w14:paraId="3DAE67E2">
            <w:pPr>
              <w:widowControl w:val="0"/>
              <w:jc w:val="center"/>
              <w:rPr>
                <w:rFonts w:ascii="宋体" w:hAnsi="宋体" w:eastAsia="宋体"/>
              </w:rPr>
            </w:pPr>
            <w:r>
              <w:rPr>
                <w:rFonts w:hint="eastAsia" w:ascii="宋体" w:hAnsi="宋体" w:eastAsia="宋体"/>
              </w:rPr>
              <w:t>综合评分法</w:t>
            </w:r>
          </w:p>
        </w:tc>
      </w:tr>
      <w:tr w14:paraId="3962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tcPr>
          <w:p w14:paraId="26FC1BFF">
            <w:pPr>
              <w:widowControl w:val="0"/>
              <w:jc w:val="center"/>
              <w:rPr>
                <w:rFonts w:ascii="宋体" w:hAnsi="宋体" w:eastAsia="宋体"/>
              </w:rPr>
            </w:pPr>
            <w:r>
              <w:rPr>
                <w:rFonts w:hint="eastAsia" w:ascii="宋体" w:hAnsi="宋体" w:eastAsia="宋体"/>
              </w:rPr>
              <w:t>候选中标供应商家数</w:t>
            </w:r>
          </w:p>
        </w:tc>
        <w:tc>
          <w:tcPr>
            <w:tcW w:w="4065" w:type="dxa"/>
          </w:tcPr>
          <w:p w14:paraId="2077F678">
            <w:pPr>
              <w:widowControl w:val="0"/>
              <w:jc w:val="center"/>
              <w:rPr>
                <w:rFonts w:ascii="宋体" w:hAnsi="宋体" w:eastAsia="宋体"/>
              </w:rPr>
            </w:pPr>
            <w:r>
              <w:rPr>
                <w:rFonts w:hint="eastAsia" w:ascii="宋体" w:hAnsi="宋体" w:eastAsia="宋体"/>
              </w:rPr>
              <w:t>3</w:t>
            </w:r>
          </w:p>
        </w:tc>
      </w:tr>
      <w:tr w14:paraId="5C94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tcPr>
          <w:p w14:paraId="668E9A33">
            <w:pPr>
              <w:widowControl w:val="0"/>
              <w:jc w:val="center"/>
              <w:rPr>
                <w:rFonts w:ascii="宋体" w:hAnsi="宋体" w:eastAsia="宋体"/>
              </w:rPr>
            </w:pPr>
            <w:r>
              <w:rPr>
                <w:rFonts w:hint="eastAsia" w:ascii="宋体" w:hAnsi="宋体" w:eastAsia="宋体"/>
              </w:rPr>
              <w:t>中标供应商家数</w:t>
            </w:r>
          </w:p>
        </w:tc>
        <w:tc>
          <w:tcPr>
            <w:tcW w:w="4065" w:type="dxa"/>
          </w:tcPr>
          <w:p w14:paraId="0791E04E">
            <w:pPr>
              <w:widowControl w:val="0"/>
              <w:jc w:val="center"/>
              <w:rPr>
                <w:rFonts w:ascii="宋体" w:hAnsi="宋体" w:eastAsia="宋体"/>
              </w:rPr>
            </w:pPr>
            <w:r>
              <w:rPr>
                <w:rFonts w:hint="eastAsia" w:ascii="宋体" w:hAnsi="宋体" w:eastAsia="宋体"/>
              </w:rPr>
              <w:t>1</w:t>
            </w:r>
          </w:p>
        </w:tc>
      </w:tr>
      <w:bookmarkEnd w:id="37"/>
    </w:tbl>
    <w:p w14:paraId="2FD3BECE">
      <w:pPr>
        <w:pStyle w:val="8"/>
        <w:rPr>
          <w:rFonts w:ascii="宋体" w:hAnsi="宋体" w:eastAsia="宋体"/>
        </w:rPr>
      </w:pPr>
    </w:p>
    <w:p w14:paraId="41D99E2E">
      <w:pPr>
        <w:ind w:firstLine="480" w:firstLineChars="200"/>
        <w:rPr>
          <w:rFonts w:ascii="宋体" w:hAnsi="宋体" w:eastAsia="宋体" w:cs="仿宋"/>
          <w:color w:val="4F81BD" w:themeColor="accent1"/>
          <w14:textFill>
            <w14:solidFill>
              <w14:schemeClr w14:val="accent1"/>
            </w14:solidFill>
          </w14:textFill>
        </w:rPr>
      </w:pPr>
      <w:r>
        <w:rPr>
          <w:rFonts w:hint="eastAsia" w:ascii="宋体" w:hAnsi="宋体" w:eastAsia="宋体" w:cs="仿宋"/>
          <w:color w:val="4F81BD" w:themeColor="accent1"/>
          <w14:textFill>
            <w14:solidFill>
              <w14:schemeClr w14:val="accent1"/>
            </w14:solidFill>
          </w14:textFill>
        </w:rPr>
        <w:t>评审委员会对每个通过资格性检查和符合性检查且报价不超过最高限价的投标人进行评审、打分，然后汇总每个投标人每项评分因素的评分。</w:t>
      </w:r>
    </w:p>
    <w:p w14:paraId="401D2574">
      <w:pPr>
        <w:ind w:firstLine="480" w:firstLineChars="200"/>
        <w:rPr>
          <w:rFonts w:ascii="宋体" w:hAnsi="宋体" w:eastAsia="宋体" w:cs="仿宋"/>
          <w:color w:val="4F81BD" w:themeColor="accent1"/>
          <w14:textFill>
            <w14:solidFill>
              <w14:schemeClr w14:val="accent1"/>
            </w14:solidFill>
          </w14:textFill>
        </w:rPr>
      </w:pPr>
      <w:r>
        <w:rPr>
          <w:rFonts w:hint="eastAsia" w:ascii="宋体" w:hAnsi="宋体" w:eastAsia="宋体" w:cs="仿宋"/>
          <w:color w:val="4F81BD" w:themeColor="accent1"/>
          <w14:textFill>
            <w14:solidFill>
              <w14:schemeClr w14:val="accent1"/>
            </w14:solidFill>
          </w14:textFill>
        </w:rPr>
        <w:t>评委会在评审时，按照《评标信息》中的评审因素，对进入该阶段评审的各投标文件进行分析和比较。</w:t>
      </w:r>
    </w:p>
    <w:p w14:paraId="18B2DF9D">
      <w:pPr>
        <w:pStyle w:val="8"/>
        <w:rPr>
          <w:rFonts w:ascii="宋体" w:hAnsi="宋体" w:eastAsia="宋体"/>
        </w:rPr>
      </w:pPr>
    </w:p>
    <w:p w14:paraId="6CE87347">
      <w:pPr>
        <w:ind w:firstLine="482" w:firstLineChars="200"/>
        <w:rPr>
          <w:rFonts w:ascii="宋体" w:hAnsi="宋体" w:eastAsia="宋体"/>
          <w:b/>
        </w:rPr>
      </w:pPr>
      <w:r>
        <w:rPr>
          <w:rFonts w:hint="eastAsia" w:ascii="宋体" w:hAnsi="宋体" w:eastAsia="宋体"/>
          <w:b/>
        </w:rPr>
        <w:t>（二）其他事项</w:t>
      </w:r>
      <w:bookmarkEnd w:id="36"/>
    </w:p>
    <w:p w14:paraId="4BE60C05">
      <w:pPr>
        <w:ind w:firstLine="482" w:firstLineChars="200"/>
        <w:jc w:val="both"/>
        <w:rPr>
          <w:rFonts w:ascii="宋体" w:hAnsi="宋体" w:eastAsia="宋体"/>
          <w:b/>
          <w:bCs/>
        </w:rPr>
      </w:pPr>
      <w:r>
        <w:rPr>
          <w:rFonts w:ascii="宋体" w:hAnsi="宋体" w:eastAsia="宋体"/>
          <w:b/>
          <w:bCs/>
        </w:rPr>
        <w:t>1</w:t>
      </w:r>
      <w:r>
        <w:rPr>
          <w:rFonts w:hint="eastAsia" w:ascii="宋体" w:hAnsi="宋体" w:eastAsia="宋体"/>
          <w:b/>
          <w:bCs/>
        </w:rPr>
        <w:t>、关于享受优惠政策的主体及价格扣除比例</w:t>
      </w:r>
    </w:p>
    <w:p w14:paraId="76D7D361">
      <w:pPr>
        <w:ind w:firstLine="480" w:firstLineChars="200"/>
        <w:jc w:val="both"/>
        <w:rPr>
          <w:rFonts w:ascii="宋体" w:hAnsi="宋体" w:eastAsia="宋体"/>
        </w:rPr>
      </w:pPr>
      <w:r>
        <w:rPr>
          <w:rFonts w:hint="eastAsia" w:ascii="宋体" w:hAnsi="宋体" w:eastAsia="宋体"/>
        </w:rPr>
        <w:t>（1）投标人提供的货物（以招标文件用户需求书“货物清单明细”的“货物名称”一栏为准）全部均由优惠主体制造，则对其投标总价给予</w:t>
      </w:r>
      <w:r>
        <w:rPr>
          <w:rFonts w:ascii="宋体" w:hAnsi="宋体" w:eastAsia="宋体"/>
          <w:color w:val="FF0000"/>
        </w:rPr>
        <w:t>10</w:t>
      </w:r>
      <w:r>
        <w:rPr>
          <w:rFonts w:hint="eastAsia" w:ascii="宋体" w:hAnsi="宋体" w:eastAsia="宋体"/>
          <w:color w:val="FF0000"/>
        </w:rPr>
        <w:t>%</w:t>
      </w:r>
      <w:r>
        <w:rPr>
          <w:rFonts w:hint="eastAsia" w:ascii="宋体" w:hAnsi="宋体" w:eastAsia="宋体"/>
          <w:color w:val="000000" w:themeColor="text1"/>
          <w14:textFill>
            <w14:solidFill>
              <w14:schemeClr w14:val="tx1"/>
            </w14:solidFill>
          </w14:textFill>
        </w:rPr>
        <w:t>的扣除</w:t>
      </w:r>
      <w:r>
        <w:rPr>
          <w:rFonts w:hint="eastAsia" w:ascii="宋体" w:hAnsi="宋体" w:eastAsia="宋体"/>
        </w:rPr>
        <w:t>，用扣除后的价格参与评审。</w:t>
      </w:r>
    </w:p>
    <w:p w14:paraId="7A667449">
      <w:pPr>
        <w:ind w:firstLine="480" w:firstLineChars="200"/>
        <w:jc w:val="both"/>
        <w:rPr>
          <w:rFonts w:ascii="宋体" w:hAnsi="宋体" w:eastAsia="宋体"/>
          <w:b/>
          <w:bCs/>
          <w:color w:val="FF0000"/>
        </w:rPr>
      </w:pPr>
      <w:r>
        <w:rPr>
          <w:rFonts w:hint="eastAsia" w:ascii="宋体" w:hAnsi="宋体" w:eastAsia="宋体"/>
        </w:rPr>
        <w:t>满足多项优惠政策的企业，不重复享受多项价格扣除政策。</w:t>
      </w:r>
      <w:r>
        <w:rPr>
          <w:rFonts w:hint="eastAsia" w:ascii="宋体" w:hAnsi="宋体" w:eastAsia="宋体"/>
          <w:b/>
          <w:bCs/>
          <w:color w:val="FF0000"/>
        </w:rPr>
        <w:t>政策调整后价格仅作为评审依据，不作为中标价格。享受价格扣除获得政府采购合同的，小微企业不得将合同分包给大中型企业。</w:t>
      </w:r>
    </w:p>
    <w:p w14:paraId="137663E5">
      <w:pPr>
        <w:ind w:firstLine="480" w:firstLineChars="200"/>
        <w:jc w:val="both"/>
        <w:rPr>
          <w:rFonts w:ascii="宋体" w:hAnsi="宋体" w:eastAsia="宋体"/>
          <w:b/>
        </w:rPr>
      </w:pPr>
      <w:r>
        <w:rPr>
          <w:rFonts w:hint="eastAsia" w:ascii="宋体" w:hAnsi="宋体" w:eastAsia="宋体"/>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rFonts w:ascii="宋体" w:hAnsi="宋体" w:eastAsia="宋体"/>
        </w:rPr>
        <w:t>b)</w:t>
      </w:r>
      <w:r>
        <w:rPr>
          <w:rFonts w:hint="eastAsia" w:ascii="宋体" w:hAnsi="宋体" w:eastAsia="宋体"/>
        </w:rPr>
        <w:t>优惠主体制造是指货物由优惠主体生产且使用该优惠主体商号或者注册商标；投标人提供的货物既有优惠主体制造货物，又有非优惠主体制造货物的，不给予价格扣除；（c）小型企业、微型企业、残疾人福利性单位作为优惠主体的认定资料为《中小企业声明函》、《残疾人福利性单位声明函》；监狱企业作为优惠主体的认定资料为省级以上监狱管理局、戒毒管理局出具的监狱企业证明文件。</w:t>
      </w:r>
    </w:p>
    <w:p w14:paraId="426BA7F1">
      <w:pPr>
        <w:numPr>
          <w:ilvl w:val="0"/>
          <w:numId w:val="1"/>
        </w:numPr>
        <w:tabs>
          <w:tab w:val="left" w:pos="720"/>
        </w:tabs>
        <w:ind w:firstLine="480" w:firstLineChars="200"/>
        <w:jc w:val="both"/>
        <w:rPr>
          <w:rFonts w:ascii="宋体" w:hAnsi="宋体" w:eastAsia="宋体"/>
          <w:bCs/>
        </w:rPr>
      </w:pPr>
      <w:r>
        <w:rPr>
          <w:rFonts w:hint="eastAsia" w:ascii="宋体" w:hAnsi="宋体" w:eastAsia="宋体"/>
          <w:bCs/>
        </w:rPr>
        <w:t>本项目采购标的对应的中小企业划分标准所属行业，根据《中小企业划型标准规定》（工信部联企业〔2011〕300号）、《</w:t>
      </w:r>
      <w:r>
        <w:rPr>
          <w:rFonts w:ascii="宋体" w:hAnsi="宋体" w:eastAsia="宋体"/>
          <w:bCs/>
        </w:rPr>
        <w:t>统计上大中小微型企业划分办法（2017）</w:t>
      </w:r>
      <w:r>
        <w:rPr>
          <w:rFonts w:hint="eastAsia" w:ascii="宋体" w:hAnsi="宋体" w:eastAsia="宋体"/>
          <w:bCs/>
        </w:rPr>
        <w:t>》（国统字〔2017〕213号）或国务院批准的其他中小企业划分标准文件确定。</w:t>
      </w:r>
    </w:p>
    <w:p w14:paraId="3EC50348">
      <w:pPr>
        <w:spacing w:line="360" w:lineRule="auto"/>
        <w:ind w:firstLine="480"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2.关于落实政府绿色采购有关事项</w:t>
      </w:r>
    </w:p>
    <w:p w14:paraId="3AE9F589">
      <w:pPr>
        <w:tabs>
          <w:tab w:val="left" w:pos="720"/>
        </w:tabs>
        <w:ind w:firstLine="480" w:firstLineChars="200"/>
        <w:jc w:val="both"/>
        <w:rPr>
          <w:rFonts w:ascii="宋体" w:hAnsi="宋体"/>
          <w:bCs/>
        </w:rPr>
      </w:pPr>
      <w:r>
        <w:rPr>
          <w:rFonts w:hint="eastAsia" w:ascii="宋体" w:hAnsi="宋体"/>
          <w:bCs/>
        </w:rPr>
        <w:t>根据《深圳市财政局关于大力推广政府绿色采购有关事项的通知》（深财购〔2023〕49号）要求，如拟采购的产品属于节能产品或环境标志产品政府采购品目清单范围的，将在采购需求中对产品进行标识，并依据国家确认的认证机构出具的、处于有效期之内的节能产品或环境标志产品认证证书，对获得证书的产品实施政府优先采购或强制采购。如项目涉及商品包装、快递包装、绿色建筑和绿色建材、绿色数据中心等内容，需求标准将严格执行《商品包装政府采购需求标准（试行）》、《快递包装政府采购需求标准（试行）》（财办库〔2020〕123号）、《绿色建筑和绿色建材政府采购需求标准》（财办库〔2022〕35号）、《绿色数据中心政府采购需求标准（试行）》（财办库〔2023〕7号）等文件要求，并在采购文件和采购合同中载明具体需求、履约验收条款和违约责任，促进绿色包装、绿色运输、绿色建筑、绿色建材和绿色数据中心在政府采购领域的应用。</w:t>
      </w:r>
    </w:p>
    <w:p w14:paraId="72947B93">
      <w:pPr>
        <w:pStyle w:val="17"/>
        <w:ind w:left="960" w:leftChars="400" w:firstLine="0" w:firstLineChars="0"/>
      </w:pPr>
    </w:p>
    <w:p w14:paraId="67F51D1C">
      <w:pPr>
        <w:rPr>
          <w:rFonts w:ascii="宋体" w:hAnsi="宋体" w:eastAsia="宋体"/>
          <w:b/>
        </w:rPr>
      </w:pPr>
    </w:p>
    <w:bookmarkEnd w:id="35"/>
    <w:p w14:paraId="18FCC7BE">
      <w:pPr>
        <w:rPr>
          <w:rFonts w:hint="eastAsia"/>
          <w:sz w:val="28"/>
          <w:szCs w:val="28"/>
        </w:rPr>
      </w:pPr>
      <w:r>
        <w:rPr>
          <w:rFonts w:hint="eastAsia"/>
          <w:sz w:val="28"/>
          <w:szCs w:val="28"/>
        </w:rPr>
        <w:br w:type="page"/>
      </w:r>
    </w:p>
    <w:p w14:paraId="446CA25B">
      <w:pPr>
        <w:pStyle w:val="5"/>
        <w:rPr>
          <w:sz w:val="28"/>
          <w:szCs w:val="28"/>
        </w:rPr>
      </w:pPr>
      <w:r>
        <w:rPr>
          <w:rFonts w:hint="eastAsia"/>
          <w:sz w:val="28"/>
          <w:szCs w:val="28"/>
        </w:rPr>
        <w:t>第三章 用户需求书</w:t>
      </w:r>
    </w:p>
    <w:p w14:paraId="56E009F5">
      <w:pPr>
        <w:pStyle w:val="5"/>
        <w:spacing w:before="120" w:beforeLines="50" w:after="120" w:afterLines="50"/>
        <w:rPr>
          <w:szCs w:val="24"/>
        </w:rPr>
      </w:pPr>
      <w:r>
        <w:rPr>
          <w:rFonts w:hint="eastAsia"/>
          <w:szCs w:val="24"/>
        </w:rPr>
        <w:t>一、项目基本信息</w:t>
      </w:r>
    </w:p>
    <w:tbl>
      <w:tblPr>
        <w:tblStyle w:val="18"/>
        <w:tblpPr w:leftFromText="180" w:rightFromText="180" w:vertAnchor="text" w:horzAnchor="margin" w:tblpX="-401" w:tblpY="173"/>
        <w:tblW w:w="52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926"/>
        <w:gridCol w:w="2148"/>
        <w:gridCol w:w="1776"/>
        <w:gridCol w:w="1299"/>
      </w:tblGrid>
      <w:tr w14:paraId="2CFB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21" w:type="pct"/>
            <w:vAlign w:val="center"/>
          </w:tcPr>
          <w:p w14:paraId="639A72AC">
            <w:pPr>
              <w:jc w:val="center"/>
              <w:rPr>
                <w:rFonts w:ascii="宋体" w:hAnsi="宋体" w:eastAsia="宋体"/>
                <w:bCs/>
                <w:szCs w:val="21"/>
              </w:rPr>
            </w:pPr>
            <w:r>
              <w:rPr>
                <w:rFonts w:hint="eastAsia" w:ascii="宋体" w:hAnsi="宋体" w:eastAsia="宋体"/>
                <w:bCs/>
                <w:szCs w:val="21"/>
              </w:rPr>
              <w:t>序号</w:t>
            </w:r>
          </w:p>
        </w:tc>
        <w:tc>
          <w:tcPr>
            <w:tcW w:w="1699" w:type="pct"/>
            <w:vAlign w:val="center"/>
          </w:tcPr>
          <w:p w14:paraId="15139736">
            <w:pPr>
              <w:jc w:val="center"/>
              <w:rPr>
                <w:rFonts w:ascii="宋体" w:hAnsi="宋体" w:eastAsia="宋体"/>
                <w:bCs/>
                <w:szCs w:val="21"/>
              </w:rPr>
            </w:pPr>
            <w:r>
              <w:rPr>
                <w:rFonts w:hint="eastAsia" w:ascii="宋体" w:hAnsi="宋体" w:eastAsia="宋体"/>
                <w:bCs/>
                <w:szCs w:val="21"/>
              </w:rPr>
              <w:t>采购项目名称</w:t>
            </w:r>
          </w:p>
        </w:tc>
        <w:tc>
          <w:tcPr>
            <w:tcW w:w="1265" w:type="pct"/>
            <w:vAlign w:val="center"/>
          </w:tcPr>
          <w:p w14:paraId="525F1E45">
            <w:pPr>
              <w:jc w:val="center"/>
              <w:rPr>
                <w:rFonts w:ascii="宋体" w:hAnsi="宋体" w:eastAsia="宋体"/>
                <w:szCs w:val="21"/>
              </w:rPr>
            </w:pPr>
            <w:r>
              <w:rPr>
                <w:rFonts w:hint="eastAsia" w:ascii="宋体" w:hAnsi="宋体" w:eastAsia="宋体"/>
                <w:szCs w:val="21"/>
              </w:rPr>
              <w:t>财政预算限额（元）</w:t>
            </w:r>
          </w:p>
        </w:tc>
        <w:tc>
          <w:tcPr>
            <w:tcW w:w="721" w:type="pct"/>
            <w:vAlign w:val="center"/>
          </w:tcPr>
          <w:p w14:paraId="412A8974">
            <w:pPr>
              <w:jc w:val="center"/>
              <w:rPr>
                <w:rFonts w:ascii="宋体" w:hAnsi="宋体" w:eastAsia="宋体"/>
              </w:rPr>
            </w:pPr>
            <w:r>
              <w:rPr>
                <w:rFonts w:hint="eastAsia" w:ascii="宋体" w:hAnsi="宋体" w:eastAsia="宋体"/>
              </w:rPr>
              <w:t>最高限价</w:t>
            </w:r>
          </w:p>
          <w:p w14:paraId="457E5016">
            <w:pPr>
              <w:jc w:val="center"/>
              <w:rPr>
                <w:rFonts w:ascii="宋体" w:hAnsi="宋体" w:eastAsia="宋体"/>
              </w:rPr>
            </w:pPr>
            <w:r>
              <w:rPr>
                <w:rFonts w:hint="eastAsia" w:ascii="宋体" w:hAnsi="宋体" w:eastAsia="宋体"/>
              </w:rPr>
              <w:t>（元）</w:t>
            </w:r>
          </w:p>
        </w:tc>
        <w:tc>
          <w:tcPr>
            <w:tcW w:w="791" w:type="pct"/>
            <w:vAlign w:val="center"/>
          </w:tcPr>
          <w:p w14:paraId="0F873282">
            <w:pPr>
              <w:jc w:val="center"/>
              <w:rPr>
                <w:rFonts w:ascii="宋体" w:hAnsi="宋体" w:eastAsia="宋体"/>
                <w:b/>
                <w:bCs/>
                <w:szCs w:val="21"/>
              </w:rPr>
            </w:pPr>
            <w:r>
              <w:rPr>
                <w:rFonts w:hint="eastAsia" w:ascii="宋体" w:hAnsi="宋体" w:eastAsia="宋体"/>
                <w:b/>
                <w:bCs/>
                <w:szCs w:val="21"/>
              </w:rPr>
              <w:t>备注</w:t>
            </w:r>
          </w:p>
        </w:tc>
      </w:tr>
      <w:tr w14:paraId="5CCA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521" w:type="pct"/>
            <w:vAlign w:val="center"/>
          </w:tcPr>
          <w:p w14:paraId="74278E5C">
            <w:pPr>
              <w:jc w:val="center"/>
              <w:rPr>
                <w:rFonts w:ascii="宋体" w:hAnsi="宋体" w:eastAsia="宋体"/>
                <w:bCs/>
                <w:color w:val="FF0000"/>
                <w:szCs w:val="21"/>
              </w:rPr>
            </w:pPr>
            <w:r>
              <w:rPr>
                <w:rFonts w:hint="eastAsia" w:ascii="宋体" w:hAnsi="宋体" w:eastAsia="宋体"/>
                <w:bCs/>
                <w:szCs w:val="21"/>
              </w:rPr>
              <w:t>1</w:t>
            </w:r>
          </w:p>
        </w:tc>
        <w:tc>
          <w:tcPr>
            <w:tcW w:w="1699" w:type="pct"/>
            <w:vAlign w:val="center"/>
          </w:tcPr>
          <w:p w14:paraId="2E07E2AA">
            <w:pPr>
              <w:jc w:val="center"/>
              <w:rPr>
                <w:rFonts w:hint="eastAsia" w:ascii="宋体" w:hAnsi="宋体" w:eastAsia="宋体"/>
                <w:b/>
                <w:bCs/>
                <w:szCs w:val="21"/>
                <w:lang w:eastAsia="zh-CN"/>
              </w:rPr>
            </w:pPr>
            <w:r>
              <w:rPr>
                <w:rFonts w:hint="eastAsia" w:ascii="宋体" w:hAnsi="宋体" w:eastAsia="宋体"/>
                <w:szCs w:val="21"/>
                <w:lang w:eastAsia="zh-CN"/>
              </w:rPr>
              <w:t>ROV及附属配套</w:t>
            </w:r>
          </w:p>
        </w:tc>
        <w:tc>
          <w:tcPr>
            <w:tcW w:w="1265" w:type="pct"/>
            <w:vAlign w:val="center"/>
          </w:tcPr>
          <w:p w14:paraId="2ADC1C29">
            <w:pPr>
              <w:jc w:val="center"/>
              <w:rPr>
                <w:rFonts w:ascii="宋体" w:hAnsi="宋体" w:eastAsia="宋体"/>
                <w:bCs/>
                <w:szCs w:val="21"/>
              </w:rPr>
            </w:pPr>
            <w:r>
              <w:rPr>
                <w:rFonts w:hint="eastAsia" w:ascii="宋体" w:hAnsi="宋体" w:eastAsia="宋体" w:cs="宋体"/>
                <w:bCs/>
                <w:szCs w:val="21"/>
                <w:lang w:val="en-US" w:eastAsia="zh-CN"/>
              </w:rPr>
              <w:t>16</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00,000.00</w:t>
            </w:r>
          </w:p>
        </w:tc>
        <w:tc>
          <w:tcPr>
            <w:tcW w:w="721" w:type="pct"/>
            <w:vAlign w:val="center"/>
          </w:tcPr>
          <w:p w14:paraId="0D9942ED">
            <w:pPr>
              <w:jc w:val="center"/>
              <w:rPr>
                <w:rFonts w:ascii="宋体" w:hAnsi="宋体" w:eastAsia="宋体"/>
                <w:szCs w:val="21"/>
              </w:rPr>
            </w:pPr>
            <w:r>
              <w:rPr>
                <w:rFonts w:hint="eastAsia" w:ascii="宋体" w:hAnsi="宋体" w:eastAsia="宋体" w:cs="宋体"/>
                <w:bCs/>
                <w:szCs w:val="21"/>
                <w:lang w:val="en-US" w:eastAsia="zh-CN"/>
              </w:rPr>
              <w:t>16</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00,000.00</w:t>
            </w:r>
          </w:p>
        </w:tc>
        <w:tc>
          <w:tcPr>
            <w:tcW w:w="791" w:type="pct"/>
            <w:vAlign w:val="center"/>
          </w:tcPr>
          <w:p w14:paraId="19706E59">
            <w:pPr>
              <w:jc w:val="center"/>
              <w:rPr>
                <w:rFonts w:ascii="宋体" w:hAnsi="宋体" w:eastAsia="宋体"/>
                <w:szCs w:val="21"/>
              </w:rPr>
            </w:pPr>
            <w:r>
              <w:rPr>
                <w:rFonts w:ascii="宋体" w:hAnsi="宋体" w:eastAsia="宋体"/>
                <w:szCs w:val="21"/>
              </w:rPr>
              <w:t>拒绝进口</w:t>
            </w:r>
          </w:p>
        </w:tc>
      </w:tr>
    </w:tbl>
    <w:p w14:paraId="5D0220A8">
      <w:pPr>
        <w:rPr>
          <w:rFonts w:ascii="宋体" w:hAnsi="宋体" w:eastAsia="宋体"/>
          <w:b/>
          <w:color w:val="FF0000"/>
          <w:szCs w:val="21"/>
        </w:rPr>
      </w:pPr>
    </w:p>
    <w:p w14:paraId="65A63779">
      <w:pPr>
        <w:pStyle w:val="5"/>
        <w:numPr>
          <w:ilvl w:val="0"/>
          <w:numId w:val="2"/>
        </w:numPr>
        <w:spacing w:before="120" w:beforeLines="50" w:after="120" w:afterLines="50"/>
        <w:rPr>
          <w:szCs w:val="24"/>
        </w:rPr>
      </w:pPr>
      <w:bookmarkStart w:id="38" w:name="_Hlk72073432"/>
      <w:bookmarkStart w:id="39" w:name="_Hlk72258617"/>
      <w:r>
        <w:rPr>
          <w:rFonts w:hint="eastAsia"/>
          <w:szCs w:val="24"/>
        </w:rPr>
        <w:t>货物需求明细</w:t>
      </w:r>
      <w:bookmarkEnd w:id="38"/>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3792"/>
        <w:gridCol w:w="931"/>
        <w:gridCol w:w="931"/>
        <w:gridCol w:w="1856"/>
      </w:tblGrid>
      <w:tr w14:paraId="1A68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05B14E33">
            <w:pPr>
              <w:jc w:val="center"/>
              <w:rPr>
                <w:bCs/>
                <w:szCs w:val="21"/>
              </w:rPr>
            </w:pPr>
            <w:r>
              <w:rPr>
                <w:rFonts w:hint="eastAsia"/>
                <w:bCs/>
                <w:szCs w:val="21"/>
              </w:rPr>
              <w:t>序号</w:t>
            </w:r>
          </w:p>
        </w:tc>
        <w:tc>
          <w:tcPr>
            <w:tcW w:w="2225" w:type="pct"/>
            <w:vAlign w:val="center"/>
          </w:tcPr>
          <w:p w14:paraId="08EDFB49">
            <w:pPr>
              <w:jc w:val="center"/>
              <w:rPr>
                <w:bCs/>
                <w:szCs w:val="21"/>
              </w:rPr>
            </w:pPr>
            <w:r>
              <w:rPr>
                <w:rFonts w:hint="eastAsia"/>
                <w:bCs/>
                <w:szCs w:val="21"/>
              </w:rPr>
              <w:t>货物名称</w:t>
            </w:r>
          </w:p>
        </w:tc>
        <w:tc>
          <w:tcPr>
            <w:tcW w:w="546" w:type="pct"/>
            <w:vAlign w:val="center"/>
          </w:tcPr>
          <w:p w14:paraId="2CCDE2E2">
            <w:pPr>
              <w:jc w:val="center"/>
              <w:rPr>
                <w:bCs/>
                <w:szCs w:val="21"/>
              </w:rPr>
            </w:pPr>
            <w:r>
              <w:rPr>
                <w:rFonts w:hint="eastAsia"/>
                <w:bCs/>
                <w:szCs w:val="21"/>
              </w:rPr>
              <w:t>数量</w:t>
            </w:r>
          </w:p>
        </w:tc>
        <w:tc>
          <w:tcPr>
            <w:tcW w:w="546" w:type="pct"/>
            <w:vAlign w:val="center"/>
          </w:tcPr>
          <w:p w14:paraId="7185B6E4">
            <w:pPr>
              <w:jc w:val="center"/>
              <w:rPr>
                <w:bCs/>
                <w:szCs w:val="21"/>
              </w:rPr>
            </w:pPr>
            <w:r>
              <w:rPr>
                <w:rFonts w:hint="eastAsia"/>
                <w:bCs/>
                <w:szCs w:val="21"/>
              </w:rPr>
              <w:t>单位</w:t>
            </w:r>
          </w:p>
        </w:tc>
        <w:tc>
          <w:tcPr>
            <w:tcW w:w="1089" w:type="pct"/>
            <w:vAlign w:val="center"/>
          </w:tcPr>
          <w:p w14:paraId="31C62AE9">
            <w:pPr>
              <w:jc w:val="center"/>
              <w:rPr>
                <w:color w:val="FF0000"/>
                <w:szCs w:val="21"/>
              </w:rPr>
            </w:pPr>
            <w:r>
              <w:rPr>
                <w:rFonts w:hint="eastAsia"/>
                <w:szCs w:val="21"/>
              </w:rPr>
              <w:t>备注</w:t>
            </w:r>
          </w:p>
        </w:tc>
      </w:tr>
      <w:tr w14:paraId="6E54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48D763FB">
            <w:pPr>
              <w:jc w:val="center"/>
              <w:rPr>
                <w:bCs/>
                <w:szCs w:val="21"/>
              </w:rPr>
            </w:pPr>
            <w:r>
              <w:rPr>
                <w:rFonts w:hint="eastAsia"/>
                <w:bCs/>
                <w:szCs w:val="21"/>
              </w:rPr>
              <w:t>1</w:t>
            </w:r>
          </w:p>
        </w:tc>
        <w:tc>
          <w:tcPr>
            <w:tcW w:w="2225" w:type="pct"/>
            <w:shd w:val="clear" w:color="auto" w:fill="auto"/>
            <w:vAlign w:val="center"/>
          </w:tcPr>
          <w:p w14:paraId="0A524419">
            <w:pPr>
              <w:pStyle w:val="37"/>
              <w:jc w:val="left"/>
              <w:rPr>
                <w:rFonts w:ascii="Times New Roman" w:hAnsi="Times New Roman" w:cs="Times New Roman"/>
                <w:sz w:val="18"/>
                <w:szCs w:val="18"/>
              </w:rPr>
            </w:pPr>
            <w:r>
              <w:rPr>
                <w:rFonts w:hint="eastAsia" w:ascii="Times New Roman" w:hAnsi="Times New Roman" w:cs="Times New Roman"/>
                <w:sz w:val="18"/>
                <w:szCs w:val="18"/>
              </w:rPr>
              <w:t>1．千米级深海ROV主体</w:t>
            </w:r>
          </w:p>
        </w:tc>
        <w:tc>
          <w:tcPr>
            <w:tcW w:w="546" w:type="pct"/>
            <w:vAlign w:val="center"/>
          </w:tcPr>
          <w:p w14:paraId="110B3865">
            <w:pPr>
              <w:jc w:val="center"/>
              <w:rPr>
                <w:bCs/>
                <w:szCs w:val="21"/>
              </w:rPr>
            </w:pPr>
            <w:r>
              <w:rPr>
                <w:rFonts w:hint="eastAsia"/>
                <w:bCs/>
                <w:szCs w:val="21"/>
              </w:rPr>
              <w:t>1</w:t>
            </w:r>
          </w:p>
        </w:tc>
        <w:tc>
          <w:tcPr>
            <w:tcW w:w="546" w:type="pct"/>
            <w:vAlign w:val="center"/>
          </w:tcPr>
          <w:p w14:paraId="767F2ED7">
            <w:pPr>
              <w:jc w:val="center"/>
              <w:rPr>
                <w:bCs/>
                <w:szCs w:val="21"/>
              </w:rPr>
            </w:pPr>
            <w:r>
              <w:rPr>
                <w:rFonts w:hint="eastAsia"/>
                <w:bCs/>
                <w:szCs w:val="21"/>
              </w:rPr>
              <w:t>套</w:t>
            </w:r>
          </w:p>
        </w:tc>
        <w:tc>
          <w:tcPr>
            <w:tcW w:w="1089" w:type="pct"/>
            <w:vAlign w:val="center"/>
          </w:tcPr>
          <w:p w14:paraId="0834D822">
            <w:pPr>
              <w:jc w:val="center"/>
              <w:rPr>
                <w:bCs/>
                <w:color w:val="FF0000"/>
                <w:szCs w:val="21"/>
              </w:rPr>
            </w:pPr>
          </w:p>
        </w:tc>
      </w:tr>
      <w:tr w14:paraId="5B50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92" w:type="pct"/>
            <w:vAlign w:val="center"/>
          </w:tcPr>
          <w:p w14:paraId="31DD6C23">
            <w:pPr>
              <w:jc w:val="center"/>
              <w:rPr>
                <w:bCs/>
                <w:szCs w:val="21"/>
              </w:rPr>
            </w:pPr>
            <w:r>
              <w:rPr>
                <w:rFonts w:hint="eastAsia"/>
                <w:bCs/>
                <w:szCs w:val="21"/>
              </w:rPr>
              <w:t>2</w:t>
            </w:r>
          </w:p>
        </w:tc>
        <w:tc>
          <w:tcPr>
            <w:tcW w:w="2225" w:type="pct"/>
            <w:shd w:val="clear" w:color="auto" w:fill="auto"/>
            <w:vAlign w:val="center"/>
          </w:tcPr>
          <w:p w14:paraId="5225B0EA">
            <w:pPr>
              <w:pStyle w:val="37"/>
              <w:jc w:val="left"/>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r>
              <w:rPr>
                <w:rFonts w:hint="eastAsia" w:ascii="Times New Roman" w:hAnsi="Times New Roman" w:cs="Times New Roman"/>
                <w:sz w:val="18"/>
                <w:szCs w:val="18"/>
              </w:rPr>
              <w:t>液压动力单元</w:t>
            </w:r>
          </w:p>
        </w:tc>
        <w:tc>
          <w:tcPr>
            <w:tcW w:w="546" w:type="pct"/>
            <w:vAlign w:val="center"/>
          </w:tcPr>
          <w:p w14:paraId="0B00E6FD">
            <w:pPr>
              <w:jc w:val="center"/>
              <w:rPr>
                <w:bCs/>
                <w:szCs w:val="21"/>
              </w:rPr>
            </w:pPr>
            <w:r>
              <w:rPr>
                <w:rFonts w:hint="eastAsia"/>
                <w:bCs/>
                <w:szCs w:val="21"/>
              </w:rPr>
              <w:t>1</w:t>
            </w:r>
          </w:p>
        </w:tc>
        <w:tc>
          <w:tcPr>
            <w:tcW w:w="546" w:type="pct"/>
            <w:shd w:val="clear" w:color="auto" w:fill="auto"/>
            <w:vAlign w:val="center"/>
          </w:tcPr>
          <w:p w14:paraId="3CAA338E">
            <w:pPr>
              <w:jc w:val="center"/>
              <w:rPr>
                <w:bCs/>
                <w:szCs w:val="21"/>
              </w:rPr>
            </w:pPr>
            <w:r>
              <w:rPr>
                <w:rFonts w:hint="eastAsia"/>
                <w:bCs/>
                <w:szCs w:val="21"/>
              </w:rPr>
              <w:t>套</w:t>
            </w:r>
          </w:p>
        </w:tc>
        <w:tc>
          <w:tcPr>
            <w:tcW w:w="1089" w:type="pct"/>
            <w:vAlign w:val="center"/>
          </w:tcPr>
          <w:p w14:paraId="6888988A">
            <w:pPr>
              <w:jc w:val="center"/>
              <w:rPr>
                <w:rFonts w:ascii="宋体" w:hAnsi="宋体"/>
                <w:kern w:val="0"/>
                <w:sz w:val="20"/>
                <w:szCs w:val="20"/>
              </w:rPr>
            </w:pPr>
          </w:p>
        </w:tc>
      </w:tr>
      <w:tr w14:paraId="6A9C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457C92A3">
            <w:pPr>
              <w:jc w:val="center"/>
              <w:rPr>
                <w:bCs/>
                <w:szCs w:val="21"/>
              </w:rPr>
            </w:pPr>
            <w:r>
              <w:rPr>
                <w:rFonts w:hint="eastAsia"/>
                <w:bCs/>
                <w:szCs w:val="21"/>
              </w:rPr>
              <w:t>3</w:t>
            </w:r>
          </w:p>
        </w:tc>
        <w:tc>
          <w:tcPr>
            <w:tcW w:w="2225" w:type="pct"/>
            <w:shd w:val="clear" w:color="auto" w:fill="auto"/>
            <w:vAlign w:val="center"/>
          </w:tcPr>
          <w:p w14:paraId="72975075">
            <w:pPr>
              <w:pStyle w:val="37"/>
              <w:jc w:val="left"/>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.2</w:t>
            </w:r>
            <w:r>
              <w:rPr>
                <w:rFonts w:hint="eastAsia" w:ascii="Times New Roman" w:hAnsi="Times New Roman" w:cs="Times New Roman"/>
                <w:sz w:val="18"/>
                <w:szCs w:val="18"/>
              </w:rPr>
              <w:t>水下电力单元</w:t>
            </w:r>
          </w:p>
        </w:tc>
        <w:tc>
          <w:tcPr>
            <w:tcW w:w="546" w:type="pct"/>
            <w:vAlign w:val="center"/>
          </w:tcPr>
          <w:p w14:paraId="31F685C0">
            <w:pPr>
              <w:jc w:val="center"/>
              <w:rPr>
                <w:bCs/>
                <w:szCs w:val="21"/>
              </w:rPr>
            </w:pPr>
            <w:r>
              <w:rPr>
                <w:rFonts w:hint="eastAsia"/>
                <w:bCs/>
                <w:szCs w:val="21"/>
              </w:rPr>
              <w:t>1</w:t>
            </w:r>
          </w:p>
        </w:tc>
        <w:tc>
          <w:tcPr>
            <w:tcW w:w="546" w:type="pct"/>
            <w:shd w:val="clear" w:color="auto" w:fill="auto"/>
            <w:vAlign w:val="center"/>
          </w:tcPr>
          <w:p w14:paraId="5975EA4B">
            <w:pPr>
              <w:jc w:val="center"/>
              <w:rPr>
                <w:bCs/>
                <w:szCs w:val="21"/>
              </w:rPr>
            </w:pPr>
            <w:r>
              <w:rPr>
                <w:rFonts w:hint="eastAsia"/>
                <w:bCs/>
                <w:szCs w:val="21"/>
              </w:rPr>
              <w:t>套</w:t>
            </w:r>
          </w:p>
        </w:tc>
        <w:tc>
          <w:tcPr>
            <w:tcW w:w="1089" w:type="pct"/>
            <w:vAlign w:val="center"/>
          </w:tcPr>
          <w:p w14:paraId="1BAA2D65">
            <w:pPr>
              <w:jc w:val="center"/>
              <w:rPr>
                <w:rFonts w:ascii="宋体" w:hAnsi="宋体"/>
                <w:kern w:val="0"/>
                <w:sz w:val="20"/>
                <w:szCs w:val="20"/>
              </w:rPr>
            </w:pPr>
          </w:p>
        </w:tc>
      </w:tr>
      <w:tr w14:paraId="0CC4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92" w:type="pct"/>
            <w:vAlign w:val="center"/>
          </w:tcPr>
          <w:p w14:paraId="04DB9585">
            <w:pPr>
              <w:jc w:val="center"/>
              <w:rPr>
                <w:rFonts w:ascii="宋体" w:hAnsi="宋体"/>
                <w:sz w:val="20"/>
                <w:szCs w:val="20"/>
              </w:rPr>
            </w:pPr>
            <w:r>
              <w:rPr>
                <w:rFonts w:hint="eastAsia"/>
                <w:bCs/>
                <w:szCs w:val="21"/>
              </w:rPr>
              <w:t>4</w:t>
            </w:r>
          </w:p>
        </w:tc>
        <w:tc>
          <w:tcPr>
            <w:tcW w:w="2225" w:type="pct"/>
            <w:vAlign w:val="center"/>
          </w:tcPr>
          <w:p w14:paraId="684EA0A8">
            <w:pPr>
              <w:pStyle w:val="37"/>
              <w:jc w:val="left"/>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.3</w:t>
            </w:r>
            <w:r>
              <w:rPr>
                <w:rFonts w:hint="eastAsia" w:ascii="Times New Roman" w:hAnsi="Times New Roman" w:cs="Times New Roman"/>
                <w:sz w:val="18"/>
                <w:szCs w:val="18"/>
              </w:rPr>
              <w:t>主体结构</w:t>
            </w:r>
          </w:p>
        </w:tc>
        <w:tc>
          <w:tcPr>
            <w:tcW w:w="546" w:type="pct"/>
            <w:vAlign w:val="center"/>
          </w:tcPr>
          <w:p w14:paraId="2B762A2B">
            <w:pPr>
              <w:jc w:val="center"/>
              <w:rPr>
                <w:bCs/>
                <w:szCs w:val="21"/>
              </w:rPr>
            </w:pPr>
            <w:r>
              <w:rPr>
                <w:rFonts w:hint="eastAsia"/>
                <w:bCs/>
                <w:szCs w:val="21"/>
              </w:rPr>
              <w:t>1</w:t>
            </w:r>
          </w:p>
        </w:tc>
        <w:tc>
          <w:tcPr>
            <w:tcW w:w="546" w:type="pct"/>
            <w:vAlign w:val="center"/>
          </w:tcPr>
          <w:p w14:paraId="6F3C84FE">
            <w:pPr>
              <w:jc w:val="center"/>
              <w:rPr>
                <w:bCs/>
                <w:szCs w:val="21"/>
              </w:rPr>
            </w:pPr>
            <w:r>
              <w:rPr>
                <w:rFonts w:hint="eastAsia"/>
                <w:bCs/>
                <w:szCs w:val="21"/>
              </w:rPr>
              <w:t>套</w:t>
            </w:r>
          </w:p>
        </w:tc>
        <w:tc>
          <w:tcPr>
            <w:tcW w:w="1089" w:type="pct"/>
            <w:vAlign w:val="center"/>
          </w:tcPr>
          <w:p w14:paraId="7FC6E826">
            <w:pPr>
              <w:jc w:val="center"/>
              <w:rPr>
                <w:rFonts w:ascii="宋体" w:hAnsi="宋体"/>
                <w:kern w:val="0"/>
                <w:sz w:val="20"/>
                <w:szCs w:val="20"/>
              </w:rPr>
            </w:pPr>
          </w:p>
        </w:tc>
      </w:tr>
      <w:tr w14:paraId="5761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7C75A7EF">
            <w:pPr>
              <w:jc w:val="center"/>
              <w:rPr>
                <w:rFonts w:ascii="宋体" w:hAnsi="宋体"/>
                <w:sz w:val="20"/>
                <w:szCs w:val="20"/>
              </w:rPr>
            </w:pPr>
            <w:r>
              <w:rPr>
                <w:rFonts w:hint="eastAsia"/>
                <w:bCs/>
                <w:szCs w:val="21"/>
              </w:rPr>
              <w:t>5</w:t>
            </w:r>
          </w:p>
        </w:tc>
        <w:tc>
          <w:tcPr>
            <w:tcW w:w="2225" w:type="pct"/>
            <w:vAlign w:val="center"/>
          </w:tcPr>
          <w:p w14:paraId="68F0C4E9">
            <w:pPr>
              <w:jc w:val="left"/>
              <w:rPr>
                <w:rFonts w:ascii="Times New Roman" w:hAnsi="Times New Roman" w:cs="Times New Roman"/>
                <w:sz w:val="18"/>
                <w:szCs w:val="18"/>
              </w:rPr>
            </w:pPr>
            <w:r>
              <w:rPr>
                <w:rFonts w:ascii="Times New Roman" w:hAnsi="Times New Roman" w:cs="Times New Roman"/>
                <w:sz w:val="18"/>
                <w:szCs w:val="18"/>
              </w:rPr>
              <w:t>1.4</w:t>
            </w:r>
            <w:r>
              <w:rPr>
                <w:rFonts w:hint="eastAsia" w:ascii="Times New Roman" w:hAnsi="Times New Roman" w:cs="Times New Roman"/>
                <w:sz w:val="18"/>
                <w:szCs w:val="18"/>
              </w:rPr>
              <w:t>水下控制单元</w:t>
            </w:r>
          </w:p>
        </w:tc>
        <w:tc>
          <w:tcPr>
            <w:tcW w:w="546" w:type="pct"/>
            <w:vAlign w:val="center"/>
          </w:tcPr>
          <w:p w14:paraId="77BF0EE2">
            <w:pPr>
              <w:jc w:val="center"/>
              <w:rPr>
                <w:bCs/>
                <w:szCs w:val="21"/>
              </w:rPr>
            </w:pPr>
            <w:r>
              <w:rPr>
                <w:rFonts w:hint="eastAsia"/>
                <w:bCs/>
                <w:szCs w:val="21"/>
              </w:rPr>
              <w:t>1</w:t>
            </w:r>
          </w:p>
        </w:tc>
        <w:tc>
          <w:tcPr>
            <w:tcW w:w="546" w:type="pct"/>
            <w:shd w:val="clear" w:color="auto" w:fill="auto"/>
            <w:vAlign w:val="center"/>
          </w:tcPr>
          <w:p w14:paraId="77AAF80C">
            <w:pPr>
              <w:jc w:val="center"/>
              <w:rPr>
                <w:bCs/>
                <w:szCs w:val="21"/>
              </w:rPr>
            </w:pPr>
            <w:r>
              <w:rPr>
                <w:rFonts w:hint="eastAsia"/>
                <w:bCs/>
                <w:szCs w:val="21"/>
              </w:rPr>
              <w:t>套</w:t>
            </w:r>
          </w:p>
        </w:tc>
        <w:tc>
          <w:tcPr>
            <w:tcW w:w="1089" w:type="pct"/>
            <w:vAlign w:val="center"/>
          </w:tcPr>
          <w:p w14:paraId="74FADF9D">
            <w:pPr>
              <w:jc w:val="center"/>
              <w:rPr>
                <w:rFonts w:ascii="宋体" w:hAnsi="宋体"/>
                <w:kern w:val="0"/>
                <w:sz w:val="20"/>
                <w:szCs w:val="20"/>
              </w:rPr>
            </w:pPr>
          </w:p>
        </w:tc>
      </w:tr>
      <w:tr w14:paraId="14EF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52DBE519">
            <w:pPr>
              <w:jc w:val="center"/>
              <w:rPr>
                <w:bCs/>
                <w:szCs w:val="21"/>
              </w:rPr>
            </w:pPr>
            <w:r>
              <w:rPr>
                <w:rFonts w:hint="eastAsia"/>
                <w:bCs/>
                <w:szCs w:val="21"/>
              </w:rPr>
              <w:t>6</w:t>
            </w:r>
          </w:p>
        </w:tc>
        <w:tc>
          <w:tcPr>
            <w:tcW w:w="2225" w:type="pct"/>
            <w:vAlign w:val="center"/>
          </w:tcPr>
          <w:p w14:paraId="293A0C00">
            <w:pPr>
              <w:jc w:val="left"/>
              <w:rPr>
                <w:rFonts w:ascii="Times New Roman" w:hAnsi="Times New Roman" w:cs="Times New Roman"/>
                <w:sz w:val="18"/>
                <w:szCs w:val="18"/>
              </w:rPr>
            </w:pPr>
            <w:r>
              <w:rPr>
                <w:rFonts w:ascii="Times New Roman" w:hAnsi="Times New Roman" w:cs="Times New Roman"/>
                <w:sz w:val="18"/>
                <w:szCs w:val="18"/>
              </w:rPr>
              <w:t>1.5</w:t>
            </w:r>
            <w:r>
              <w:rPr>
                <w:rFonts w:hint="eastAsia" w:ascii="Times New Roman" w:hAnsi="Times New Roman" w:cs="Times New Roman"/>
                <w:sz w:val="18"/>
                <w:szCs w:val="18"/>
              </w:rPr>
              <w:t>水下视频系统</w:t>
            </w:r>
          </w:p>
        </w:tc>
        <w:tc>
          <w:tcPr>
            <w:tcW w:w="546" w:type="pct"/>
            <w:vAlign w:val="center"/>
          </w:tcPr>
          <w:p w14:paraId="32EB3611">
            <w:pPr>
              <w:jc w:val="center"/>
              <w:rPr>
                <w:bCs/>
                <w:szCs w:val="21"/>
              </w:rPr>
            </w:pPr>
            <w:r>
              <w:rPr>
                <w:rFonts w:hint="eastAsia"/>
                <w:bCs/>
                <w:szCs w:val="21"/>
              </w:rPr>
              <w:t>1</w:t>
            </w:r>
          </w:p>
        </w:tc>
        <w:tc>
          <w:tcPr>
            <w:tcW w:w="546" w:type="pct"/>
            <w:shd w:val="clear" w:color="auto" w:fill="auto"/>
            <w:vAlign w:val="center"/>
          </w:tcPr>
          <w:p w14:paraId="0485EA65">
            <w:pPr>
              <w:jc w:val="center"/>
              <w:rPr>
                <w:bCs/>
                <w:szCs w:val="21"/>
              </w:rPr>
            </w:pPr>
            <w:r>
              <w:rPr>
                <w:rFonts w:hint="eastAsia"/>
                <w:bCs/>
                <w:szCs w:val="21"/>
              </w:rPr>
              <w:t>套</w:t>
            </w:r>
          </w:p>
        </w:tc>
        <w:tc>
          <w:tcPr>
            <w:tcW w:w="1089" w:type="pct"/>
            <w:vAlign w:val="center"/>
          </w:tcPr>
          <w:p w14:paraId="207DCB5B">
            <w:pPr>
              <w:jc w:val="center"/>
              <w:rPr>
                <w:rFonts w:ascii="宋体" w:hAnsi="宋体"/>
                <w:kern w:val="0"/>
                <w:sz w:val="20"/>
                <w:szCs w:val="20"/>
              </w:rPr>
            </w:pPr>
          </w:p>
        </w:tc>
      </w:tr>
      <w:tr w14:paraId="0FBF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37474A55">
            <w:pPr>
              <w:jc w:val="center"/>
              <w:rPr>
                <w:bCs/>
                <w:szCs w:val="21"/>
              </w:rPr>
            </w:pPr>
            <w:r>
              <w:rPr>
                <w:rFonts w:hint="eastAsia"/>
                <w:bCs/>
                <w:szCs w:val="21"/>
              </w:rPr>
              <w:t>7</w:t>
            </w:r>
          </w:p>
        </w:tc>
        <w:tc>
          <w:tcPr>
            <w:tcW w:w="2225" w:type="pct"/>
            <w:vAlign w:val="center"/>
          </w:tcPr>
          <w:p w14:paraId="7E7B3AB4">
            <w:pPr>
              <w:jc w:val="left"/>
              <w:rPr>
                <w:rFonts w:ascii="Times New Roman" w:hAnsi="Times New Roman" w:cs="Times New Roman"/>
                <w:sz w:val="18"/>
                <w:szCs w:val="18"/>
              </w:rPr>
            </w:pPr>
            <w:r>
              <w:rPr>
                <w:rFonts w:ascii="Times New Roman" w:hAnsi="Times New Roman" w:cs="Times New Roman"/>
                <w:sz w:val="18"/>
                <w:szCs w:val="18"/>
              </w:rPr>
              <w:t>1.6</w:t>
            </w:r>
            <w:r>
              <w:rPr>
                <w:rFonts w:hint="eastAsia" w:ascii="Times New Roman" w:hAnsi="Times New Roman" w:cs="Times New Roman"/>
                <w:sz w:val="18"/>
                <w:szCs w:val="18"/>
              </w:rPr>
              <w:t>水下照明系统</w:t>
            </w:r>
          </w:p>
        </w:tc>
        <w:tc>
          <w:tcPr>
            <w:tcW w:w="546" w:type="pct"/>
            <w:vAlign w:val="center"/>
          </w:tcPr>
          <w:p w14:paraId="5887F7D0">
            <w:pPr>
              <w:jc w:val="center"/>
              <w:rPr>
                <w:bCs/>
                <w:szCs w:val="21"/>
              </w:rPr>
            </w:pPr>
            <w:r>
              <w:rPr>
                <w:rFonts w:hint="eastAsia"/>
                <w:bCs/>
                <w:szCs w:val="21"/>
              </w:rPr>
              <w:t>1</w:t>
            </w:r>
          </w:p>
        </w:tc>
        <w:tc>
          <w:tcPr>
            <w:tcW w:w="546" w:type="pct"/>
            <w:vAlign w:val="center"/>
          </w:tcPr>
          <w:p w14:paraId="733ABA1B">
            <w:pPr>
              <w:jc w:val="center"/>
              <w:rPr>
                <w:bCs/>
                <w:szCs w:val="21"/>
              </w:rPr>
            </w:pPr>
            <w:r>
              <w:rPr>
                <w:rFonts w:hint="eastAsia"/>
                <w:bCs/>
                <w:szCs w:val="21"/>
              </w:rPr>
              <w:t>套</w:t>
            </w:r>
          </w:p>
        </w:tc>
        <w:tc>
          <w:tcPr>
            <w:tcW w:w="1089" w:type="pct"/>
            <w:vAlign w:val="center"/>
          </w:tcPr>
          <w:p w14:paraId="2F028BF4">
            <w:pPr>
              <w:jc w:val="center"/>
              <w:rPr>
                <w:bCs/>
                <w:szCs w:val="21"/>
              </w:rPr>
            </w:pPr>
          </w:p>
        </w:tc>
      </w:tr>
      <w:tr w14:paraId="26B8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5083E452">
            <w:pPr>
              <w:jc w:val="center"/>
              <w:rPr>
                <w:bCs/>
                <w:szCs w:val="21"/>
              </w:rPr>
            </w:pPr>
            <w:r>
              <w:rPr>
                <w:rFonts w:hint="eastAsia"/>
                <w:bCs/>
                <w:szCs w:val="21"/>
              </w:rPr>
              <w:t>8</w:t>
            </w:r>
          </w:p>
        </w:tc>
        <w:tc>
          <w:tcPr>
            <w:tcW w:w="2225" w:type="pct"/>
            <w:vAlign w:val="center"/>
          </w:tcPr>
          <w:p w14:paraId="6218649F">
            <w:pPr>
              <w:pStyle w:val="37"/>
              <w:jc w:val="left"/>
              <w:rPr>
                <w:rFonts w:ascii="宋体" w:hAnsi="宋体" w:cs="Times New Roman"/>
                <w:sz w:val="20"/>
                <w:szCs w:val="20"/>
              </w:rPr>
            </w:pPr>
            <w:r>
              <w:rPr>
                <w:rFonts w:ascii="Times New Roman" w:hAnsi="Times New Roman" w:cs="Times New Roman"/>
                <w:sz w:val="18"/>
                <w:szCs w:val="18"/>
              </w:rPr>
              <w:t>1.7</w:t>
            </w:r>
            <w:r>
              <w:rPr>
                <w:rFonts w:hint="eastAsia" w:ascii="Times New Roman" w:hAnsi="Times New Roman" w:cs="Times New Roman"/>
                <w:sz w:val="18"/>
                <w:szCs w:val="18"/>
              </w:rPr>
              <w:t>水下导航传感系统</w:t>
            </w:r>
          </w:p>
        </w:tc>
        <w:tc>
          <w:tcPr>
            <w:tcW w:w="546" w:type="pct"/>
            <w:vAlign w:val="center"/>
          </w:tcPr>
          <w:p w14:paraId="5CD92411">
            <w:pPr>
              <w:jc w:val="center"/>
              <w:rPr>
                <w:bCs/>
                <w:szCs w:val="21"/>
              </w:rPr>
            </w:pPr>
            <w:r>
              <w:rPr>
                <w:rFonts w:hint="eastAsia"/>
                <w:bCs/>
                <w:szCs w:val="21"/>
              </w:rPr>
              <w:t>1</w:t>
            </w:r>
          </w:p>
        </w:tc>
        <w:tc>
          <w:tcPr>
            <w:tcW w:w="546" w:type="pct"/>
            <w:shd w:val="clear" w:color="auto" w:fill="auto"/>
            <w:vAlign w:val="center"/>
          </w:tcPr>
          <w:p w14:paraId="11498721">
            <w:pPr>
              <w:jc w:val="center"/>
              <w:rPr>
                <w:bCs/>
                <w:szCs w:val="21"/>
              </w:rPr>
            </w:pPr>
            <w:r>
              <w:rPr>
                <w:rFonts w:hint="eastAsia"/>
                <w:bCs/>
                <w:szCs w:val="21"/>
              </w:rPr>
              <w:t>套</w:t>
            </w:r>
          </w:p>
        </w:tc>
        <w:tc>
          <w:tcPr>
            <w:tcW w:w="1089" w:type="pct"/>
            <w:vAlign w:val="center"/>
          </w:tcPr>
          <w:p w14:paraId="4CD1C67E">
            <w:pPr>
              <w:jc w:val="center"/>
              <w:rPr>
                <w:rFonts w:ascii="宋体" w:hAnsi="宋体"/>
                <w:kern w:val="0"/>
                <w:sz w:val="20"/>
                <w:szCs w:val="20"/>
              </w:rPr>
            </w:pPr>
          </w:p>
        </w:tc>
      </w:tr>
      <w:tr w14:paraId="6B2A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1666912A">
            <w:pPr>
              <w:jc w:val="center"/>
              <w:rPr>
                <w:bCs/>
                <w:szCs w:val="21"/>
              </w:rPr>
            </w:pPr>
            <w:r>
              <w:rPr>
                <w:rFonts w:hint="eastAsia"/>
                <w:bCs/>
                <w:szCs w:val="21"/>
              </w:rPr>
              <w:t>9</w:t>
            </w:r>
          </w:p>
        </w:tc>
        <w:tc>
          <w:tcPr>
            <w:tcW w:w="2225" w:type="pct"/>
            <w:vAlign w:val="center"/>
          </w:tcPr>
          <w:p w14:paraId="449C9756">
            <w:pPr>
              <w:pStyle w:val="37"/>
              <w:jc w:val="left"/>
            </w:pPr>
            <w:r>
              <w:rPr>
                <w:rFonts w:ascii="Times New Roman" w:hAnsi="Times New Roman" w:cs="Times New Roman"/>
                <w:sz w:val="18"/>
                <w:szCs w:val="18"/>
              </w:rPr>
              <w:t>1.8</w:t>
            </w:r>
            <w:r>
              <w:rPr>
                <w:rFonts w:hint="eastAsia" w:ascii="Times New Roman" w:hAnsi="Times New Roman" w:cs="Times New Roman"/>
                <w:sz w:val="18"/>
                <w:szCs w:val="18"/>
              </w:rPr>
              <w:t>水下支撑系统</w:t>
            </w:r>
          </w:p>
        </w:tc>
        <w:tc>
          <w:tcPr>
            <w:tcW w:w="546" w:type="pct"/>
            <w:vAlign w:val="center"/>
          </w:tcPr>
          <w:p w14:paraId="46668DBE">
            <w:pPr>
              <w:jc w:val="center"/>
              <w:rPr>
                <w:bCs/>
                <w:szCs w:val="21"/>
              </w:rPr>
            </w:pPr>
            <w:r>
              <w:rPr>
                <w:rFonts w:hint="eastAsia"/>
                <w:bCs/>
                <w:szCs w:val="21"/>
              </w:rPr>
              <w:t>1</w:t>
            </w:r>
          </w:p>
        </w:tc>
        <w:tc>
          <w:tcPr>
            <w:tcW w:w="546" w:type="pct"/>
            <w:vAlign w:val="center"/>
          </w:tcPr>
          <w:p w14:paraId="67588125">
            <w:pPr>
              <w:jc w:val="center"/>
              <w:rPr>
                <w:bCs/>
                <w:szCs w:val="21"/>
              </w:rPr>
            </w:pPr>
            <w:r>
              <w:rPr>
                <w:rFonts w:hint="eastAsia"/>
                <w:bCs/>
                <w:szCs w:val="21"/>
              </w:rPr>
              <w:t>套</w:t>
            </w:r>
          </w:p>
        </w:tc>
        <w:tc>
          <w:tcPr>
            <w:tcW w:w="1089" w:type="pct"/>
            <w:vAlign w:val="center"/>
          </w:tcPr>
          <w:p w14:paraId="495F6173">
            <w:pPr>
              <w:jc w:val="center"/>
              <w:rPr>
                <w:bCs/>
                <w:szCs w:val="21"/>
              </w:rPr>
            </w:pPr>
          </w:p>
        </w:tc>
      </w:tr>
      <w:tr w14:paraId="1543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53B2D1EC">
            <w:pPr>
              <w:jc w:val="center"/>
              <w:rPr>
                <w:bCs/>
                <w:szCs w:val="21"/>
              </w:rPr>
            </w:pPr>
            <w:r>
              <w:rPr>
                <w:rFonts w:hint="eastAsia"/>
                <w:bCs/>
                <w:szCs w:val="21"/>
              </w:rPr>
              <w:t>10</w:t>
            </w:r>
          </w:p>
        </w:tc>
        <w:tc>
          <w:tcPr>
            <w:tcW w:w="2225" w:type="pct"/>
            <w:vAlign w:val="center"/>
          </w:tcPr>
          <w:p w14:paraId="4D253CDA">
            <w:pPr>
              <w:pStyle w:val="37"/>
              <w:jc w:val="left"/>
            </w:pPr>
            <w:r>
              <w:rPr>
                <w:rFonts w:ascii="Times New Roman" w:hAnsi="Times New Roman" w:cs="Times New Roman"/>
                <w:sz w:val="18"/>
                <w:szCs w:val="18"/>
              </w:rPr>
              <w:t>2</w:t>
            </w:r>
            <w:r>
              <w:rPr>
                <w:rFonts w:hint="eastAsia" w:ascii="Times New Roman" w:hAnsi="Times New Roman" w:cs="Times New Roman"/>
                <w:sz w:val="18"/>
                <w:szCs w:val="18"/>
              </w:rPr>
              <w:t>．深海多功能机械臂</w:t>
            </w:r>
          </w:p>
        </w:tc>
        <w:tc>
          <w:tcPr>
            <w:tcW w:w="546" w:type="pct"/>
            <w:vAlign w:val="center"/>
          </w:tcPr>
          <w:p w14:paraId="289C54A2">
            <w:pPr>
              <w:jc w:val="center"/>
              <w:rPr>
                <w:bCs/>
                <w:szCs w:val="21"/>
              </w:rPr>
            </w:pPr>
            <w:r>
              <w:rPr>
                <w:rFonts w:hint="eastAsia"/>
                <w:bCs/>
                <w:szCs w:val="21"/>
              </w:rPr>
              <w:t>4</w:t>
            </w:r>
          </w:p>
        </w:tc>
        <w:tc>
          <w:tcPr>
            <w:tcW w:w="546" w:type="pct"/>
            <w:vAlign w:val="center"/>
          </w:tcPr>
          <w:p w14:paraId="106791BD">
            <w:pPr>
              <w:jc w:val="center"/>
              <w:rPr>
                <w:bCs/>
                <w:szCs w:val="21"/>
              </w:rPr>
            </w:pPr>
            <w:r>
              <w:rPr>
                <w:rFonts w:hint="eastAsia"/>
                <w:bCs/>
                <w:szCs w:val="21"/>
              </w:rPr>
              <w:t>套</w:t>
            </w:r>
          </w:p>
        </w:tc>
        <w:tc>
          <w:tcPr>
            <w:tcW w:w="1089" w:type="pct"/>
            <w:vAlign w:val="center"/>
          </w:tcPr>
          <w:p w14:paraId="704EACB0">
            <w:pPr>
              <w:jc w:val="center"/>
              <w:rPr>
                <w:bCs/>
                <w:szCs w:val="21"/>
              </w:rPr>
            </w:pPr>
          </w:p>
        </w:tc>
      </w:tr>
      <w:tr w14:paraId="4BA7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685577C1">
            <w:pPr>
              <w:jc w:val="center"/>
              <w:rPr>
                <w:bCs/>
                <w:szCs w:val="21"/>
              </w:rPr>
            </w:pPr>
            <w:r>
              <w:rPr>
                <w:rFonts w:hint="eastAsia"/>
                <w:bCs/>
                <w:szCs w:val="21"/>
              </w:rPr>
              <w:t>11</w:t>
            </w:r>
          </w:p>
        </w:tc>
        <w:tc>
          <w:tcPr>
            <w:tcW w:w="2225" w:type="pct"/>
            <w:vAlign w:val="center"/>
          </w:tcPr>
          <w:p w14:paraId="7E7F4989">
            <w:pPr>
              <w:pStyle w:val="37"/>
              <w:jc w:val="left"/>
            </w:pPr>
            <w:r>
              <w:rPr>
                <w:rFonts w:ascii="Times New Roman" w:hAnsi="Times New Roman" w:cs="Times New Roman"/>
                <w:sz w:val="18"/>
                <w:szCs w:val="18"/>
              </w:rPr>
              <w:t>2.1</w:t>
            </w:r>
            <w:r>
              <w:rPr>
                <w:rFonts w:hint="eastAsia"/>
                <w:sz w:val="18"/>
                <w:szCs w:val="18"/>
              </w:rPr>
              <w:t>五功能机械臂</w:t>
            </w:r>
          </w:p>
        </w:tc>
        <w:tc>
          <w:tcPr>
            <w:tcW w:w="546" w:type="pct"/>
            <w:vAlign w:val="center"/>
          </w:tcPr>
          <w:p w14:paraId="74350673">
            <w:pPr>
              <w:jc w:val="center"/>
              <w:rPr>
                <w:bCs/>
                <w:szCs w:val="21"/>
              </w:rPr>
            </w:pPr>
            <w:r>
              <w:rPr>
                <w:bCs/>
                <w:szCs w:val="21"/>
              </w:rPr>
              <w:t>2</w:t>
            </w:r>
          </w:p>
        </w:tc>
        <w:tc>
          <w:tcPr>
            <w:tcW w:w="546" w:type="pct"/>
            <w:shd w:val="clear" w:color="auto" w:fill="auto"/>
            <w:vAlign w:val="center"/>
          </w:tcPr>
          <w:p w14:paraId="31456962">
            <w:pPr>
              <w:jc w:val="center"/>
              <w:rPr>
                <w:bCs/>
                <w:szCs w:val="21"/>
              </w:rPr>
            </w:pPr>
            <w:r>
              <w:rPr>
                <w:rFonts w:hint="eastAsia"/>
                <w:bCs/>
                <w:szCs w:val="21"/>
              </w:rPr>
              <w:t>套</w:t>
            </w:r>
          </w:p>
        </w:tc>
        <w:tc>
          <w:tcPr>
            <w:tcW w:w="1089" w:type="pct"/>
            <w:vAlign w:val="center"/>
          </w:tcPr>
          <w:p w14:paraId="4EE894F7">
            <w:pPr>
              <w:jc w:val="center"/>
              <w:rPr>
                <w:rFonts w:ascii="宋体" w:hAnsi="宋体"/>
                <w:kern w:val="0"/>
                <w:sz w:val="20"/>
                <w:szCs w:val="20"/>
              </w:rPr>
            </w:pPr>
          </w:p>
        </w:tc>
      </w:tr>
      <w:tr w14:paraId="3704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79194DC5">
            <w:pPr>
              <w:jc w:val="center"/>
              <w:rPr>
                <w:bCs/>
                <w:szCs w:val="21"/>
              </w:rPr>
            </w:pPr>
            <w:r>
              <w:rPr>
                <w:rFonts w:hint="eastAsia"/>
                <w:bCs/>
                <w:szCs w:val="21"/>
              </w:rPr>
              <w:t>12</w:t>
            </w:r>
          </w:p>
        </w:tc>
        <w:tc>
          <w:tcPr>
            <w:tcW w:w="2225" w:type="pct"/>
            <w:vAlign w:val="center"/>
          </w:tcPr>
          <w:p w14:paraId="7B7C267D">
            <w:pPr>
              <w:pStyle w:val="37"/>
              <w:jc w:val="left"/>
            </w:pPr>
            <w:r>
              <w:rPr>
                <w:rFonts w:ascii="Times New Roman" w:hAnsi="Times New Roman" w:cs="Times New Roman"/>
                <w:sz w:val="18"/>
                <w:szCs w:val="18"/>
              </w:rPr>
              <w:t>2.2七功能机械臂</w:t>
            </w:r>
          </w:p>
        </w:tc>
        <w:tc>
          <w:tcPr>
            <w:tcW w:w="546" w:type="pct"/>
            <w:vAlign w:val="center"/>
          </w:tcPr>
          <w:p w14:paraId="64DD936D">
            <w:pPr>
              <w:jc w:val="center"/>
              <w:rPr>
                <w:bCs/>
                <w:szCs w:val="21"/>
              </w:rPr>
            </w:pPr>
            <w:r>
              <w:rPr>
                <w:bCs/>
                <w:szCs w:val="21"/>
              </w:rPr>
              <w:t>2</w:t>
            </w:r>
          </w:p>
        </w:tc>
        <w:tc>
          <w:tcPr>
            <w:tcW w:w="546" w:type="pct"/>
            <w:shd w:val="clear" w:color="auto" w:fill="auto"/>
            <w:vAlign w:val="center"/>
          </w:tcPr>
          <w:p w14:paraId="236DACEB">
            <w:pPr>
              <w:jc w:val="center"/>
              <w:rPr>
                <w:bCs/>
                <w:szCs w:val="21"/>
              </w:rPr>
            </w:pPr>
            <w:r>
              <w:rPr>
                <w:rFonts w:hint="eastAsia"/>
                <w:bCs/>
                <w:szCs w:val="21"/>
              </w:rPr>
              <w:t>套</w:t>
            </w:r>
          </w:p>
        </w:tc>
        <w:tc>
          <w:tcPr>
            <w:tcW w:w="1089" w:type="pct"/>
            <w:vAlign w:val="center"/>
          </w:tcPr>
          <w:p w14:paraId="418F7190">
            <w:pPr>
              <w:jc w:val="center"/>
              <w:rPr>
                <w:rFonts w:ascii="宋体" w:hAnsi="宋体"/>
                <w:kern w:val="0"/>
                <w:sz w:val="20"/>
                <w:szCs w:val="20"/>
              </w:rPr>
            </w:pPr>
          </w:p>
        </w:tc>
      </w:tr>
      <w:tr w14:paraId="52EF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4096A89E">
            <w:pPr>
              <w:jc w:val="center"/>
              <w:rPr>
                <w:bCs/>
                <w:szCs w:val="21"/>
              </w:rPr>
            </w:pPr>
            <w:r>
              <w:rPr>
                <w:rFonts w:hint="eastAsia"/>
                <w:bCs/>
                <w:szCs w:val="21"/>
              </w:rPr>
              <w:t>13</w:t>
            </w:r>
          </w:p>
        </w:tc>
        <w:tc>
          <w:tcPr>
            <w:tcW w:w="2225" w:type="pct"/>
            <w:vAlign w:val="center"/>
          </w:tcPr>
          <w:p w14:paraId="2C40E2A0">
            <w:pPr>
              <w:pStyle w:val="37"/>
              <w:jc w:val="left"/>
              <w:rPr>
                <w:rFonts w:ascii="Times New Roman" w:hAnsi="Times New Roman" w:cs="Times New Roman"/>
                <w:sz w:val="18"/>
                <w:szCs w:val="18"/>
              </w:rPr>
            </w:pPr>
            <w:r>
              <w:rPr>
                <w:rFonts w:ascii="Times New Roman" w:hAnsi="Times New Roman" w:cs="Times New Roman"/>
                <w:sz w:val="18"/>
                <w:szCs w:val="18"/>
              </w:rPr>
              <w:t>3</w:t>
            </w:r>
            <w:r>
              <w:rPr>
                <w:rFonts w:hint="eastAsia" w:ascii="Times New Roman" w:hAnsi="Times New Roman" w:cs="Times New Roman"/>
                <w:sz w:val="18"/>
                <w:szCs w:val="18"/>
              </w:rPr>
              <w:t>．控制系统</w:t>
            </w:r>
          </w:p>
        </w:tc>
        <w:tc>
          <w:tcPr>
            <w:tcW w:w="546" w:type="pct"/>
            <w:vAlign w:val="center"/>
          </w:tcPr>
          <w:p w14:paraId="5042E7AB">
            <w:pPr>
              <w:jc w:val="center"/>
              <w:rPr>
                <w:bCs/>
                <w:szCs w:val="21"/>
              </w:rPr>
            </w:pPr>
            <w:r>
              <w:rPr>
                <w:rFonts w:hint="eastAsia"/>
                <w:bCs/>
                <w:szCs w:val="21"/>
              </w:rPr>
              <w:t>1</w:t>
            </w:r>
          </w:p>
        </w:tc>
        <w:tc>
          <w:tcPr>
            <w:tcW w:w="546" w:type="pct"/>
            <w:shd w:val="clear" w:color="auto" w:fill="auto"/>
            <w:vAlign w:val="center"/>
          </w:tcPr>
          <w:p w14:paraId="31BE7944">
            <w:pPr>
              <w:jc w:val="center"/>
              <w:rPr>
                <w:bCs/>
                <w:szCs w:val="21"/>
              </w:rPr>
            </w:pPr>
            <w:r>
              <w:rPr>
                <w:rFonts w:hint="eastAsia"/>
                <w:bCs/>
                <w:szCs w:val="21"/>
              </w:rPr>
              <w:t>套</w:t>
            </w:r>
          </w:p>
        </w:tc>
        <w:tc>
          <w:tcPr>
            <w:tcW w:w="1089" w:type="pct"/>
            <w:vAlign w:val="center"/>
          </w:tcPr>
          <w:p w14:paraId="733EFFFD">
            <w:pPr>
              <w:jc w:val="center"/>
              <w:rPr>
                <w:rFonts w:ascii="宋体" w:hAnsi="宋体"/>
                <w:kern w:val="0"/>
                <w:sz w:val="20"/>
                <w:szCs w:val="20"/>
              </w:rPr>
            </w:pPr>
          </w:p>
        </w:tc>
      </w:tr>
      <w:tr w14:paraId="4EC7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4A504B5B">
            <w:pPr>
              <w:jc w:val="center"/>
              <w:rPr>
                <w:bCs/>
                <w:szCs w:val="21"/>
              </w:rPr>
            </w:pPr>
            <w:r>
              <w:rPr>
                <w:rFonts w:hint="eastAsia"/>
                <w:bCs/>
                <w:szCs w:val="21"/>
              </w:rPr>
              <w:t>14</w:t>
            </w:r>
          </w:p>
        </w:tc>
        <w:tc>
          <w:tcPr>
            <w:tcW w:w="2225" w:type="pct"/>
            <w:vAlign w:val="center"/>
          </w:tcPr>
          <w:p w14:paraId="7638E864">
            <w:pPr>
              <w:pStyle w:val="37"/>
              <w:jc w:val="left"/>
              <w:rPr>
                <w:rFonts w:ascii="Times New Roman" w:hAnsi="Times New Roman" w:cs="Times New Roman"/>
                <w:sz w:val="18"/>
                <w:szCs w:val="18"/>
              </w:rPr>
            </w:pPr>
            <w:r>
              <w:rPr>
                <w:rFonts w:ascii="Times New Roman" w:hAnsi="Times New Roman" w:cs="Times New Roman"/>
                <w:sz w:val="18"/>
                <w:szCs w:val="18"/>
              </w:rPr>
              <w:t>3.1供电系统</w:t>
            </w:r>
          </w:p>
        </w:tc>
        <w:tc>
          <w:tcPr>
            <w:tcW w:w="546" w:type="pct"/>
            <w:vAlign w:val="center"/>
          </w:tcPr>
          <w:p w14:paraId="00382E22">
            <w:pPr>
              <w:jc w:val="center"/>
              <w:rPr>
                <w:bCs/>
                <w:szCs w:val="21"/>
              </w:rPr>
            </w:pPr>
            <w:r>
              <w:rPr>
                <w:rFonts w:hint="eastAsia"/>
                <w:bCs/>
                <w:szCs w:val="21"/>
              </w:rPr>
              <w:t>1</w:t>
            </w:r>
          </w:p>
        </w:tc>
        <w:tc>
          <w:tcPr>
            <w:tcW w:w="546" w:type="pct"/>
            <w:vAlign w:val="center"/>
          </w:tcPr>
          <w:p w14:paraId="064E6DC0">
            <w:pPr>
              <w:jc w:val="center"/>
              <w:rPr>
                <w:bCs/>
                <w:szCs w:val="21"/>
              </w:rPr>
            </w:pPr>
            <w:r>
              <w:rPr>
                <w:rFonts w:hint="eastAsia"/>
                <w:bCs/>
                <w:szCs w:val="21"/>
              </w:rPr>
              <w:t>套</w:t>
            </w:r>
          </w:p>
        </w:tc>
        <w:tc>
          <w:tcPr>
            <w:tcW w:w="1089" w:type="pct"/>
            <w:vAlign w:val="center"/>
          </w:tcPr>
          <w:p w14:paraId="09D5165A">
            <w:pPr>
              <w:jc w:val="center"/>
              <w:rPr>
                <w:rFonts w:ascii="宋体" w:hAnsi="宋体"/>
                <w:kern w:val="0"/>
                <w:sz w:val="20"/>
                <w:szCs w:val="20"/>
              </w:rPr>
            </w:pPr>
          </w:p>
        </w:tc>
      </w:tr>
      <w:tr w14:paraId="0EBC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4B22CB97">
            <w:pPr>
              <w:jc w:val="center"/>
              <w:rPr>
                <w:bCs/>
                <w:szCs w:val="21"/>
              </w:rPr>
            </w:pPr>
            <w:r>
              <w:rPr>
                <w:rFonts w:hint="eastAsia"/>
                <w:bCs/>
                <w:szCs w:val="21"/>
              </w:rPr>
              <w:t>15</w:t>
            </w:r>
          </w:p>
        </w:tc>
        <w:tc>
          <w:tcPr>
            <w:tcW w:w="2225" w:type="pct"/>
            <w:vAlign w:val="center"/>
          </w:tcPr>
          <w:p w14:paraId="5C26AC8E">
            <w:pPr>
              <w:pStyle w:val="37"/>
              <w:jc w:val="left"/>
              <w:rPr>
                <w:rFonts w:ascii="Times New Roman" w:hAnsi="Times New Roman" w:cs="Times New Roman"/>
                <w:sz w:val="18"/>
                <w:szCs w:val="18"/>
              </w:rPr>
            </w:pPr>
            <w:r>
              <w:rPr>
                <w:rFonts w:ascii="Times New Roman" w:hAnsi="Times New Roman" w:cs="Times New Roman"/>
                <w:sz w:val="18"/>
                <w:szCs w:val="18"/>
              </w:rPr>
              <w:t>3.2水面控制系统</w:t>
            </w:r>
          </w:p>
        </w:tc>
        <w:tc>
          <w:tcPr>
            <w:tcW w:w="546" w:type="pct"/>
            <w:vAlign w:val="center"/>
          </w:tcPr>
          <w:p w14:paraId="52B69AF4">
            <w:pPr>
              <w:jc w:val="center"/>
              <w:rPr>
                <w:bCs/>
                <w:szCs w:val="21"/>
              </w:rPr>
            </w:pPr>
            <w:r>
              <w:rPr>
                <w:rFonts w:hint="eastAsia"/>
                <w:bCs/>
                <w:szCs w:val="21"/>
              </w:rPr>
              <w:t>1</w:t>
            </w:r>
          </w:p>
        </w:tc>
        <w:tc>
          <w:tcPr>
            <w:tcW w:w="546" w:type="pct"/>
            <w:vAlign w:val="center"/>
          </w:tcPr>
          <w:p w14:paraId="4263548A">
            <w:pPr>
              <w:jc w:val="center"/>
              <w:rPr>
                <w:bCs/>
                <w:szCs w:val="21"/>
              </w:rPr>
            </w:pPr>
            <w:r>
              <w:rPr>
                <w:rFonts w:hint="eastAsia"/>
                <w:bCs/>
                <w:szCs w:val="21"/>
              </w:rPr>
              <w:t>套</w:t>
            </w:r>
          </w:p>
        </w:tc>
        <w:tc>
          <w:tcPr>
            <w:tcW w:w="1089" w:type="pct"/>
            <w:vAlign w:val="center"/>
          </w:tcPr>
          <w:p w14:paraId="77AEFA10">
            <w:pPr>
              <w:jc w:val="center"/>
              <w:rPr>
                <w:rFonts w:ascii="宋体" w:hAnsi="宋体"/>
                <w:kern w:val="0"/>
                <w:sz w:val="20"/>
                <w:szCs w:val="20"/>
              </w:rPr>
            </w:pPr>
          </w:p>
        </w:tc>
      </w:tr>
      <w:tr w14:paraId="7229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6225EC95">
            <w:pPr>
              <w:jc w:val="center"/>
              <w:rPr>
                <w:bCs/>
                <w:szCs w:val="21"/>
              </w:rPr>
            </w:pPr>
            <w:r>
              <w:rPr>
                <w:rFonts w:hint="eastAsia"/>
                <w:bCs/>
                <w:szCs w:val="21"/>
              </w:rPr>
              <w:t>16</w:t>
            </w:r>
          </w:p>
        </w:tc>
        <w:tc>
          <w:tcPr>
            <w:tcW w:w="2225" w:type="pct"/>
            <w:vAlign w:val="center"/>
          </w:tcPr>
          <w:p w14:paraId="55CB9CAF">
            <w:pPr>
              <w:pStyle w:val="37"/>
              <w:jc w:val="left"/>
              <w:rPr>
                <w:rFonts w:ascii="Times New Roman" w:hAnsi="Times New Roman" w:cs="Times New Roman"/>
                <w:sz w:val="18"/>
                <w:szCs w:val="18"/>
              </w:rPr>
            </w:pPr>
            <w:r>
              <w:rPr>
                <w:rFonts w:ascii="Times New Roman" w:hAnsi="Times New Roman" w:cs="Times New Roman"/>
                <w:sz w:val="18"/>
                <w:szCs w:val="18"/>
              </w:rPr>
              <w:t>3.3水面视频转化系统</w:t>
            </w:r>
          </w:p>
        </w:tc>
        <w:tc>
          <w:tcPr>
            <w:tcW w:w="546" w:type="pct"/>
            <w:vAlign w:val="center"/>
          </w:tcPr>
          <w:p w14:paraId="7F46C016">
            <w:pPr>
              <w:jc w:val="center"/>
              <w:rPr>
                <w:bCs/>
                <w:szCs w:val="21"/>
              </w:rPr>
            </w:pPr>
            <w:r>
              <w:rPr>
                <w:bCs/>
                <w:szCs w:val="21"/>
              </w:rPr>
              <w:t>1</w:t>
            </w:r>
          </w:p>
        </w:tc>
        <w:tc>
          <w:tcPr>
            <w:tcW w:w="546" w:type="pct"/>
            <w:vAlign w:val="center"/>
          </w:tcPr>
          <w:p w14:paraId="5843F604">
            <w:pPr>
              <w:jc w:val="center"/>
              <w:rPr>
                <w:bCs/>
                <w:szCs w:val="21"/>
              </w:rPr>
            </w:pPr>
            <w:r>
              <w:rPr>
                <w:rFonts w:hint="eastAsia"/>
                <w:bCs/>
                <w:szCs w:val="21"/>
              </w:rPr>
              <w:t>套</w:t>
            </w:r>
          </w:p>
        </w:tc>
        <w:tc>
          <w:tcPr>
            <w:tcW w:w="1089" w:type="pct"/>
            <w:vAlign w:val="center"/>
          </w:tcPr>
          <w:p w14:paraId="4241D231">
            <w:pPr>
              <w:jc w:val="center"/>
              <w:rPr>
                <w:rFonts w:ascii="宋体" w:hAnsi="宋体"/>
                <w:kern w:val="0"/>
                <w:sz w:val="20"/>
                <w:szCs w:val="20"/>
              </w:rPr>
            </w:pPr>
          </w:p>
        </w:tc>
      </w:tr>
      <w:tr w14:paraId="66DA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vAlign w:val="center"/>
          </w:tcPr>
          <w:p w14:paraId="3C483673">
            <w:pPr>
              <w:jc w:val="center"/>
              <w:rPr>
                <w:bCs/>
                <w:szCs w:val="21"/>
              </w:rPr>
            </w:pPr>
            <w:r>
              <w:rPr>
                <w:rFonts w:hint="eastAsia"/>
                <w:bCs/>
                <w:szCs w:val="21"/>
              </w:rPr>
              <w:t>17</w:t>
            </w:r>
          </w:p>
        </w:tc>
        <w:tc>
          <w:tcPr>
            <w:tcW w:w="2225" w:type="pct"/>
            <w:vAlign w:val="center"/>
          </w:tcPr>
          <w:p w14:paraId="59B2523A">
            <w:pPr>
              <w:pStyle w:val="37"/>
              <w:jc w:val="left"/>
              <w:rPr>
                <w:rFonts w:ascii="Times New Roman" w:hAnsi="Times New Roman" w:cs="Times New Roman"/>
                <w:sz w:val="18"/>
                <w:szCs w:val="18"/>
              </w:rPr>
            </w:pPr>
            <w:r>
              <w:rPr>
                <w:rFonts w:ascii="Times New Roman" w:hAnsi="Times New Roman" w:cs="Times New Roman"/>
                <w:sz w:val="18"/>
                <w:szCs w:val="18"/>
              </w:rPr>
              <w:t>4</w:t>
            </w:r>
            <w:r>
              <w:rPr>
                <w:rFonts w:hint="eastAsia" w:ascii="Times New Roman" w:hAnsi="Times New Roman" w:cs="Times New Roman"/>
                <w:sz w:val="18"/>
                <w:szCs w:val="18"/>
              </w:rPr>
              <w:t>．1000米柔性缆</w:t>
            </w:r>
          </w:p>
        </w:tc>
        <w:tc>
          <w:tcPr>
            <w:tcW w:w="546" w:type="pct"/>
            <w:vAlign w:val="center"/>
          </w:tcPr>
          <w:p w14:paraId="29095835">
            <w:pPr>
              <w:jc w:val="center"/>
              <w:rPr>
                <w:bCs/>
                <w:szCs w:val="21"/>
              </w:rPr>
            </w:pPr>
            <w:r>
              <w:rPr>
                <w:rFonts w:hint="eastAsia"/>
                <w:bCs/>
                <w:szCs w:val="21"/>
              </w:rPr>
              <w:t>1</w:t>
            </w:r>
          </w:p>
        </w:tc>
        <w:tc>
          <w:tcPr>
            <w:tcW w:w="546" w:type="pct"/>
            <w:vAlign w:val="center"/>
          </w:tcPr>
          <w:p w14:paraId="6689BAA0">
            <w:pPr>
              <w:jc w:val="center"/>
              <w:rPr>
                <w:bCs/>
                <w:szCs w:val="21"/>
              </w:rPr>
            </w:pPr>
            <w:r>
              <w:rPr>
                <w:rFonts w:hint="eastAsia"/>
                <w:bCs/>
                <w:szCs w:val="21"/>
              </w:rPr>
              <w:t>套</w:t>
            </w:r>
          </w:p>
        </w:tc>
        <w:tc>
          <w:tcPr>
            <w:tcW w:w="1089" w:type="pct"/>
            <w:vAlign w:val="center"/>
          </w:tcPr>
          <w:p w14:paraId="4CC97001">
            <w:pPr>
              <w:jc w:val="center"/>
              <w:rPr>
                <w:rFonts w:ascii="宋体" w:hAnsi="宋体"/>
                <w:kern w:val="0"/>
                <w:sz w:val="20"/>
                <w:szCs w:val="20"/>
              </w:rPr>
            </w:pPr>
          </w:p>
        </w:tc>
      </w:tr>
      <w:tr w14:paraId="507D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shd w:val="clear" w:color="auto" w:fill="auto"/>
            <w:vAlign w:val="center"/>
          </w:tcPr>
          <w:p w14:paraId="6F616427">
            <w:pPr>
              <w:jc w:val="center"/>
              <w:rPr>
                <w:bCs/>
                <w:szCs w:val="21"/>
              </w:rPr>
            </w:pPr>
            <w:r>
              <w:rPr>
                <w:rFonts w:hint="eastAsia"/>
                <w:bCs/>
                <w:szCs w:val="21"/>
              </w:rPr>
              <w:t>18</w:t>
            </w:r>
          </w:p>
        </w:tc>
        <w:tc>
          <w:tcPr>
            <w:tcW w:w="2225" w:type="pct"/>
            <w:shd w:val="clear" w:color="auto" w:fill="auto"/>
            <w:vAlign w:val="center"/>
          </w:tcPr>
          <w:p w14:paraId="3357A9F2">
            <w:pPr>
              <w:pStyle w:val="37"/>
              <w:jc w:val="left"/>
              <w:rPr>
                <w:rFonts w:ascii="Times New Roman" w:hAnsi="Times New Roman" w:cs="Times New Roman"/>
                <w:sz w:val="18"/>
                <w:szCs w:val="18"/>
              </w:rPr>
            </w:pPr>
            <w:r>
              <w:rPr>
                <w:rFonts w:ascii="Times New Roman" w:hAnsi="Times New Roman" w:cs="Times New Roman"/>
                <w:sz w:val="18"/>
                <w:szCs w:val="18"/>
              </w:rPr>
              <w:t>5</w:t>
            </w:r>
            <w:r>
              <w:rPr>
                <w:rFonts w:hint="eastAsia" w:ascii="Times New Roman" w:hAnsi="Times New Roman" w:cs="Times New Roman"/>
                <w:sz w:val="18"/>
                <w:szCs w:val="18"/>
              </w:rPr>
              <w:t>．缆收放系统</w:t>
            </w:r>
          </w:p>
        </w:tc>
        <w:tc>
          <w:tcPr>
            <w:tcW w:w="546" w:type="pct"/>
            <w:shd w:val="clear" w:color="auto" w:fill="auto"/>
            <w:vAlign w:val="center"/>
          </w:tcPr>
          <w:p w14:paraId="451F83E1">
            <w:pPr>
              <w:jc w:val="center"/>
              <w:rPr>
                <w:bCs/>
                <w:szCs w:val="21"/>
              </w:rPr>
            </w:pPr>
            <w:r>
              <w:rPr>
                <w:bCs/>
                <w:szCs w:val="21"/>
              </w:rPr>
              <w:t>1</w:t>
            </w:r>
          </w:p>
        </w:tc>
        <w:tc>
          <w:tcPr>
            <w:tcW w:w="546" w:type="pct"/>
            <w:shd w:val="clear" w:color="auto" w:fill="auto"/>
            <w:vAlign w:val="center"/>
          </w:tcPr>
          <w:p w14:paraId="651315D8">
            <w:pPr>
              <w:jc w:val="center"/>
              <w:rPr>
                <w:bCs/>
                <w:szCs w:val="21"/>
              </w:rPr>
            </w:pPr>
            <w:r>
              <w:rPr>
                <w:rFonts w:hint="eastAsia"/>
                <w:bCs/>
                <w:szCs w:val="21"/>
              </w:rPr>
              <w:t>套</w:t>
            </w:r>
          </w:p>
        </w:tc>
        <w:tc>
          <w:tcPr>
            <w:tcW w:w="1089" w:type="pct"/>
            <w:shd w:val="clear" w:color="auto" w:fill="auto"/>
            <w:vAlign w:val="center"/>
          </w:tcPr>
          <w:p w14:paraId="2839E7C5">
            <w:pPr>
              <w:jc w:val="center"/>
              <w:rPr>
                <w:rFonts w:ascii="宋体" w:hAnsi="宋体"/>
                <w:kern w:val="0"/>
                <w:sz w:val="20"/>
                <w:szCs w:val="20"/>
              </w:rPr>
            </w:pPr>
          </w:p>
        </w:tc>
      </w:tr>
      <w:tr w14:paraId="0BEB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shd w:val="clear" w:color="auto" w:fill="auto"/>
            <w:vAlign w:val="center"/>
          </w:tcPr>
          <w:p w14:paraId="70B653CC">
            <w:pPr>
              <w:jc w:val="center"/>
              <w:rPr>
                <w:bCs/>
                <w:szCs w:val="21"/>
              </w:rPr>
            </w:pPr>
            <w:r>
              <w:rPr>
                <w:rFonts w:hint="eastAsia"/>
                <w:bCs/>
                <w:szCs w:val="21"/>
              </w:rPr>
              <w:t>1</w:t>
            </w:r>
            <w:r>
              <w:rPr>
                <w:bCs/>
                <w:szCs w:val="21"/>
              </w:rPr>
              <w:t>9</w:t>
            </w:r>
          </w:p>
        </w:tc>
        <w:tc>
          <w:tcPr>
            <w:tcW w:w="2225" w:type="pct"/>
            <w:shd w:val="clear" w:color="auto" w:fill="auto"/>
            <w:vAlign w:val="center"/>
          </w:tcPr>
          <w:p w14:paraId="769FDF7B">
            <w:pPr>
              <w:pStyle w:val="37"/>
              <w:jc w:val="left"/>
              <w:rPr>
                <w:rFonts w:ascii="Times New Roman" w:hAnsi="Times New Roman" w:cs="Times New Roman"/>
                <w:sz w:val="18"/>
                <w:szCs w:val="18"/>
              </w:rPr>
            </w:pPr>
            <w:r>
              <w:rPr>
                <w:rFonts w:ascii="Times New Roman" w:hAnsi="Times New Roman" w:cs="Times New Roman"/>
                <w:sz w:val="18"/>
                <w:szCs w:val="18"/>
              </w:rPr>
              <w:t>5.1液压站</w:t>
            </w:r>
          </w:p>
        </w:tc>
        <w:tc>
          <w:tcPr>
            <w:tcW w:w="546" w:type="pct"/>
            <w:shd w:val="clear" w:color="auto" w:fill="auto"/>
            <w:vAlign w:val="center"/>
          </w:tcPr>
          <w:p w14:paraId="6E4D77F4">
            <w:pPr>
              <w:jc w:val="center"/>
              <w:rPr>
                <w:bCs/>
                <w:szCs w:val="21"/>
              </w:rPr>
            </w:pPr>
            <w:r>
              <w:rPr>
                <w:bCs/>
                <w:szCs w:val="21"/>
              </w:rPr>
              <w:t>1</w:t>
            </w:r>
          </w:p>
        </w:tc>
        <w:tc>
          <w:tcPr>
            <w:tcW w:w="546" w:type="pct"/>
            <w:shd w:val="clear" w:color="auto" w:fill="auto"/>
            <w:vAlign w:val="center"/>
          </w:tcPr>
          <w:p w14:paraId="2CFFB8AA">
            <w:pPr>
              <w:jc w:val="center"/>
              <w:rPr>
                <w:bCs/>
                <w:szCs w:val="21"/>
              </w:rPr>
            </w:pPr>
            <w:r>
              <w:rPr>
                <w:rFonts w:hint="eastAsia"/>
                <w:bCs/>
                <w:szCs w:val="21"/>
              </w:rPr>
              <w:t>套</w:t>
            </w:r>
          </w:p>
        </w:tc>
        <w:tc>
          <w:tcPr>
            <w:tcW w:w="1089" w:type="pct"/>
            <w:shd w:val="clear" w:color="auto" w:fill="auto"/>
            <w:vAlign w:val="center"/>
          </w:tcPr>
          <w:p w14:paraId="695C1052">
            <w:pPr>
              <w:jc w:val="center"/>
              <w:rPr>
                <w:rFonts w:ascii="宋体" w:hAnsi="宋体"/>
                <w:kern w:val="0"/>
                <w:sz w:val="20"/>
                <w:szCs w:val="20"/>
              </w:rPr>
            </w:pPr>
          </w:p>
        </w:tc>
      </w:tr>
      <w:tr w14:paraId="00E5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shd w:val="clear" w:color="auto" w:fill="auto"/>
            <w:vAlign w:val="center"/>
          </w:tcPr>
          <w:p w14:paraId="536B2CCD">
            <w:pPr>
              <w:jc w:val="center"/>
              <w:rPr>
                <w:bCs/>
                <w:szCs w:val="21"/>
              </w:rPr>
            </w:pPr>
            <w:r>
              <w:rPr>
                <w:rFonts w:hint="eastAsia"/>
                <w:bCs/>
                <w:szCs w:val="21"/>
              </w:rPr>
              <w:t>2</w:t>
            </w:r>
            <w:r>
              <w:rPr>
                <w:bCs/>
                <w:szCs w:val="21"/>
              </w:rPr>
              <w:t>0</w:t>
            </w:r>
          </w:p>
        </w:tc>
        <w:tc>
          <w:tcPr>
            <w:tcW w:w="2225" w:type="pct"/>
            <w:shd w:val="clear" w:color="auto" w:fill="auto"/>
            <w:vAlign w:val="center"/>
          </w:tcPr>
          <w:p w14:paraId="650C3B4B">
            <w:pPr>
              <w:pStyle w:val="37"/>
              <w:jc w:val="left"/>
              <w:rPr>
                <w:rFonts w:ascii="Times New Roman" w:hAnsi="Times New Roman" w:cs="Times New Roman"/>
                <w:sz w:val="18"/>
                <w:szCs w:val="18"/>
              </w:rPr>
            </w:pPr>
            <w:r>
              <w:rPr>
                <w:rFonts w:ascii="Times New Roman" w:hAnsi="Times New Roman" w:cs="Times New Roman"/>
                <w:sz w:val="18"/>
                <w:szCs w:val="18"/>
              </w:rPr>
              <w:t>5.2绞车</w:t>
            </w:r>
          </w:p>
        </w:tc>
        <w:tc>
          <w:tcPr>
            <w:tcW w:w="546" w:type="pct"/>
            <w:shd w:val="clear" w:color="auto" w:fill="auto"/>
            <w:vAlign w:val="center"/>
          </w:tcPr>
          <w:p w14:paraId="214B8BB5">
            <w:pPr>
              <w:jc w:val="center"/>
              <w:rPr>
                <w:bCs/>
                <w:szCs w:val="21"/>
              </w:rPr>
            </w:pPr>
            <w:r>
              <w:rPr>
                <w:bCs/>
                <w:szCs w:val="21"/>
              </w:rPr>
              <w:t>1</w:t>
            </w:r>
          </w:p>
        </w:tc>
        <w:tc>
          <w:tcPr>
            <w:tcW w:w="546" w:type="pct"/>
            <w:shd w:val="clear" w:color="auto" w:fill="auto"/>
            <w:vAlign w:val="center"/>
          </w:tcPr>
          <w:p w14:paraId="6A3B61F6">
            <w:pPr>
              <w:jc w:val="center"/>
              <w:rPr>
                <w:bCs/>
                <w:szCs w:val="21"/>
              </w:rPr>
            </w:pPr>
            <w:r>
              <w:rPr>
                <w:rFonts w:hint="eastAsia"/>
                <w:bCs/>
                <w:szCs w:val="21"/>
              </w:rPr>
              <w:t>套</w:t>
            </w:r>
          </w:p>
        </w:tc>
        <w:tc>
          <w:tcPr>
            <w:tcW w:w="1089" w:type="pct"/>
            <w:shd w:val="clear" w:color="auto" w:fill="auto"/>
            <w:vAlign w:val="center"/>
          </w:tcPr>
          <w:p w14:paraId="032A17F3">
            <w:pPr>
              <w:jc w:val="center"/>
              <w:rPr>
                <w:rFonts w:ascii="宋体" w:hAnsi="宋体"/>
                <w:kern w:val="0"/>
                <w:sz w:val="20"/>
                <w:szCs w:val="20"/>
              </w:rPr>
            </w:pPr>
          </w:p>
        </w:tc>
      </w:tr>
      <w:tr w14:paraId="3D14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 w:type="pct"/>
            <w:shd w:val="clear" w:color="auto" w:fill="auto"/>
            <w:vAlign w:val="center"/>
          </w:tcPr>
          <w:p w14:paraId="00CEB957">
            <w:pPr>
              <w:jc w:val="center"/>
              <w:rPr>
                <w:bCs/>
                <w:szCs w:val="21"/>
              </w:rPr>
            </w:pPr>
            <w:r>
              <w:rPr>
                <w:bCs/>
                <w:szCs w:val="21"/>
              </w:rPr>
              <w:t>21</w:t>
            </w:r>
          </w:p>
        </w:tc>
        <w:tc>
          <w:tcPr>
            <w:tcW w:w="2225" w:type="pct"/>
            <w:shd w:val="clear" w:color="auto" w:fill="auto"/>
            <w:vAlign w:val="center"/>
          </w:tcPr>
          <w:p w14:paraId="0D198ACA">
            <w:pPr>
              <w:pStyle w:val="37"/>
              <w:jc w:val="left"/>
              <w:rPr>
                <w:rFonts w:ascii="Times New Roman" w:hAnsi="Times New Roman" w:cs="Times New Roman"/>
                <w:sz w:val="18"/>
                <w:szCs w:val="18"/>
              </w:rPr>
            </w:pPr>
            <w:r>
              <w:rPr>
                <w:rFonts w:ascii="Times New Roman" w:hAnsi="Times New Roman" w:cs="Times New Roman"/>
                <w:sz w:val="18"/>
                <w:szCs w:val="18"/>
              </w:rPr>
              <w:t>5.3</w:t>
            </w:r>
            <w:r>
              <w:rPr>
                <w:rFonts w:hint="eastAsia" w:ascii="Times New Roman" w:hAnsi="Times New Roman" w:cs="Times New Roman"/>
                <w:sz w:val="18"/>
                <w:szCs w:val="18"/>
              </w:rPr>
              <w:t>ROV释放回收</w:t>
            </w:r>
            <w:r>
              <w:rPr>
                <w:rFonts w:ascii="Times New Roman" w:hAnsi="Times New Roman" w:cs="Times New Roman"/>
                <w:sz w:val="18"/>
                <w:szCs w:val="18"/>
              </w:rPr>
              <w:t>门架</w:t>
            </w:r>
          </w:p>
        </w:tc>
        <w:tc>
          <w:tcPr>
            <w:tcW w:w="546" w:type="pct"/>
            <w:shd w:val="clear" w:color="auto" w:fill="auto"/>
            <w:vAlign w:val="center"/>
          </w:tcPr>
          <w:p w14:paraId="27EE281B">
            <w:pPr>
              <w:jc w:val="center"/>
              <w:rPr>
                <w:bCs/>
                <w:szCs w:val="21"/>
              </w:rPr>
            </w:pPr>
            <w:r>
              <w:rPr>
                <w:bCs/>
                <w:szCs w:val="21"/>
              </w:rPr>
              <w:t>1</w:t>
            </w:r>
          </w:p>
        </w:tc>
        <w:tc>
          <w:tcPr>
            <w:tcW w:w="546" w:type="pct"/>
            <w:shd w:val="clear" w:color="auto" w:fill="auto"/>
            <w:vAlign w:val="center"/>
          </w:tcPr>
          <w:p w14:paraId="76854CBB">
            <w:pPr>
              <w:jc w:val="center"/>
              <w:rPr>
                <w:bCs/>
                <w:szCs w:val="21"/>
              </w:rPr>
            </w:pPr>
            <w:r>
              <w:rPr>
                <w:rFonts w:hint="eastAsia"/>
                <w:bCs/>
                <w:szCs w:val="21"/>
              </w:rPr>
              <w:t>套</w:t>
            </w:r>
          </w:p>
        </w:tc>
        <w:tc>
          <w:tcPr>
            <w:tcW w:w="1089" w:type="pct"/>
            <w:shd w:val="clear" w:color="auto" w:fill="auto"/>
            <w:vAlign w:val="center"/>
          </w:tcPr>
          <w:p w14:paraId="72DDABCD">
            <w:pPr>
              <w:jc w:val="center"/>
              <w:rPr>
                <w:rFonts w:ascii="宋体" w:hAnsi="宋体"/>
                <w:kern w:val="0"/>
                <w:sz w:val="20"/>
                <w:szCs w:val="20"/>
              </w:rPr>
            </w:pPr>
          </w:p>
        </w:tc>
      </w:tr>
    </w:tbl>
    <w:p w14:paraId="603D62AA">
      <w:pPr>
        <w:ind w:firstLine="482" w:firstLineChars="200"/>
        <w:rPr>
          <w:rFonts w:ascii="宋体" w:hAnsi="宋体" w:eastAsia="宋体"/>
          <w:b/>
          <w:color w:val="FF0000"/>
          <w:szCs w:val="21"/>
        </w:rPr>
      </w:pPr>
    </w:p>
    <w:p w14:paraId="353F953F">
      <w:pPr>
        <w:ind w:firstLine="482" w:firstLineChars="200"/>
        <w:rPr>
          <w:rFonts w:ascii="宋体" w:hAnsi="宋体" w:eastAsia="宋体"/>
          <w:b/>
          <w:color w:val="FF0000"/>
          <w:szCs w:val="21"/>
        </w:rPr>
      </w:pPr>
      <w:r>
        <w:rPr>
          <w:rFonts w:hint="eastAsia" w:ascii="宋体" w:hAnsi="宋体" w:eastAsia="宋体"/>
          <w:b/>
          <w:color w:val="FF0000"/>
          <w:szCs w:val="21"/>
        </w:rPr>
        <w:t xml:space="preserve">备注：1.备注栏注明“拒绝进口”的产品不接受投标人选用进口产品参与投标；注明“接受进口”的产品允许投标人选用进口产品参与投标，但不排斥国内产品。 </w:t>
      </w:r>
    </w:p>
    <w:p w14:paraId="518FEE78">
      <w:pPr>
        <w:ind w:firstLine="482" w:firstLineChars="200"/>
        <w:rPr>
          <w:rFonts w:ascii="宋体" w:hAnsi="宋体" w:eastAsia="宋体"/>
          <w:b/>
          <w:color w:val="FF0000"/>
          <w:szCs w:val="21"/>
        </w:rPr>
      </w:pPr>
      <w:r>
        <w:rPr>
          <w:rFonts w:hint="eastAsia" w:ascii="宋体" w:hAnsi="宋体" w:eastAsia="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C88EFC2">
      <w:pPr>
        <w:ind w:firstLine="482" w:firstLineChars="200"/>
        <w:rPr>
          <w:rFonts w:hint="eastAsia" w:ascii="宋体" w:hAnsi="宋体" w:eastAsia="宋体"/>
          <w:b/>
          <w:color w:val="FF0000"/>
          <w:szCs w:val="21"/>
        </w:rPr>
      </w:pPr>
      <w:r>
        <w:rPr>
          <w:rFonts w:hint="eastAsia" w:ascii="宋体" w:hAnsi="宋体" w:eastAsia="宋体"/>
          <w:b/>
          <w:color w:val="FF0000"/>
          <w:szCs w:val="21"/>
        </w:rPr>
        <w:t>3、本项目核心产品为：</w:t>
      </w:r>
      <w:r>
        <w:rPr>
          <w:rFonts w:hint="eastAsia" w:ascii="宋体" w:hAnsi="宋体" w:eastAsia="宋体"/>
          <w:b/>
          <w:color w:val="FF0000"/>
          <w:szCs w:val="21"/>
          <w:u w:val="single"/>
        </w:rPr>
        <w:t xml:space="preserve"> 千米级深海ROV主体 </w:t>
      </w:r>
      <w:r>
        <w:rPr>
          <w:rFonts w:hint="eastAsia" w:ascii="宋体" w:hAnsi="宋体" w:eastAsia="宋体"/>
          <w:b/>
          <w:color w:val="FF0000"/>
          <w:szCs w:val="21"/>
        </w:rPr>
        <w:t>。</w:t>
      </w:r>
    </w:p>
    <w:p w14:paraId="5FA7A3C0">
      <w:pPr>
        <w:ind w:firstLine="482" w:firstLineChars="200"/>
        <w:rPr>
          <w:rFonts w:hint="default" w:ascii="宋体" w:hAnsi="宋体" w:eastAsia="宋体"/>
          <w:b/>
          <w:color w:val="FF0000"/>
          <w:szCs w:val="21"/>
          <w:lang w:val="en-US" w:eastAsia="zh-CN"/>
        </w:rPr>
      </w:pPr>
      <w:r>
        <w:rPr>
          <w:rFonts w:hint="eastAsia" w:ascii="宋体" w:hAnsi="宋体" w:eastAsia="宋体"/>
          <w:b/>
          <w:color w:val="FF0000"/>
          <w:szCs w:val="21"/>
          <w:lang w:val="en-US" w:eastAsia="zh-CN"/>
        </w:rPr>
        <w:t>4、本项目为定制产品采购。</w:t>
      </w:r>
    </w:p>
    <w:bookmarkEnd w:id="39"/>
    <w:p w14:paraId="7E6CB729">
      <w:pPr>
        <w:rPr>
          <w:rFonts w:ascii="宋体" w:hAnsi="宋体" w:eastAsia="宋体"/>
          <w:b/>
          <w:color w:val="FF0000"/>
          <w:szCs w:val="21"/>
        </w:rPr>
      </w:pPr>
    </w:p>
    <w:p w14:paraId="063DE039">
      <w:pPr>
        <w:rPr>
          <w:rFonts w:hint="eastAsia"/>
          <w:sz w:val="28"/>
          <w:szCs w:val="28"/>
        </w:rPr>
      </w:pPr>
      <w:bookmarkStart w:id="40" w:name="_Toc128884461"/>
      <w:r>
        <w:rPr>
          <w:rFonts w:hint="eastAsia"/>
          <w:sz w:val="28"/>
          <w:szCs w:val="28"/>
        </w:rPr>
        <w:br w:type="page"/>
      </w:r>
    </w:p>
    <w:p w14:paraId="617ACA2B">
      <w:pPr>
        <w:pStyle w:val="5"/>
        <w:spacing w:before="120" w:beforeLines="50" w:after="120" w:afterLines="50"/>
        <w:rPr>
          <w:sz w:val="28"/>
          <w:szCs w:val="28"/>
        </w:rPr>
      </w:pPr>
      <w:r>
        <w:rPr>
          <w:rFonts w:hint="eastAsia"/>
          <w:sz w:val="28"/>
          <w:szCs w:val="28"/>
        </w:rPr>
        <w:t>三、实质性条款</w:t>
      </w:r>
    </w:p>
    <w:tbl>
      <w:tblPr>
        <w:tblStyle w:val="18"/>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7668"/>
      </w:tblGrid>
      <w:tr w14:paraId="6BCE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05" w:type="dxa"/>
            <w:vAlign w:val="center"/>
          </w:tcPr>
          <w:p w14:paraId="1648F57B">
            <w:pPr>
              <w:adjustRightInd w:val="0"/>
              <w:snapToGrid w:val="0"/>
              <w:spacing w:line="360" w:lineRule="auto"/>
              <w:jc w:val="center"/>
              <w:rPr>
                <w:rFonts w:ascii="宋体" w:hAnsi="宋体" w:eastAsia="宋体"/>
                <w:szCs w:val="21"/>
              </w:rPr>
            </w:pPr>
            <w:r>
              <w:rPr>
                <w:rFonts w:hint="eastAsia" w:ascii="宋体" w:hAnsi="宋体" w:eastAsia="宋体"/>
                <w:szCs w:val="21"/>
              </w:rPr>
              <w:t>序号</w:t>
            </w:r>
          </w:p>
        </w:tc>
        <w:tc>
          <w:tcPr>
            <w:tcW w:w="7483" w:type="dxa"/>
            <w:vAlign w:val="center"/>
          </w:tcPr>
          <w:p w14:paraId="1A385684">
            <w:pPr>
              <w:adjustRightInd w:val="0"/>
              <w:snapToGrid w:val="0"/>
              <w:spacing w:line="360" w:lineRule="auto"/>
              <w:jc w:val="center"/>
              <w:rPr>
                <w:rFonts w:ascii="宋体" w:hAnsi="宋体" w:eastAsia="宋体"/>
                <w:szCs w:val="21"/>
              </w:rPr>
            </w:pPr>
            <w:r>
              <w:rPr>
                <w:rFonts w:hint="eastAsia" w:ascii="宋体" w:hAnsi="宋体" w:eastAsia="宋体"/>
                <w:szCs w:val="21"/>
              </w:rPr>
              <w:t>实质性条款具体内容</w:t>
            </w:r>
          </w:p>
        </w:tc>
      </w:tr>
      <w:tr w14:paraId="718D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080FD2B">
            <w:pPr>
              <w:keepNext w:val="0"/>
              <w:keepLines w:val="0"/>
              <w:widowControl/>
              <w:suppressLineNumbers w:val="0"/>
              <w:jc w:val="center"/>
              <w:textAlignment w:val="center"/>
              <w:rPr>
                <w:rFonts w:ascii="宋体" w:hAnsi="宋体" w:eastAsia="宋体"/>
                <w:szCs w:val="21"/>
              </w:rPr>
            </w:pPr>
            <w:r>
              <w:rPr>
                <w:rFonts w:hint="eastAsia" w:ascii="宋体" w:hAnsi="宋体" w:eastAsia="宋体" w:cs="宋体"/>
                <w:i w:val="0"/>
                <w:iCs w:val="0"/>
                <w:color w:val="000000"/>
                <w:kern w:val="0"/>
                <w:sz w:val="18"/>
                <w:szCs w:val="18"/>
                <w:u w:val="none"/>
                <w:lang w:val="en-US" w:eastAsia="zh-CN" w:bidi="ar"/>
              </w:rPr>
              <w:t>1</w:t>
            </w:r>
          </w:p>
        </w:tc>
        <w:tc>
          <w:tcPr>
            <w:tcW w:w="7483" w:type="dxa"/>
          </w:tcPr>
          <w:p w14:paraId="39A355ED">
            <w:pPr>
              <w:rPr>
                <w:rFonts w:ascii="宋体" w:hAnsi="宋体" w:eastAsia="宋体"/>
                <w:color w:val="4F81BD" w:themeColor="accent1"/>
                <w:sz w:val="18"/>
                <w:szCs w:val="18"/>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ROV水下作业深度：≥1000m；（提供详细技术方案和设计模型，资料要求：至少包括基于设计图或实物的参数示意资料。提供资料内容缺漏、示意不清、不充分的视作未提供证明。原件备查。）</w:t>
            </w:r>
          </w:p>
        </w:tc>
      </w:tr>
      <w:tr w14:paraId="25FE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5D80307">
            <w:pPr>
              <w:keepNext w:val="0"/>
              <w:keepLines w:val="0"/>
              <w:widowControl/>
              <w:suppressLineNumbers w:val="0"/>
              <w:jc w:val="center"/>
              <w:textAlignment w:val="center"/>
              <w:rPr>
                <w:rFonts w:ascii="宋体" w:hAnsi="宋体" w:eastAsia="宋体"/>
                <w:szCs w:val="21"/>
              </w:rPr>
            </w:pPr>
            <w:r>
              <w:rPr>
                <w:rFonts w:hint="eastAsia" w:ascii="宋体" w:hAnsi="宋体" w:eastAsia="宋体" w:cs="宋体"/>
                <w:i w:val="0"/>
                <w:iCs w:val="0"/>
                <w:color w:val="000000"/>
                <w:kern w:val="0"/>
                <w:sz w:val="18"/>
                <w:szCs w:val="18"/>
                <w:u w:val="none"/>
                <w:lang w:val="en-US" w:eastAsia="zh-CN" w:bidi="ar"/>
              </w:rPr>
              <w:t>2</w:t>
            </w:r>
          </w:p>
        </w:tc>
        <w:tc>
          <w:tcPr>
            <w:tcW w:w="7483" w:type="dxa"/>
          </w:tcPr>
          <w:p w14:paraId="17DB8646">
            <w:pPr>
              <w:rPr>
                <w:rFonts w:hint="eastAsia" w:ascii="宋体" w:hAnsi="宋体" w:eastAsia="宋体"/>
                <w:sz w:val="18"/>
                <w:szCs w:val="18"/>
              </w:rPr>
            </w:pPr>
            <w:r>
              <w:rPr>
                <w:rFonts w:hint="eastAsia" w:ascii="宋体" w:hAnsi="宋体" w:eastAsia="宋体"/>
                <w:sz w:val="18"/>
                <w:szCs w:val="18"/>
              </w:rPr>
              <w:t>千米级深海ROV主体</w:t>
            </w:r>
            <w:r>
              <w:rPr>
                <w:rFonts w:hint="eastAsia" w:ascii="宋体" w:hAnsi="宋体" w:eastAsia="宋体"/>
                <w:sz w:val="18"/>
                <w:szCs w:val="18"/>
                <w:lang w:eastAsia="zh-CN"/>
              </w:rPr>
              <w:t>： ROV负载能力：≥150kg；</w:t>
            </w:r>
          </w:p>
        </w:tc>
      </w:tr>
      <w:tr w14:paraId="751C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931FAF6">
            <w:pPr>
              <w:keepNext w:val="0"/>
              <w:keepLines w:val="0"/>
              <w:widowControl/>
              <w:suppressLineNumbers w:val="0"/>
              <w:jc w:val="center"/>
              <w:textAlignment w:val="center"/>
              <w:rPr>
                <w:rFonts w:ascii="宋体" w:hAnsi="宋体" w:eastAsia="宋体"/>
                <w:szCs w:val="21"/>
              </w:rPr>
            </w:pPr>
            <w:r>
              <w:rPr>
                <w:rFonts w:hint="eastAsia" w:ascii="宋体" w:hAnsi="宋体" w:eastAsia="宋体" w:cs="宋体"/>
                <w:i w:val="0"/>
                <w:iCs w:val="0"/>
                <w:color w:val="000000"/>
                <w:kern w:val="0"/>
                <w:sz w:val="18"/>
                <w:szCs w:val="18"/>
                <w:u w:val="none"/>
                <w:lang w:val="en-US" w:eastAsia="zh-CN" w:bidi="ar"/>
              </w:rPr>
              <w:t>3</w:t>
            </w:r>
          </w:p>
        </w:tc>
        <w:tc>
          <w:tcPr>
            <w:tcW w:w="7483" w:type="dxa"/>
          </w:tcPr>
          <w:p w14:paraId="67674D55">
            <w:pPr>
              <w:rPr>
                <w:rFonts w:hint="eastAsia" w:ascii="宋体" w:hAnsi="宋体" w:eastAsia="宋体"/>
                <w:sz w:val="18"/>
                <w:szCs w:val="18"/>
              </w:rPr>
            </w:pPr>
            <w:r>
              <w:rPr>
                <w:rFonts w:hint="eastAsia" w:ascii="宋体" w:hAnsi="宋体" w:eastAsia="宋体"/>
                <w:sz w:val="18"/>
                <w:szCs w:val="18"/>
              </w:rPr>
              <w:t>千米级深海ROV主体</w:t>
            </w:r>
            <w:r>
              <w:rPr>
                <w:rFonts w:hint="eastAsia" w:ascii="宋体" w:hAnsi="宋体" w:eastAsia="宋体"/>
                <w:sz w:val="18"/>
                <w:szCs w:val="18"/>
                <w:lang w:eastAsia="zh-CN"/>
              </w:rPr>
              <w:t>： ROV功率：≥125马力；</w:t>
            </w:r>
          </w:p>
        </w:tc>
      </w:tr>
      <w:tr w14:paraId="763B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6D8DDAAD">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7483" w:type="dxa"/>
          </w:tcPr>
          <w:p w14:paraId="7F257A8C">
            <w:pPr>
              <w:rPr>
                <w:rFonts w:hint="eastAsia" w:ascii="宋体" w:hAnsi="宋体" w:eastAsia="宋体"/>
                <w:sz w:val="18"/>
                <w:szCs w:val="18"/>
              </w:rPr>
            </w:pPr>
            <w:r>
              <w:rPr>
                <w:rFonts w:hint="eastAsia" w:ascii="宋体" w:hAnsi="宋体" w:eastAsia="宋体"/>
                <w:sz w:val="18"/>
                <w:szCs w:val="18"/>
              </w:rPr>
              <w:t>千米级深海ROV主体</w:t>
            </w:r>
            <w:r>
              <w:rPr>
                <w:rFonts w:hint="eastAsia" w:ascii="宋体" w:hAnsi="宋体" w:eastAsia="宋体"/>
                <w:sz w:val="18"/>
                <w:szCs w:val="18"/>
                <w:lang w:eastAsia="zh-CN"/>
              </w:rPr>
              <w:t>：ROV水下系桩推力：纵向≥150公斤力；横向≥150公斤力；垂向≥200公斤力。（提供证明材料，资料要求：至少包括液压系统详细设计图。提供资料内容缺漏、示意不清、不充分的视作未提供证明。原件备查。）</w:t>
            </w:r>
          </w:p>
        </w:tc>
      </w:tr>
      <w:tr w14:paraId="130D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C51BA31">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7483" w:type="dxa"/>
          </w:tcPr>
          <w:p w14:paraId="10CCFF8A">
            <w:pPr>
              <w:rPr>
                <w:rFonts w:hint="eastAsia" w:ascii="宋体" w:hAnsi="宋体" w:eastAsia="宋体"/>
                <w:sz w:val="18"/>
                <w:szCs w:val="18"/>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搭载传感器类别数量：深度计1部；高度计1部；姿态传感器1部；成像声呐1部；高清摄像机不少于2组；</w:t>
            </w:r>
          </w:p>
        </w:tc>
      </w:tr>
      <w:tr w14:paraId="499F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875BD8A">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6</w:t>
            </w:r>
          </w:p>
        </w:tc>
        <w:tc>
          <w:tcPr>
            <w:tcW w:w="7483" w:type="dxa"/>
            <w:vAlign w:val="center"/>
          </w:tcPr>
          <w:p w14:paraId="071BEE05">
            <w:pPr>
              <w:rPr>
                <w:rFonts w:hint="eastAsia" w:ascii="宋体" w:hAnsi="宋体" w:eastAsia="宋体"/>
                <w:sz w:val="18"/>
                <w:szCs w:val="18"/>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 xml:space="preserve"> ROV液压系统流量：≥100升/分钟；</w:t>
            </w:r>
          </w:p>
        </w:tc>
      </w:tr>
      <w:tr w14:paraId="089D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2166F8B">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7</w:t>
            </w:r>
          </w:p>
        </w:tc>
        <w:tc>
          <w:tcPr>
            <w:tcW w:w="7483" w:type="dxa"/>
            <w:vAlign w:val="center"/>
          </w:tcPr>
          <w:p w14:paraId="1670658F">
            <w:pPr>
              <w:rPr>
                <w:rFonts w:hint="eastAsia" w:ascii="宋体" w:hAnsi="宋体" w:eastAsia="宋体"/>
                <w:sz w:val="18"/>
                <w:szCs w:val="18"/>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ROV高级控制功能：悬停定位精度≤30厘米；（提供证明材料，资料要求：至少包括基于设计图或实物的行程参数示意资料。提供资料内容缺漏、示意不清、不充分的视作未提供证明。原件备查。）</w:t>
            </w:r>
          </w:p>
        </w:tc>
      </w:tr>
      <w:tr w14:paraId="35CC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6C9DDDDC">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8</w:t>
            </w:r>
          </w:p>
        </w:tc>
        <w:tc>
          <w:tcPr>
            <w:tcW w:w="7483" w:type="dxa"/>
            <w:vAlign w:val="center"/>
          </w:tcPr>
          <w:p w14:paraId="656F7C66">
            <w:pPr>
              <w:rPr>
                <w:rFonts w:hint="eastAsia" w:ascii="宋体" w:hAnsi="宋体" w:eastAsia="宋体"/>
                <w:sz w:val="18"/>
                <w:szCs w:val="18"/>
              </w:rPr>
            </w:pPr>
            <w:r>
              <w:rPr>
                <w:rFonts w:hint="eastAsia" w:ascii="宋体" w:hAnsi="宋体" w:eastAsia="宋体"/>
                <w:sz w:val="18"/>
                <w:szCs w:val="18"/>
              </w:rPr>
              <w:t xml:space="preserve">千米级深海ROV主体： ROV性能验证：交货前需提供海试验证，试验区域水深不低于300米，总天数不少于30天。（提供详细验证方案，资料要求：至少包括基于验证条件和验证过程的示意资料。提供资料内容缺漏、示意不清、不充分的视作未提供证明。原件备查。）    </w:t>
            </w:r>
          </w:p>
        </w:tc>
      </w:tr>
      <w:tr w14:paraId="35B1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A230A75">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9</w:t>
            </w:r>
          </w:p>
        </w:tc>
        <w:tc>
          <w:tcPr>
            <w:tcW w:w="7483" w:type="dxa"/>
            <w:vAlign w:val="center"/>
          </w:tcPr>
          <w:p w14:paraId="141DD3FA">
            <w:pPr>
              <w:rPr>
                <w:rFonts w:hint="eastAsia" w:ascii="宋体" w:hAnsi="宋体" w:eastAsia="宋体"/>
                <w:sz w:val="18"/>
                <w:szCs w:val="18"/>
                <w:lang w:eastAsia="zh-CN"/>
              </w:rPr>
            </w:pPr>
            <w:r>
              <w:rPr>
                <w:rFonts w:hint="eastAsia" w:ascii="宋体" w:hAnsi="宋体" w:eastAsia="宋体"/>
                <w:sz w:val="18"/>
                <w:szCs w:val="18"/>
              </w:rPr>
              <w:t>1.1液压动力单元</w:t>
            </w:r>
            <w:r>
              <w:rPr>
                <w:rFonts w:hint="eastAsia" w:ascii="宋体" w:hAnsi="宋体" w:eastAsia="宋体"/>
                <w:sz w:val="18"/>
                <w:szCs w:val="18"/>
                <w:lang w:eastAsia="zh-CN"/>
              </w:rPr>
              <w:t>： ROV液压系统流量：≥100升/分钟，采用伺服阀控制模式；</w:t>
            </w:r>
          </w:p>
        </w:tc>
      </w:tr>
      <w:tr w14:paraId="313A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E69053E">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7483" w:type="dxa"/>
            <w:vAlign w:val="center"/>
          </w:tcPr>
          <w:p w14:paraId="226907E1">
            <w:pPr>
              <w:rPr>
                <w:rFonts w:hint="eastAsia" w:ascii="宋体" w:hAnsi="宋体" w:eastAsia="宋体"/>
                <w:sz w:val="18"/>
                <w:szCs w:val="18"/>
                <w:lang w:eastAsia="zh-CN"/>
              </w:rPr>
            </w:pPr>
            <w:r>
              <w:rPr>
                <w:rFonts w:ascii="Times New Roman" w:hAnsi="Times New Roman" w:cs="Times New Roman"/>
                <w:sz w:val="18"/>
                <w:szCs w:val="18"/>
              </w:rPr>
              <w:t>1.7</w:t>
            </w:r>
            <w:r>
              <w:rPr>
                <w:rFonts w:hint="eastAsia" w:ascii="Times New Roman" w:hAnsi="Times New Roman" w:cs="Times New Roman"/>
                <w:sz w:val="18"/>
                <w:szCs w:val="18"/>
              </w:rPr>
              <w:t>水下导航传感系统</w:t>
            </w:r>
            <w:r>
              <w:rPr>
                <w:rFonts w:hint="eastAsia" w:eastAsia="宋体" w:cs="Times New Roman"/>
                <w:sz w:val="18"/>
                <w:szCs w:val="18"/>
                <w:lang w:eastAsia="zh-CN"/>
              </w:rPr>
              <w:t>：</w:t>
            </w:r>
            <w:r>
              <w:rPr>
                <w:rFonts w:hint="eastAsia" w:ascii="Times New Roman" w:hAnsi="Times New Roman" w:cs="Times New Roman"/>
                <w:sz w:val="20"/>
                <w:szCs w:val="20"/>
              </w:rPr>
              <w:t>搭载传感器：深度计1部；高度计1部；姿态传感器1部；成像声呐1部；</w:t>
            </w:r>
          </w:p>
        </w:tc>
      </w:tr>
      <w:tr w14:paraId="34BD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B16DB34">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11</w:t>
            </w:r>
          </w:p>
        </w:tc>
        <w:tc>
          <w:tcPr>
            <w:tcW w:w="7483" w:type="dxa"/>
            <w:vAlign w:val="center"/>
          </w:tcPr>
          <w:p w14:paraId="7DE7A465">
            <w:pPr>
              <w:rPr>
                <w:rFonts w:hint="eastAsia" w:ascii="宋体" w:hAnsi="宋体" w:eastAsia="宋体"/>
                <w:sz w:val="18"/>
                <w:szCs w:val="18"/>
                <w:lang w:eastAsia="zh-CN"/>
              </w:rPr>
            </w:pPr>
            <w:r>
              <w:rPr>
                <w:rFonts w:ascii="Times New Roman" w:hAnsi="Times New Roman" w:cs="Times New Roman"/>
                <w:sz w:val="18"/>
                <w:szCs w:val="18"/>
              </w:rPr>
              <w:t>2</w:t>
            </w:r>
            <w:r>
              <w:rPr>
                <w:rFonts w:hint="eastAsia" w:ascii="Times New Roman" w:hAnsi="Times New Roman" w:cs="Times New Roman"/>
                <w:sz w:val="18"/>
                <w:szCs w:val="18"/>
              </w:rPr>
              <w:t>．深海多功能机械臂</w:t>
            </w:r>
            <w:r>
              <w:rPr>
                <w:rFonts w:hint="eastAsia" w:eastAsia="宋体" w:cs="Times New Roman"/>
                <w:sz w:val="18"/>
                <w:szCs w:val="18"/>
                <w:lang w:eastAsia="zh-CN"/>
              </w:rPr>
              <w:t>：</w:t>
            </w:r>
            <w:r>
              <w:rPr>
                <w:rFonts w:hint="eastAsia" w:ascii="Times New Roman" w:hAnsi="Times New Roman"/>
                <w:sz w:val="20"/>
                <w:szCs w:val="20"/>
              </w:rPr>
              <w:t>搭载多功能机械手：</w:t>
            </w:r>
            <w:r>
              <w:rPr>
                <w:rFonts w:ascii="Times New Roman" w:hAnsi="Times New Roman"/>
                <w:sz w:val="20"/>
                <w:szCs w:val="20"/>
              </w:rPr>
              <w:t>4</w:t>
            </w:r>
            <w:r>
              <w:rPr>
                <w:rFonts w:hint="eastAsia" w:ascii="Times New Roman" w:hAnsi="Times New Roman"/>
                <w:sz w:val="20"/>
                <w:szCs w:val="20"/>
              </w:rPr>
              <w:t>套；</w:t>
            </w:r>
          </w:p>
        </w:tc>
      </w:tr>
      <w:tr w14:paraId="06CE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D150064">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12</w:t>
            </w:r>
          </w:p>
        </w:tc>
        <w:tc>
          <w:tcPr>
            <w:tcW w:w="7483" w:type="dxa"/>
            <w:vAlign w:val="center"/>
          </w:tcPr>
          <w:p w14:paraId="126D655D">
            <w:pPr>
              <w:rPr>
                <w:rFonts w:hint="eastAsia" w:ascii="宋体" w:hAnsi="宋体" w:eastAsia="宋体"/>
                <w:sz w:val="18"/>
                <w:szCs w:val="18"/>
                <w:lang w:eastAsia="zh-CN"/>
              </w:rPr>
            </w:pPr>
            <w:r>
              <w:rPr>
                <w:rFonts w:hint="eastAsia" w:ascii="宋体" w:hAnsi="宋体" w:eastAsia="宋体"/>
                <w:sz w:val="18"/>
                <w:szCs w:val="18"/>
                <w:lang w:eastAsia="zh-CN"/>
              </w:rPr>
              <w:t>货物免费保修期</w:t>
            </w:r>
            <w:r>
              <w:rPr>
                <w:rFonts w:hint="eastAsia" w:ascii="宋体" w:hAnsi="宋体" w:eastAsia="宋体"/>
                <w:sz w:val="18"/>
                <w:szCs w:val="18"/>
                <w:lang w:val="en-US" w:eastAsia="zh-CN"/>
              </w:rPr>
              <w:t>1</w:t>
            </w:r>
            <w:r>
              <w:rPr>
                <w:rFonts w:hint="eastAsia" w:ascii="宋体" w:hAnsi="宋体" w:eastAsia="宋体"/>
                <w:sz w:val="18"/>
                <w:szCs w:val="18"/>
                <w:lang w:eastAsia="zh-CN"/>
              </w:rPr>
              <w:t>年，时间自最终验收合格并交付使用之日起计算。</w:t>
            </w:r>
          </w:p>
        </w:tc>
      </w:tr>
      <w:tr w14:paraId="380C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E620F11">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13</w:t>
            </w:r>
          </w:p>
        </w:tc>
        <w:tc>
          <w:tcPr>
            <w:tcW w:w="7483" w:type="dxa"/>
            <w:vAlign w:val="center"/>
          </w:tcPr>
          <w:p w14:paraId="1A7FF63F">
            <w:pPr>
              <w:rPr>
                <w:rFonts w:hint="eastAsia" w:ascii="宋体" w:hAnsi="宋体" w:eastAsia="宋体"/>
                <w:sz w:val="18"/>
                <w:szCs w:val="18"/>
              </w:rPr>
            </w:pPr>
            <w:r>
              <w:rPr>
                <w:rFonts w:hint="eastAsia" w:ascii="宋体" w:hAnsi="宋体" w:eastAsia="宋体"/>
                <w:sz w:val="18"/>
                <w:szCs w:val="18"/>
              </w:rPr>
              <w:t>在售后保修期内，投标人至少安排一个班组（3人）跟踪海上作业一个航次（30天），确保使用人员完全掌握整套ROV系统的使用。</w:t>
            </w:r>
          </w:p>
        </w:tc>
      </w:tr>
      <w:tr w14:paraId="1F08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85C419C">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14</w:t>
            </w:r>
          </w:p>
        </w:tc>
        <w:tc>
          <w:tcPr>
            <w:tcW w:w="7483" w:type="dxa"/>
            <w:vAlign w:val="center"/>
          </w:tcPr>
          <w:p w14:paraId="6440CE6E">
            <w:pPr>
              <w:rPr>
                <w:rFonts w:hint="eastAsia" w:ascii="宋体" w:hAnsi="宋体" w:eastAsia="宋体"/>
                <w:sz w:val="18"/>
                <w:szCs w:val="18"/>
              </w:rPr>
            </w:pPr>
            <w:r>
              <w:rPr>
                <w:rFonts w:hint="eastAsia" w:ascii="宋体" w:hAnsi="宋体" w:eastAsia="宋体"/>
                <w:sz w:val="18"/>
                <w:szCs w:val="18"/>
              </w:rPr>
              <w:t>交货地点：深圳市内采购人指定地点。</w:t>
            </w:r>
          </w:p>
        </w:tc>
      </w:tr>
      <w:tr w14:paraId="3A36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3FB4A0E1">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15</w:t>
            </w:r>
          </w:p>
        </w:tc>
        <w:tc>
          <w:tcPr>
            <w:tcW w:w="7483" w:type="dxa"/>
            <w:vAlign w:val="center"/>
          </w:tcPr>
          <w:p w14:paraId="0B59495C">
            <w:pPr>
              <w:rPr>
                <w:rFonts w:hint="eastAsia" w:ascii="宋体" w:hAnsi="宋体" w:eastAsia="宋体"/>
                <w:sz w:val="18"/>
                <w:szCs w:val="18"/>
              </w:rPr>
            </w:pPr>
            <w:r>
              <w:rPr>
                <w:rFonts w:hint="eastAsia" w:ascii="宋体" w:hAnsi="宋体" w:eastAsia="宋体"/>
                <w:sz w:val="18"/>
                <w:szCs w:val="18"/>
              </w:rPr>
              <w:t>投标人必须承担的设备运输、安装调试、验收检测、专家评审费等一切费用并提供下述文件交付清单中的文件、图纸等以及其他类似的义务。并需要配合招标人完成土建工程相关需求，提交货物与土建工程的接口文件等材料；在土建工程实施之前，配合招标人办理环境影响评价等相关手续，并提交相关需求资料；在货物进场安装、调试的过程中，配合招标人办理辐射安全许可等相关手续，并提交相关需求资料。</w:t>
            </w:r>
          </w:p>
          <w:p w14:paraId="2B3094D1">
            <w:pPr>
              <w:numPr>
                <w:ilvl w:val="0"/>
                <w:numId w:val="3"/>
              </w:numPr>
              <w:rPr>
                <w:rFonts w:hint="eastAsia" w:ascii="宋体" w:hAnsi="宋体" w:eastAsia="宋体"/>
                <w:sz w:val="18"/>
                <w:szCs w:val="18"/>
              </w:rPr>
            </w:pPr>
            <w:r>
              <w:rPr>
                <w:rFonts w:hint="eastAsia" w:ascii="宋体" w:hAnsi="宋体" w:eastAsia="宋体"/>
                <w:sz w:val="18"/>
                <w:szCs w:val="18"/>
              </w:rPr>
              <w:t>文档交付清单：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5921"/>
            </w:tblGrid>
            <w:tr w14:paraId="444A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ABB2C22">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序号</w:t>
                  </w:r>
                </w:p>
              </w:tc>
              <w:tc>
                <w:tcPr>
                  <w:tcW w:w="3978" w:type="pct"/>
                  <w:vAlign w:val="center"/>
                </w:tcPr>
                <w:p w14:paraId="2BD457C0">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文件资料名称</w:t>
                  </w:r>
                </w:p>
              </w:tc>
            </w:tr>
            <w:tr w14:paraId="0F70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5D2AD411">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一</w:t>
                  </w:r>
                </w:p>
              </w:tc>
              <w:tc>
                <w:tcPr>
                  <w:tcW w:w="3978" w:type="pct"/>
                  <w:vAlign w:val="center"/>
                </w:tcPr>
                <w:p w14:paraId="34FB30DA">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合同签订后提交</w:t>
                  </w:r>
                  <w:r>
                    <w:rPr>
                      <w:rFonts w:hint="eastAsia" w:ascii="Times New Roman" w:hAnsi="Times New Roman" w:cs="Times New Roman"/>
                      <w:b/>
                      <w:bCs/>
                      <w:sz w:val="18"/>
                      <w:szCs w:val="18"/>
                      <w14:ligatures w14:val="standardContextual"/>
                    </w:rPr>
                    <w:t>（合同签订1</w:t>
                  </w:r>
                  <w:r>
                    <w:rPr>
                      <w:rFonts w:ascii="Times New Roman" w:hAnsi="Times New Roman" w:cs="Times New Roman"/>
                      <w:b/>
                      <w:bCs/>
                      <w:sz w:val="18"/>
                      <w:szCs w:val="18"/>
                      <w14:ligatures w14:val="standardContextual"/>
                    </w:rPr>
                    <w:t>0</w:t>
                  </w:r>
                  <w:r>
                    <w:rPr>
                      <w:rFonts w:hint="eastAsia" w:ascii="Times New Roman" w:hAnsi="Times New Roman" w:cs="Times New Roman"/>
                      <w:b/>
                      <w:bCs/>
                      <w:sz w:val="18"/>
                      <w:szCs w:val="18"/>
                      <w14:ligatures w14:val="standardContextual"/>
                    </w:rPr>
                    <w:t>日历日）</w:t>
                  </w:r>
                </w:p>
              </w:tc>
            </w:tr>
            <w:tr w14:paraId="03A7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10244ADB">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1</w:t>
                  </w:r>
                </w:p>
              </w:tc>
              <w:tc>
                <w:tcPr>
                  <w:tcW w:w="3978" w:type="pct"/>
                  <w:vAlign w:val="center"/>
                </w:tcPr>
                <w:p w14:paraId="1935806D">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加工制造</w:t>
                  </w:r>
                  <w:r>
                    <w:rPr>
                      <w:rFonts w:ascii="Times New Roman" w:hAnsi="Times New Roman" w:cs="Times New Roman"/>
                      <w:sz w:val="18"/>
                      <w:szCs w:val="18"/>
                      <w14:ligatures w14:val="standardContextual"/>
                    </w:rPr>
                    <w:t>实施方案</w:t>
                  </w:r>
                </w:p>
              </w:tc>
            </w:tr>
            <w:tr w14:paraId="0597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5D3D09F8">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二</w:t>
                  </w:r>
                </w:p>
              </w:tc>
              <w:tc>
                <w:tcPr>
                  <w:tcW w:w="3978" w:type="pct"/>
                  <w:vAlign w:val="center"/>
                </w:tcPr>
                <w:p w14:paraId="7D4CF4AE">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详细设计</w:t>
                  </w:r>
                  <w:r>
                    <w:rPr>
                      <w:rFonts w:hint="eastAsia" w:ascii="Times New Roman" w:hAnsi="Times New Roman" w:cs="Times New Roman"/>
                      <w:b/>
                      <w:bCs/>
                      <w:sz w:val="18"/>
                      <w:szCs w:val="18"/>
                      <w14:ligatures w14:val="standardContextual"/>
                    </w:rPr>
                    <w:t>输出文件</w:t>
                  </w:r>
                  <w:r>
                    <w:rPr>
                      <w:rFonts w:ascii="Times New Roman" w:hAnsi="Times New Roman" w:cs="Times New Roman"/>
                      <w:b/>
                      <w:bCs/>
                      <w:sz w:val="18"/>
                      <w:szCs w:val="18"/>
                      <w14:ligatures w14:val="standardContextual"/>
                    </w:rPr>
                    <w:t>提交</w:t>
                  </w:r>
                  <w:r>
                    <w:rPr>
                      <w:rFonts w:hint="eastAsia" w:ascii="Times New Roman" w:hAnsi="Times New Roman" w:cs="Times New Roman"/>
                      <w:b/>
                      <w:bCs/>
                      <w:sz w:val="18"/>
                      <w:szCs w:val="18"/>
                      <w14:ligatures w14:val="standardContextual"/>
                    </w:rPr>
                    <w:t>（合同签订</w:t>
                  </w:r>
                  <w:r>
                    <w:rPr>
                      <w:rFonts w:ascii="Times New Roman" w:hAnsi="Times New Roman" w:cs="Times New Roman"/>
                      <w:b/>
                      <w:bCs/>
                      <w:sz w:val="18"/>
                      <w:szCs w:val="18"/>
                      <w14:ligatures w14:val="standardContextual"/>
                    </w:rPr>
                    <w:t>30</w:t>
                  </w:r>
                  <w:r>
                    <w:rPr>
                      <w:rFonts w:hint="eastAsia" w:ascii="Times New Roman" w:hAnsi="Times New Roman" w:cs="Times New Roman"/>
                      <w:b/>
                      <w:bCs/>
                      <w:sz w:val="18"/>
                      <w:szCs w:val="18"/>
                      <w14:ligatures w14:val="standardContextual"/>
                    </w:rPr>
                    <w:t>日历日）</w:t>
                  </w:r>
                </w:p>
              </w:tc>
            </w:tr>
            <w:tr w14:paraId="2BBA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45A120C5">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2</w:t>
                  </w:r>
                </w:p>
              </w:tc>
              <w:tc>
                <w:tcPr>
                  <w:tcW w:w="3978" w:type="pct"/>
                  <w:vAlign w:val="center"/>
                </w:tcPr>
                <w:p w14:paraId="6EDF97CB">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sz w:val="18"/>
                      <w:szCs w:val="18"/>
                      <w14:ligatures w14:val="standardContextual"/>
                    </w:rPr>
                    <w:t>详细设计报告（含工程设计图纸）</w:t>
                  </w:r>
                </w:p>
              </w:tc>
            </w:tr>
            <w:tr w14:paraId="2E80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66F8FBB0">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3</w:t>
                  </w:r>
                </w:p>
              </w:tc>
              <w:tc>
                <w:tcPr>
                  <w:tcW w:w="3978" w:type="pct"/>
                  <w:vAlign w:val="center"/>
                </w:tcPr>
                <w:p w14:paraId="25C57C1F">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零部件明细表</w:t>
                  </w:r>
                </w:p>
              </w:tc>
            </w:tr>
            <w:tr w14:paraId="4215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69D60C37">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4</w:t>
                  </w:r>
                </w:p>
              </w:tc>
              <w:tc>
                <w:tcPr>
                  <w:tcW w:w="3978" w:type="pct"/>
                  <w:shd w:val="clear" w:color="auto" w:fill="auto"/>
                  <w:vAlign w:val="center"/>
                </w:tcPr>
                <w:p w14:paraId="2AA9B8AB">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验收大纲</w:t>
                  </w:r>
                </w:p>
              </w:tc>
            </w:tr>
            <w:tr w14:paraId="7160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600259DE">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5</w:t>
                  </w:r>
                </w:p>
              </w:tc>
              <w:tc>
                <w:tcPr>
                  <w:tcW w:w="3978" w:type="pct"/>
                  <w:shd w:val="clear" w:color="auto" w:fill="auto"/>
                  <w:vAlign w:val="center"/>
                </w:tcPr>
                <w:p w14:paraId="15D76ED0">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经济性分析报告</w:t>
                  </w:r>
                </w:p>
              </w:tc>
            </w:tr>
            <w:tr w14:paraId="0FFC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03D6093B">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三</w:t>
                  </w:r>
                </w:p>
              </w:tc>
              <w:tc>
                <w:tcPr>
                  <w:tcW w:w="3978" w:type="pct"/>
                  <w:shd w:val="clear" w:color="auto" w:fill="auto"/>
                  <w:vAlign w:val="center"/>
                </w:tcPr>
                <w:p w14:paraId="180770DA">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研制生产过程中提交</w:t>
                  </w:r>
                </w:p>
              </w:tc>
            </w:tr>
            <w:tr w14:paraId="156A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5875CF8B">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6</w:t>
                  </w:r>
                </w:p>
              </w:tc>
              <w:tc>
                <w:tcPr>
                  <w:tcW w:w="3978" w:type="pct"/>
                  <w:shd w:val="clear" w:color="auto" w:fill="auto"/>
                  <w:vAlign w:val="center"/>
                </w:tcPr>
                <w:p w14:paraId="2FFB31A2">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加工制造过程系列文件（</w:t>
                  </w:r>
                  <w:r>
                    <w:rPr>
                      <w:rFonts w:hint="eastAsia" w:ascii="Times New Roman" w:hAnsi="Times New Roman" w:cs="Times New Roman"/>
                      <w:sz w:val="18"/>
                      <w:szCs w:val="18"/>
                      <w14:ligatures w14:val="standardContextual"/>
                    </w:rPr>
                    <w:t>节点文件、</w:t>
                  </w:r>
                  <w:r>
                    <w:rPr>
                      <w:rFonts w:ascii="Times New Roman" w:hAnsi="Times New Roman" w:cs="Times New Roman"/>
                      <w:sz w:val="18"/>
                      <w:szCs w:val="18"/>
                      <w14:ligatures w14:val="standardContextual"/>
                    </w:rPr>
                    <w:t>阶段测试报告、总结、变更记录等）</w:t>
                  </w:r>
                </w:p>
              </w:tc>
            </w:tr>
            <w:tr w14:paraId="117F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9D6E5E3">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四</w:t>
                  </w:r>
                </w:p>
              </w:tc>
              <w:tc>
                <w:tcPr>
                  <w:tcW w:w="3978" w:type="pct"/>
                  <w:shd w:val="clear" w:color="auto" w:fill="auto"/>
                  <w:vAlign w:val="center"/>
                </w:tcPr>
                <w:p w14:paraId="326DA70D">
                  <w:pPr>
                    <w:widowControl w:val="0"/>
                    <w:jc w:val="center"/>
                    <w:rPr>
                      <w:rFonts w:ascii="仿宋_GB2312" w:hAnsi="方正仿宋_GB2312" w:cs="方正仿宋_GB2312"/>
                      <w:sz w:val="18"/>
                      <w:szCs w:val="18"/>
                      <w14:ligatures w14:val="standardContextual"/>
                    </w:rPr>
                  </w:pPr>
                  <w:r>
                    <w:rPr>
                      <w:rFonts w:ascii="Times New Roman" w:hAnsi="Times New Roman" w:cs="Times New Roman"/>
                      <w:b/>
                      <w:bCs/>
                      <w:sz w:val="18"/>
                      <w:szCs w:val="18"/>
                      <w14:ligatures w14:val="standardContextual"/>
                    </w:rPr>
                    <w:t>出厂验收、现场联调前</w:t>
                  </w:r>
                  <w:r>
                    <w:rPr>
                      <w:rFonts w:hint="eastAsia" w:ascii="Times New Roman" w:hAnsi="Times New Roman" w:cs="Times New Roman"/>
                      <w:b/>
                      <w:bCs/>
                      <w:sz w:val="18"/>
                      <w:szCs w:val="18"/>
                      <w14:ligatures w14:val="standardContextual"/>
                    </w:rPr>
                    <w:t>（2</w:t>
                  </w:r>
                  <w:r>
                    <w:rPr>
                      <w:rFonts w:ascii="Times New Roman" w:hAnsi="Times New Roman" w:cs="Times New Roman"/>
                      <w:b/>
                      <w:bCs/>
                      <w:sz w:val="18"/>
                      <w:szCs w:val="18"/>
                      <w14:ligatures w14:val="standardContextual"/>
                    </w:rPr>
                    <w:t>0</w:t>
                  </w:r>
                  <w:r>
                    <w:rPr>
                      <w:rFonts w:hint="eastAsia" w:ascii="Times New Roman" w:hAnsi="Times New Roman" w:cs="Times New Roman"/>
                      <w:b/>
                      <w:bCs/>
                      <w:sz w:val="18"/>
                      <w:szCs w:val="18"/>
                      <w14:ligatures w14:val="standardContextual"/>
                    </w:rPr>
                    <w:t>日历日）</w:t>
                  </w:r>
                  <w:r>
                    <w:rPr>
                      <w:rFonts w:ascii="Times New Roman" w:hAnsi="Times New Roman" w:cs="Times New Roman"/>
                      <w:b/>
                      <w:bCs/>
                      <w:sz w:val="18"/>
                      <w:szCs w:val="18"/>
                      <w14:ligatures w14:val="standardContextual"/>
                    </w:rPr>
                    <w:t>提交</w:t>
                  </w:r>
                </w:p>
              </w:tc>
            </w:tr>
            <w:tr w14:paraId="246D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2FB3E54F">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7</w:t>
                  </w:r>
                </w:p>
              </w:tc>
              <w:tc>
                <w:tcPr>
                  <w:tcW w:w="3978" w:type="pct"/>
                  <w:vAlign w:val="center"/>
                </w:tcPr>
                <w:p w14:paraId="68F4EF95">
                  <w:pPr>
                    <w:widowControl w:val="0"/>
                    <w:jc w:val="center"/>
                    <w:rPr>
                      <w:rFonts w:ascii="仿宋_GB2312" w:hAnsi="方正仿宋_GB2312" w:cs="方正仿宋_GB2312"/>
                      <w:sz w:val="18"/>
                      <w:szCs w:val="18"/>
                      <w14:ligatures w14:val="standardContextual"/>
                    </w:rPr>
                  </w:pPr>
                  <w:r>
                    <w:rPr>
                      <w:rFonts w:ascii="Times New Roman" w:hAnsi="Times New Roman" w:cs="Times New Roman"/>
                      <w:sz w:val="18"/>
                      <w:szCs w:val="18"/>
                      <w14:ligatures w14:val="standardContextual"/>
                    </w:rPr>
                    <w:t>现场安装调试实施方案（现场安装调试方案、发货计划、安装</w:t>
                  </w:r>
                  <w:r>
                    <w:rPr>
                      <w:rFonts w:hint="eastAsia" w:ascii="Times New Roman" w:hAnsi="Times New Roman" w:cs="Times New Roman"/>
                      <w:sz w:val="18"/>
                      <w:szCs w:val="18"/>
                      <w14:ligatures w14:val="standardContextual"/>
                    </w:rPr>
                    <w:t>调试</w:t>
                  </w:r>
                  <w:r>
                    <w:rPr>
                      <w:rFonts w:ascii="Times New Roman" w:hAnsi="Times New Roman" w:cs="Times New Roman"/>
                      <w:sz w:val="18"/>
                      <w:szCs w:val="18"/>
                      <w14:ligatures w14:val="standardContextual"/>
                    </w:rPr>
                    <w:t>计划等）</w:t>
                  </w:r>
                </w:p>
              </w:tc>
            </w:tr>
            <w:tr w14:paraId="70E2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525164A7">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五</w:t>
                  </w:r>
                </w:p>
              </w:tc>
              <w:tc>
                <w:tcPr>
                  <w:tcW w:w="3978" w:type="pct"/>
                  <w:vAlign w:val="center"/>
                </w:tcPr>
                <w:p w14:paraId="5E0C6118">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最终验收前提交</w:t>
                  </w:r>
                </w:p>
              </w:tc>
            </w:tr>
            <w:tr w14:paraId="4B2B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49CC8CC4">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8</w:t>
                  </w:r>
                </w:p>
              </w:tc>
              <w:tc>
                <w:tcPr>
                  <w:tcW w:w="3978" w:type="pct"/>
                  <w:vAlign w:val="center"/>
                </w:tcPr>
                <w:p w14:paraId="17CCB614">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设备出厂测试报告或合格证明文件</w:t>
                  </w:r>
                </w:p>
              </w:tc>
            </w:tr>
            <w:tr w14:paraId="1238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3F72625C">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9</w:t>
                  </w:r>
                </w:p>
              </w:tc>
              <w:tc>
                <w:tcPr>
                  <w:tcW w:w="3978" w:type="pct"/>
                  <w:vAlign w:val="center"/>
                </w:tcPr>
                <w:p w14:paraId="2F194DDC">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sz w:val="18"/>
                      <w:szCs w:val="18"/>
                      <w14:ligatures w14:val="standardContextual"/>
                    </w:rPr>
                    <w:t>设备/软件使用说明书（含具体操作流程、安全规范）</w:t>
                  </w:r>
                </w:p>
              </w:tc>
            </w:tr>
            <w:tr w14:paraId="5762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5A4E0034">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0</w:t>
                  </w:r>
                </w:p>
              </w:tc>
              <w:tc>
                <w:tcPr>
                  <w:tcW w:w="3978" w:type="pct"/>
                  <w:vAlign w:val="center"/>
                </w:tcPr>
                <w:p w14:paraId="319B81B2">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设备维护手册</w:t>
                  </w:r>
                </w:p>
              </w:tc>
            </w:tr>
            <w:tr w14:paraId="2D6E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4D4028E0">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1</w:t>
                  </w:r>
                </w:p>
              </w:tc>
              <w:tc>
                <w:tcPr>
                  <w:tcW w:w="3978" w:type="pct"/>
                  <w:vAlign w:val="center"/>
                </w:tcPr>
                <w:p w14:paraId="743B6C4F">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安装调试运行记录</w:t>
                  </w:r>
                </w:p>
              </w:tc>
            </w:tr>
            <w:tr w14:paraId="1063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34C8AE10">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2</w:t>
                  </w:r>
                </w:p>
              </w:tc>
              <w:tc>
                <w:tcPr>
                  <w:tcW w:w="3978" w:type="pct"/>
                  <w:vAlign w:val="center"/>
                </w:tcPr>
                <w:p w14:paraId="3AD552A5">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安装调试技术</w:t>
                  </w:r>
                  <w:r>
                    <w:rPr>
                      <w:rFonts w:hint="eastAsia"/>
                      <w:sz w:val="18"/>
                      <w:szCs w:val="18"/>
                      <w14:ligatures w14:val="standardContextual"/>
                    </w:rPr>
                    <w:t>总结报告</w:t>
                  </w:r>
                </w:p>
              </w:tc>
            </w:tr>
            <w:tr w14:paraId="3ECD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31518554">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3</w:t>
                  </w:r>
                </w:p>
              </w:tc>
              <w:tc>
                <w:tcPr>
                  <w:tcW w:w="3978" w:type="pct"/>
                  <w:vAlign w:val="center"/>
                </w:tcPr>
                <w:p w14:paraId="76C8D5F6">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保养记录</w:t>
                  </w:r>
                </w:p>
              </w:tc>
            </w:tr>
            <w:tr w14:paraId="1ED4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48999B12">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4</w:t>
                  </w:r>
                </w:p>
              </w:tc>
              <w:tc>
                <w:tcPr>
                  <w:tcW w:w="3978" w:type="pct"/>
                  <w:vAlign w:val="center"/>
                </w:tcPr>
                <w:p w14:paraId="6E8864B7">
                  <w:pPr>
                    <w:widowControl w:val="0"/>
                    <w:jc w:val="center"/>
                    <w:rPr>
                      <w:rFonts w:ascii="仿宋_GB2312" w:hAnsi="方正仿宋_GB2312" w:eastAsia="仿宋_GB2312" w:cs="方正仿宋_GB2312"/>
                      <w:sz w:val="18"/>
                      <w:szCs w:val="18"/>
                      <w14:ligatures w14:val="standardContextual"/>
                    </w:rPr>
                  </w:pPr>
                  <w:r>
                    <w:rPr>
                      <w:rFonts w:hint="eastAsia" w:ascii="宋体" w:hAnsi="宋体"/>
                      <w:sz w:val="18"/>
                      <w:szCs w:val="18"/>
                      <w14:ligatures w14:val="standardContextual"/>
                    </w:rPr>
                    <w:t>仪器设备履历书(使用、检修、故障、事故记录)</w:t>
                  </w:r>
                </w:p>
              </w:tc>
            </w:tr>
            <w:tr w14:paraId="2C02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0758A74">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5</w:t>
                  </w:r>
                </w:p>
              </w:tc>
              <w:tc>
                <w:tcPr>
                  <w:tcW w:w="3978" w:type="pct"/>
                  <w:vAlign w:val="center"/>
                </w:tcPr>
                <w:p w14:paraId="1D2764B7">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出入库单</w:t>
                  </w:r>
                </w:p>
              </w:tc>
            </w:tr>
            <w:tr w14:paraId="2A4D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4FE8AE58">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6</w:t>
                  </w:r>
                </w:p>
              </w:tc>
              <w:tc>
                <w:tcPr>
                  <w:tcW w:w="3978" w:type="pct"/>
                  <w:vAlign w:val="center"/>
                </w:tcPr>
                <w:p w14:paraId="6021027E">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全套竣工图纸</w:t>
                  </w:r>
                </w:p>
              </w:tc>
            </w:tr>
            <w:tr w14:paraId="73A3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0E1A4B5">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7</w:t>
                  </w:r>
                </w:p>
              </w:tc>
              <w:tc>
                <w:tcPr>
                  <w:tcW w:w="3978" w:type="pct"/>
                  <w:vAlign w:val="center"/>
                </w:tcPr>
                <w:p w14:paraId="58350D6D">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控制软件可执行程序、源代码</w:t>
                  </w:r>
                  <w:r>
                    <w:rPr>
                      <w:rFonts w:hint="eastAsia" w:ascii="Times New Roman" w:hAnsi="Times New Roman" w:cs="Times New Roman"/>
                      <w:sz w:val="18"/>
                      <w:szCs w:val="18"/>
                      <w14:ligatures w14:val="standardContextual"/>
                    </w:rPr>
                    <w:t>、软件使用许可协议</w:t>
                  </w:r>
                </w:p>
              </w:tc>
            </w:tr>
            <w:tr w14:paraId="4A8F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0685744D">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8</w:t>
                  </w:r>
                </w:p>
              </w:tc>
              <w:tc>
                <w:tcPr>
                  <w:tcW w:w="3978" w:type="pct"/>
                  <w:vAlign w:val="center"/>
                </w:tcPr>
                <w:p w14:paraId="2EC700C5">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产品及文件交付清单</w:t>
                  </w:r>
                </w:p>
              </w:tc>
            </w:tr>
            <w:tr w14:paraId="56C3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029B13F1">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9</w:t>
                  </w:r>
                </w:p>
              </w:tc>
              <w:tc>
                <w:tcPr>
                  <w:tcW w:w="3978" w:type="pct"/>
                  <w:vAlign w:val="center"/>
                </w:tcPr>
                <w:p w14:paraId="0627F993">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电气元器件明细表</w:t>
                  </w:r>
                </w:p>
              </w:tc>
            </w:tr>
            <w:tr w14:paraId="6319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735C4562">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2</w:t>
                  </w:r>
                  <w:r>
                    <w:rPr>
                      <w:rFonts w:ascii="Times New Roman" w:hAnsi="Times New Roman" w:cs="Times New Roman"/>
                      <w:sz w:val="18"/>
                      <w:szCs w:val="18"/>
                      <w14:ligatures w14:val="standardContextual"/>
                    </w:rPr>
                    <w:t>0</w:t>
                  </w:r>
                </w:p>
              </w:tc>
              <w:tc>
                <w:tcPr>
                  <w:tcW w:w="3978" w:type="pct"/>
                  <w:vAlign w:val="center"/>
                </w:tcPr>
                <w:p w14:paraId="609E38AC">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电气接线图</w:t>
                  </w:r>
                </w:p>
              </w:tc>
            </w:tr>
            <w:tr w14:paraId="5147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3B3426B8">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2</w:t>
                  </w:r>
                  <w:r>
                    <w:rPr>
                      <w:rFonts w:ascii="Times New Roman" w:hAnsi="Times New Roman" w:cs="Times New Roman"/>
                      <w:sz w:val="18"/>
                      <w:szCs w:val="18"/>
                      <w14:ligatures w14:val="standardContextual"/>
                    </w:rPr>
                    <w:t>1</w:t>
                  </w:r>
                </w:p>
              </w:tc>
              <w:tc>
                <w:tcPr>
                  <w:tcW w:w="3978" w:type="pct"/>
                  <w:vAlign w:val="center"/>
                </w:tcPr>
                <w:p w14:paraId="5D09FAAC">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操作人员培训记录</w:t>
                  </w:r>
                </w:p>
              </w:tc>
            </w:tr>
            <w:tr w14:paraId="4D0A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576A38C8">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2</w:t>
                  </w:r>
                  <w:r>
                    <w:rPr>
                      <w:rFonts w:ascii="Times New Roman" w:hAnsi="Times New Roman" w:cs="Times New Roman"/>
                      <w:sz w:val="18"/>
                      <w:szCs w:val="18"/>
                      <w14:ligatures w14:val="standardContextual"/>
                    </w:rPr>
                    <w:t>2</w:t>
                  </w:r>
                </w:p>
              </w:tc>
              <w:tc>
                <w:tcPr>
                  <w:tcW w:w="3978" w:type="pct"/>
                  <w:vAlign w:val="center"/>
                </w:tcPr>
                <w:p w14:paraId="33F5D51B">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项目研制总结报告</w:t>
                  </w:r>
                </w:p>
              </w:tc>
            </w:tr>
          </w:tbl>
          <w:p w14:paraId="13D10D53">
            <w:pPr>
              <w:numPr>
                <w:ilvl w:val="0"/>
                <w:numId w:val="0"/>
              </w:numPr>
              <w:rPr>
                <w:rFonts w:hint="eastAsia" w:ascii="宋体" w:hAnsi="宋体" w:eastAsia="宋体"/>
                <w:sz w:val="18"/>
                <w:szCs w:val="18"/>
                <w:lang w:eastAsia="zh-CN"/>
              </w:rPr>
            </w:pPr>
          </w:p>
        </w:tc>
      </w:tr>
      <w:tr w14:paraId="7B60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631D60F">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16</w:t>
            </w:r>
          </w:p>
        </w:tc>
        <w:tc>
          <w:tcPr>
            <w:tcW w:w="7483" w:type="dxa"/>
            <w:vAlign w:val="center"/>
          </w:tcPr>
          <w:p w14:paraId="5EBA418F">
            <w:pPr>
              <w:rPr>
                <w:rFonts w:hint="eastAsia" w:ascii="宋体" w:hAnsi="宋体" w:eastAsia="宋体"/>
                <w:sz w:val="18"/>
                <w:szCs w:val="18"/>
              </w:rPr>
            </w:pPr>
            <w:r>
              <w:rPr>
                <w:rFonts w:hint="eastAsia" w:ascii="宋体" w:hAnsi="宋体" w:eastAsia="宋体"/>
                <w:sz w:val="18"/>
                <w:szCs w:val="18"/>
              </w:rPr>
              <w:t>签订合同后 540 天（日历日）内交货。</w:t>
            </w:r>
          </w:p>
        </w:tc>
      </w:tr>
      <w:tr w14:paraId="50B6698E">
        <w:tblPrEx>
          <w:tblCellMar>
            <w:top w:w="0" w:type="dxa"/>
            <w:left w:w="108" w:type="dxa"/>
            <w:bottom w:w="0" w:type="dxa"/>
            <w:right w:w="108" w:type="dxa"/>
          </w:tblCellMar>
        </w:tblPrEx>
        <w:tc>
          <w:tcPr>
            <w:tcW w:w="705" w:type="dxa"/>
            <w:vAlign w:val="center"/>
          </w:tcPr>
          <w:p w14:paraId="086964BC">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17</w:t>
            </w:r>
          </w:p>
        </w:tc>
        <w:tc>
          <w:tcPr>
            <w:tcW w:w="7483" w:type="dxa"/>
            <w:shd w:val="clear" w:color="auto" w:fill="auto"/>
            <w:vAlign w:val="top"/>
          </w:tcPr>
          <w:p w14:paraId="44F5EDB4">
            <w:pPr>
              <w:rPr>
                <w:rFonts w:hint="eastAsia" w:ascii="宋体" w:hAnsi="宋体" w:eastAsia="宋体"/>
                <w:sz w:val="18"/>
                <w:szCs w:val="18"/>
                <w:lang w:val="en-US" w:eastAsia="zh-CN"/>
              </w:rPr>
            </w:pPr>
            <w:r>
              <w:rPr>
                <w:rFonts w:hint="eastAsia" w:ascii="宋体" w:hAnsi="宋体" w:eastAsia="宋体"/>
                <w:sz w:val="18"/>
                <w:szCs w:val="18"/>
              </w:rPr>
              <w:t>投标人应派有经验的技术人员到现场进行安装、调试，直到设备正常使用。</w:t>
            </w:r>
          </w:p>
        </w:tc>
      </w:tr>
      <w:tr w14:paraId="423F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82E3EF7">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18</w:t>
            </w:r>
          </w:p>
        </w:tc>
        <w:tc>
          <w:tcPr>
            <w:tcW w:w="7483" w:type="dxa"/>
            <w:shd w:val="clear" w:color="auto" w:fill="auto"/>
            <w:vAlign w:val="top"/>
          </w:tcPr>
          <w:p w14:paraId="185D36A9">
            <w:pPr>
              <w:rPr>
                <w:rFonts w:hint="eastAsia" w:ascii="宋体" w:hAnsi="宋体" w:eastAsia="宋体"/>
                <w:sz w:val="18"/>
                <w:szCs w:val="18"/>
                <w:lang w:val="en-US" w:eastAsia="zh-CN"/>
              </w:rPr>
            </w:pPr>
            <w:r>
              <w:rPr>
                <w:rFonts w:hint="eastAsia" w:ascii="宋体" w:hAnsi="宋体" w:eastAsia="宋体"/>
                <w:sz w:val="18"/>
                <w:szCs w:val="18"/>
              </w:rPr>
              <w:t>由采购人按合同和招标、投标文件约定的要求和标准及中华人民共和国现行的验收规范和评定标准进行交货验收。</w:t>
            </w:r>
          </w:p>
        </w:tc>
      </w:tr>
      <w:tr w14:paraId="67E0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E880387">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19</w:t>
            </w:r>
          </w:p>
        </w:tc>
        <w:tc>
          <w:tcPr>
            <w:tcW w:w="7483" w:type="dxa"/>
            <w:shd w:val="clear" w:color="auto" w:fill="auto"/>
            <w:vAlign w:val="top"/>
          </w:tcPr>
          <w:p w14:paraId="19505EC9">
            <w:pPr>
              <w:rPr>
                <w:rFonts w:hint="eastAsia" w:ascii="宋体" w:hAnsi="宋体" w:eastAsia="宋体"/>
                <w:sz w:val="18"/>
                <w:szCs w:val="18"/>
                <w:lang w:val="en-US" w:eastAsia="zh-CN"/>
              </w:rPr>
            </w:pPr>
            <w:r>
              <w:rPr>
                <w:rFonts w:hint="eastAsia" w:ascii="宋体" w:hAnsi="宋体" w:eastAsia="宋体"/>
                <w:sz w:val="18"/>
                <w:szCs w:val="18"/>
              </w:rPr>
              <w:t>投标人货物经过双方检验认可后，签署验收报告，产品保修期自验收合格之日起算，由投标人提供产品保修文件。</w:t>
            </w:r>
          </w:p>
        </w:tc>
      </w:tr>
      <w:tr w14:paraId="0B6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C23707D">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20</w:t>
            </w:r>
          </w:p>
        </w:tc>
        <w:tc>
          <w:tcPr>
            <w:tcW w:w="7483" w:type="dxa"/>
            <w:shd w:val="clear" w:color="auto" w:fill="auto"/>
            <w:vAlign w:val="top"/>
          </w:tcPr>
          <w:p w14:paraId="7A8965EF">
            <w:pPr>
              <w:rPr>
                <w:rFonts w:hint="eastAsia" w:ascii="宋体" w:hAnsi="宋体" w:eastAsia="宋体"/>
                <w:sz w:val="18"/>
                <w:szCs w:val="18"/>
              </w:rPr>
            </w:pPr>
            <w:r>
              <w:rPr>
                <w:rFonts w:hint="eastAsia" w:ascii="宋体" w:hAnsi="宋体" w:eastAsia="宋体"/>
                <w:sz w:val="18"/>
                <w:szCs w:val="18"/>
              </w:rPr>
              <w:t>当满足以下条件时，采购人才向中标人签发货物验收报告：</w:t>
            </w:r>
          </w:p>
          <w:p w14:paraId="1AD9BB61">
            <w:pPr>
              <w:rPr>
                <w:rFonts w:hint="eastAsia" w:ascii="宋体" w:hAnsi="宋体" w:eastAsia="宋体"/>
                <w:sz w:val="18"/>
                <w:szCs w:val="18"/>
              </w:rPr>
            </w:pPr>
            <w:r>
              <w:rPr>
                <w:rFonts w:hint="eastAsia" w:ascii="宋体" w:hAnsi="宋体" w:eastAsia="宋体"/>
                <w:sz w:val="18"/>
                <w:szCs w:val="18"/>
              </w:rPr>
              <w:t>（1）设备全新,外观无伤痕变形或明显修饰痕迹。</w:t>
            </w:r>
          </w:p>
          <w:p w14:paraId="2CF7DFA2">
            <w:pPr>
              <w:rPr>
                <w:rFonts w:hint="eastAsia" w:ascii="宋体" w:hAnsi="宋体" w:eastAsia="宋体"/>
                <w:sz w:val="18"/>
                <w:szCs w:val="18"/>
              </w:rPr>
            </w:pPr>
            <w:r>
              <w:rPr>
                <w:rFonts w:hint="eastAsia" w:ascii="宋体" w:hAnsi="宋体" w:eastAsia="宋体"/>
                <w:sz w:val="18"/>
                <w:szCs w:val="18"/>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31024062">
            <w:pPr>
              <w:rPr>
                <w:rFonts w:hint="eastAsia" w:ascii="宋体" w:hAnsi="宋体" w:eastAsia="宋体"/>
                <w:sz w:val="18"/>
                <w:szCs w:val="18"/>
              </w:rPr>
            </w:pPr>
            <w:r>
              <w:rPr>
                <w:rFonts w:hint="eastAsia" w:ascii="宋体" w:hAnsi="宋体" w:eastAsia="宋体"/>
                <w:sz w:val="18"/>
                <w:szCs w:val="18"/>
              </w:rPr>
              <w:t>（3）技术文件资料、备件等已按规定数量移交完毕。</w:t>
            </w:r>
          </w:p>
          <w:p w14:paraId="4E4A8177">
            <w:pPr>
              <w:rPr>
                <w:rFonts w:hint="eastAsia" w:ascii="宋体" w:hAnsi="宋体" w:eastAsia="宋体"/>
                <w:sz w:val="18"/>
                <w:szCs w:val="18"/>
              </w:rPr>
            </w:pPr>
            <w:r>
              <w:rPr>
                <w:rFonts w:hint="eastAsia" w:ascii="宋体" w:hAnsi="宋体" w:eastAsia="宋体"/>
                <w:sz w:val="18"/>
                <w:szCs w:val="18"/>
              </w:rPr>
              <w:t>（4）按照招标书要求及投标文件提供的技术要求验收必须合格。</w:t>
            </w:r>
          </w:p>
          <w:p w14:paraId="7281656F">
            <w:pPr>
              <w:rPr>
                <w:rFonts w:hint="eastAsia" w:ascii="宋体" w:hAnsi="宋体" w:eastAsia="宋体"/>
                <w:sz w:val="18"/>
                <w:szCs w:val="18"/>
              </w:rPr>
            </w:pPr>
            <w:r>
              <w:rPr>
                <w:rFonts w:hint="eastAsia" w:ascii="宋体" w:hAnsi="宋体" w:eastAsia="宋体"/>
                <w:sz w:val="18"/>
                <w:szCs w:val="18"/>
              </w:rPr>
              <w:t>（5）投标人提供的各种文件载明的内容必须真实，其技术数据采购人有权要求投标人无偿提供采购人认可的第三方按照双方同意的试验方法进行检测。检测结果必须证明投标人提供的技术数据是真实的，否则视为不合格。</w:t>
            </w:r>
          </w:p>
          <w:p w14:paraId="0887202D">
            <w:pPr>
              <w:rPr>
                <w:rFonts w:hint="eastAsia" w:ascii="宋体" w:hAnsi="宋体" w:eastAsia="宋体"/>
                <w:sz w:val="18"/>
                <w:szCs w:val="18"/>
              </w:rPr>
            </w:pPr>
            <w:r>
              <w:rPr>
                <w:rFonts w:hint="eastAsia" w:ascii="宋体" w:hAnsi="宋体" w:eastAsia="宋体"/>
                <w:sz w:val="18"/>
                <w:szCs w:val="18"/>
              </w:rPr>
              <w:t>（6）货物具备产品合格证。</w:t>
            </w:r>
          </w:p>
          <w:p w14:paraId="36004DA3">
            <w:pPr>
              <w:rPr>
                <w:rFonts w:hint="eastAsia" w:ascii="宋体" w:hAnsi="宋体" w:eastAsia="宋体"/>
                <w:sz w:val="18"/>
                <w:szCs w:val="18"/>
                <w:lang w:val="en-US" w:eastAsia="zh-CN"/>
              </w:rPr>
            </w:pPr>
            <w:r>
              <w:rPr>
                <w:rFonts w:hint="eastAsia" w:ascii="宋体" w:hAnsi="宋体" w:eastAsia="宋体"/>
                <w:sz w:val="18"/>
                <w:szCs w:val="18"/>
              </w:rPr>
              <w:t>（7）在货物安装调试过程中须保留安装调试记录，安装调试合格及安装调试记录归档后，所有技术指标达到技术规范书要求，经验收合格后，双方共同签署验收报告。</w:t>
            </w:r>
          </w:p>
        </w:tc>
      </w:tr>
      <w:tr w14:paraId="7CAE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267A293">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21</w:t>
            </w:r>
          </w:p>
        </w:tc>
        <w:tc>
          <w:tcPr>
            <w:tcW w:w="7483" w:type="dxa"/>
            <w:shd w:val="clear" w:color="auto" w:fill="auto"/>
            <w:vAlign w:val="top"/>
          </w:tcPr>
          <w:p w14:paraId="2E7A58A3">
            <w:pPr>
              <w:rPr>
                <w:rFonts w:hint="eastAsia" w:ascii="宋体" w:hAnsi="宋体" w:eastAsia="宋体"/>
                <w:sz w:val="18"/>
                <w:szCs w:val="18"/>
                <w:lang w:val="en-US" w:eastAsia="zh-CN"/>
              </w:rPr>
            </w:pPr>
            <w:r>
              <w:rPr>
                <w:rFonts w:hint="eastAsia" w:ascii="宋体" w:hAnsi="宋体" w:eastAsia="宋体"/>
                <w:sz w:val="18"/>
                <w:szCs w:val="18"/>
              </w:rPr>
              <w:t>中标人应充分掌握项目全过程风险，建立风险研判机制和切实可行的风险处置预案，并及时报送甲方止损。因中标人原因造成损失的，应由中标人承担相应责任。</w:t>
            </w:r>
          </w:p>
        </w:tc>
      </w:tr>
      <w:tr w14:paraId="07AE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ED76BE7">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7483" w:type="dxa"/>
            <w:shd w:val="clear" w:color="auto" w:fill="auto"/>
            <w:vAlign w:val="top"/>
          </w:tcPr>
          <w:p w14:paraId="3AA82204">
            <w:pPr>
              <w:rPr>
                <w:rFonts w:hint="eastAsia" w:ascii="宋体" w:hAnsi="宋体" w:eastAsia="宋体"/>
                <w:sz w:val="18"/>
                <w:szCs w:val="18"/>
              </w:rPr>
            </w:pPr>
            <w:r>
              <w:rPr>
                <w:rFonts w:hint="eastAsia" w:ascii="宋体" w:hAnsi="宋体" w:eastAsia="宋体"/>
                <w:sz w:val="18"/>
                <w:szCs w:val="18"/>
              </w:rPr>
              <w:t>在无不可抗力影响的前提下，中标人将按时完成合同内容并确保所有工作均符合行业标准及本合同规定的质量标准。若因中标人导致设备工期延误或无法完成，进而影响中标人按时完成合同约定建设内容，中标人应在知晓此类情况后，立即通知甲方，详细说明延误或无法完成的原因、预计影响程度及已采取或拟采取的补救措施，并承担由此造成的甲方的相应损失：</w:t>
            </w:r>
          </w:p>
          <w:p w14:paraId="6B96D956">
            <w:pPr>
              <w:rPr>
                <w:rFonts w:hint="eastAsia" w:ascii="宋体" w:hAnsi="宋体" w:eastAsia="宋体"/>
                <w:sz w:val="18"/>
                <w:szCs w:val="18"/>
              </w:rPr>
            </w:pPr>
            <w:r>
              <w:rPr>
                <w:rFonts w:hint="eastAsia" w:ascii="宋体" w:hAnsi="宋体" w:eastAsia="宋体"/>
                <w:sz w:val="18"/>
                <w:szCs w:val="18"/>
              </w:rPr>
              <w:t>（1）中标人不能交货的，需退回已支付货款并偿付全部货款的  10 %作为违约金。同时，采购人有权单方面解除合同，投标人应当退还采购人已支付的合同款。如上述违约金金额仍不足以补偿采购人因投标人违约造成的损失，采购人有权进一步向投标人提出索赔。</w:t>
            </w:r>
          </w:p>
          <w:p w14:paraId="77C70F7B">
            <w:pPr>
              <w:rPr>
                <w:rFonts w:hint="eastAsia" w:ascii="宋体" w:hAnsi="宋体" w:eastAsia="宋体"/>
                <w:sz w:val="18"/>
                <w:szCs w:val="18"/>
              </w:rPr>
            </w:pPr>
            <w:r>
              <w:rPr>
                <w:rFonts w:hint="eastAsia" w:ascii="宋体" w:hAnsi="宋体" w:eastAsia="宋体"/>
                <w:sz w:val="18"/>
                <w:szCs w:val="18"/>
              </w:rPr>
              <w:t>（2）中标人应充分掌握逾期风险，若中标人未按期完成合同所有系统及设备的到货、安装、调试及验收的，构成工程验收逾期，每逾期一日，甲方每日按合同暂定总金额万分之五向中标人计收违约金。违约金最高不超过合同总价的【5】%。</w:t>
            </w:r>
          </w:p>
          <w:p w14:paraId="346D6782">
            <w:pPr>
              <w:rPr>
                <w:rFonts w:hint="eastAsia" w:ascii="宋体" w:hAnsi="宋体" w:eastAsia="宋体"/>
                <w:sz w:val="18"/>
                <w:szCs w:val="18"/>
              </w:rPr>
            </w:pPr>
            <w:r>
              <w:rPr>
                <w:rFonts w:hint="eastAsia" w:ascii="宋体" w:hAnsi="宋体" w:eastAsia="宋体"/>
                <w:sz w:val="18"/>
                <w:szCs w:val="18"/>
              </w:rPr>
              <w:t>（3）中标人因自身原因导致设备到货、验收、安装、调试联机逾期、逾期超过【30个日历日】的，甲方有权向中标人发出书面催告，经催告后30个日历日，中标人仍未恢复履行的，甲方有权书面通知中标人解除本合同，合同剩余款项不予支付，中标人应赔偿甲方因此导致的相应损失。本合同自甲方书面解除通知送达中标人之日终止。</w:t>
            </w:r>
          </w:p>
          <w:p w14:paraId="0BBB2CB2">
            <w:pPr>
              <w:rPr>
                <w:rFonts w:hint="eastAsia" w:ascii="宋体" w:hAnsi="宋体" w:eastAsia="宋体"/>
                <w:sz w:val="18"/>
                <w:szCs w:val="18"/>
              </w:rPr>
            </w:pPr>
            <w:r>
              <w:rPr>
                <w:rFonts w:hint="eastAsia" w:ascii="宋体" w:hAnsi="宋体" w:eastAsia="宋体"/>
                <w:sz w:val="18"/>
                <w:szCs w:val="18"/>
              </w:rPr>
              <w:t>（4）中标人应保证提交档案的准确性、真实性、完整性、及时性，如因中标人提交档案的原因造成档案验收、设施项目验收无法通过或延迟的，中标人应赔偿甲方因此产生的全部直接经济损失；造成严重后果的，甲方有权解除本合同，合同剩余款项不予支付，中标人应赔偿甲方因此导致的相应损失。</w:t>
            </w:r>
          </w:p>
          <w:p w14:paraId="6D72EB5D">
            <w:pPr>
              <w:rPr>
                <w:rFonts w:hint="eastAsia" w:ascii="宋体" w:hAnsi="宋体" w:eastAsia="宋体"/>
                <w:sz w:val="18"/>
                <w:szCs w:val="18"/>
                <w:lang w:val="en-US" w:eastAsia="zh-CN"/>
              </w:rPr>
            </w:pPr>
            <w:r>
              <w:rPr>
                <w:rFonts w:hint="eastAsia" w:ascii="宋体" w:hAnsi="宋体" w:eastAsia="宋体"/>
                <w:sz w:val="18"/>
                <w:szCs w:val="18"/>
              </w:rPr>
              <w:t>（5）本合同履行过程中，若中标人有违反与本合同相关的国家、省、市各级法律法规、规章制度、办法条例、行业规范及深圳大设施相关规定的，由中标人承担责任并负责整改。</w:t>
            </w:r>
          </w:p>
        </w:tc>
      </w:tr>
      <w:tr w14:paraId="3EBD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7DD8E7D">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23</w:t>
            </w:r>
          </w:p>
        </w:tc>
        <w:tc>
          <w:tcPr>
            <w:tcW w:w="7483" w:type="dxa"/>
            <w:shd w:val="clear" w:color="auto" w:fill="auto"/>
            <w:vAlign w:val="top"/>
          </w:tcPr>
          <w:p w14:paraId="3EA7DC42">
            <w:pPr>
              <w:rPr>
                <w:rFonts w:hint="eastAsia" w:ascii="宋体" w:hAnsi="宋体" w:eastAsia="宋体"/>
                <w:sz w:val="18"/>
                <w:szCs w:val="18"/>
                <w:lang w:val="en-US" w:eastAsia="zh-CN"/>
              </w:rPr>
            </w:pPr>
            <w:r>
              <w:rPr>
                <w:rFonts w:hint="eastAsia" w:ascii="宋体" w:hAnsi="宋体" w:eastAsia="宋体"/>
                <w:sz w:val="18"/>
                <w:szCs w:val="18"/>
              </w:rPr>
              <w:t>若投标人未按本合同的约定提供保修等售后服务，采购人有权自行委托第三方提供采购人所需要的技术支持和售后服务，所发生的一切费用均由投标人承担，如因此造成采购人损失的，投标人应承担赔偿责任。投标人在履行售后服务过程中，因整改造成采购人损失的，应承担修复和赔偿责任。</w:t>
            </w:r>
          </w:p>
        </w:tc>
      </w:tr>
      <w:tr w14:paraId="6C98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6AB62F03">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7483" w:type="dxa"/>
            <w:shd w:val="clear" w:color="auto" w:fill="auto"/>
            <w:vAlign w:val="top"/>
          </w:tcPr>
          <w:p w14:paraId="3634F06E">
            <w:pPr>
              <w:rPr>
                <w:rFonts w:hint="eastAsia" w:ascii="宋体" w:hAnsi="宋体" w:eastAsia="宋体"/>
                <w:sz w:val="18"/>
                <w:szCs w:val="18"/>
                <w:lang w:val="en-US" w:eastAsia="zh-CN"/>
              </w:rPr>
            </w:pPr>
            <w:r>
              <w:rPr>
                <w:rFonts w:hint="eastAsia" w:ascii="宋体" w:hAnsi="宋体" w:eastAsia="宋体"/>
                <w:sz w:val="18"/>
                <w:szCs w:val="18"/>
              </w:rPr>
              <w:t>违约方未能履行本协议给守约方造成任何经济损失、使守约方遭受第三方追索或受到行政机关处罚的，违约方应当赔偿守约方全部损失，包括但不限于实际损失、因维权或追索而产生的全部开支、律师费、诉讼费、保全费、担保费、差旅费以及其他相关费用等。</w:t>
            </w:r>
          </w:p>
        </w:tc>
      </w:tr>
      <w:tr w14:paraId="122B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7714DBB">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25</w:t>
            </w:r>
          </w:p>
        </w:tc>
        <w:tc>
          <w:tcPr>
            <w:tcW w:w="7483" w:type="dxa"/>
            <w:shd w:val="clear" w:color="auto" w:fill="auto"/>
            <w:vAlign w:val="top"/>
          </w:tcPr>
          <w:p w14:paraId="7B66FE5C">
            <w:pPr>
              <w:rPr>
                <w:rFonts w:hint="eastAsia" w:ascii="宋体" w:hAnsi="宋体" w:eastAsia="宋体"/>
                <w:sz w:val="18"/>
                <w:szCs w:val="18"/>
                <w:lang w:val="en-US" w:eastAsia="zh-CN"/>
              </w:rPr>
            </w:pPr>
            <w:r>
              <w:rPr>
                <w:rFonts w:hint="eastAsia" w:ascii="宋体" w:hAnsi="宋体" w:eastAsia="宋体"/>
                <w:sz w:val="18"/>
                <w:szCs w:val="18"/>
              </w:rPr>
              <w:t>投标人在项目验收前未将全部产品合格证、说明书、使用手册、关键节点交付文件、测试和验收报告等交付采购人的，采购人有权不予验收，并有权要求投标人赔偿采购人因此导致的相关损失。对研制类设备，具体交付资料以实际情况为准。</w:t>
            </w:r>
          </w:p>
        </w:tc>
      </w:tr>
      <w:tr w14:paraId="4BB7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82A46D4">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26</w:t>
            </w:r>
          </w:p>
        </w:tc>
        <w:tc>
          <w:tcPr>
            <w:tcW w:w="7483" w:type="dxa"/>
            <w:shd w:val="clear" w:color="auto" w:fill="auto"/>
            <w:vAlign w:val="top"/>
          </w:tcPr>
          <w:p w14:paraId="398530CE">
            <w:pPr>
              <w:rPr>
                <w:rFonts w:hint="eastAsia" w:ascii="宋体" w:hAnsi="宋体" w:eastAsia="宋体"/>
                <w:sz w:val="18"/>
                <w:szCs w:val="18"/>
                <w:lang w:val="en-US" w:eastAsia="zh-CN"/>
              </w:rPr>
            </w:pPr>
            <w:r>
              <w:rPr>
                <w:rFonts w:hint="eastAsia" w:ascii="宋体" w:hAnsi="宋体" w:eastAsia="宋体"/>
                <w:sz w:val="18"/>
                <w:szCs w:val="18"/>
              </w:rPr>
              <w:t>中标人所交设备质量不能符合其投标承诺的技术要求及质量保证要求的，或在投标阶段为了中标而盲目虚假承诺、低价恶性竞争，在履约阶段则通过偷工减料、以次充好而获取利润的，采购人有权拒绝接收，并要求投标人在双方确定的合理期限内完成整改，整改工作不得延误合同规定的交货期限，若产生赶工费用，由投标人承担且投标人应额外赔偿采购人因此产生的全部经济损失。</w:t>
            </w:r>
          </w:p>
        </w:tc>
      </w:tr>
      <w:tr w14:paraId="2F94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3E9A80DC">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27</w:t>
            </w:r>
          </w:p>
        </w:tc>
        <w:tc>
          <w:tcPr>
            <w:tcW w:w="7483" w:type="dxa"/>
            <w:shd w:val="clear" w:color="auto" w:fill="auto"/>
            <w:vAlign w:val="top"/>
          </w:tcPr>
          <w:p w14:paraId="282193CD">
            <w:pPr>
              <w:rPr>
                <w:rFonts w:hint="eastAsia" w:ascii="宋体" w:hAnsi="宋体" w:eastAsia="宋体"/>
                <w:sz w:val="18"/>
                <w:szCs w:val="18"/>
              </w:rPr>
            </w:pPr>
            <w:r>
              <w:rPr>
                <w:rFonts w:hint="eastAsia" w:ascii="宋体" w:hAnsi="宋体" w:eastAsia="宋体"/>
                <w:sz w:val="18"/>
                <w:szCs w:val="18"/>
              </w:rPr>
              <w:t>中标人提供的货物不符合质量标准或存在货物质量缺陷，采购人有权根据法定质量检测部门出具的检验证书向中标人提出索赔。如在质量保证期内，中标人对缺陷货物负有责任而采购人提出索赔，中标人应按照采购人同意的下列一种或多种方式解决索赔事宜：</w:t>
            </w:r>
          </w:p>
          <w:p w14:paraId="1124A066">
            <w:pPr>
              <w:rPr>
                <w:rFonts w:hint="eastAsia" w:ascii="宋体" w:hAnsi="宋体" w:eastAsia="宋体"/>
                <w:sz w:val="18"/>
                <w:szCs w:val="18"/>
              </w:rPr>
            </w:pPr>
            <w:r>
              <w:rPr>
                <w:rFonts w:hint="eastAsia" w:ascii="宋体" w:hAnsi="宋体" w:eastAsia="宋体"/>
                <w:sz w:val="18"/>
                <w:szCs w:val="18"/>
              </w:rPr>
              <w:t>（1）中标人同意退货并将货款退还给采购人，由此发生的一切费用和损失由中标人承担。</w:t>
            </w:r>
          </w:p>
          <w:p w14:paraId="5530E5A4">
            <w:pPr>
              <w:rPr>
                <w:rFonts w:hint="eastAsia" w:ascii="宋体" w:hAnsi="宋体" w:eastAsia="宋体"/>
                <w:sz w:val="18"/>
                <w:szCs w:val="18"/>
              </w:rPr>
            </w:pPr>
            <w:r>
              <w:rPr>
                <w:rFonts w:hint="eastAsia" w:ascii="宋体" w:hAnsi="宋体" w:eastAsia="宋体"/>
                <w:sz w:val="18"/>
                <w:szCs w:val="18"/>
              </w:rPr>
              <w:t>（2）根据货物的质量状况以及采购人所遭受的损失，经过双方商定降低货物的价格。</w:t>
            </w:r>
          </w:p>
          <w:p w14:paraId="6CB3CF07">
            <w:pPr>
              <w:rPr>
                <w:rFonts w:hint="eastAsia" w:ascii="宋体" w:hAnsi="宋体" w:eastAsia="宋体"/>
                <w:sz w:val="18"/>
                <w:szCs w:val="18"/>
                <w:lang w:val="en-US" w:eastAsia="zh-CN"/>
              </w:rPr>
            </w:pPr>
            <w:r>
              <w:rPr>
                <w:rFonts w:hint="eastAsia" w:ascii="宋体" w:hAnsi="宋体" w:eastAsia="宋体"/>
                <w:sz w:val="18"/>
                <w:szCs w:val="18"/>
              </w:rPr>
              <w:t>（3）中标人应在接到采购人通知后七天内负责采用符合合同规定的规格、质量和性能要求的新零件、部件和设备来替换有缺陷的部分或修补缺陷部分，其费用由中标人负担。同时，中标人应在约定的质量保证期基础上相应延长修补和/或替换件的质量保证期。</w:t>
            </w:r>
          </w:p>
        </w:tc>
      </w:tr>
      <w:tr w14:paraId="27CB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10D6CCA">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28</w:t>
            </w:r>
          </w:p>
        </w:tc>
        <w:tc>
          <w:tcPr>
            <w:tcW w:w="7483" w:type="dxa"/>
            <w:shd w:val="clear" w:color="auto" w:fill="auto"/>
            <w:vAlign w:val="top"/>
          </w:tcPr>
          <w:p w14:paraId="3D4DFA3F">
            <w:pPr>
              <w:rPr>
                <w:rFonts w:hint="eastAsia" w:ascii="宋体" w:hAnsi="宋体" w:eastAsia="宋体"/>
                <w:sz w:val="18"/>
                <w:szCs w:val="18"/>
                <w:lang w:val="en-US" w:eastAsia="zh-CN"/>
              </w:rPr>
            </w:pPr>
            <w:r>
              <w:rPr>
                <w:rFonts w:hint="eastAsia" w:ascii="宋体" w:hAnsi="宋体" w:eastAsia="宋体"/>
                <w:sz w:val="18"/>
                <w:szCs w:val="18"/>
              </w:rPr>
              <w:t>本合同项下，投标人应向采购人支付的全部款项，包括但不限于违约金、赔偿金、补偿金等，采购人均可从投标人的剩余货款中直接扣除（扣除顺序由采购人自行决定）。</w:t>
            </w:r>
          </w:p>
        </w:tc>
      </w:tr>
      <w:tr w14:paraId="0988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FA1B793">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29</w:t>
            </w:r>
          </w:p>
        </w:tc>
        <w:tc>
          <w:tcPr>
            <w:tcW w:w="7483" w:type="dxa"/>
            <w:shd w:val="clear" w:color="auto" w:fill="auto"/>
            <w:vAlign w:val="top"/>
          </w:tcPr>
          <w:p w14:paraId="337A753D">
            <w:pPr>
              <w:rPr>
                <w:rFonts w:hint="eastAsia" w:ascii="宋体" w:hAnsi="宋体" w:eastAsia="宋体"/>
                <w:sz w:val="18"/>
                <w:szCs w:val="18"/>
                <w:lang w:val="en-US" w:eastAsia="zh-CN"/>
              </w:rPr>
            </w:pPr>
            <w:r>
              <w:rPr>
                <w:rFonts w:hint="eastAsia" w:ascii="宋体" w:hAnsi="宋体" w:eastAsia="宋体"/>
                <w:sz w:val="18"/>
                <w:szCs w:val="18"/>
              </w:rPr>
              <w:t>支付合同款项时，一律不向中标人以外的任何第三方办理付款手续。开户行和帐号以合同签订的为准，如果中标人要求变更，则中标人必须提供加盖了单位公章、法定代表人签字的证明文件，报经采购人审查同意。</w:t>
            </w:r>
          </w:p>
        </w:tc>
      </w:tr>
      <w:tr w14:paraId="5038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376CE38">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30</w:t>
            </w:r>
          </w:p>
        </w:tc>
        <w:tc>
          <w:tcPr>
            <w:tcW w:w="7483" w:type="dxa"/>
            <w:shd w:val="clear" w:color="auto" w:fill="auto"/>
            <w:vAlign w:val="top"/>
          </w:tcPr>
          <w:p w14:paraId="162AFF53">
            <w:pPr>
              <w:rPr>
                <w:rFonts w:hint="eastAsia" w:ascii="宋体" w:hAnsi="宋体" w:eastAsia="宋体"/>
                <w:sz w:val="18"/>
                <w:szCs w:val="18"/>
              </w:rPr>
            </w:pPr>
            <w:r>
              <w:rPr>
                <w:rFonts w:hint="eastAsia" w:ascii="宋体" w:hAnsi="宋体" w:eastAsia="宋体"/>
                <w:sz w:val="18"/>
                <w:szCs w:val="18"/>
              </w:rPr>
              <w:t>付款方式：</w:t>
            </w:r>
          </w:p>
          <w:p w14:paraId="6E74C127">
            <w:pPr>
              <w:rPr>
                <w:rFonts w:hint="eastAsia" w:ascii="宋体" w:hAnsi="宋体" w:eastAsia="宋体"/>
                <w:sz w:val="18"/>
                <w:szCs w:val="18"/>
              </w:rPr>
            </w:pPr>
            <w:r>
              <w:rPr>
                <w:rFonts w:hint="eastAsia" w:ascii="宋体" w:hAnsi="宋体" w:eastAsia="宋体"/>
                <w:sz w:val="18"/>
                <w:szCs w:val="18"/>
              </w:rPr>
              <w:t>（1）合同签订后，中标人向采购方提交付款申请单及相应增值税专用发票后10个工作日内，采购方向乙方支付合同总价30%的款项；</w:t>
            </w:r>
          </w:p>
          <w:p w14:paraId="4CFC4D9D">
            <w:pPr>
              <w:rPr>
                <w:rFonts w:hint="eastAsia" w:ascii="宋体" w:hAnsi="宋体" w:eastAsia="宋体"/>
                <w:sz w:val="18"/>
                <w:szCs w:val="18"/>
              </w:rPr>
            </w:pPr>
            <w:r>
              <w:rPr>
                <w:rFonts w:hint="eastAsia" w:ascii="宋体" w:hAnsi="宋体" w:eastAsia="宋体"/>
                <w:sz w:val="18"/>
                <w:szCs w:val="18"/>
              </w:rPr>
              <w:t>（2）中标人完成详细设计方案，编制完成实施方案、质量计划、详细设计报告及图纸、零部件明细表、安装调试大纲及技术验收规范等文件，并通过专家评审后，提交付款申请单及相应增值税专用发票后10个工作日内，采购方向乙方支付合同总价20%的款项；</w:t>
            </w:r>
          </w:p>
          <w:p w14:paraId="598054FA">
            <w:pPr>
              <w:rPr>
                <w:rFonts w:hint="eastAsia" w:ascii="宋体" w:hAnsi="宋体" w:eastAsia="宋体"/>
                <w:sz w:val="18"/>
                <w:szCs w:val="18"/>
              </w:rPr>
            </w:pPr>
            <w:r>
              <w:rPr>
                <w:rFonts w:hint="eastAsia" w:ascii="宋体" w:hAnsi="宋体" w:eastAsia="宋体"/>
                <w:sz w:val="18"/>
                <w:szCs w:val="18"/>
              </w:rPr>
              <w:t>（3）全部货物统一发货前，中标人提交货物运输单，完成项目实施过程中要求的质量控制点管控工作的检查及存档，提交付款申请单及相应增值税专用发票后10个工作日内支付合同总价30%款项；</w:t>
            </w:r>
          </w:p>
          <w:p w14:paraId="2A80B2A3">
            <w:pPr>
              <w:rPr>
                <w:rFonts w:hint="eastAsia" w:ascii="宋体" w:hAnsi="宋体" w:eastAsia="宋体"/>
                <w:sz w:val="18"/>
                <w:szCs w:val="18"/>
              </w:rPr>
            </w:pPr>
            <w:r>
              <w:rPr>
                <w:rFonts w:hint="eastAsia" w:ascii="宋体" w:hAnsi="宋体" w:eastAsia="宋体"/>
                <w:sz w:val="18"/>
                <w:szCs w:val="18"/>
              </w:rPr>
              <w:t>（4）中标人将全部货物送到采购方指定地点、完成安装、各项指标达到合同指标要求，并通过专家验收，提交付款申请单及相应增值税专用发票后 10 个工作日内支付合同总价20%款项。</w:t>
            </w:r>
          </w:p>
          <w:p w14:paraId="66690294">
            <w:pPr>
              <w:rPr>
                <w:rFonts w:hint="eastAsia" w:ascii="宋体" w:hAnsi="宋体" w:eastAsia="宋体"/>
                <w:sz w:val="18"/>
                <w:szCs w:val="18"/>
                <w:lang w:val="en-US" w:eastAsia="zh-CN"/>
              </w:rPr>
            </w:pPr>
            <w:r>
              <w:rPr>
                <w:rFonts w:hint="eastAsia" w:ascii="宋体" w:hAnsi="宋体" w:eastAsia="宋体"/>
                <w:sz w:val="18"/>
                <w:szCs w:val="18"/>
              </w:rPr>
              <w:t>（5）付款节点中涉及到的详细设计专家评审、阶段性验收测试评审、出厂验收评审、现场预验收评审、现场最终验收评审等费用由中标人支付。相关评审会议的流程需要遵循甲方管理要求，评审及测试结果由采购方确认认可后，方可通过。</w:t>
            </w:r>
          </w:p>
        </w:tc>
      </w:tr>
      <w:tr w14:paraId="658F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FEE25DB">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31</w:t>
            </w:r>
          </w:p>
        </w:tc>
        <w:tc>
          <w:tcPr>
            <w:tcW w:w="7483" w:type="dxa"/>
            <w:shd w:val="clear" w:color="auto" w:fill="auto"/>
            <w:vAlign w:val="top"/>
          </w:tcPr>
          <w:p w14:paraId="104591D1">
            <w:pPr>
              <w:rPr>
                <w:rFonts w:hint="eastAsia" w:ascii="宋体" w:hAnsi="宋体" w:eastAsia="宋体"/>
                <w:sz w:val="18"/>
                <w:szCs w:val="18"/>
                <w:lang w:val="en-US" w:eastAsia="zh-CN"/>
              </w:rPr>
            </w:pPr>
            <w:r>
              <w:rPr>
                <w:rFonts w:hint="eastAsia" w:ascii="宋体" w:hAnsi="宋体" w:eastAsia="宋体"/>
                <w:sz w:val="18"/>
                <w:szCs w:val="18"/>
              </w:rPr>
              <w:t>因财政资金拨款未到位而导致采购人未在约定期限内支付合同费用的，投标人不得要求采购人承担逾期付款的违约责任。每次付款前，投标人应需先提供相应额度的正规发票给采购人，以便办理支付手续。</w:t>
            </w:r>
          </w:p>
        </w:tc>
      </w:tr>
      <w:tr w14:paraId="1CC8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AEC9D52">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32</w:t>
            </w:r>
          </w:p>
        </w:tc>
        <w:tc>
          <w:tcPr>
            <w:tcW w:w="7483" w:type="dxa"/>
            <w:shd w:val="clear" w:color="auto" w:fill="auto"/>
            <w:vAlign w:val="top"/>
          </w:tcPr>
          <w:p w14:paraId="63B9B76C">
            <w:pPr>
              <w:rPr>
                <w:rFonts w:hint="eastAsia" w:ascii="宋体" w:hAnsi="宋体" w:eastAsia="宋体"/>
                <w:sz w:val="18"/>
                <w:szCs w:val="18"/>
                <w:lang w:val="en-US" w:eastAsia="zh-CN"/>
              </w:rPr>
            </w:pPr>
            <w:r>
              <w:rPr>
                <w:rFonts w:hint="eastAsia" w:ascii="宋体" w:hAnsi="宋体" w:eastAsia="宋体"/>
                <w:sz w:val="18"/>
                <w:szCs w:val="18"/>
              </w:rPr>
              <w:t>投标总价为包干价，必须是完成该项目的一切费用总和，包括设备费、设计制造费、评审费、检验检测费、包装运输费、装卸费、保险费、技术培训费、设备安装费、调试费（含设备调试期间产生的水、电等能源耗费）、售后服务费、中标服务费、国家规定的各项税费等全部费用及增值税；投标人所报的合同总价和各项单价价格在合同实施期间应保持不变并不因劳务、材料、机械等成本的价格变动而做任何调整。</w:t>
            </w:r>
          </w:p>
        </w:tc>
      </w:tr>
      <w:tr w14:paraId="08A7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8186D85">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33</w:t>
            </w:r>
          </w:p>
        </w:tc>
        <w:tc>
          <w:tcPr>
            <w:tcW w:w="7483" w:type="dxa"/>
            <w:shd w:val="clear" w:color="auto" w:fill="auto"/>
            <w:vAlign w:val="top"/>
          </w:tcPr>
          <w:p w14:paraId="7400FDF4">
            <w:pPr>
              <w:rPr>
                <w:rFonts w:hint="eastAsia" w:ascii="宋体" w:hAnsi="宋体" w:eastAsia="宋体"/>
                <w:sz w:val="18"/>
                <w:szCs w:val="18"/>
                <w:lang w:val="en-US" w:eastAsia="zh-CN"/>
              </w:rPr>
            </w:pPr>
            <w:r>
              <w:rPr>
                <w:rFonts w:hint="eastAsia" w:ascii="宋体" w:hAnsi="宋体" w:eastAsia="宋体"/>
                <w:sz w:val="18"/>
                <w:szCs w:val="18"/>
              </w:rPr>
              <w:t>投标人需按照合同规定提供全部产品及完整的技术资料。</w:t>
            </w:r>
          </w:p>
        </w:tc>
      </w:tr>
      <w:tr w14:paraId="051C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AB8C65C">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34</w:t>
            </w:r>
          </w:p>
        </w:tc>
        <w:tc>
          <w:tcPr>
            <w:tcW w:w="7483" w:type="dxa"/>
            <w:shd w:val="clear" w:color="auto" w:fill="auto"/>
            <w:vAlign w:val="top"/>
          </w:tcPr>
          <w:p w14:paraId="4F23B96C">
            <w:pPr>
              <w:rPr>
                <w:rFonts w:hint="eastAsia" w:ascii="宋体" w:hAnsi="宋体" w:eastAsia="宋体"/>
                <w:sz w:val="18"/>
                <w:szCs w:val="18"/>
                <w:lang w:val="en-US" w:eastAsia="zh-CN"/>
              </w:rPr>
            </w:pPr>
            <w:r>
              <w:rPr>
                <w:rFonts w:hint="eastAsia" w:ascii="宋体" w:hAnsi="宋体" w:eastAsia="宋体"/>
                <w:sz w:val="18"/>
                <w:szCs w:val="18"/>
              </w:rPr>
              <w:t>中标人在约定的时间内未能弥补缺陷，采购人可采取必要的补救措施，但其风险和费用将由中标人承担，采购人根据合同规定对中标人行使的其他权利不受影响。</w:t>
            </w:r>
          </w:p>
        </w:tc>
      </w:tr>
      <w:tr w14:paraId="1E0C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07FF531">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35</w:t>
            </w:r>
          </w:p>
        </w:tc>
        <w:tc>
          <w:tcPr>
            <w:tcW w:w="7483" w:type="dxa"/>
            <w:shd w:val="clear" w:color="auto" w:fill="auto"/>
            <w:vAlign w:val="top"/>
          </w:tcPr>
          <w:p w14:paraId="144310EE">
            <w:pPr>
              <w:rPr>
                <w:rFonts w:hint="eastAsia" w:ascii="宋体" w:hAnsi="宋体" w:eastAsia="宋体"/>
                <w:sz w:val="18"/>
                <w:szCs w:val="18"/>
                <w:lang w:val="en-US" w:eastAsia="zh-CN"/>
              </w:rPr>
            </w:pPr>
            <w:r>
              <w:rPr>
                <w:rFonts w:hint="eastAsia" w:ascii="宋体" w:hAnsi="宋体" w:eastAsia="宋体"/>
                <w:sz w:val="18"/>
                <w:szCs w:val="18"/>
              </w:rPr>
              <w:t>投标人所出售的货物还应符合国家和行业设计制造标准、国家有关安全、环保、卫生等强制性规定。</w:t>
            </w:r>
          </w:p>
        </w:tc>
      </w:tr>
      <w:tr w14:paraId="18E7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B529807">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7483" w:type="dxa"/>
            <w:shd w:val="clear" w:color="auto" w:fill="auto"/>
            <w:vAlign w:val="top"/>
          </w:tcPr>
          <w:p w14:paraId="165AA386">
            <w:pPr>
              <w:rPr>
                <w:rFonts w:hint="eastAsia" w:ascii="宋体" w:hAnsi="宋体" w:eastAsia="宋体"/>
                <w:sz w:val="18"/>
                <w:szCs w:val="18"/>
                <w:lang w:val="en-US" w:eastAsia="zh-CN"/>
              </w:rPr>
            </w:pPr>
            <w:r>
              <w:rPr>
                <w:rFonts w:hint="eastAsia" w:ascii="宋体" w:hAnsi="宋体" w:eastAsia="宋体"/>
                <w:sz w:val="18"/>
                <w:szCs w:val="18"/>
              </w:rPr>
              <w:t>采购人、中标人双方在采购和履行合同过程中所获悉的所有信息都属于保密的内容，采购人中标人双方均有保密义务。</w:t>
            </w:r>
          </w:p>
        </w:tc>
      </w:tr>
      <w:tr w14:paraId="41A2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C590AF9">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37</w:t>
            </w:r>
          </w:p>
        </w:tc>
        <w:tc>
          <w:tcPr>
            <w:tcW w:w="7483" w:type="dxa"/>
            <w:shd w:val="clear" w:color="auto" w:fill="auto"/>
            <w:vAlign w:val="center"/>
          </w:tcPr>
          <w:p w14:paraId="3591645B">
            <w:pPr>
              <w:rPr>
                <w:rFonts w:hint="eastAsia" w:ascii="宋体" w:hAnsi="宋体" w:eastAsia="宋体"/>
                <w:sz w:val="18"/>
                <w:szCs w:val="18"/>
                <w:lang w:val="en-US" w:eastAsia="zh-CN"/>
              </w:rPr>
            </w:pPr>
            <w:r>
              <w:rPr>
                <w:rFonts w:hint="eastAsia" w:ascii="宋体" w:hAnsi="宋体" w:eastAsia="宋体"/>
                <w:sz w:val="18"/>
                <w:szCs w:val="18"/>
              </w:rPr>
              <w:t>政府采购合同未约定或者约定不明的事项，采购人可以与供应商协商签订补充协议。补充协议不得变更采购合同的实质性内容。</w:t>
            </w:r>
          </w:p>
        </w:tc>
      </w:tr>
      <w:tr w14:paraId="716B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ECB8B0A">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38</w:t>
            </w:r>
          </w:p>
        </w:tc>
        <w:tc>
          <w:tcPr>
            <w:tcW w:w="7483" w:type="dxa"/>
            <w:shd w:val="clear" w:color="auto" w:fill="auto"/>
            <w:vAlign w:val="center"/>
          </w:tcPr>
          <w:p w14:paraId="02D21205">
            <w:pPr>
              <w:rPr>
                <w:rFonts w:hint="eastAsia" w:ascii="宋体" w:hAnsi="宋体" w:eastAsia="宋体"/>
                <w:sz w:val="18"/>
                <w:szCs w:val="18"/>
                <w:lang w:val="en-US" w:eastAsia="zh-CN"/>
              </w:rPr>
            </w:pPr>
            <w:r>
              <w:rPr>
                <w:rFonts w:hint="eastAsia" w:ascii="宋体" w:hAnsi="宋体" w:eastAsia="宋体"/>
                <w:sz w:val="18"/>
                <w:szCs w:val="18"/>
              </w:rPr>
              <w:t>除了双方签署书面协议，并成为合同不可分割的一部分之外，本合同条件不得有任何变更。</w:t>
            </w:r>
          </w:p>
        </w:tc>
      </w:tr>
      <w:tr w14:paraId="4DBE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7B2A098">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39</w:t>
            </w:r>
          </w:p>
        </w:tc>
        <w:tc>
          <w:tcPr>
            <w:tcW w:w="7483" w:type="dxa"/>
            <w:shd w:val="clear" w:color="auto" w:fill="auto"/>
            <w:vAlign w:val="center"/>
          </w:tcPr>
          <w:p w14:paraId="65BEB022">
            <w:pPr>
              <w:rPr>
                <w:rFonts w:hint="eastAsia" w:ascii="宋体" w:hAnsi="宋体" w:eastAsia="宋体"/>
                <w:sz w:val="18"/>
                <w:szCs w:val="18"/>
                <w:lang w:val="en-US" w:eastAsia="zh-CN"/>
              </w:rPr>
            </w:pPr>
            <w:r>
              <w:rPr>
                <w:rFonts w:hint="eastAsia" w:ascii="宋体" w:hAnsi="宋体" w:eastAsia="宋体"/>
                <w:sz w:val="18"/>
                <w:szCs w:val="18"/>
              </w:rPr>
              <w:t>投标人不得以任何形式部分或全部转让其应履行的合同义务。</w:t>
            </w:r>
          </w:p>
        </w:tc>
      </w:tr>
      <w:tr w14:paraId="4AD3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1D75B3E">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40</w:t>
            </w:r>
          </w:p>
        </w:tc>
        <w:tc>
          <w:tcPr>
            <w:tcW w:w="7483" w:type="dxa"/>
            <w:shd w:val="clear" w:color="auto" w:fill="auto"/>
            <w:vAlign w:val="center"/>
          </w:tcPr>
          <w:p w14:paraId="6A368E1B">
            <w:pPr>
              <w:rPr>
                <w:rFonts w:hint="eastAsia" w:ascii="宋体" w:hAnsi="宋体" w:eastAsia="宋体"/>
                <w:sz w:val="18"/>
                <w:szCs w:val="18"/>
                <w:lang w:val="en-US" w:eastAsia="zh-CN"/>
              </w:rPr>
            </w:pPr>
            <w:r>
              <w:rPr>
                <w:rFonts w:hint="eastAsia" w:ascii="宋体" w:hAnsi="宋体" w:eastAsia="宋体"/>
                <w:sz w:val="18"/>
                <w:szCs w:val="18"/>
              </w:rPr>
              <w:t>因合同货物的质量问题而发生的争议，由质检部门进行质量鉴定。经检验，质量符合标准的，鉴定费用由采购人承担；质量不符合标准的，鉴定费用由投标人承担，并且投标人负责重新提供符合合同要求的货物给采购人，由此造成延期供货的，投标人承担延期供货的违约责任。</w:t>
            </w:r>
          </w:p>
        </w:tc>
      </w:tr>
      <w:tr w14:paraId="7199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BEFB4D3">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41</w:t>
            </w:r>
          </w:p>
        </w:tc>
        <w:tc>
          <w:tcPr>
            <w:tcW w:w="7483" w:type="dxa"/>
            <w:shd w:val="clear" w:color="auto" w:fill="auto"/>
            <w:vAlign w:val="center"/>
          </w:tcPr>
          <w:p w14:paraId="09E06E02">
            <w:pPr>
              <w:rPr>
                <w:rFonts w:hint="eastAsia" w:ascii="宋体" w:hAnsi="宋体" w:eastAsia="宋体"/>
                <w:sz w:val="18"/>
                <w:szCs w:val="18"/>
                <w:lang w:val="en-US" w:eastAsia="zh-CN"/>
              </w:rPr>
            </w:pPr>
            <w:r>
              <w:rPr>
                <w:rFonts w:hint="eastAsia" w:ascii="宋体" w:hAnsi="宋体" w:eastAsia="宋体"/>
                <w:sz w:val="18"/>
                <w:szCs w:val="18"/>
              </w:rPr>
              <w:t>因本合同履行过程中所产生的纠纷和争议，应本着互谅互让、互相尊重、和平友好的原则协商解决。如从协商开始【30个日历日】内仍不能解决，任一方可向采购人所在地的人民法院提起诉讼。</w:t>
            </w:r>
          </w:p>
        </w:tc>
      </w:tr>
      <w:tr w14:paraId="7465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24CEF61">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42</w:t>
            </w:r>
          </w:p>
        </w:tc>
        <w:tc>
          <w:tcPr>
            <w:tcW w:w="7483" w:type="dxa"/>
            <w:shd w:val="clear" w:color="auto" w:fill="auto"/>
            <w:vAlign w:val="center"/>
          </w:tcPr>
          <w:p w14:paraId="02EF9CD8">
            <w:pPr>
              <w:rPr>
                <w:rFonts w:hint="eastAsia" w:ascii="宋体" w:hAnsi="宋体" w:eastAsia="宋体"/>
                <w:sz w:val="18"/>
                <w:szCs w:val="18"/>
                <w:lang w:val="en-US" w:eastAsia="zh-CN"/>
              </w:rPr>
            </w:pPr>
            <w:r>
              <w:rPr>
                <w:rFonts w:hint="eastAsia" w:ascii="宋体" w:hAnsi="宋体" w:eastAsia="宋体"/>
                <w:sz w:val="18"/>
                <w:szCs w:val="18"/>
              </w:rPr>
              <w:t>在诉讼期间，除正在进行诉讼的部分外，合同的其他部分应继续执行。</w:t>
            </w:r>
          </w:p>
        </w:tc>
      </w:tr>
      <w:tr w14:paraId="2E01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4301B25">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43</w:t>
            </w:r>
          </w:p>
        </w:tc>
        <w:tc>
          <w:tcPr>
            <w:tcW w:w="7483" w:type="dxa"/>
            <w:shd w:val="clear" w:color="auto" w:fill="auto"/>
            <w:vAlign w:val="center"/>
          </w:tcPr>
          <w:p w14:paraId="04B8E015">
            <w:pPr>
              <w:rPr>
                <w:rFonts w:hint="eastAsia" w:ascii="宋体" w:hAnsi="宋体" w:eastAsia="宋体"/>
                <w:sz w:val="18"/>
                <w:szCs w:val="18"/>
                <w:lang w:val="en-US" w:eastAsia="zh-CN"/>
              </w:rPr>
            </w:pPr>
            <w:r>
              <w:rPr>
                <w:rFonts w:hint="eastAsia" w:ascii="宋体" w:hAnsi="宋体" w:eastAsia="宋体"/>
                <w:sz w:val="18"/>
                <w:szCs w:val="18"/>
              </w:rPr>
              <w:t>投标人提供的所有软件必须为正版或取得合理使用授权，采购人不承担知识产权纠纷带来的任何侵权责任，由此造成的损失由投标人负责赔偿。</w:t>
            </w:r>
          </w:p>
        </w:tc>
      </w:tr>
      <w:tr w14:paraId="42E3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4EEC78F">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44</w:t>
            </w:r>
          </w:p>
        </w:tc>
        <w:tc>
          <w:tcPr>
            <w:tcW w:w="7483" w:type="dxa"/>
            <w:shd w:val="clear" w:color="auto" w:fill="auto"/>
            <w:vAlign w:val="top"/>
          </w:tcPr>
          <w:p w14:paraId="27C18A1D">
            <w:pPr>
              <w:rPr>
                <w:rFonts w:hint="eastAsia" w:ascii="宋体" w:hAnsi="宋体" w:eastAsia="宋体"/>
                <w:sz w:val="18"/>
                <w:szCs w:val="18"/>
                <w:lang w:val="en-US" w:eastAsia="zh-CN"/>
              </w:rPr>
            </w:pPr>
            <w:r>
              <w:rPr>
                <w:rFonts w:hint="eastAsia" w:ascii="宋体" w:hAnsi="宋体" w:eastAsia="宋体"/>
                <w:sz w:val="18"/>
                <w:szCs w:val="18"/>
              </w:rPr>
              <w:t>本合同以及双方来住的与合同有关的信件、传真和其它文件应用中文书写。</w:t>
            </w:r>
          </w:p>
        </w:tc>
      </w:tr>
      <w:tr w14:paraId="270E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1EDFB36">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45</w:t>
            </w:r>
          </w:p>
        </w:tc>
        <w:tc>
          <w:tcPr>
            <w:tcW w:w="7483" w:type="dxa"/>
            <w:shd w:val="clear" w:color="auto" w:fill="auto"/>
            <w:vAlign w:val="top"/>
          </w:tcPr>
          <w:p w14:paraId="22CC6D41">
            <w:pPr>
              <w:rPr>
                <w:rFonts w:hint="eastAsia" w:ascii="宋体" w:hAnsi="宋体" w:eastAsia="宋体"/>
                <w:sz w:val="18"/>
                <w:szCs w:val="18"/>
                <w:lang w:val="en-US" w:eastAsia="zh-CN"/>
              </w:rPr>
            </w:pPr>
            <w:r>
              <w:rPr>
                <w:rFonts w:hint="eastAsia" w:ascii="宋体" w:hAnsi="宋体" w:eastAsia="宋体"/>
                <w:sz w:val="18"/>
                <w:szCs w:val="18"/>
              </w:rPr>
              <w:t>本合同适用中华人民共和国现行法律、行政法规和规章，如合同条款与法律、行政法规和规章不一致的，按照法律、行政法规和规章修改本合同。</w:t>
            </w:r>
          </w:p>
        </w:tc>
      </w:tr>
      <w:tr w14:paraId="6C19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33AA0623">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46</w:t>
            </w:r>
          </w:p>
        </w:tc>
        <w:tc>
          <w:tcPr>
            <w:tcW w:w="7483" w:type="dxa"/>
            <w:shd w:val="clear" w:color="auto" w:fill="auto"/>
            <w:vAlign w:val="center"/>
          </w:tcPr>
          <w:p w14:paraId="26979C2A">
            <w:pPr>
              <w:rPr>
                <w:rFonts w:hint="eastAsia" w:ascii="宋体" w:hAnsi="宋体" w:eastAsia="宋体"/>
                <w:sz w:val="18"/>
                <w:szCs w:val="18"/>
                <w:lang w:val="en-US" w:eastAsia="zh-CN"/>
              </w:rPr>
            </w:pPr>
            <w:r>
              <w:rPr>
                <w:rFonts w:hint="eastAsia" w:ascii="宋体" w:hAnsi="宋体" w:eastAsia="宋体"/>
                <w:sz w:val="18"/>
                <w:szCs w:val="18"/>
              </w:rPr>
              <w:t>本合同一方给另一方的通知均应采用书面形式，传真或快递送到对方的地址和办理签收手续。</w:t>
            </w:r>
          </w:p>
        </w:tc>
      </w:tr>
      <w:tr w14:paraId="3FDD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2636D0D">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47</w:t>
            </w:r>
          </w:p>
        </w:tc>
        <w:tc>
          <w:tcPr>
            <w:tcW w:w="7483" w:type="dxa"/>
            <w:shd w:val="clear" w:color="auto" w:fill="auto"/>
            <w:vAlign w:val="center"/>
          </w:tcPr>
          <w:p w14:paraId="2079134E">
            <w:pPr>
              <w:rPr>
                <w:rFonts w:hint="eastAsia" w:ascii="宋体" w:hAnsi="宋体" w:eastAsia="宋体"/>
                <w:sz w:val="18"/>
                <w:szCs w:val="18"/>
                <w:lang w:val="en-US" w:eastAsia="zh-CN"/>
              </w:rPr>
            </w:pPr>
            <w:r>
              <w:rPr>
                <w:rFonts w:hint="eastAsia" w:ascii="宋体" w:hAnsi="宋体" w:eastAsia="宋体"/>
                <w:sz w:val="18"/>
                <w:szCs w:val="18"/>
              </w:rPr>
              <w:t>通知以送到之日或通知书中规定的生效之日起生效，两者中以较迟之日为准。</w:t>
            </w:r>
          </w:p>
        </w:tc>
      </w:tr>
      <w:tr w14:paraId="1B26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07015C6">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48</w:t>
            </w:r>
          </w:p>
        </w:tc>
        <w:tc>
          <w:tcPr>
            <w:tcW w:w="7483" w:type="dxa"/>
            <w:shd w:val="clear" w:color="auto" w:fill="auto"/>
            <w:vAlign w:val="center"/>
          </w:tcPr>
          <w:p w14:paraId="27225538">
            <w:pPr>
              <w:rPr>
                <w:rFonts w:hint="eastAsia" w:ascii="宋体" w:hAnsi="宋体" w:eastAsia="宋体"/>
                <w:sz w:val="18"/>
                <w:szCs w:val="18"/>
                <w:lang w:val="en-US" w:eastAsia="zh-CN"/>
              </w:rPr>
            </w:pPr>
            <w:r>
              <w:rPr>
                <w:rFonts w:hint="eastAsia" w:ascii="宋体" w:hAnsi="宋体" w:eastAsia="宋体"/>
                <w:sz w:val="18"/>
                <w:szCs w:val="18"/>
              </w:rPr>
              <w:t>投标人应保证采购人在使用该货物或其任何一部分时免受第三方提出侵犯其专利、商标、版权等知识产权或商品名称及其他权利的起诉及索赔。若采购人因此被第三方起诉或以其它方式追究责任，投标人应赔偿因采购人被第三方索赔所引起的一切损失，包括但不限于采购人所支付的侵权损害赔偿费、律师费、诉讼费、仲裁费、办案差旅费等因应诉、沟通协调所发的一切费用。</w:t>
            </w:r>
          </w:p>
        </w:tc>
      </w:tr>
      <w:tr w14:paraId="229E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D9D7D98">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49</w:t>
            </w:r>
          </w:p>
        </w:tc>
        <w:tc>
          <w:tcPr>
            <w:tcW w:w="7483" w:type="dxa"/>
            <w:shd w:val="clear" w:color="auto" w:fill="auto"/>
            <w:vAlign w:val="center"/>
          </w:tcPr>
          <w:p w14:paraId="60107AA6">
            <w:pPr>
              <w:rPr>
                <w:rFonts w:hint="eastAsia" w:ascii="宋体" w:hAnsi="宋体" w:eastAsia="宋体"/>
                <w:sz w:val="18"/>
                <w:szCs w:val="18"/>
                <w:lang w:val="en-US" w:eastAsia="zh-CN"/>
              </w:rPr>
            </w:pPr>
            <w:r>
              <w:rPr>
                <w:rFonts w:hint="eastAsia" w:ascii="宋体" w:hAnsi="宋体" w:eastAsia="宋体"/>
                <w:sz w:val="18"/>
                <w:szCs w:val="18"/>
              </w:rPr>
              <w:t>除第三人依法享有知识产权的之外，中标人实施本项目所形成成果的知识产权归采购人所有，未经采购人许可，中标人不得随意使用。</w:t>
            </w:r>
          </w:p>
        </w:tc>
      </w:tr>
      <w:tr w14:paraId="4D0D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DF0B904">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50</w:t>
            </w:r>
          </w:p>
        </w:tc>
        <w:tc>
          <w:tcPr>
            <w:tcW w:w="0" w:type="auto"/>
            <w:shd w:val="clear" w:color="auto" w:fill="auto"/>
            <w:vAlign w:val="top"/>
          </w:tcPr>
          <w:p w14:paraId="386A47AB">
            <w:pPr>
              <w:rPr>
                <w:rFonts w:hint="eastAsia" w:ascii="宋体" w:hAnsi="宋体" w:eastAsia="宋体"/>
                <w:sz w:val="18"/>
                <w:szCs w:val="18"/>
                <w:lang w:val="en-US" w:eastAsia="zh-CN"/>
              </w:rPr>
            </w:pPr>
            <w:r>
              <w:rPr>
                <w:rFonts w:hint="eastAsia" w:ascii="宋体" w:hAnsi="宋体" w:eastAsia="宋体"/>
                <w:sz w:val="18"/>
                <w:szCs w:val="18"/>
              </w:rPr>
              <w:t>合同解除和终止</w:t>
            </w:r>
            <w:r>
              <w:rPr>
                <w:rFonts w:hint="eastAsia" w:ascii="宋体" w:hAnsi="宋体" w:eastAsia="宋体"/>
                <w:sz w:val="18"/>
                <w:szCs w:val="18"/>
                <w:lang w:eastAsia="zh-CN"/>
              </w:rPr>
              <w:t>：</w:t>
            </w:r>
            <w:r>
              <w:rPr>
                <w:rFonts w:hint="eastAsia" w:ascii="宋体" w:hAnsi="宋体" w:eastAsia="宋体"/>
                <w:sz w:val="18"/>
                <w:szCs w:val="18"/>
              </w:rPr>
              <w:t>如果中标人未能在协议规定的限期或采购人同意延长的限期内提供部分或全部货物，采购人可向中标人发出书面的违约通知书，提出终止部份或全部协议。采购人可在任何时候出于自身的便利向中标人发出书面通知终止部分合同，采购人在合同总价中扣除该终止部分货物的价款，并不再对中标人作出额外赔偿。</w:t>
            </w:r>
          </w:p>
        </w:tc>
      </w:tr>
      <w:tr w14:paraId="02EA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3492607B">
            <w:pPr>
              <w:keepNext w:val="0"/>
              <w:keepLines w:val="0"/>
              <w:widowControl/>
              <w:suppressLineNumbers w:val="0"/>
              <w:jc w:val="center"/>
              <w:textAlignment w:val="center"/>
              <w:rPr>
                <w:rFonts w:hint="eastAsia" w:ascii="宋体" w:hAnsi="宋体" w:eastAsia="宋体"/>
                <w:szCs w:val="21"/>
                <w:lang w:val="en-US" w:eastAsia="zh-CN"/>
              </w:rPr>
            </w:pPr>
            <w:r>
              <w:rPr>
                <w:rFonts w:hint="eastAsia" w:ascii="宋体" w:hAnsi="宋体" w:eastAsia="宋体" w:cs="宋体"/>
                <w:i w:val="0"/>
                <w:iCs w:val="0"/>
                <w:color w:val="000000"/>
                <w:kern w:val="0"/>
                <w:sz w:val="18"/>
                <w:szCs w:val="18"/>
                <w:u w:val="none"/>
                <w:lang w:val="en-US" w:eastAsia="zh-CN" w:bidi="ar"/>
              </w:rPr>
              <w:t>51</w:t>
            </w:r>
          </w:p>
        </w:tc>
        <w:tc>
          <w:tcPr>
            <w:tcW w:w="0" w:type="auto"/>
            <w:shd w:val="clear" w:color="auto" w:fill="auto"/>
            <w:vAlign w:val="top"/>
          </w:tcPr>
          <w:p w14:paraId="54F58183">
            <w:pPr>
              <w:rPr>
                <w:rFonts w:hint="eastAsia" w:ascii="宋体" w:hAnsi="宋体" w:eastAsia="宋体"/>
                <w:sz w:val="18"/>
                <w:szCs w:val="18"/>
                <w:lang w:val="en-US" w:eastAsia="zh-CN"/>
              </w:rPr>
            </w:pPr>
            <w:r>
              <w:rPr>
                <w:rFonts w:hint="eastAsia" w:ascii="宋体" w:hAnsi="宋体" w:eastAsia="宋体"/>
                <w:sz w:val="18"/>
                <w:szCs w:val="18"/>
                <w:lang w:val="en-US" w:eastAsia="zh-CN"/>
              </w:rPr>
              <w:t>税费：</w:t>
            </w:r>
            <w:r>
              <w:rPr>
                <w:rFonts w:hint="eastAsia" w:ascii="宋体" w:hAnsi="宋体" w:eastAsia="宋体"/>
                <w:sz w:val="18"/>
                <w:szCs w:val="18"/>
              </w:rPr>
              <w:t>增值税专用发票。</w:t>
            </w:r>
          </w:p>
        </w:tc>
      </w:tr>
    </w:tbl>
    <w:p w14:paraId="40ACB926">
      <w:pPr>
        <w:rPr>
          <w:rFonts w:ascii="宋体" w:hAnsi="宋体" w:eastAsia="宋体"/>
          <w:sz w:val="22"/>
        </w:rPr>
      </w:pPr>
      <w:r>
        <w:rPr>
          <w:rFonts w:hint="eastAsia" w:ascii="宋体" w:hAnsi="宋体" w:eastAsia="宋体"/>
          <w:sz w:val="22"/>
        </w:rPr>
        <w:t>注：上表所列内容为不可负偏离条款</w:t>
      </w:r>
      <w:bookmarkEnd w:id="40"/>
      <w:r>
        <w:rPr>
          <w:rFonts w:hint="eastAsia" w:ascii="宋体" w:hAnsi="宋体" w:eastAsia="宋体"/>
          <w:sz w:val="22"/>
        </w:rPr>
        <w:t>，负偏离将视为未实质性满足招标文件要求作投标无效处理。</w:t>
      </w:r>
    </w:p>
    <w:p w14:paraId="78DDB9BD">
      <w:pPr>
        <w:rPr>
          <w:rFonts w:ascii="宋体" w:hAnsi="宋体" w:eastAsia="宋体"/>
          <w:b/>
          <w:szCs w:val="21"/>
        </w:rPr>
      </w:pPr>
    </w:p>
    <w:p w14:paraId="44E135BE">
      <w:pPr>
        <w:pStyle w:val="5"/>
        <w:spacing w:before="120" w:beforeLines="50" w:after="120" w:afterLines="50"/>
        <w:rPr>
          <w:sz w:val="28"/>
          <w:szCs w:val="28"/>
        </w:rPr>
      </w:pPr>
      <w:r>
        <w:rPr>
          <w:rFonts w:hint="eastAsia"/>
          <w:sz w:val="28"/>
          <w:szCs w:val="28"/>
        </w:rPr>
        <w:t>四、技术要求</w:t>
      </w:r>
    </w:p>
    <w:p w14:paraId="6CED8D56">
      <w:pPr>
        <w:ind w:firstLine="482" w:firstLineChars="200"/>
        <w:rPr>
          <w:rFonts w:ascii="宋体" w:hAnsi="宋体" w:eastAsia="宋体"/>
          <w:b/>
        </w:rPr>
      </w:pPr>
      <w:r>
        <w:rPr>
          <w:rFonts w:hint="eastAsia" w:ascii="宋体" w:hAnsi="宋体" w:eastAsia="宋体"/>
          <w:b/>
          <w:szCs w:val="21"/>
        </w:rPr>
        <w:t>说明：</w:t>
      </w:r>
      <w:r>
        <w:rPr>
          <w:rFonts w:ascii="宋体" w:hAnsi="宋体" w:eastAsia="宋体"/>
          <w:b/>
        </w:rPr>
        <w:t>1</w:t>
      </w:r>
      <w:r>
        <w:rPr>
          <w:rFonts w:hint="eastAsia" w:ascii="宋体" w:hAnsi="宋体" w:eastAsia="宋体"/>
          <w:b/>
        </w:rPr>
        <w:t>、评分时，如对一项招标技术要求（以划分框为准）中的内容存在两处（或以上）负偏离的，在评分时只作一项负偏离扣分。</w:t>
      </w:r>
    </w:p>
    <w:p w14:paraId="788522DC">
      <w:pPr>
        <w:ind w:firstLine="482" w:firstLineChars="200"/>
        <w:rPr>
          <w:rFonts w:ascii="宋体" w:hAnsi="宋体" w:eastAsia="宋体"/>
          <w:b/>
          <w:szCs w:val="21"/>
        </w:rPr>
      </w:pPr>
      <w:r>
        <w:rPr>
          <w:rFonts w:ascii="宋体" w:hAnsi="宋体" w:eastAsia="宋体"/>
          <w:b/>
          <w:szCs w:val="21"/>
        </w:rPr>
        <w:t>2</w:t>
      </w:r>
      <w:r>
        <w:rPr>
          <w:rFonts w:hint="eastAsia" w:ascii="宋体" w:hAnsi="宋体" w:eastAsia="宋体"/>
          <w:b/>
          <w:szCs w:val="21"/>
        </w:rPr>
        <w:t>、带“</w:t>
      </w:r>
      <w:r>
        <w:rPr>
          <w:rFonts w:hint="eastAsia" w:ascii="宋体" w:hAnsi="宋体" w:eastAsia="宋体" w:cs="宋体"/>
          <w:b/>
          <w:szCs w:val="21"/>
        </w:rPr>
        <w:t>★</w:t>
      </w:r>
      <w:r>
        <w:rPr>
          <w:rFonts w:hint="eastAsia" w:ascii="宋体" w:hAnsi="宋体" w:eastAsia="宋体"/>
          <w:b/>
          <w:szCs w:val="21"/>
        </w:rPr>
        <w:t>”指标项为实质性条款，如出现负偏离，将被视为未实质性满足招标文件要求作投标无效处理；带“</w:t>
      </w:r>
      <w:r>
        <w:rPr>
          <w:rFonts w:ascii="宋体" w:hAnsi="宋体" w:eastAsia="宋体"/>
        </w:rPr>
        <w:t>▲</w:t>
      </w:r>
      <w:r>
        <w:rPr>
          <w:rFonts w:hint="eastAsia" w:ascii="宋体" w:hAnsi="宋体" w:eastAsia="宋体"/>
          <w:b/>
          <w:szCs w:val="21"/>
        </w:rPr>
        <w:t>”指标项为重要参数条款，负偏离时依相关评分准则内容作重点扣分处理。</w:t>
      </w:r>
    </w:p>
    <w:p w14:paraId="0B82D8EF">
      <w:pPr>
        <w:ind w:firstLine="482" w:firstLineChars="200"/>
        <w:rPr>
          <w:rFonts w:ascii="宋体" w:hAnsi="宋体" w:eastAsia="宋体"/>
          <w:b/>
          <w:szCs w:val="21"/>
        </w:rPr>
      </w:pPr>
      <w:r>
        <w:rPr>
          <w:rFonts w:ascii="宋体" w:hAnsi="宋体" w:eastAsia="宋体"/>
          <w:b/>
          <w:szCs w:val="21"/>
        </w:rPr>
        <w:t>3</w:t>
      </w:r>
      <w:r>
        <w:rPr>
          <w:rFonts w:hint="eastAsia" w:ascii="宋体" w:hAnsi="宋体" w:eastAsia="宋体"/>
          <w:b/>
          <w:szCs w:val="21"/>
        </w:rPr>
        <w:t>、</w:t>
      </w:r>
      <w:bookmarkStart w:id="41" w:name="_Hlk72585069"/>
      <w:r>
        <w:rPr>
          <w:rFonts w:hint="eastAsia" w:ascii="宋体" w:hAnsi="宋体" w:eastAsia="宋体"/>
          <w:b/>
          <w:szCs w:val="21"/>
        </w:rPr>
        <w:t>招标技术要求中，用</w:t>
      </w:r>
      <w:r>
        <w:rPr>
          <w:rFonts w:hint="eastAsia" w:ascii="宋体" w:hAnsi="宋体" w:eastAsia="宋体"/>
          <w:b/>
          <w:color w:val="FF0000"/>
          <w:szCs w:val="21"/>
        </w:rPr>
        <w:t>红色加粗字体标注</w:t>
      </w:r>
      <w:r>
        <w:rPr>
          <w:rFonts w:hint="eastAsia" w:ascii="宋体" w:hAnsi="宋体" w:eastAsia="宋体"/>
          <w:b/>
          <w:szCs w:val="21"/>
        </w:rPr>
        <w:t>的指标项均要求提供证明资料；其余指标项未要求提供证明资料，无需提供相关证明资料。</w:t>
      </w:r>
    </w:p>
    <w:p w14:paraId="367BA320">
      <w:pPr>
        <w:ind w:firstLine="482" w:firstLineChars="200"/>
        <w:rPr>
          <w:rFonts w:ascii="宋体" w:hAnsi="宋体" w:eastAsia="宋体"/>
          <w:b/>
          <w:color w:val="FF0000"/>
          <w:szCs w:val="21"/>
          <w:highlight w:val="yellow"/>
        </w:rPr>
      </w:pPr>
      <w:r>
        <w:rPr>
          <w:rFonts w:hint="eastAsia" w:ascii="宋体" w:hAnsi="宋体" w:eastAsia="宋体"/>
          <w:b/>
          <w:color w:val="FF0000"/>
        </w:rPr>
        <w:t>4</w:t>
      </w:r>
      <w:r>
        <w:rPr>
          <w:rFonts w:ascii="宋体" w:hAnsi="宋体" w:eastAsia="宋体"/>
          <w:b/>
          <w:color w:val="FF0000"/>
        </w:rPr>
        <w:t>、</w:t>
      </w:r>
      <w:r>
        <w:rPr>
          <w:rFonts w:hint="eastAsia" w:ascii="宋体" w:hAnsi="宋体" w:eastAsia="宋体"/>
          <w:b/>
          <w:color w:val="FF0000"/>
          <w:szCs w:val="21"/>
          <w:highlight w:val="yellow"/>
        </w:rPr>
        <w:t>涉及投标样品的，所投产品的样品应与投标响应情况一致；涉及证明材料的，证明材料相应内容应与投标响应情况一致。如存在前款所属的不一致情形，经评审委员会认定，该项招标技术要求作负偏离处理。</w:t>
      </w:r>
    </w:p>
    <w:p w14:paraId="10C84309">
      <w:pPr>
        <w:pStyle w:val="6"/>
        <w:rPr>
          <w:rFonts w:eastAsia="宋体"/>
        </w:rPr>
      </w:pPr>
    </w:p>
    <w:bookmarkEnd w:id="41"/>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1865"/>
        <w:gridCol w:w="5637"/>
      </w:tblGrid>
      <w:tr w14:paraId="2AA0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97" w:type="pct"/>
            <w:tcBorders>
              <w:top w:val="single" w:color="auto" w:sz="4" w:space="0"/>
              <w:left w:val="single" w:color="auto" w:sz="4" w:space="0"/>
              <w:bottom w:val="single" w:color="auto" w:sz="4" w:space="0"/>
              <w:right w:val="single" w:color="auto" w:sz="4" w:space="0"/>
            </w:tcBorders>
            <w:vAlign w:val="center"/>
          </w:tcPr>
          <w:p w14:paraId="2697D80B">
            <w:pPr>
              <w:jc w:val="center"/>
              <w:rPr>
                <w:rFonts w:ascii="Calibri" w:hAnsi="Calibri" w:eastAsia="宋体" w:cs="Times New Roman"/>
                <w:szCs w:val="21"/>
              </w:rPr>
            </w:pPr>
            <w:r>
              <w:rPr>
                <w:rFonts w:hint="eastAsia" w:ascii="宋体" w:hAnsi="宋体"/>
              </w:rPr>
              <w:t>序号</w:t>
            </w:r>
          </w:p>
        </w:tc>
        <w:tc>
          <w:tcPr>
            <w:tcW w:w="1094" w:type="pct"/>
            <w:tcBorders>
              <w:top w:val="single" w:color="auto" w:sz="4" w:space="0"/>
              <w:left w:val="single" w:color="auto" w:sz="4" w:space="0"/>
              <w:bottom w:val="single" w:color="auto" w:sz="4" w:space="0"/>
              <w:right w:val="single" w:color="auto" w:sz="4" w:space="0"/>
            </w:tcBorders>
            <w:vAlign w:val="center"/>
          </w:tcPr>
          <w:p w14:paraId="22BA2E56">
            <w:pPr>
              <w:widowControl/>
              <w:jc w:val="center"/>
            </w:pPr>
            <w:r>
              <w:rPr>
                <w:rFonts w:hint="eastAsia" w:ascii="宋体" w:hAnsi="宋体"/>
              </w:rPr>
              <w:t>货物名称</w:t>
            </w:r>
          </w:p>
        </w:tc>
        <w:tc>
          <w:tcPr>
            <w:tcW w:w="3307" w:type="pct"/>
            <w:tcBorders>
              <w:top w:val="single" w:color="auto" w:sz="4" w:space="0"/>
              <w:left w:val="single" w:color="auto" w:sz="4" w:space="0"/>
              <w:bottom w:val="single" w:color="auto" w:sz="4" w:space="0"/>
              <w:right w:val="single" w:color="auto" w:sz="4" w:space="0"/>
            </w:tcBorders>
            <w:vAlign w:val="center"/>
          </w:tcPr>
          <w:p w14:paraId="770D9B4C">
            <w:pPr>
              <w:jc w:val="center"/>
            </w:pPr>
            <w:r>
              <w:rPr>
                <w:rFonts w:hint="eastAsia" w:ascii="宋体" w:hAnsi="宋体"/>
              </w:rPr>
              <w:t>招标技术要求</w:t>
            </w:r>
          </w:p>
        </w:tc>
      </w:tr>
      <w:tr w14:paraId="2316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restart"/>
            <w:tcBorders>
              <w:top w:val="nil"/>
              <w:left w:val="single" w:color="auto" w:sz="4" w:space="0"/>
              <w:right w:val="single" w:color="auto" w:sz="4" w:space="0"/>
            </w:tcBorders>
            <w:vAlign w:val="center"/>
          </w:tcPr>
          <w:p w14:paraId="7BC733C3">
            <w:pPr>
              <w:jc w:val="center"/>
              <w:rPr>
                <w:rFonts w:ascii="Times New Roman" w:hAnsi="Times New Roman"/>
                <w:b/>
              </w:rPr>
            </w:pPr>
            <w:r>
              <w:rPr>
                <w:rFonts w:hint="eastAsia" w:ascii="Times New Roman" w:hAnsi="Times New Roman"/>
                <w:b/>
              </w:rPr>
              <w:t>1</w:t>
            </w:r>
          </w:p>
        </w:tc>
        <w:tc>
          <w:tcPr>
            <w:tcW w:w="1094" w:type="pct"/>
            <w:vMerge w:val="restart"/>
            <w:tcBorders>
              <w:top w:val="nil"/>
              <w:left w:val="single" w:color="auto" w:sz="4" w:space="0"/>
              <w:right w:val="single" w:color="auto" w:sz="4" w:space="0"/>
            </w:tcBorders>
            <w:vAlign w:val="center"/>
          </w:tcPr>
          <w:p w14:paraId="17A9D62B">
            <w:pPr>
              <w:jc w:val="center"/>
              <w:rPr>
                <w:rFonts w:ascii="宋体" w:hAnsi="宋体"/>
                <w:color w:val="000000"/>
                <w:sz w:val="20"/>
                <w:szCs w:val="20"/>
              </w:rPr>
            </w:pPr>
            <w:r>
              <w:rPr>
                <w:rFonts w:hint="eastAsia" w:ascii="宋体" w:hAnsi="宋体"/>
                <w:sz w:val="20"/>
                <w:szCs w:val="20"/>
              </w:rPr>
              <w:t>1</w:t>
            </w:r>
            <w:r>
              <w:rPr>
                <w:rFonts w:ascii="宋体" w:hAnsi="宋体"/>
                <w:sz w:val="20"/>
                <w:szCs w:val="20"/>
              </w:rPr>
              <w:t>.</w:t>
            </w:r>
            <w:r>
              <w:rPr>
                <w:rFonts w:hint="eastAsia" w:ascii="宋体" w:hAnsi="宋体"/>
                <w:sz w:val="20"/>
                <w:szCs w:val="20"/>
              </w:rPr>
              <w:t>千米级深海ROV主体</w:t>
            </w:r>
          </w:p>
        </w:tc>
        <w:tc>
          <w:tcPr>
            <w:tcW w:w="3307" w:type="pct"/>
            <w:tcBorders>
              <w:top w:val="single" w:color="auto" w:sz="4" w:space="0"/>
              <w:left w:val="single" w:color="auto" w:sz="4" w:space="0"/>
              <w:bottom w:val="single" w:color="auto" w:sz="4" w:space="0"/>
              <w:right w:val="single" w:color="auto" w:sz="4" w:space="0"/>
            </w:tcBorders>
            <w:vAlign w:val="center"/>
          </w:tcPr>
          <w:p w14:paraId="7094B687">
            <w:pPr>
              <w:rPr>
                <w:rFonts w:ascii="Times New Roman" w:hAnsi="Times New Roman" w:cs="Times New Roman"/>
                <w:sz w:val="20"/>
                <w:szCs w:val="20"/>
              </w:rPr>
            </w:pPr>
            <w:r>
              <w:rPr>
                <w:rFonts w:hint="eastAsia" w:ascii="Times New Roman" w:hAnsi="Times New Roman" w:cs="Times New Roman"/>
                <w:sz w:val="20"/>
                <w:szCs w:val="20"/>
              </w:rPr>
              <w:t>1.1</w:t>
            </w:r>
            <w:r>
              <w:rPr>
                <w:rFonts w:ascii="Times New Roman" w:hAnsi="Times New Roman" w:cs="Times New Roman"/>
                <w:sz w:val="20"/>
                <w:szCs w:val="20"/>
              </w:rPr>
              <w:t xml:space="preserve"> </w:t>
            </w:r>
            <w:r>
              <w:rPr>
                <w:rFonts w:hint="eastAsia" w:ascii="Times New Roman" w:hAnsi="Times New Roman" w:cs="Times New Roman"/>
                <w:sz w:val="20"/>
                <w:szCs w:val="20"/>
              </w:rPr>
              <w:t>▲包括：</w:t>
            </w:r>
            <w:r>
              <w:rPr>
                <w:rFonts w:hint="eastAsia" w:ascii="宋体" w:hAnsi="宋体"/>
                <w:sz w:val="20"/>
                <w:szCs w:val="20"/>
              </w:rPr>
              <w:t>液压动力单元、水下电力单元、主体结构、水下控制单元、水下视频系统、水下照明系统、水下导航传感系统、水下支撑系统</w:t>
            </w:r>
          </w:p>
        </w:tc>
      </w:tr>
      <w:tr w14:paraId="4228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top w:val="nil"/>
              <w:left w:val="single" w:color="auto" w:sz="4" w:space="0"/>
              <w:right w:val="single" w:color="auto" w:sz="4" w:space="0"/>
            </w:tcBorders>
            <w:vAlign w:val="center"/>
          </w:tcPr>
          <w:p w14:paraId="6754E6B9">
            <w:pPr>
              <w:jc w:val="center"/>
              <w:rPr>
                <w:rFonts w:ascii="Times New Roman" w:hAnsi="Times New Roman"/>
                <w:b/>
              </w:rPr>
            </w:pPr>
          </w:p>
        </w:tc>
        <w:tc>
          <w:tcPr>
            <w:tcW w:w="1094" w:type="pct"/>
            <w:vMerge w:val="continue"/>
            <w:tcBorders>
              <w:top w:val="nil"/>
              <w:left w:val="single" w:color="auto" w:sz="4" w:space="0"/>
              <w:right w:val="single" w:color="auto" w:sz="4" w:space="0"/>
            </w:tcBorders>
            <w:vAlign w:val="center"/>
          </w:tcPr>
          <w:p w14:paraId="53DAA829">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36A4CFFF">
            <w:pPr>
              <w:rPr>
                <w:rFonts w:ascii="Times New Roman" w:hAnsi="Times New Roman" w:cs="Times New Roman"/>
                <w:color w:val="FF0000"/>
                <w:sz w:val="20"/>
                <w:szCs w:val="20"/>
              </w:rPr>
            </w:pPr>
            <w:r>
              <w:rPr>
                <w:rFonts w:hint="eastAsia" w:ascii="宋体" w:hAnsi="宋体" w:eastAsia="Times New Roman" w:cs="Times New Roman"/>
                <w:b/>
                <w:bCs/>
                <w:color w:val="FF0000"/>
                <w:sz w:val="20"/>
                <w:szCs w:val="20"/>
              </w:rPr>
              <w:t xml:space="preserve">1.2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ROV水下作业深度：≥1000m；（提供详细技术方案和设计模型，资料要求：至少包括基于设计图或实物的参数示意资料。提供资料内容缺漏、示意不清、不充分的视作未提供证明。原件备查。）</w:t>
            </w:r>
          </w:p>
        </w:tc>
      </w:tr>
      <w:tr w14:paraId="4BF4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07921720">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17B7EC2C">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5DE38422">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3 </w:t>
            </w:r>
            <w:r>
              <w:rPr>
                <w:rFonts w:hint="eastAsia" w:ascii="Times New Roman" w:hAnsi="Times New Roman" w:cs="Times New Roman"/>
                <w:sz w:val="20"/>
                <w:szCs w:val="20"/>
              </w:rPr>
              <w:t>★ ROV负载能力：≥150kg；</w:t>
            </w:r>
          </w:p>
        </w:tc>
      </w:tr>
      <w:tr w14:paraId="0F78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21481AC8">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048CDD72">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39EFBC84">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4 </w:t>
            </w:r>
            <w:r>
              <w:rPr>
                <w:rFonts w:hint="eastAsia" w:ascii="Times New Roman" w:hAnsi="Times New Roman" w:cs="Times New Roman"/>
                <w:sz w:val="20"/>
                <w:szCs w:val="20"/>
              </w:rPr>
              <w:t>★ ROV功率：≥125马力；</w:t>
            </w:r>
          </w:p>
        </w:tc>
      </w:tr>
      <w:tr w14:paraId="795D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08386660">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6C4938A4">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0E56DCB2">
            <w:pPr>
              <w:rPr>
                <w:rFonts w:ascii="Times New Roman" w:hAnsi="Times New Roman" w:cs="Times New Roman"/>
                <w:sz w:val="20"/>
                <w:szCs w:val="20"/>
              </w:rPr>
            </w:pPr>
            <w:r>
              <w:rPr>
                <w:rFonts w:hint="eastAsia" w:ascii="宋体" w:hAnsi="宋体" w:eastAsia="Times New Roman" w:cs="Times New Roman"/>
                <w:b/>
                <w:bCs/>
                <w:color w:val="FF0000"/>
                <w:sz w:val="20"/>
                <w:szCs w:val="20"/>
              </w:rPr>
              <w:t xml:space="preserve">1.5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ROV水下系桩推力：纵向≥150公斤力；横向≥150公斤力；垂向≥200公斤力。（提供证明材料，资料要求：至少包括液压系统详细设计图。提供资料内容缺漏、示意不清、不充分的视作未提供证明。原件备查。）</w:t>
            </w:r>
          </w:p>
        </w:tc>
      </w:tr>
      <w:tr w14:paraId="5E3E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5A0DAB61">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523CC016">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6EEDAD10">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6 </w:t>
            </w:r>
            <w:r>
              <w:rPr>
                <w:rFonts w:hint="eastAsia" w:ascii="Times New Roman" w:hAnsi="Times New Roman" w:cs="Times New Roman"/>
                <w:sz w:val="20"/>
                <w:szCs w:val="20"/>
              </w:rPr>
              <w:t>★ 搭载传感器类别数量：深度计1部；高度计1部；姿态传感器1部；成像声呐1部；高清摄像机不少于2组；</w:t>
            </w:r>
          </w:p>
        </w:tc>
      </w:tr>
      <w:tr w14:paraId="5B86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2C4C3653">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342587AC">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37027D75">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7 </w:t>
            </w:r>
            <w:r>
              <w:rPr>
                <w:rFonts w:hint="eastAsia" w:ascii="Times New Roman" w:hAnsi="Times New Roman" w:cs="Times New Roman"/>
                <w:sz w:val="20"/>
                <w:szCs w:val="20"/>
              </w:rPr>
              <w:t>★ ROV液压系统流量：≥100升/分钟；</w:t>
            </w:r>
          </w:p>
        </w:tc>
      </w:tr>
      <w:tr w14:paraId="1A46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5043CFC2">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3A7455D2">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22311209">
            <w:pPr>
              <w:rPr>
                <w:rFonts w:ascii="Times New Roman" w:hAnsi="Times New Roman" w:cs="Times New Roman"/>
                <w:sz w:val="20"/>
                <w:szCs w:val="20"/>
              </w:rPr>
            </w:pPr>
            <w:r>
              <w:rPr>
                <w:rFonts w:hint="eastAsia" w:ascii="宋体" w:hAnsi="宋体" w:eastAsia="Times New Roman" w:cs="Times New Roman"/>
                <w:b/>
                <w:bCs/>
                <w:color w:val="FF0000"/>
                <w:sz w:val="20"/>
                <w:szCs w:val="20"/>
              </w:rPr>
              <w:t xml:space="preserve">1.8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ROV高级控制功能：悬停定位精度≤30厘米；（提供证明材料，资料要求：至少包括基于设计图或实物的行程参数示意资料。提供资料内容缺漏、示意不清、不充分的视作未提供证明。原件备查。）</w:t>
            </w:r>
          </w:p>
        </w:tc>
      </w:tr>
      <w:tr w14:paraId="72BD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6557FDA0">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2DC9A985">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1C76F120">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9 </w:t>
            </w:r>
            <w:r>
              <w:rPr>
                <w:rFonts w:hint="eastAsia" w:ascii="Times New Roman" w:hAnsi="Times New Roman" w:cs="Times New Roman"/>
                <w:sz w:val="20"/>
                <w:szCs w:val="20"/>
              </w:rPr>
              <w:t>▲ 具有自动定向、定高、定深、定点、平衡等功能；</w:t>
            </w:r>
          </w:p>
        </w:tc>
      </w:tr>
      <w:tr w14:paraId="140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bottom w:val="single" w:color="auto" w:sz="4" w:space="0"/>
              <w:right w:val="single" w:color="auto" w:sz="4" w:space="0"/>
            </w:tcBorders>
            <w:vAlign w:val="center"/>
          </w:tcPr>
          <w:p w14:paraId="790C7442">
            <w:pPr>
              <w:jc w:val="center"/>
              <w:rPr>
                <w:rFonts w:ascii="Times New Roman" w:hAnsi="Times New Roman"/>
                <w:b/>
              </w:rPr>
            </w:pPr>
          </w:p>
        </w:tc>
        <w:tc>
          <w:tcPr>
            <w:tcW w:w="1094" w:type="pct"/>
            <w:vMerge w:val="continue"/>
            <w:tcBorders>
              <w:left w:val="single" w:color="auto" w:sz="4" w:space="0"/>
              <w:bottom w:val="single" w:color="auto" w:sz="4" w:space="0"/>
              <w:right w:val="single" w:color="auto" w:sz="4" w:space="0"/>
            </w:tcBorders>
            <w:vAlign w:val="center"/>
          </w:tcPr>
          <w:p w14:paraId="3D1DADBB">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4A9CE22A">
            <w:pPr>
              <w:rPr>
                <w:rFonts w:ascii="Times New Roman" w:hAnsi="Times New Roman" w:cs="Times New Roman"/>
                <w:sz w:val="20"/>
                <w:szCs w:val="20"/>
              </w:rPr>
            </w:pPr>
            <w:r>
              <w:rPr>
                <w:rFonts w:hint="eastAsia" w:ascii="宋体" w:hAnsi="宋体" w:eastAsia="Times New Roman" w:cs="Times New Roman"/>
                <w:b/>
                <w:bCs/>
                <w:color w:val="FF0000"/>
                <w:sz w:val="20"/>
                <w:szCs w:val="20"/>
              </w:rPr>
              <w:t xml:space="preserve">1.10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性能验证：交货前需提供海试验证，试验区域水深不低于300米，总天数不少于30天。（提供详细验证方案，资料要求：至少包括基于验证条件和验证过程的示意资料。提供资料内容缺漏、示意不清、不充分的视作未提供证明。原件备查。） </w:t>
            </w:r>
            <w:r>
              <w:rPr>
                <w:rFonts w:hint="eastAsia" w:ascii="宋体" w:hAnsi="宋体" w:eastAsia="Times New Roman" w:cs="Times New Roman"/>
                <w:color w:val="FF0000"/>
                <w:sz w:val="20"/>
                <w:szCs w:val="20"/>
              </w:rPr>
              <w:t xml:space="preserve"> </w:t>
            </w:r>
            <w:r>
              <w:rPr>
                <w:rFonts w:ascii="Times New Roman" w:hAnsi="Times New Roman" w:cs="Times New Roman" w:eastAsiaTheme="majorEastAsia"/>
                <w:szCs w:val="21"/>
              </w:rPr>
              <w:t xml:space="preserve">                                  </w:t>
            </w:r>
            <w:r>
              <w:rPr>
                <w:rFonts w:ascii="Times New Roman" w:hAnsi="Times New Roman" w:cs="Times New Roman" w:eastAsiaTheme="majorEastAsia"/>
                <w:b/>
                <w:szCs w:val="21"/>
                <w:u w:val="double"/>
              </w:rPr>
              <w:t xml:space="preserve">                                                                                                                                                                                                                                                                                                                                                     </w:t>
            </w:r>
          </w:p>
        </w:tc>
      </w:tr>
      <w:tr w14:paraId="6C54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restart"/>
            <w:tcBorders>
              <w:top w:val="nil"/>
              <w:left w:val="single" w:color="auto" w:sz="4" w:space="0"/>
              <w:right w:val="single" w:color="auto" w:sz="4" w:space="0"/>
            </w:tcBorders>
            <w:vAlign w:val="center"/>
          </w:tcPr>
          <w:p w14:paraId="3EBD52A7">
            <w:pPr>
              <w:jc w:val="center"/>
              <w:rPr>
                <w:rFonts w:ascii="Times New Roman" w:hAnsi="Times New Roman"/>
                <w:b/>
              </w:rPr>
            </w:pPr>
            <w:r>
              <w:rPr>
                <w:rFonts w:hint="eastAsia" w:ascii="Times New Roman" w:hAnsi="Times New Roman"/>
                <w:b/>
              </w:rPr>
              <w:t>2</w:t>
            </w:r>
          </w:p>
        </w:tc>
        <w:tc>
          <w:tcPr>
            <w:tcW w:w="1094" w:type="pct"/>
            <w:vMerge w:val="restart"/>
            <w:tcBorders>
              <w:top w:val="nil"/>
              <w:left w:val="single" w:color="auto" w:sz="4" w:space="0"/>
              <w:right w:val="single" w:color="auto" w:sz="4" w:space="0"/>
            </w:tcBorders>
            <w:vAlign w:val="center"/>
          </w:tcPr>
          <w:p w14:paraId="4CE5EC23">
            <w:pPr>
              <w:jc w:val="center"/>
              <w:rPr>
                <w:rFonts w:ascii="宋体" w:hAnsi="宋体"/>
                <w:sz w:val="20"/>
                <w:szCs w:val="20"/>
              </w:rPr>
            </w:pPr>
            <w:r>
              <w:rPr>
                <w:rFonts w:hint="eastAsia" w:ascii="宋体" w:hAnsi="宋体"/>
                <w:sz w:val="20"/>
                <w:szCs w:val="20"/>
              </w:rPr>
              <w:t>1.1液压动力单元</w:t>
            </w:r>
          </w:p>
        </w:tc>
        <w:tc>
          <w:tcPr>
            <w:tcW w:w="3307" w:type="pct"/>
            <w:tcBorders>
              <w:top w:val="single" w:color="auto" w:sz="4" w:space="0"/>
              <w:left w:val="single" w:color="auto" w:sz="4" w:space="0"/>
              <w:bottom w:val="single" w:color="auto" w:sz="4" w:space="0"/>
              <w:right w:val="single" w:color="auto" w:sz="4" w:space="0"/>
            </w:tcBorders>
            <w:vAlign w:val="center"/>
          </w:tcPr>
          <w:p w14:paraId="2208D3C5">
            <w:pPr>
              <w:rPr>
                <w:rFonts w:ascii="Times New Roman" w:hAnsi="Times New Roman" w:cs="Times New Roman"/>
                <w:sz w:val="20"/>
                <w:szCs w:val="20"/>
              </w:rPr>
            </w:pPr>
            <w:r>
              <w:rPr>
                <w:rFonts w:ascii="Times New Roman" w:hAnsi="Times New Roman" w:cs="Times New Roman"/>
                <w:sz w:val="20"/>
                <w:szCs w:val="20"/>
              </w:rPr>
              <w:t xml:space="preserve">2.1 </w:t>
            </w:r>
            <w:r>
              <w:rPr>
                <w:rFonts w:hint="eastAsia" w:ascii="Times New Roman" w:hAnsi="Times New Roman" w:cs="Times New Roman"/>
                <w:sz w:val="20"/>
                <w:szCs w:val="20"/>
              </w:rPr>
              <w:t>★ ROV液压系统流量：≥100升/分钟，采用伺服阀控制模式；</w:t>
            </w:r>
          </w:p>
        </w:tc>
      </w:tr>
      <w:tr w14:paraId="1942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376FBCA3">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3AF76408">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3C229DFE">
            <w:pPr>
              <w:rPr>
                <w:rFonts w:ascii="Times New Roman" w:hAnsi="Times New Roman" w:cs="Times New Roman"/>
                <w:sz w:val="20"/>
                <w:szCs w:val="20"/>
              </w:rPr>
            </w:pPr>
            <w:r>
              <w:rPr>
                <w:rFonts w:hint="eastAsia" w:ascii="Times New Roman" w:hAnsi="Times New Roman" w:cs="Times New Roman"/>
                <w:sz w:val="20"/>
                <w:szCs w:val="20"/>
              </w:rPr>
              <w:t>2.2</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双泵配置：主泵用于推进器和机械手，工具泵用于工装阀组，工装阀组用工装泵；</w:t>
            </w:r>
          </w:p>
        </w:tc>
      </w:tr>
      <w:tr w14:paraId="3094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pct"/>
            <w:vMerge w:val="continue"/>
            <w:tcBorders>
              <w:left w:val="single" w:color="auto" w:sz="4" w:space="0"/>
              <w:right w:val="single" w:color="auto" w:sz="4" w:space="0"/>
            </w:tcBorders>
            <w:vAlign w:val="center"/>
          </w:tcPr>
          <w:p w14:paraId="2F610380">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176BBA25">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434BB4F2">
            <w:pPr>
              <w:rPr>
                <w:rFonts w:ascii="Times New Roman" w:hAnsi="Times New Roman" w:cs="Times New Roman"/>
                <w:sz w:val="20"/>
                <w:szCs w:val="20"/>
              </w:rPr>
            </w:pPr>
            <w:r>
              <w:rPr>
                <w:rFonts w:hint="eastAsia" w:ascii="Times New Roman" w:hAnsi="Times New Roman" w:cs="Times New Roman"/>
                <w:sz w:val="20"/>
                <w:szCs w:val="20"/>
              </w:rPr>
              <w:t>2.3</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水下马达：≥150马力</w:t>
            </w:r>
          </w:p>
        </w:tc>
      </w:tr>
      <w:tr w14:paraId="7F0C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left w:val="single" w:color="auto" w:sz="4" w:space="0"/>
              <w:right w:val="single" w:color="auto" w:sz="4" w:space="0"/>
            </w:tcBorders>
            <w:vAlign w:val="center"/>
          </w:tcPr>
          <w:p w14:paraId="55D1B318">
            <w:pPr>
              <w:jc w:val="center"/>
              <w:rPr>
                <w:rFonts w:ascii="Times New Roman" w:hAnsi="Times New Roman"/>
                <w:b/>
              </w:rPr>
            </w:pPr>
          </w:p>
        </w:tc>
        <w:tc>
          <w:tcPr>
            <w:tcW w:w="1094" w:type="pct"/>
            <w:vMerge w:val="continue"/>
            <w:tcBorders>
              <w:left w:val="single" w:color="auto" w:sz="4" w:space="0"/>
              <w:right w:val="single" w:color="auto" w:sz="4" w:space="0"/>
            </w:tcBorders>
            <w:vAlign w:val="center"/>
          </w:tcPr>
          <w:p w14:paraId="4599965A">
            <w:pPr>
              <w:jc w:val="center"/>
              <w:rPr>
                <w:rFonts w:ascii="宋体" w:hAnsi="宋体"/>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31AC1FF8">
            <w:pPr>
              <w:rPr>
                <w:rFonts w:ascii="Times New Roman" w:hAnsi="Times New Roman" w:cs="Times New Roman"/>
                <w:sz w:val="20"/>
                <w:szCs w:val="20"/>
              </w:rPr>
            </w:pPr>
            <w:r>
              <w:rPr>
                <w:rFonts w:ascii="Times New Roman" w:hAnsi="Times New Roman" w:cs="Times New Roman"/>
                <w:sz w:val="20"/>
                <w:szCs w:val="20"/>
              </w:rPr>
              <w:t>2</w:t>
            </w:r>
            <w:r>
              <w:rPr>
                <w:rFonts w:hint="eastAsia" w:ascii="Times New Roman" w:hAnsi="Times New Roman" w:cs="Times New Roman"/>
                <w:sz w:val="20"/>
                <w:szCs w:val="20"/>
              </w:rPr>
              <w:t>.</w:t>
            </w:r>
            <w:r>
              <w:rPr>
                <w:rFonts w:ascii="Times New Roman" w:hAnsi="Times New Roman" w:cs="Times New Roman"/>
                <w:sz w:val="20"/>
                <w:szCs w:val="20"/>
              </w:rPr>
              <w:t xml:space="preserve">4 </w:t>
            </w:r>
            <w:r>
              <w:rPr>
                <w:rFonts w:hint="eastAsia" w:ascii="Times New Roman" w:hAnsi="Times New Roman" w:cs="Times New Roman"/>
                <w:sz w:val="20"/>
                <w:szCs w:val="20"/>
              </w:rPr>
              <w:t>耐压水深：≥ 1000米；</w:t>
            </w:r>
          </w:p>
        </w:tc>
      </w:tr>
      <w:tr w14:paraId="0B0C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restart"/>
            <w:tcBorders>
              <w:top w:val="nil"/>
              <w:left w:val="single" w:color="auto" w:sz="4" w:space="0"/>
              <w:bottom w:val="single" w:color="auto" w:sz="4" w:space="0"/>
              <w:right w:val="single" w:color="auto" w:sz="4" w:space="0"/>
            </w:tcBorders>
            <w:vAlign w:val="center"/>
          </w:tcPr>
          <w:p w14:paraId="2BF10018">
            <w:pPr>
              <w:jc w:val="center"/>
              <w:rPr>
                <w:rFonts w:ascii="Times New Roman" w:hAnsi="Times New Roman"/>
                <w:b/>
              </w:rPr>
            </w:pPr>
            <w:r>
              <w:rPr>
                <w:rFonts w:hint="eastAsia" w:ascii="Times New Roman" w:hAnsi="Times New Roman"/>
                <w:b/>
              </w:rPr>
              <w:t>3</w:t>
            </w:r>
          </w:p>
        </w:tc>
        <w:tc>
          <w:tcPr>
            <w:tcW w:w="1094" w:type="pct"/>
            <w:vMerge w:val="restart"/>
            <w:tcBorders>
              <w:top w:val="nil"/>
              <w:left w:val="single" w:color="auto" w:sz="4" w:space="0"/>
              <w:bottom w:val="single" w:color="auto" w:sz="4" w:space="0"/>
              <w:right w:val="single" w:color="auto" w:sz="4" w:space="0"/>
            </w:tcBorders>
            <w:vAlign w:val="center"/>
          </w:tcPr>
          <w:p w14:paraId="5DC20E89">
            <w:pPr>
              <w:jc w:val="center"/>
              <w:rPr>
                <w:rFonts w:ascii="Times New Roman" w:hAnsi="Times New Roman"/>
                <w:sz w:val="20"/>
                <w:szCs w:val="20"/>
              </w:rPr>
            </w:pPr>
            <w:r>
              <w:rPr>
                <w:rFonts w:hint="eastAsia" w:ascii="Times New Roman" w:hAnsi="Times New Roman" w:cs="Times New Roman"/>
                <w:sz w:val="18"/>
                <w:szCs w:val="18"/>
              </w:rPr>
              <w:t>1</w:t>
            </w:r>
            <w:r>
              <w:rPr>
                <w:rFonts w:ascii="Times New Roman" w:hAnsi="Times New Roman" w:cs="Times New Roman"/>
                <w:sz w:val="18"/>
                <w:szCs w:val="18"/>
              </w:rPr>
              <w:t>.2</w:t>
            </w:r>
            <w:r>
              <w:rPr>
                <w:rFonts w:hint="eastAsia" w:ascii="Times New Roman" w:hAnsi="Times New Roman" w:cs="Times New Roman"/>
                <w:sz w:val="18"/>
                <w:szCs w:val="18"/>
              </w:rPr>
              <w:t>水下电力单元</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65A60FE2">
            <w:pPr>
              <w:rPr>
                <w:rFonts w:ascii="Times New Roman" w:hAnsi="Times New Roman" w:cs="Times New Roman"/>
                <w:sz w:val="20"/>
                <w:szCs w:val="20"/>
              </w:rPr>
            </w:pPr>
            <w:r>
              <w:rPr>
                <w:rFonts w:hint="eastAsia" w:ascii="Times New Roman" w:hAnsi="Times New Roman" w:cs="Times New Roman"/>
                <w:sz w:val="20"/>
                <w:szCs w:val="20"/>
              </w:rPr>
              <w:t>3.1</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潜水器功率：≥ 125马力</w:t>
            </w:r>
          </w:p>
        </w:tc>
      </w:tr>
      <w:tr w14:paraId="3ACF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pct"/>
            <w:vMerge w:val="continue"/>
            <w:tcBorders>
              <w:top w:val="nil"/>
              <w:left w:val="single" w:color="auto" w:sz="4" w:space="0"/>
              <w:bottom w:val="single" w:color="auto" w:sz="4" w:space="0"/>
              <w:right w:val="single" w:color="auto" w:sz="4" w:space="0"/>
            </w:tcBorders>
            <w:vAlign w:val="center"/>
          </w:tcPr>
          <w:p w14:paraId="6FE44BA7">
            <w:pPr>
              <w:jc w:val="center"/>
              <w:rPr>
                <w:rFonts w:ascii="Times New Roman" w:hAnsi="Times New Roman"/>
                <w:b/>
              </w:rPr>
            </w:pPr>
          </w:p>
        </w:tc>
        <w:tc>
          <w:tcPr>
            <w:tcW w:w="1094" w:type="pct"/>
            <w:vMerge w:val="continue"/>
            <w:tcBorders>
              <w:top w:val="nil"/>
              <w:left w:val="single" w:color="auto" w:sz="4" w:space="0"/>
              <w:bottom w:val="single" w:color="auto" w:sz="4" w:space="0"/>
              <w:right w:val="single" w:color="auto" w:sz="4" w:space="0"/>
            </w:tcBorders>
            <w:vAlign w:val="center"/>
          </w:tcPr>
          <w:p w14:paraId="6C830753">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1E9E576D">
            <w:pPr>
              <w:rPr>
                <w:rFonts w:ascii="Times New Roman" w:hAnsi="Times New Roman" w:cs="Times New Roman"/>
                <w:sz w:val="20"/>
                <w:szCs w:val="20"/>
              </w:rPr>
            </w:pPr>
            <w:r>
              <w:rPr>
                <w:rFonts w:hint="eastAsia" w:ascii="Times New Roman" w:hAnsi="Times New Roman" w:cs="Times New Roman"/>
                <w:sz w:val="20"/>
                <w:szCs w:val="20"/>
              </w:rPr>
              <w:t>3.2</w:t>
            </w:r>
            <w:r>
              <w:rPr>
                <w:rFonts w:ascii="Times New Roman" w:hAnsi="Times New Roman" w:cs="Times New Roman"/>
                <w:sz w:val="20"/>
                <w:szCs w:val="20"/>
              </w:rPr>
              <w:t xml:space="preserve"> </w:t>
            </w:r>
            <w:r>
              <w:rPr>
                <w:rFonts w:hint="eastAsia" w:ascii="Times New Roman" w:hAnsi="Times New Roman" w:cs="Times New Roman"/>
                <w:sz w:val="20"/>
                <w:szCs w:val="20"/>
              </w:rPr>
              <w:t>变压器：110VAC@35Amps,20VAC@40Amps</w:t>
            </w:r>
          </w:p>
        </w:tc>
      </w:tr>
      <w:tr w14:paraId="1454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7" w:type="pct"/>
            <w:vMerge w:val="continue"/>
            <w:tcBorders>
              <w:top w:val="nil"/>
              <w:left w:val="single" w:color="auto" w:sz="4" w:space="0"/>
              <w:bottom w:val="single" w:color="auto" w:sz="4" w:space="0"/>
              <w:right w:val="single" w:color="auto" w:sz="4" w:space="0"/>
            </w:tcBorders>
            <w:vAlign w:val="center"/>
          </w:tcPr>
          <w:p w14:paraId="6543DC95">
            <w:pPr>
              <w:widowControl/>
              <w:jc w:val="center"/>
              <w:rPr>
                <w:rFonts w:ascii="Times New Roman" w:hAnsi="Times New Roman" w:eastAsia="宋体"/>
                <w:b/>
                <w:szCs w:val="21"/>
              </w:rPr>
            </w:pPr>
          </w:p>
        </w:tc>
        <w:tc>
          <w:tcPr>
            <w:tcW w:w="1094" w:type="pct"/>
            <w:vMerge w:val="continue"/>
            <w:tcBorders>
              <w:top w:val="nil"/>
              <w:left w:val="single" w:color="auto" w:sz="4" w:space="0"/>
              <w:bottom w:val="single" w:color="auto" w:sz="4" w:space="0"/>
              <w:right w:val="single" w:color="auto" w:sz="4" w:space="0"/>
            </w:tcBorders>
            <w:vAlign w:val="center"/>
          </w:tcPr>
          <w:p w14:paraId="6A90B6F0">
            <w:pPr>
              <w:widowControl/>
              <w:jc w:val="center"/>
              <w:rPr>
                <w:rFonts w:ascii="Times New Roman" w:hAnsi="Times New Roman" w:eastAsia="宋体"/>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445E93E7">
            <w:pPr>
              <w:rPr>
                <w:rFonts w:ascii="Times New Roman" w:hAnsi="Times New Roman" w:cs="Times New Roman"/>
                <w:sz w:val="20"/>
                <w:szCs w:val="20"/>
              </w:rPr>
            </w:pPr>
            <w:r>
              <w:rPr>
                <w:rFonts w:hint="eastAsia" w:ascii="Times New Roman" w:hAnsi="Times New Roman" w:cs="Times New Roman"/>
                <w:sz w:val="20"/>
                <w:szCs w:val="20"/>
              </w:rPr>
              <w:t>3.</w:t>
            </w:r>
            <w:r>
              <w:rPr>
                <w:rFonts w:ascii="Times New Roman" w:hAnsi="Times New Roman" w:cs="Times New Roman"/>
                <w:sz w:val="20"/>
                <w:szCs w:val="20"/>
              </w:rPr>
              <w:t xml:space="preserve">3 </w:t>
            </w:r>
            <w:r>
              <w:rPr>
                <w:rFonts w:hint="eastAsia" w:ascii="Times New Roman" w:hAnsi="Times New Roman" w:cs="Times New Roman"/>
                <w:sz w:val="20"/>
                <w:szCs w:val="20"/>
              </w:rPr>
              <w:t>耐压水深：≥ 1000米；</w:t>
            </w:r>
          </w:p>
        </w:tc>
      </w:tr>
      <w:tr w14:paraId="53AD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11B9F0EF">
            <w:pPr>
              <w:jc w:val="center"/>
              <w:rPr>
                <w:rFonts w:ascii="Times New Roman" w:hAnsi="Times New Roman"/>
                <w:b/>
                <w:sz w:val="20"/>
                <w:szCs w:val="20"/>
              </w:rPr>
            </w:pPr>
            <w:r>
              <w:rPr>
                <w:rFonts w:hint="eastAsia" w:ascii="Times New Roman" w:hAnsi="Times New Roman"/>
                <w:b/>
                <w:sz w:val="20"/>
                <w:szCs w:val="20"/>
              </w:rPr>
              <w:t>4</w:t>
            </w:r>
          </w:p>
        </w:tc>
        <w:tc>
          <w:tcPr>
            <w:tcW w:w="1094" w:type="pct"/>
            <w:vMerge w:val="restart"/>
            <w:tcBorders>
              <w:top w:val="nil"/>
              <w:left w:val="single" w:color="auto" w:sz="4" w:space="0"/>
              <w:right w:val="single" w:color="auto" w:sz="4" w:space="0"/>
            </w:tcBorders>
            <w:vAlign w:val="center"/>
          </w:tcPr>
          <w:p w14:paraId="2779CFB3">
            <w:pPr>
              <w:jc w:val="center"/>
              <w:rPr>
                <w:rFonts w:ascii="Times New Roman" w:hAnsi="Times New Roman"/>
                <w:bCs/>
                <w:sz w:val="20"/>
                <w:szCs w:val="20"/>
              </w:rPr>
            </w:pPr>
            <w:r>
              <w:rPr>
                <w:rFonts w:hint="eastAsia" w:ascii="Times New Roman" w:hAnsi="Times New Roman" w:cs="Times New Roman"/>
                <w:sz w:val="18"/>
                <w:szCs w:val="18"/>
              </w:rPr>
              <w:t>1</w:t>
            </w:r>
            <w:r>
              <w:rPr>
                <w:rFonts w:ascii="Times New Roman" w:hAnsi="Times New Roman" w:cs="Times New Roman"/>
                <w:sz w:val="18"/>
                <w:szCs w:val="18"/>
              </w:rPr>
              <w:t>.3</w:t>
            </w:r>
            <w:r>
              <w:rPr>
                <w:rFonts w:hint="eastAsia" w:ascii="Times New Roman" w:hAnsi="Times New Roman" w:cs="Times New Roman"/>
                <w:sz w:val="18"/>
                <w:szCs w:val="18"/>
              </w:rPr>
              <w:t>主体结构</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6150F0DB">
            <w:pPr>
              <w:rPr>
                <w:rFonts w:ascii="Times New Roman" w:hAnsi="Times New Roman" w:cs="Times New Roman"/>
                <w:sz w:val="20"/>
                <w:szCs w:val="20"/>
              </w:rPr>
            </w:pPr>
            <w:r>
              <w:rPr>
                <w:rFonts w:hint="eastAsia" w:ascii="Times New Roman" w:hAnsi="Times New Roman" w:cs="Times New Roman"/>
                <w:sz w:val="20"/>
                <w:szCs w:val="20"/>
              </w:rPr>
              <w:t>4.1</w:t>
            </w:r>
            <w:r>
              <w:rPr>
                <w:rFonts w:ascii="Times New Roman" w:hAnsi="Times New Roman" w:cs="Times New Roman"/>
                <w:sz w:val="20"/>
                <w:szCs w:val="20"/>
              </w:rPr>
              <w:t xml:space="preserve"> </w:t>
            </w:r>
            <w:r>
              <w:rPr>
                <w:rFonts w:hint="eastAsia" w:ascii="Times New Roman" w:hAnsi="Times New Roman" w:cs="Times New Roman"/>
                <w:sz w:val="20"/>
                <w:szCs w:val="20"/>
              </w:rPr>
              <w:t>尺寸：3.2米</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1.6米</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1.8米（长</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宽</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高）；</w:t>
            </w:r>
          </w:p>
        </w:tc>
      </w:tr>
      <w:tr w14:paraId="3E07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2D862FC2">
            <w:pPr>
              <w:jc w:val="center"/>
              <w:rPr>
                <w:rFonts w:ascii="Times New Roman" w:hAnsi="Times New Roman"/>
                <w:b/>
                <w:sz w:val="20"/>
                <w:szCs w:val="20"/>
              </w:rPr>
            </w:pPr>
          </w:p>
        </w:tc>
        <w:tc>
          <w:tcPr>
            <w:tcW w:w="1094" w:type="pct"/>
            <w:vMerge w:val="continue"/>
            <w:tcBorders>
              <w:left w:val="single" w:color="auto" w:sz="4" w:space="0"/>
              <w:right w:val="single" w:color="auto" w:sz="4" w:space="0"/>
            </w:tcBorders>
            <w:vAlign w:val="center"/>
          </w:tcPr>
          <w:p w14:paraId="6C9B3D22">
            <w:pPr>
              <w:rPr>
                <w:rFonts w:ascii="Times New Roman" w:hAnsi="Times New Roman"/>
                <w:bCs/>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1B192465">
            <w:pPr>
              <w:rPr>
                <w:rFonts w:ascii="Times New Roman" w:hAnsi="Times New Roman" w:cs="Times New Roman"/>
                <w:sz w:val="20"/>
                <w:szCs w:val="20"/>
              </w:rPr>
            </w:pPr>
            <w:r>
              <w:rPr>
                <w:rFonts w:hint="eastAsia" w:ascii="Times New Roman" w:hAnsi="Times New Roman" w:cs="Times New Roman"/>
                <w:sz w:val="20"/>
                <w:szCs w:val="20"/>
              </w:rPr>
              <w:t>4.2</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耐压水深：≥ 1000米；</w:t>
            </w:r>
          </w:p>
        </w:tc>
      </w:tr>
      <w:tr w14:paraId="534D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5337CB99">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7DCC0CBA">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1D38B21E">
            <w:pPr>
              <w:rPr>
                <w:rFonts w:ascii="Times New Roman" w:hAnsi="Times New Roman" w:cs="Times New Roman"/>
                <w:sz w:val="20"/>
                <w:szCs w:val="20"/>
              </w:rPr>
            </w:pPr>
            <w:r>
              <w:rPr>
                <w:rFonts w:hint="eastAsia" w:ascii="Times New Roman" w:hAnsi="Times New Roman" w:cs="Times New Roman"/>
                <w:sz w:val="20"/>
                <w:szCs w:val="20"/>
              </w:rPr>
              <w:t>4.3</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材质：UNS S316不锈钢或TC4 钛合金；</w:t>
            </w:r>
          </w:p>
        </w:tc>
      </w:tr>
      <w:tr w14:paraId="5E57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97" w:type="pct"/>
            <w:vMerge w:val="continue"/>
            <w:tcBorders>
              <w:left w:val="single" w:color="auto" w:sz="4" w:space="0"/>
              <w:right w:val="single" w:color="auto" w:sz="4" w:space="0"/>
            </w:tcBorders>
            <w:vAlign w:val="center"/>
          </w:tcPr>
          <w:p w14:paraId="3F119B76">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1F4CDF36">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39B4301B">
            <w:pPr>
              <w:rPr>
                <w:rFonts w:ascii="Times New Roman" w:hAnsi="Times New Roman" w:cs="Times New Roman"/>
                <w:sz w:val="20"/>
                <w:szCs w:val="20"/>
              </w:rPr>
            </w:pPr>
            <w:r>
              <w:rPr>
                <w:rFonts w:hint="eastAsia" w:ascii="Times New Roman" w:hAnsi="Times New Roman" w:cs="Times New Roman"/>
                <w:sz w:val="20"/>
                <w:szCs w:val="20"/>
              </w:rPr>
              <w:t xml:space="preserve">4.4 </w:t>
            </w:r>
            <w:r>
              <w:rPr>
                <w:rFonts w:hint="eastAsia"/>
                <w:sz w:val="20"/>
              </w:rPr>
              <w:t>▲</w:t>
            </w:r>
            <w:r>
              <w:rPr>
                <w:rFonts w:hint="eastAsia" w:ascii="Times New Roman" w:hAnsi="Times New Roman" w:cs="Times New Roman"/>
                <w:sz w:val="20"/>
                <w:szCs w:val="20"/>
              </w:rPr>
              <w:t>UNDER SKID负载：≥2吨；</w:t>
            </w:r>
          </w:p>
        </w:tc>
      </w:tr>
      <w:tr w14:paraId="0A52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left w:val="single" w:color="auto" w:sz="4" w:space="0"/>
              <w:right w:val="single" w:color="auto" w:sz="4" w:space="0"/>
            </w:tcBorders>
            <w:vAlign w:val="center"/>
          </w:tcPr>
          <w:p w14:paraId="52E12484">
            <w:pPr>
              <w:widowControl/>
              <w:jc w:val="center"/>
              <w:rPr>
                <w:rFonts w:ascii="Times New Roman" w:hAnsi="Times New Roman" w:eastAsia="宋体"/>
                <w:b/>
                <w:sz w:val="20"/>
                <w:szCs w:val="20"/>
              </w:rPr>
            </w:pPr>
            <w:r>
              <w:rPr>
                <w:rFonts w:hint="eastAsia" w:ascii="Times New Roman" w:hAnsi="Times New Roman" w:eastAsia="宋体"/>
                <w:b/>
                <w:sz w:val="20"/>
                <w:szCs w:val="20"/>
              </w:rPr>
              <w:t>5</w:t>
            </w:r>
          </w:p>
        </w:tc>
        <w:tc>
          <w:tcPr>
            <w:tcW w:w="1094" w:type="pct"/>
            <w:vMerge w:val="restart"/>
            <w:tcBorders>
              <w:left w:val="single" w:color="auto" w:sz="4" w:space="0"/>
              <w:right w:val="single" w:color="auto" w:sz="4" w:space="0"/>
            </w:tcBorders>
            <w:vAlign w:val="center"/>
          </w:tcPr>
          <w:p w14:paraId="7A3AAF10">
            <w:pPr>
              <w:widowControl/>
              <w:jc w:val="center"/>
              <w:rPr>
                <w:rFonts w:ascii="Times New Roman" w:hAnsi="Times New Roman" w:eastAsia="宋体"/>
                <w:bCs/>
                <w:sz w:val="20"/>
                <w:szCs w:val="20"/>
              </w:rPr>
            </w:pPr>
            <w:r>
              <w:rPr>
                <w:rFonts w:ascii="Times New Roman" w:hAnsi="Times New Roman" w:cs="Times New Roman"/>
                <w:sz w:val="18"/>
                <w:szCs w:val="18"/>
              </w:rPr>
              <w:t>1.4</w:t>
            </w:r>
            <w:r>
              <w:rPr>
                <w:rFonts w:hint="eastAsia" w:ascii="Times New Roman" w:hAnsi="Times New Roman" w:cs="Times New Roman"/>
                <w:sz w:val="18"/>
                <w:szCs w:val="18"/>
              </w:rPr>
              <w:t>水下控制单元</w:t>
            </w:r>
          </w:p>
        </w:tc>
        <w:tc>
          <w:tcPr>
            <w:tcW w:w="3307" w:type="pct"/>
            <w:tcBorders>
              <w:top w:val="single" w:color="auto" w:sz="4" w:space="0"/>
              <w:left w:val="single" w:color="auto" w:sz="4" w:space="0"/>
              <w:bottom w:val="single" w:color="auto" w:sz="4" w:space="0"/>
              <w:right w:val="single" w:color="auto" w:sz="4" w:space="0"/>
            </w:tcBorders>
            <w:vAlign w:val="center"/>
          </w:tcPr>
          <w:p w14:paraId="0074DEAF">
            <w:pPr>
              <w:rPr>
                <w:rFonts w:ascii="Times New Roman" w:hAnsi="Times New Roman" w:cs="Times New Roman"/>
                <w:sz w:val="20"/>
                <w:szCs w:val="20"/>
              </w:rPr>
            </w:pPr>
            <w:r>
              <w:rPr>
                <w:rFonts w:hint="eastAsia" w:ascii="Times New Roman" w:hAnsi="Times New Roman" w:cs="Times New Roman"/>
                <w:sz w:val="20"/>
                <w:szCs w:val="20"/>
              </w:rPr>
              <w:t>5.1</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 xml:space="preserve"> 高级控制功能：悬停定位精度≤30厘米；</w:t>
            </w:r>
          </w:p>
        </w:tc>
      </w:tr>
      <w:tr w14:paraId="0A99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66AAD0F5">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442BFAC5">
            <w:pPr>
              <w:widowControl/>
              <w:jc w:val="center"/>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0598AD3B">
            <w:pPr>
              <w:rPr>
                <w:rFonts w:ascii="Times New Roman" w:hAnsi="Times New Roman" w:cs="Times New Roman"/>
                <w:sz w:val="20"/>
                <w:szCs w:val="20"/>
              </w:rPr>
            </w:pPr>
            <w:r>
              <w:rPr>
                <w:rFonts w:hint="eastAsia" w:ascii="Times New Roman" w:hAnsi="Times New Roman" w:cs="Times New Roman"/>
                <w:sz w:val="20"/>
                <w:szCs w:val="20"/>
              </w:rPr>
              <w:t>5.2</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 xml:space="preserve"> 具有自动定向、定高、定深、定深、定点、平衡功能；</w:t>
            </w:r>
          </w:p>
        </w:tc>
      </w:tr>
      <w:tr w14:paraId="6FEF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4736DB5A">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2F59D461">
            <w:pPr>
              <w:widowControl/>
              <w:jc w:val="center"/>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217F5CBB">
            <w:pPr>
              <w:rPr>
                <w:rFonts w:ascii="Times New Roman" w:hAnsi="Times New Roman" w:cs="Times New Roman"/>
                <w:sz w:val="20"/>
                <w:szCs w:val="20"/>
              </w:rPr>
            </w:pPr>
            <w:r>
              <w:rPr>
                <w:rFonts w:hint="eastAsia" w:ascii="Times New Roman" w:hAnsi="Times New Roman" w:cs="Times New Roman"/>
                <w:sz w:val="20"/>
                <w:szCs w:val="20"/>
              </w:rPr>
              <w:t>5.3</w:t>
            </w:r>
            <w:r>
              <w:rPr>
                <w:rFonts w:ascii="Times New Roman" w:hAnsi="Times New Roman" w:cs="Times New Roman"/>
                <w:sz w:val="20"/>
                <w:szCs w:val="20"/>
              </w:rPr>
              <w:t xml:space="preserve"> </w:t>
            </w:r>
            <w:r>
              <w:rPr>
                <w:rFonts w:hint="eastAsia" w:ascii="Times New Roman" w:hAnsi="Times New Roman" w:cs="Times New Roman"/>
                <w:sz w:val="20"/>
                <w:szCs w:val="20"/>
              </w:rPr>
              <w:t>材质：铝合金、钛合金；</w:t>
            </w:r>
          </w:p>
        </w:tc>
      </w:tr>
      <w:tr w14:paraId="76ED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62098700">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2DCC6D07">
            <w:pPr>
              <w:widowControl/>
              <w:jc w:val="center"/>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3BC32C38">
            <w:pPr>
              <w:rPr>
                <w:rFonts w:ascii="Times New Roman" w:hAnsi="Times New Roman" w:cs="Times New Roman"/>
                <w:b/>
                <w:color w:val="000000" w:themeColor="text1"/>
                <w:sz w:val="20"/>
                <w:szCs w:val="20"/>
                <w14:textFill>
                  <w14:solidFill>
                    <w14:schemeClr w14:val="tx1"/>
                  </w14:solidFill>
                </w14:textFill>
              </w:rPr>
            </w:pPr>
            <w:r>
              <w:rPr>
                <w:rFonts w:hint="eastAsia" w:ascii="Times New Roman" w:hAnsi="Times New Roman" w:cs="Times New Roman"/>
                <w:bCs/>
                <w:sz w:val="20"/>
                <w:szCs w:val="20"/>
              </w:rPr>
              <w:t>5.4</w:t>
            </w:r>
            <w:r>
              <w:rPr>
                <w:rFonts w:ascii="Times New Roman" w:hAnsi="Times New Roman" w:cs="Times New Roman"/>
                <w:bCs/>
                <w:sz w:val="20"/>
                <w:szCs w:val="20"/>
              </w:rPr>
              <w:t xml:space="preserve"> </w:t>
            </w:r>
            <w:r>
              <w:rPr>
                <w:rFonts w:hint="eastAsia" w:ascii="Times New Roman" w:hAnsi="Times New Roman" w:cs="Times New Roman"/>
                <w:sz w:val="20"/>
                <w:szCs w:val="20"/>
              </w:rPr>
              <w:t>耐压水深：≥ 1000米</w:t>
            </w:r>
            <w:r>
              <w:rPr>
                <w:rFonts w:hint="eastAsia" w:ascii="Times New Roman" w:hAnsi="Times New Roman" w:cs="Times New Roman"/>
                <w:bCs/>
                <w:sz w:val="20"/>
                <w:szCs w:val="20"/>
              </w:rPr>
              <w:t>；</w:t>
            </w:r>
          </w:p>
        </w:tc>
      </w:tr>
      <w:tr w14:paraId="6C92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left w:val="single" w:color="auto" w:sz="4" w:space="0"/>
              <w:right w:val="single" w:color="auto" w:sz="4" w:space="0"/>
            </w:tcBorders>
            <w:vAlign w:val="center"/>
          </w:tcPr>
          <w:p w14:paraId="6F0FAAB2">
            <w:pPr>
              <w:widowControl/>
              <w:jc w:val="center"/>
              <w:rPr>
                <w:rFonts w:ascii="Times New Roman" w:hAnsi="Times New Roman" w:eastAsia="宋体"/>
                <w:b/>
                <w:sz w:val="20"/>
                <w:szCs w:val="20"/>
              </w:rPr>
            </w:pPr>
            <w:r>
              <w:rPr>
                <w:rFonts w:hint="eastAsia" w:ascii="Times New Roman" w:hAnsi="Times New Roman" w:eastAsia="宋体"/>
                <w:b/>
                <w:sz w:val="20"/>
                <w:szCs w:val="20"/>
              </w:rPr>
              <w:t>6</w:t>
            </w:r>
          </w:p>
        </w:tc>
        <w:tc>
          <w:tcPr>
            <w:tcW w:w="1094" w:type="pct"/>
            <w:vMerge w:val="restart"/>
            <w:tcBorders>
              <w:left w:val="single" w:color="auto" w:sz="4" w:space="0"/>
              <w:right w:val="single" w:color="auto" w:sz="4" w:space="0"/>
            </w:tcBorders>
            <w:vAlign w:val="center"/>
          </w:tcPr>
          <w:p w14:paraId="16EA9825">
            <w:pPr>
              <w:widowControl/>
              <w:jc w:val="center"/>
              <w:rPr>
                <w:rFonts w:ascii="Times New Roman" w:hAnsi="Times New Roman" w:eastAsia="宋体"/>
                <w:bCs/>
                <w:sz w:val="20"/>
                <w:szCs w:val="20"/>
              </w:rPr>
            </w:pPr>
            <w:r>
              <w:rPr>
                <w:rFonts w:ascii="Times New Roman" w:hAnsi="Times New Roman" w:cs="Times New Roman"/>
                <w:sz w:val="18"/>
                <w:szCs w:val="18"/>
              </w:rPr>
              <w:t>1.5</w:t>
            </w:r>
            <w:r>
              <w:rPr>
                <w:rFonts w:hint="eastAsia" w:ascii="Times New Roman" w:hAnsi="Times New Roman" w:cs="Times New Roman"/>
                <w:sz w:val="18"/>
                <w:szCs w:val="18"/>
              </w:rPr>
              <w:t>水下视频系统</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2D62874A">
            <w:pPr>
              <w:rPr>
                <w:rFonts w:ascii="Times New Roman" w:hAnsi="Times New Roman" w:cs="Times New Roman"/>
                <w:sz w:val="20"/>
                <w:szCs w:val="20"/>
              </w:rPr>
            </w:pPr>
            <w:r>
              <w:rPr>
                <w:rFonts w:hint="eastAsia" w:ascii="Times New Roman" w:hAnsi="Times New Roman" w:cs="Times New Roman"/>
                <w:sz w:val="20"/>
                <w:szCs w:val="20"/>
              </w:rPr>
              <w:t>6.1</w:t>
            </w:r>
            <w:r>
              <w:rPr>
                <w:rFonts w:ascii="Times New Roman" w:hAnsi="Times New Roman" w:cs="Times New Roman"/>
                <w:sz w:val="20"/>
                <w:szCs w:val="20"/>
              </w:rPr>
              <w:t xml:space="preserve"> </w:t>
            </w:r>
            <w:r>
              <w:rPr>
                <w:rFonts w:hint="eastAsia" w:ascii="Times New Roman" w:hAnsi="Times New Roman" w:cs="Times New Roman"/>
                <w:sz w:val="20"/>
                <w:szCs w:val="20"/>
              </w:rPr>
              <w:t>高清摄像机：水下摄像机不少于2组；</w:t>
            </w:r>
          </w:p>
        </w:tc>
      </w:tr>
      <w:tr w14:paraId="635C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0AE5E6AA">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08815633">
            <w:pPr>
              <w:widowControl/>
              <w:jc w:val="center"/>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25423EEF">
            <w:pPr>
              <w:rPr>
                <w:rFonts w:ascii="Times New Roman" w:hAnsi="Times New Roman" w:cs="Times New Roman"/>
                <w:sz w:val="20"/>
                <w:szCs w:val="20"/>
              </w:rPr>
            </w:pPr>
            <w:r>
              <w:rPr>
                <w:rFonts w:hint="eastAsia" w:ascii="Times New Roman" w:hAnsi="Times New Roman" w:cs="Times New Roman"/>
                <w:sz w:val="20"/>
                <w:szCs w:val="20"/>
              </w:rPr>
              <w:t>6.2</w:t>
            </w:r>
            <w:r>
              <w:rPr>
                <w:rFonts w:ascii="Times New Roman" w:hAnsi="Times New Roman" w:cs="Times New Roman"/>
                <w:sz w:val="20"/>
                <w:szCs w:val="20"/>
              </w:rPr>
              <w:t xml:space="preserve"> </w:t>
            </w:r>
            <w:r>
              <w:rPr>
                <w:rFonts w:hint="eastAsia" w:ascii="Times New Roman" w:hAnsi="Times New Roman" w:cs="Times New Roman"/>
                <w:sz w:val="20"/>
                <w:szCs w:val="20"/>
              </w:rPr>
              <w:t>标清摄像机：不少于</w:t>
            </w:r>
            <w:r>
              <w:rPr>
                <w:rFonts w:ascii="Times New Roman" w:hAnsi="Times New Roman" w:cs="Times New Roman"/>
                <w:sz w:val="20"/>
                <w:szCs w:val="20"/>
              </w:rPr>
              <w:t>6</w:t>
            </w:r>
            <w:r>
              <w:rPr>
                <w:rFonts w:hint="eastAsia" w:ascii="Times New Roman" w:hAnsi="Times New Roman" w:cs="Times New Roman"/>
                <w:sz w:val="20"/>
                <w:szCs w:val="20"/>
              </w:rPr>
              <w:t>组；</w:t>
            </w:r>
          </w:p>
        </w:tc>
      </w:tr>
      <w:tr w14:paraId="2CD5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155F8D40">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575DE8C6">
            <w:pPr>
              <w:widowControl/>
              <w:jc w:val="center"/>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06F686DC">
            <w:pPr>
              <w:rPr>
                <w:rFonts w:ascii="Times New Roman" w:hAnsi="Times New Roman" w:cs="Times New Roman"/>
                <w:sz w:val="20"/>
                <w:szCs w:val="20"/>
              </w:rPr>
            </w:pPr>
            <w:r>
              <w:rPr>
                <w:rFonts w:hint="eastAsia" w:ascii="Times New Roman" w:hAnsi="Times New Roman" w:cs="Times New Roman"/>
                <w:sz w:val="20"/>
                <w:szCs w:val="20"/>
              </w:rPr>
              <w:t>6.3</w:t>
            </w:r>
            <w:r>
              <w:rPr>
                <w:rFonts w:ascii="Times New Roman" w:hAnsi="Times New Roman" w:cs="Times New Roman"/>
                <w:sz w:val="20"/>
                <w:szCs w:val="20"/>
              </w:rPr>
              <w:t xml:space="preserve"> </w:t>
            </w:r>
            <w:r>
              <w:rPr>
                <w:rFonts w:hint="eastAsia" w:ascii="Times New Roman" w:hAnsi="Times New Roman" w:cs="Times New Roman"/>
                <w:sz w:val="20"/>
                <w:szCs w:val="20"/>
              </w:rPr>
              <w:t>材质：铝合金、钛合金；</w:t>
            </w:r>
          </w:p>
        </w:tc>
      </w:tr>
      <w:tr w14:paraId="521D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0D8F3CC0">
            <w:pPr>
              <w:widowControl/>
              <w:jc w:val="center"/>
              <w:rPr>
                <w:rFonts w:ascii="Times New Roman" w:hAnsi="Times New Roman" w:eastAsia="宋体"/>
                <w:bCs/>
                <w:sz w:val="20"/>
                <w:szCs w:val="20"/>
              </w:rPr>
            </w:pPr>
          </w:p>
        </w:tc>
        <w:tc>
          <w:tcPr>
            <w:tcW w:w="1094" w:type="pct"/>
            <w:vMerge w:val="continue"/>
            <w:tcBorders>
              <w:left w:val="single" w:color="auto" w:sz="4" w:space="0"/>
              <w:right w:val="single" w:color="auto" w:sz="4" w:space="0"/>
            </w:tcBorders>
            <w:vAlign w:val="center"/>
          </w:tcPr>
          <w:p w14:paraId="5AECC26B">
            <w:pPr>
              <w:widowControl/>
              <w:jc w:val="center"/>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261B988D">
            <w:pPr>
              <w:rPr>
                <w:rFonts w:ascii="Times New Roman" w:hAnsi="Times New Roman" w:cs="Times New Roman"/>
                <w:b/>
                <w:color w:val="000000" w:themeColor="text1"/>
                <w:sz w:val="20"/>
                <w:szCs w:val="20"/>
                <w14:textFill>
                  <w14:solidFill>
                    <w14:schemeClr w14:val="tx1"/>
                  </w14:solidFill>
                </w14:textFill>
              </w:rPr>
            </w:pPr>
            <w:r>
              <w:rPr>
                <w:rFonts w:hint="eastAsia" w:ascii="Times New Roman" w:hAnsi="Times New Roman" w:cs="Times New Roman"/>
                <w:bCs/>
                <w:sz w:val="20"/>
                <w:szCs w:val="20"/>
              </w:rPr>
              <w:t>6.4</w:t>
            </w:r>
            <w:r>
              <w:rPr>
                <w:rFonts w:ascii="Times New Roman" w:hAnsi="Times New Roman" w:cs="Times New Roman"/>
                <w:bCs/>
                <w:sz w:val="20"/>
                <w:szCs w:val="20"/>
              </w:rPr>
              <w:t xml:space="preserve"> </w:t>
            </w:r>
            <w:r>
              <w:rPr>
                <w:rFonts w:hint="eastAsia" w:ascii="Times New Roman" w:hAnsi="Times New Roman" w:cs="Times New Roman"/>
                <w:sz w:val="20"/>
                <w:szCs w:val="20"/>
              </w:rPr>
              <w:t>耐压水深：≥ 1000米；</w:t>
            </w:r>
          </w:p>
        </w:tc>
      </w:tr>
      <w:tr w14:paraId="2406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left w:val="single" w:color="auto" w:sz="4" w:space="0"/>
              <w:right w:val="single" w:color="auto" w:sz="4" w:space="0"/>
            </w:tcBorders>
            <w:vAlign w:val="center"/>
          </w:tcPr>
          <w:p w14:paraId="35E88615">
            <w:pPr>
              <w:widowControl/>
              <w:jc w:val="center"/>
              <w:rPr>
                <w:rFonts w:ascii="Times New Roman" w:hAnsi="Times New Roman" w:eastAsia="宋体"/>
                <w:b/>
                <w:sz w:val="20"/>
                <w:szCs w:val="20"/>
              </w:rPr>
            </w:pPr>
            <w:r>
              <w:rPr>
                <w:rFonts w:hint="eastAsia" w:ascii="Times New Roman" w:hAnsi="Times New Roman" w:eastAsia="宋体"/>
                <w:b/>
                <w:sz w:val="20"/>
                <w:szCs w:val="20"/>
              </w:rPr>
              <w:t>7</w:t>
            </w:r>
          </w:p>
        </w:tc>
        <w:tc>
          <w:tcPr>
            <w:tcW w:w="1094" w:type="pct"/>
            <w:vMerge w:val="restart"/>
            <w:tcBorders>
              <w:left w:val="single" w:color="auto" w:sz="4" w:space="0"/>
              <w:right w:val="single" w:color="auto" w:sz="4" w:space="0"/>
            </w:tcBorders>
            <w:vAlign w:val="center"/>
          </w:tcPr>
          <w:p w14:paraId="52D859A2">
            <w:pPr>
              <w:widowControl/>
              <w:jc w:val="center"/>
              <w:rPr>
                <w:rFonts w:ascii="Times New Roman" w:hAnsi="Times New Roman" w:eastAsia="宋体"/>
                <w:bCs/>
                <w:sz w:val="20"/>
                <w:szCs w:val="20"/>
              </w:rPr>
            </w:pPr>
            <w:r>
              <w:rPr>
                <w:rFonts w:ascii="Times New Roman" w:hAnsi="Times New Roman" w:cs="Times New Roman"/>
                <w:sz w:val="18"/>
                <w:szCs w:val="18"/>
              </w:rPr>
              <w:t>1.6</w:t>
            </w:r>
            <w:r>
              <w:rPr>
                <w:rFonts w:hint="eastAsia" w:ascii="Times New Roman" w:hAnsi="Times New Roman" w:cs="Times New Roman"/>
                <w:sz w:val="18"/>
                <w:szCs w:val="18"/>
              </w:rPr>
              <w:t>水下照明系统</w:t>
            </w:r>
          </w:p>
        </w:tc>
        <w:tc>
          <w:tcPr>
            <w:tcW w:w="3307" w:type="pct"/>
            <w:tcBorders>
              <w:top w:val="single" w:color="auto" w:sz="4" w:space="0"/>
              <w:left w:val="single" w:color="auto" w:sz="4" w:space="0"/>
              <w:bottom w:val="single" w:color="auto" w:sz="4" w:space="0"/>
              <w:right w:val="single" w:color="auto" w:sz="4" w:space="0"/>
            </w:tcBorders>
            <w:vAlign w:val="center"/>
          </w:tcPr>
          <w:p w14:paraId="7EA88466">
            <w:pPr>
              <w:rPr>
                <w:rFonts w:ascii="Times New Roman" w:hAnsi="Times New Roman" w:cs="Times New Roman"/>
                <w:sz w:val="20"/>
                <w:szCs w:val="20"/>
              </w:rPr>
            </w:pPr>
            <w:r>
              <w:rPr>
                <w:rFonts w:hint="eastAsia" w:ascii="Times New Roman" w:hAnsi="Times New Roman" w:cs="Times New Roman"/>
                <w:bCs/>
                <w:sz w:val="20"/>
                <w:szCs w:val="20"/>
              </w:rPr>
              <w:t>7.1 水下照明灯组：水下灯组8组；</w:t>
            </w:r>
          </w:p>
        </w:tc>
      </w:tr>
      <w:tr w14:paraId="16AC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30324F6F">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4A4E0229">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161E415C">
            <w:pPr>
              <w:rPr>
                <w:rFonts w:ascii="Times New Roman" w:hAnsi="Times New Roman" w:cs="Times New Roman"/>
                <w:sz w:val="20"/>
                <w:szCs w:val="20"/>
              </w:rPr>
            </w:pPr>
            <w:r>
              <w:rPr>
                <w:rFonts w:hint="eastAsia" w:ascii="Times New Roman" w:hAnsi="Times New Roman" w:cs="Times New Roman"/>
                <w:sz w:val="20"/>
                <w:szCs w:val="20"/>
              </w:rPr>
              <w:t>7.2 功能：</w:t>
            </w:r>
            <w:r>
              <w:rPr>
                <w:rFonts w:hint="eastAsia" w:ascii="Times New Roman" w:hAnsi="Times New Roman" w:cs="Times New Roman"/>
                <w:bCs/>
                <w:sz w:val="20"/>
                <w:szCs w:val="20"/>
              </w:rPr>
              <w:t>可调节亮度；</w:t>
            </w:r>
          </w:p>
        </w:tc>
      </w:tr>
      <w:tr w14:paraId="0775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07BFCD64">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3265868B">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6D5380AC">
            <w:pPr>
              <w:rPr>
                <w:rFonts w:ascii="Times New Roman" w:hAnsi="Times New Roman" w:cs="Times New Roman"/>
                <w:sz w:val="20"/>
                <w:szCs w:val="20"/>
              </w:rPr>
            </w:pPr>
            <w:r>
              <w:rPr>
                <w:rFonts w:hint="eastAsia" w:ascii="Times New Roman" w:hAnsi="Times New Roman" w:cs="Times New Roman"/>
                <w:sz w:val="20"/>
                <w:szCs w:val="20"/>
              </w:rPr>
              <w:t>7.3</w:t>
            </w:r>
            <w:r>
              <w:rPr>
                <w:rFonts w:ascii="Times New Roman" w:hAnsi="Times New Roman" w:cs="Times New Roman"/>
                <w:sz w:val="20"/>
                <w:szCs w:val="20"/>
              </w:rPr>
              <w:t xml:space="preserve"> </w:t>
            </w:r>
            <w:r>
              <w:rPr>
                <w:rFonts w:hint="eastAsia" w:ascii="Times New Roman" w:hAnsi="Times New Roman" w:cs="Times New Roman"/>
                <w:sz w:val="20"/>
                <w:szCs w:val="20"/>
              </w:rPr>
              <w:t>耐压水深：≥ 1000米；</w:t>
            </w:r>
          </w:p>
        </w:tc>
      </w:tr>
      <w:tr w14:paraId="6E4D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left w:val="single" w:color="auto" w:sz="4" w:space="0"/>
              <w:right w:val="single" w:color="auto" w:sz="4" w:space="0"/>
            </w:tcBorders>
            <w:vAlign w:val="center"/>
          </w:tcPr>
          <w:p w14:paraId="59BF02EA">
            <w:pPr>
              <w:widowControl/>
              <w:jc w:val="center"/>
              <w:rPr>
                <w:rFonts w:ascii="Times New Roman" w:hAnsi="Times New Roman" w:eastAsia="宋体"/>
                <w:b/>
                <w:sz w:val="20"/>
                <w:szCs w:val="20"/>
              </w:rPr>
            </w:pPr>
            <w:r>
              <w:rPr>
                <w:rFonts w:hint="eastAsia" w:ascii="Times New Roman" w:hAnsi="Times New Roman" w:eastAsia="宋体"/>
                <w:b/>
                <w:sz w:val="20"/>
                <w:szCs w:val="20"/>
              </w:rPr>
              <w:t>8</w:t>
            </w:r>
          </w:p>
        </w:tc>
        <w:tc>
          <w:tcPr>
            <w:tcW w:w="1094" w:type="pct"/>
            <w:vMerge w:val="restart"/>
            <w:tcBorders>
              <w:left w:val="single" w:color="auto" w:sz="4" w:space="0"/>
              <w:right w:val="single" w:color="auto" w:sz="4" w:space="0"/>
            </w:tcBorders>
            <w:vAlign w:val="center"/>
          </w:tcPr>
          <w:p w14:paraId="0EB42631">
            <w:pPr>
              <w:widowControl/>
              <w:jc w:val="center"/>
              <w:rPr>
                <w:rFonts w:ascii="Times New Roman" w:hAnsi="Times New Roman" w:eastAsia="宋体"/>
                <w:bCs/>
                <w:sz w:val="20"/>
                <w:szCs w:val="20"/>
              </w:rPr>
            </w:pPr>
            <w:r>
              <w:rPr>
                <w:rFonts w:ascii="Times New Roman" w:hAnsi="Times New Roman" w:cs="Times New Roman"/>
                <w:sz w:val="18"/>
                <w:szCs w:val="18"/>
              </w:rPr>
              <w:t>1.7</w:t>
            </w:r>
            <w:r>
              <w:rPr>
                <w:rFonts w:hint="eastAsia" w:ascii="Times New Roman" w:hAnsi="Times New Roman" w:cs="Times New Roman"/>
                <w:sz w:val="18"/>
                <w:szCs w:val="18"/>
              </w:rPr>
              <w:t>水下导航传感系统</w:t>
            </w:r>
          </w:p>
        </w:tc>
        <w:tc>
          <w:tcPr>
            <w:tcW w:w="3307" w:type="pct"/>
            <w:tcBorders>
              <w:top w:val="single" w:color="auto" w:sz="4" w:space="0"/>
              <w:left w:val="single" w:color="auto" w:sz="4" w:space="0"/>
              <w:bottom w:val="single" w:color="auto" w:sz="4" w:space="0"/>
              <w:right w:val="single" w:color="auto" w:sz="4" w:space="0"/>
            </w:tcBorders>
            <w:vAlign w:val="center"/>
          </w:tcPr>
          <w:p w14:paraId="282D82E8">
            <w:pPr>
              <w:rPr>
                <w:rFonts w:ascii="Times New Roman" w:hAnsi="Times New Roman" w:cs="Times New Roman"/>
                <w:sz w:val="20"/>
                <w:szCs w:val="20"/>
              </w:rPr>
            </w:pPr>
            <w:r>
              <w:rPr>
                <w:rFonts w:ascii="Times New Roman" w:hAnsi="Times New Roman" w:cs="Times New Roman"/>
                <w:sz w:val="20"/>
                <w:szCs w:val="20"/>
              </w:rPr>
              <w:t>8.1</w:t>
            </w:r>
            <w:r>
              <w:rPr>
                <w:rFonts w:hint="eastAsia" w:ascii="Times New Roman" w:hAnsi="Times New Roman" w:cs="Times New Roman"/>
                <w:sz w:val="20"/>
                <w:szCs w:val="20"/>
              </w:rPr>
              <w:t xml:space="preserve"> ★ 搭载传感器：深度计1部；高度计1部；姿态传感器1部；成像声呐1部；</w:t>
            </w:r>
          </w:p>
        </w:tc>
      </w:tr>
      <w:tr w14:paraId="5297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22B07D1B">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6512D9DB">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2A4F740C">
            <w:pPr>
              <w:widowControl/>
              <w:jc w:val="left"/>
              <w:rPr>
                <w:sz w:val="20"/>
                <w:szCs w:val="20"/>
              </w:rPr>
            </w:pPr>
            <w:r>
              <w:rPr>
                <w:bCs/>
                <w:sz w:val="20"/>
                <w:szCs w:val="20"/>
              </w:rPr>
              <w:t>8</w:t>
            </w:r>
            <w:r>
              <w:rPr>
                <w:sz w:val="20"/>
                <w:szCs w:val="20"/>
              </w:rPr>
              <w:t xml:space="preserve">.2 </w:t>
            </w:r>
            <w:r>
              <w:rPr>
                <w:rFonts w:hint="eastAsia"/>
                <w:sz w:val="20"/>
                <w:szCs w:val="20"/>
              </w:rPr>
              <w:t>深度计：数字石英压力深度计，作业水深≥1000米，精度</w:t>
            </w:r>
            <w:r>
              <w:rPr>
                <w:rFonts w:hint="eastAsia"/>
                <w:sz w:val="20"/>
                <w:szCs w:val="20"/>
                <w:lang w:bidi="ar"/>
              </w:rPr>
              <w:t>±0.05%量程</w:t>
            </w:r>
            <w:r>
              <w:rPr>
                <w:rFonts w:hint="eastAsia"/>
                <w:sz w:val="20"/>
                <w:szCs w:val="20"/>
              </w:rPr>
              <w:t>；</w:t>
            </w:r>
          </w:p>
        </w:tc>
      </w:tr>
      <w:tr w14:paraId="603F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03028357">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4B1AE4EF">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45061B35">
            <w:pPr>
              <w:pStyle w:val="6"/>
              <w:spacing w:before="0" w:beforeLines="0" w:after="0" w:afterLines="0"/>
              <w:ind w:firstLine="0" w:firstLineChars="0"/>
              <w:rPr>
                <w:bCs/>
                <w:sz w:val="20"/>
              </w:rPr>
            </w:pPr>
            <w:r>
              <w:rPr>
                <w:rFonts w:hint="eastAsia"/>
                <w:bCs/>
                <w:sz w:val="20"/>
              </w:rPr>
              <w:t>8.3</w:t>
            </w:r>
            <w:r>
              <w:rPr>
                <w:bCs/>
                <w:sz w:val="20"/>
              </w:rPr>
              <w:t xml:space="preserve"> </w:t>
            </w:r>
            <w:r>
              <w:rPr>
                <w:rFonts w:hint="eastAsia"/>
                <w:sz w:val="20"/>
              </w:rPr>
              <w:t>高度计：测高精度±1cm＋0.1%高度，工作距离0.5米-100米</w:t>
            </w:r>
            <w:r>
              <w:rPr>
                <w:rFonts w:hint="eastAsia"/>
                <w:bCs/>
                <w:sz w:val="20"/>
              </w:rPr>
              <w:t>；</w:t>
            </w:r>
          </w:p>
        </w:tc>
      </w:tr>
      <w:tr w14:paraId="2044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210F90A0">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7CE458F4">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5672F931">
            <w:pPr>
              <w:pStyle w:val="6"/>
              <w:spacing w:before="0" w:beforeLines="0" w:after="0" w:afterLines="0" w:line="240" w:lineRule="auto"/>
              <w:ind w:firstLine="0" w:firstLineChars="0"/>
              <w:rPr>
                <w:bCs/>
                <w:sz w:val="20"/>
              </w:rPr>
            </w:pPr>
            <w:r>
              <w:rPr>
                <w:rFonts w:asciiTheme="minorHAnsi" w:hAnsiTheme="minorHAnsi" w:eastAsiaTheme="minorEastAsia" w:cstheme="minorBidi"/>
                <w:bCs/>
                <w:sz w:val="20"/>
              </w:rPr>
              <w:t>8</w:t>
            </w:r>
            <w:r>
              <w:rPr>
                <w:rFonts w:hint="eastAsia" w:asciiTheme="minorHAnsi" w:hAnsiTheme="minorHAnsi" w:eastAsiaTheme="minorEastAsia" w:cstheme="minorBidi"/>
                <w:bCs/>
                <w:sz w:val="20"/>
              </w:rPr>
              <w:t xml:space="preserve">.4 </w:t>
            </w:r>
            <w:r>
              <w:rPr>
                <w:rFonts w:asciiTheme="minorHAnsi" w:hAnsiTheme="minorHAnsi" w:eastAsiaTheme="minorEastAsia" w:cstheme="minorBidi"/>
                <w:bCs/>
                <w:sz w:val="20"/>
              </w:rPr>
              <w:t>姿态传感器：FOG光纤罗经，艏向精度≤0.5°横摇、纵摇精度≤0.1°；</w:t>
            </w:r>
          </w:p>
        </w:tc>
      </w:tr>
      <w:tr w14:paraId="7737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6B74F306">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67F695CB">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1712A9F1">
            <w:pPr>
              <w:pStyle w:val="6"/>
              <w:spacing w:before="0" w:beforeLines="0" w:after="0" w:afterLines="0" w:line="240" w:lineRule="auto"/>
              <w:ind w:firstLine="0" w:firstLineChars="0"/>
              <w:rPr>
                <w:bCs/>
                <w:sz w:val="20"/>
              </w:rPr>
            </w:pPr>
            <w:r>
              <w:rPr>
                <w:rFonts w:asciiTheme="minorHAnsi" w:hAnsiTheme="minorHAnsi" w:eastAsiaTheme="minorEastAsia" w:cstheme="minorBidi"/>
                <w:bCs/>
                <w:sz w:val="20"/>
              </w:rPr>
              <w:t>8.5 成像声呐：双频彩色图像声呐，高频量程≥100米、分辨率5厘米，低频量程≥200米、分辨率</w:t>
            </w:r>
            <w:r>
              <w:rPr>
                <w:rFonts w:hint="eastAsia" w:asciiTheme="minorHAnsi" w:hAnsiTheme="minorHAnsi" w:eastAsiaTheme="minorEastAsia" w:cstheme="minorBidi"/>
                <w:bCs/>
                <w:sz w:val="20"/>
              </w:rPr>
              <w:t>不低于</w:t>
            </w:r>
            <w:r>
              <w:rPr>
                <w:rFonts w:asciiTheme="minorHAnsi" w:hAnsiTheme="minorHAnsi" w:eastAsiaTheme="minorEastAsia" w:cstheme="minorBidi"/>
                <w:bCs/>
                <w:sz w:val="20"/>
              </w:rPr>
              <w:t>8厘米；</w:t>
            </w:r>
          </w:p>
        </w:tc>
      </w:tr>
      <w:tr w14:paraId="25A7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bottom w:val="single" w:color="auto" w:sz="4" w:space="0"/>
              <w:right w:val="single" w:color="auto" w:sz="4" w:space="0"/>
            </w:tcBorders>
            <w:vAlign w:val="center"/>
          </w:tcPr>
          <w:p w14:paraId="5F7E8C4B">
            <w:pPr>
              <w:widowControl/>
              <w:jc w:val="center"/>
              <w:rPr>
                <w:rFonts w:ascii="Times New Roman" w:hAnsi="Times New Roman" w:eastAsia="宋体"/>
                <w:b/>
                <w:sz w:val="20"/>
                <w:szCs w:val="20"/>
              </w:rPr>
            </w:pPr>
          </w:p>
        </w:tc>
        <w:tc>
          <w:tcPr>
            <w:tcW w:w="1094" w:type="pct"/>
            <w:vMerge w:val="continue"/>
            <w:tcBorders>
              <w:left w:val="single" w:color="auto" w:sz="4" w:space="0"/>
              <w:bottom w:val="single" w:color="auto" w:sz="4" w:space="0"/>
              <w:right w:val="single" w:color="auto" w:sz="4" w:space="0"/>
            </w:tcBorders>
            <w:vAlign w:val="center"/>
          </w:tcPr>
          <w:p w14:paraId="54905A24">
            <w:pPr>
              <w:widowControl/>
              <w:jc w:val="left"/>
              <w:rPr>
                <w:rFonts w:ascii="Times New Roman" w:hAnsi="Times New Roman" w:eastAsia="宋体"/>
                <w:bCs/>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796D6BD1">
            <w:pPr>
              <w:rPr>
                <w:rFonts w:ascii="Times New Roman" w:hAnsi="Times New Roman" w:cs="Times New Roman"/>
                <w:bCs/>
                <w:sz w:val="20"/>
                <w:szCs w:val="20"/>
              </w:rPr>
            </w:pPr>
            <w:r>
              <w:rPr>
                <w:rFonts w:ascii="Times New Roman" w:hAnsi="Times New Roman" w:cs="Times New Roman"/>
                <w:sz w:val="20"/>
                <w:szCs w:val="20"/>
              </w:rPr>
              <w:t xml:space="preserve">8.6 </w:t>
            </w:r>
            <w:r>
              <w:rPr>
                <w:rFonts w:hint="eastAsia" w:ascii="Times New Roman" w:hAnsi="Times New Roman" w:cs="Times New Roman"/>
                <w:sz w:val="20"/>
                <w:szCs w:val="20"/>
              </w:rPr>
              <w:t>耐压水深：≥ 1000米；</w:t>
            </w:r>
          </w:p>
        </w:tc>
      </w:tr>
      <w:tr w14:paraId="4C2E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bottom w:val="single" w:color="auto" w:sz="4" w:space="0"/>
              <w:right w:val="single" w:color="auto" w:sz="4" w:space="0"/>
            </w:tcBorders>
            <w:vAlign w:val="center"/>
          </w:tcPr>
          <w:p w14:paraId="330C27F2">
            <w:pPr>
              <w:jc w:val="center"/>
              <w:rPr>
                <w:rFonts w:ascii="Times New Roman" w:hAnsi="Times New Roman"/>
                <w:b/>
                <w:sz w:val="20"/>
                <w:szCs w:val="20"/>
              </w:rPr>
            </w:pPr>
            <w:r>
              <w:rPr>
                <w:rFonts w:hint="eastAsia" w:ascii="Times New Roman" w:hAnsi="Times New Roman"/>
                <w:b/>
                <w:sz w:val="20"/>
                <w:szCs w:val="20"/>
              </w:rPr>
              <w:t>9</w:t>
            </w:r>
          </w:p>
        </w:tc>
        <w:tc>
          <w:tcPr>
            <w:tcW w:w="1094" w:type="pct"/>
            <w:vMerge w:val="restart"/>
            <w:tcBorders>
              <w:top w:val="nil"/>
              <w:left w:val="single" w:color="auto" w:sz="4" w:space="0"/>
              <w:bottom w:val="single" w:color="auto" w:sz="4" w:space="0"/>
              <w:right w:val="single" w:color="auto" w:sz="4" w:space="0"/>
            </w:tcBorders>
            <w:vAlign w:val="center"/>
          </w:tcPr>
          <w:p w14:paraId="5C1F4CAF">
            <w:pPr>
              <w:jc w:val="center"/>
              <w:rPr>
                <w:rFonts w:ascii="Times New Roman" w:hAnsi="Times New Roman"/>
                <w:b/>
                <w:sz w:val="20"/>
                <w:szCs w:val="20"/>
              </w:rPr>
            </w:pPr>
            <w:r>
              <w:rPr>
                <w:rFonts w:ascii="Times New Roman" w:hAnsi="Times New Roman" w:cs="Times New Roman"/>
                <w:sz w:val="18"/>
                <w:szCs w:val="18"/>
              </w:rPr>
              <w:t>1.8</w:t>
            </w:r>
            <w:r>
              <w:rPr>
                <w:rFonts w:hint="eastAsia" w:ascii="Times New Roman" w:hAnsi="Times New Roman" w:cs="Times New Roman"/>
                <w:sz w:val="18"/>
                <w:szCs w:val="18"/>
              </w:rPr>
              <w:t>水下支撑系统</w:t>
            </w:r>
          </w:p>
        </w:tc>
        <w:tc>
          <w:tcPr>
            <w:tcW w:w="3307" w:type="pct"/>
            <w:tcBorders>
              <w:top w:val="single" w:color="auto" w:sz="4" w:space="0"/>
              <w:left w:val="single" w:color="auto" w:sz="4" w:space="0"/>
              <w:bottom w:val="single" w:color="auto" w:sz="4" w:space="0"/>
              <w:right w:val="single" w:color="auto" w:sz="4" w:space="0"/>
            </w:tcBorders>
            <w:vAlign w:val="center"/>
          </w:tcPr>
          <w:p w14:paraId="5710802E">
            <w:pPr>
              <w:rPr>
                <w:rFonts w:ascii="Times New Roman" w:hAnsi="Times New Roman" w:cs="Times New Roman"/>
                <w:b/>
                <w:sz w:val="20"/>
                <w:szCs w:val="20"/>
              </w:rPr>
            </w:pPr>
            <w:r>
              <w:rPr>
                <w:rFonts w:hint="eastAsia" w:ascii="Times New Roman" w:hAnsi="Times New Roman" w:cs="Times New Roman"/>
                <w:sz w:val="20"/>
                <w:szCs w:val="20"/>
              </w:rPr>
              <w:t>9.1 工具阀：不少于14组；</w:t>
            </w:r>
          </w:p>
        </w:tc>
      </w:tr>
      <w:tr w14:paraId="2CA1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top w:val="nil"/>
              <w:left w:val="single" w:color="auto" w:sz="4" w:space="0"/>
              <w:bottom w:val="single" w:color="auto" w:sz="4" w:space="0"/>
              <w:right w:val="single" w:color="auto" w:sz="4" w:space="0"/>
            </w:tcBorders>
            <w:vAlign w:val="center"/>
          </w:tcPr>
          <w:p w14:paraId="2F14186A">
            <w:pPr>
              <w:widowControl/>
              <w:jc w:val="center"/>
              <w:rPr>
                <w:rFonts w:ascii="Times New Roman" w:hAnsi="Times New Roman" w:eastAsia="宋体"/>
                <w:b/>
                <w:sz w:val="20"/>
                <w:szCs w:val="20"/>
              </w:rPr>
            </w:pPr>
          </w:p>
        </w:tc>
        <w:tc>
          <w:tcPr>
            <w:tcW w:w="1094" w:type="pct"/>
            <w:vMerge w:val="continue"/>
            <w:tcBorders>
              <w:top w:val="nil"/>
              <w:left w:val="single" w:color="auto" w:sz="4" w:space="0"/>
              <w:bottom w:val="single" w:color="auto" w:sz="4" w:space="0"/>
              <w:right w:val="single" w:color="auto" w:sz="4" w:space="0"/>
            </w:tcBorders>
            <w:vAlign w:val="center"/>
          </w:tcPr>
          <w:p w14:paraId="3BF590C4">
            <w:pPr>
              <w:widowControl/>
              <w:jc w:val="left"/>
              <w:rPr>
                <w:rFonts w:ascii="Times New Roman" w:hAnsi="Times New Roman" w:eastAsia="宋体"/>
                <w:b/>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6F5DF69E">
            <w:pPr>
              <w:rPr>
                <w:rFonts w:ascii="Times New Roman" w:hAnsi="Times New Roman" w:cs="Times New Roman"/>
                <w:b/>
                <w:sz w:val="20"/>
                <w:szCs w:val="20"/>
              </w:rPr>
            </w:pPr>
            <w:r>
              <w:rPr>
                <w:rFonts w:hint="eastAsia" w:ascii="Times New Roman" w:hAnsi="Times New Roman" w:cs="Times New Roman"/>
                <w:sz w:val="20"/>
                <w:szCs w:val="20"/>
              </w:rPr>
              <w:t>9.2 液压传感器：最大测量值≥250bar；</w:t>
            </w:r>
          </w:p>
        </w:tc>
      </w:tr>
      <w:tr w14:paraId="2F7D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top w:val="nil"/>
              <w:left w:val="single" w:color="auto" w:sz="4" w:space="0"/>
              <w:bottom w:val="single" w:color="auto" w:sz="4" w:space="0"/>
              <w:right w:val="single" w:color="auto" w:sz="4" w:space="0"/>
            </w:tcBorders>
            <w:vAlign w:val="center"/>
          </w:tcPr>
          <w:p w14:paraId="650428F8">
            <w:pPr>
              <w:widowControl/>
              <w:jc w:val="center"/>
              <w:rPr>
                <w:rFonts w:ascii="Times New Roman" w:hAnsi="Times New Roman" w:eastAsia="宋体"/>
                <w:b/>
                <w:sz w:val="20"/>
                <w:szCs w:val="20"/>
              </w:rPr>
            </w:pPr>
          </w:p>
        </w:tc>
        <w:tc>
          <w:tcPr>
            <w:tcW w:w="1094" w:type="pct"/>
            <w:vMerge w:val="continue"/>
            <w:tcBorders>
              <w:top w:val="nil"/>
              <w:left w:val="single" w:color="auto" w:sz="4" w:space="0"/>
              <w:bottom w:val="single" w:color="auto" w:sz="4" w:space="0"/>
              <w:right w:val="single" w:color="auto" w:sz="4" w:space="0"/>
            </w:tcBorders>
            <w:vAlign w:val="center"/>
          </w:tcPr>
          <w:p w14:paraId="621C6537">
            <w:pPr>
              <w:widowControl/>
              <w:jc w:val="left"/>
              <w:rPr>
                <w:rFonts w:ascii="Times New Roman" w:hAnsi="Times New Roman" w:eastAsia="宋体"/>
                <w:b/>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77723B0C">
            <w:pPr>
              <w:rPr>
                <w:rFonts w:ascii="Times New Roman" w:hAnsi="Times New Roman" w:cs="Times New Roman"/>
                <w:sz w:val="20"/>
                <w:szCs w:val="20"/>
              </w:rPr>
            </w:pPr>
            <w:r>
              <w:rPr>
                <w:rFonts w:ascii="Times New Roman" w:hAnsi="Times New Roman" w:cs="Times New Roman"/>
                <w:sz w:val="20"/>
                <w:szCs w:val="20"/>
              </w:rPr>
              <w:t>9.</w:t>
            </w:r>
            <w:r>
              <w:rPr>
                <w:rFonts w:hint="eastAsia" w:ascii="Times New Roman" w:hAnsi="Times New Roman" w:cs="Times New Roman"/>
                <w:sz w:val="20"/>
                <w:szCs w:val="20"/>
              </w:rPr>
              <w:t>3 材质：铝合金、不锈钢；</w:t>
            </w:r>
          </w:p>
        </w:tc>
      </w:tr>
      <w:tr w14:paraId="1C7A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4FCD9F57">
            <w:pPr>
              <w:widowControl/>
              <w:jc w:val="center"/>
              <w:rPr>
                <w:rFonts w:ascii="Times New Roman" w:hAnsi="Times New Roman" w:eastAsia="宋体"/>
                <w:b/>
                <w:sz w:val="20"/>
                <w:szCs w:val="20"/>
              </w:rPr>
            </w:pPr>
            <w:r>
              <w:rPr>
                <w:rFonts w:hint="eastAsia" w:ascii="Times New Roman" w:hAnsi="Times New Roman" w:eastAsia="宋体"/>
                <w:b/>
                <w:sz w:val="20"/>
                <w:szCs w:val="20"/>
              </w:rPr>
              <w:t>10</w:t>
            </w:r>
          </w:p>
        </w:tc>
        <w:tc>
          <w:tcPr>
            <w:tcW w:w="1094" w:type="pct"/>
            <w:vMerge w:val="restart"/>
            <w:tcBorders>
              <w:top w:val="nil"/>
              <w:left w:val="single" w:color="auto" w:sz="4" w:space="0"/>
              <w:right w:val="single" w:color="auto" w:sz="4" w:space="0"/>
            </w:tcBorders>
            <w:vAlign w:val="center"/>
          </w:tcPr>
          <w:p w14:paraId="13590AA5">
            <w:pPr>
              <w:widowControl/>
              <w:jc w:val="center"/>
              <w:rPr>
                <w:rFonts w:ascii="Times New Roman" w:hAnsi="Times New Roman" w:eastAsia="宋体"/>
                <w:b/>
                <w:sz w:val="20"/>
                <w:szCs w:val="20"/>
              </w:rPr>
            </w:pPr>
            <w:r>
              <w:rPr>
                <w:rFonts w:ascii="Times New Roman" w:hAnsi="Times New Roman" w:cs="Times New Roman"/>
                <w:sz w:val="18"/>
                <w:szCs w:val="18"/>
              </w:rPr>
              <w:t>2</w:t>
            </w:r>
            <w:r>
              <w:rPr>
                <w:rFonts w:hint="eastAsia" w:ascii="Times New Roman" w:hAnsi="Times New Roman" w:cs="Times New Roman"/>
                <w:sz w:val="18"/>
                <w:szCs w:val="18"/>
              </w:rPr>
              <w:t>．深海多功能机械臂</w:t>
            </w:r>
          </w:p>
        </w:tc>
        <w:tc>
          <w:tcPr>
            <w:tcW w:w="3307" w:type="pct"/>
            <w:tcBorders>
              <w:top w:val="single" w:color="auto" w:sz="4" w:space="0"/>
              <w:left w:val="single" w:color="auto" w:sz="4" w:space="0"/>
              <w:bottom w:val="single" w:color="auto" w:sz="4" w:space="0"/>
              <w:right w:val="single" w:color="auto" w:sz="4" w:space="0"/>
            </w:tcBorders>
            <w:vAlign w:val="center"/>
          </w:tcPr>
          <w:p w14:paraId="1F8CD317">
            <w:pPr>
              <w:rPr>
                <w:rFonts w:ascii="宋体" w:hAnsi="宋体"/>
                <w:sz w:val="20"/>
                <w:szCs w:val="20"/>
              </w:rPr>
            </w:pPr>
            <w:r>
              <w:rPr>
                <w:rFonts w:hint="eastAsia" w:ascii="Times New Roman" w:hAnsi="Times New Roman"/>
                <w:sz w:val="20"/>
                <w:szCs w:val="20"/>
              </w:rPr>
              <w:t>1</w:t>
            </w:r>
            <w:r>
              <w:rPr>
                <w:rFonts w:ascii="Times New Roman" w:hAnsi="Times New Roman"/>
                <w:sz w:val="20"/>
                <w:szCs w:val="20"/>
              </w:rPr>
              <w:t xml:space="preserve">0.1 </w:t>
            </w:r>
            <w:r>
              <w:rPr>
                <w:rFonts w:hint="eastAsia" w:ascii="Times New Roman" w:hAnsi="Times New Roman"/>
                <w:sz w:val="20"/>
                <w:szCs w:val="20"/>
              </w:rPr>
              <w:t>包括：</w:t>
            </w:r>
            <w:r>
              <w:rPr>
                <w:rFonts w:hint="eastAsia" w:ascii="Times New Roman" w:hAnsi="Times New Roman" w:cs="Times New Roman"/>
                <w:sz w:val="18"/>
                <w:szCs w:val="18"/>
              </w:rPr>
              <w:t>五功能机械臂、</w:t>
            </w:r>
            <w:r>
              <w:rPr>
                <w:rFonts w:ascii="Times New Roman" w:hAnsi="Times New Roman" w:cs="Times New Roman"/>
                <w:sz w:val="18"/>
                <w:szCs w:val="18"/>
              </w:rPr>
              <w:t>七功能机械臂</w:t>
            </w:r>
            <w:r>
              <w:rPr>
                <w:rFonts w:hint="eastAsia" w:ascii="Times New Roman" w:hAnsi="Times New Roman"/>
                <w:sz w:val="20"/>
                <w:szCs w:val="20"/>
              </w:rPr>
              <w:t>；</w:t>
            </w:r>
          </w:p>
        </w:tc>
      </w:tr>
      <w:tr w14:paraId="17B1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2138CDDD">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303E1027">
            <w:pPr>
              <w:widowControl/>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vAlign w:val="center"/>
          </w:tcPr>
          <w:p w14:paraId="07847470">
            <w:pPr>
              <w:rPr>
                <w:rFonts w:ascii="Times New Roman" w:hAnsi="Times New Roman"/>
                <w:sz w:val="20"/>
                <w:szCs w:val="20"/>
              </w:rPr>
            </w:pPr>
            <w:r>
              <w:rPr>
                <w:rFonts w:hint="eastAsia" w:ascii="Times New Roman" w:hAnsi="Times New Roman"/>
                <w:sz w:val="20"/>
                <w:szCs w:val="20"/>
              </w:rPr>
              <w:t>1</w:t>
            </w:r>
            <w:r>
              <w:rPr>
                <w:rFonts w:ascii="Times New Roman" w:hAnsi="Times New Roman"/>
                <w:sz w:val="20"/>
                <w:szCs w:val="20"/>
              </w:rPr>
              <w:t xml:space="preserve">0.2 </w:t>
            </w:r>
            <w:r>
              <w:rPr>
                <w:rFonts w:hint="eastAsia" w:ascii="Times New Roman" w:hAnsi="Times New Roman" w:cs="Times New Roman"/>
                <w:sz w:val="20"/>
                <w:szCs w:val="20"/>
              </w:rPr>
              <w:t xml:space="preserve">★ </w:t>
            </w:r>
            <w:r>
              <w:rPr>
                <w:rFonts w:hint="eastAsia" w:ascii="Times New Roman" w:hAnsi="Times New Roman"/>
                <w:sz w:val="20"/>
                <w:szCs w:val="20"/>
              </w:rPr>
              <w:t>搭载多功能机械手：</w:t>
            </w:r>
            <w:r>
              <w:rPr>
                <w:rFonts w:ascii="Times New Roman" w:hAnsi="Times New Roman"/>
                <w:sz w:val="20"/>
                <w:szCs w:val="20"/>
              </w:rPr>
              <w:t>4</w:t>
            </w:r>
            <w:r>
              <w:rPr>
                <w:rFonts w:hint="eastAsia" w:ascii="Times New Roman" w:hAnsi="Times New Roman"/>
                <w:sz w:val="20"/>
                <w:szCs w:val="20"/>
              </w:rPr>
              <w:t>套；</w:t>
            </w:r>
          </w:p>
        </w:tc>
      </w:tr>
      <w:tr w14:paraId="7A64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bottom w:val="single" w:color="auto" w:sz="4" w:space="0"/>
              <w:right w:val="single" w:color="auto" w:sz="4" w:space="0"/>
            </w:tcBorders>
            <w:vAlign w:val="center"/>
          </w:tcPr>
          <w:p w14:paraId="593F95D4">
            <w:pPr>
              <w:jc w:val="center"/>
              <w:rPr>
                <w:rFonts w:ascii="Times New Roman" w:hAnsi="Times New Roman"/>
                <w:b/>
                <w:sz w:val="20"/>
                <w:szCs w:val="20"/>
              </w:rPr>
            </w:pPr>
            <w:r>
              <w:rPr>
                <w:rFonts w:hint="eastAsia" w:ascii="Times New Roman" w:hAnsi="Times New Roman"/>
                <w:b/>
                <w:sz w:val="20"/>
                <w:szCs w:val="20"/>
              </w:rPr>
              <w:t>11</w:t>
            </w:r>
          </w:p>
        </w:tc>
        <w:tc>
          <w:tcPr>
            <w:tcW w:w="1094" w:type="pct"/>
            <w:vMerge w:val="restart"/>
            <w:tcBorders>
              <w:top w:val="nil"/>
              <w:left w:val="single" w:color="auto" w:sz="4" w:space="0"/>
              <w:bottom w:val="single" w:color="auto" w:sz="4" w:space="0"/>
              <w:right w:val="single" w:color="auto" w:sz="4" w:space="0"/>
            </w:tcBorders>
            <w:vAlign w:val="center"/>
          </w:tcPr>
          <w:p w14:paraId="4D102BD8">
            <w:pPr>
              <w:jc w:val="center"/>
              <w:rPr>
                <w:rFonts w:ascii="Times New Roman" w:hAnsi="Times New Roman" w:cs="Times New Roman"/>
                <w:sz w:val="18"/>
                <w:szCs w:val="18"/>
              </w:rPr>
            </w:pPr>
            <w:r>
              <w:rPr>
                <w:rFonts w:ascii="Times New Roman" w:hAnsi="Times New Roman" w:cs="Times New Roman"/>
                <w:sz w:val="18"/>
                <w:szCs w:val="18"/>
              </w:rPr>
              <w:t>2.1</w:t>
            </w:r>
            <w:r>
              <w:rPr>
                <w:rFonts w:hint="eastAsia" w:ascii="Times New Roman" w:hAnsi="Times New Roman" w:cs="Times New Roman"/>
                <w:sz w:val="18"/>
                <w:szCs w:val="18"/>
              </w:rPr>
              <w:t>五功能机械臂</w:t>
            </w:r>
          </w:p>
        </w:tc>
        <w:tc>
          <w:tcPr>
            <w:tcW w:w="3307" w:type="pct"/>
            <w:tcBorders>
              <w:top w:val="single" w:color="auto" w:sz="4" w:space="0"/>
              <w:left w:val="single" w:color="auto" w:sz="4" w:space="0"/>
              <w:bottom w:val="single" w:color="auto" w:sz="4" w:space="0"/>
              <w:right w:val="single" w:color="auto" w:sz="4" w:space="0"/>
            </w:tcBorders>
            <w:vAlign w:val="center"/>
          </w:tcPr>
          <w:p w14:paraId="438F88D1">
            <w:pPr>
              <w:rPr>
                <w:rFonts w:ascii="Times New Roman" w:hAnsi="Times New Roman" w:cs="Times New Roman"/>
                <w:sz w:val="20"/>
                <w:szCs w:val="20"/>
              </w:rPr>
            </w:pPr>
            <w:r>
              <w:rPr>
                <w:rFonts w:hint="eastAsia" w:ascii="Times New Roman" w:hAnsi="Times New Roman" w:cs="Times New Roman"/>
                <w:sz w:val="20"/>
                <w:szCs w:val="20"/>
              </w:rPr>
              <w:t>11.1</w:t>
            </w:r>
            <w:r>
              <w:rPr>
                <w:rFonts w:ascii="Times New Roman" w:hAnsi="Times New Roman" w:cs="Times New Roman"/>
                <w:sz w:val="20"/>
                <w:szCs w:val="20"/>
              </w:rPr>
              <w:t xml:space="preserve"> </w:t>
            </w:r>
            <w:r>
              <w:rPr>
                <w:rFonts w:hint="eastAsia" w:ascii="Times New Roman" w:hAnsi="Times New Roman" w:cs="Times New Roman"/>
                <w:sz w:val="20"/>
                <w:szCs w:val="20"/>
              </w:rPr>
              <w:t>数量：2套</w:t>
            </w:r>
          </w:p>
        </w:tc>
      </w:tr>
      <w:tr w14:paraId="5AC6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top w:val="nil"/>
              <w:left w:val="single" w:color="auto" w:sz="4" w:space="0"/>
              <w:bottom w:val="single" w:color="auto" w:sz="4" w:space="0"/>
              <w:right w:val="single" w:color="auto" w:sz="4" w:space="0"/>
            </w:tcBorders>
            <w:vAlign w:val="center"/>
          </w:tcPr>
          <w:p w14:paraId="35814AEA">
            <w:pPr>
              <w:jc w:val="center"/>
              <w:rPr>
                <w:rFonts w:ascii="Times New Roman" w:hAnsi="Times New Roman"/>
                <w:b/>
                <w:sz w:val="20"/>
                <w:szCs w:val="20"/>
              </w:rPr>
            </w:pPr>
          </w:p>
        </w:tc>
        <w:tc>
          <w:tcPr>
            <w:tcW w:w="1094" w:type="pct"/>
            <w:vMerge w:val="continue"/>
            <w:tcBorders>
              <w:top w:val="nil"/>
              <w:left w:val="single" w:color="auto" w:sz="4" w:space="0"/>
              <w:bottom w:val="single" w:color="auto" w:sz="4" w:space="0"/>
              <w:right w:val="single" w:color="auto" w:sz="4" w:space="0"/>
            </w:tcBorders>
            <w:vAlign w:val="center"/>
          </w:tcPr>
          <w:p w14:paraId="2BC23025">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vAlign w:val="center"/>
          </w:tcPr>
          <w:p w14:paraId="0F052BBC">
            <w:pPr>
              <w:rPr>
                <w:rFonts w:ascii="Times New Roman" w:hAnsi="Times New Roman" w:cs="Times New Roman"/>
                <w:b/>
                <w:sz w:val="20"/>
                <w:szCs w:val="20"/>
              </w:rPr>
            </w:pPr>
            <w:r>
              <w:rPr>
                <w:rFonts w:hint="eastAsia" w:ascii="Times New Roman" w:hAnsi="Times New Roman" w:cs="Times New Roman"/>
                <w:sz w:val="20"/>
                <w:szCs w:val="20"/>
              </w:rPr>
              <w:t>11.2</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 xml:space="preserve"> 水下最大负载：150kg；</w:t>
            </w:r>
          </w:p>
        </w:tc>
      </w:tr>
      <w:tr w14:paraId="5F48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top w:val="nil"/>
              <w:left w:val="single" w:color="auto" w:sz="4" w:space="0"/>
              <w:bottom w:val="single" w:color="auto" w:sz="4" w:space="0"/>
              <w:right w:val="single" w:color="auto" w:sz="4" w:space="0"/>
            </w:tcBorders>
            <w:vAlign w:val="center"/>
          </w:tcPr>
          <w:p w14:paraId="6D226FD6">
            <w:pPr>
              <w:widowControl/>
              <w:jc w:val="center"/>
              <w:rPr>
                <w:rFonts w:ascii="Times New Roman" w:hAnsi="Times New Roman" w:eastAsia="宋体"/>
                <w:b/>
                <w:sz w:val="20"/>
                <w:szCs w:val="20"/>
              </w:rPr>
            </w:pPr>
          </w:p>
        </w:tc>
        <w:tc>
          <w:tcPr>
            <w:tcW w:w="1094" w:type="pct"/>
            <w:vMerge w:val="continue"/>
            <w:tcBorders>
              <w:top w:val="nil"/>
              <w:left w:val="single" w:color="auto" w:sz="4" w:space="0"/>
              <w:bottom w:val="single" w:color="auto" w:sz="4" w:space="0"/>
              <w:right w:val="single" w:color="auto" w:sz="4" w:space="0"/>
            </w:tcBorders>
            <w:vAlign w:val="center"/>
          </w:tcPr>
          <w:p w14:paraId="26A7A14B">
            <w:pPr>
              <w:widowControl/>
              <w:jc w:val="left"/>
              <w:rPr>
                <w:rFonts w:ascii="Times New Roman" w:hAnsi="Times New Roman" w:eastAsia="宋体"/>
                <w:kern w:val="0"/>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7E9107AD">
            <w:pPr>
              <w:rPr>
                <w:rFonts w:ascii="Times New Roman" w:hAnsi="Times New Roman" w:cs="Times New Roman"/>
                <w:b/>
                <w:sz w:val="20"/>
                <w:szCs w:val="20"/>
              </w:rPr>
            </w:pPr>
            <w:r>
              <w:rPr>
                <w:rFonts w:hint="eastAsia" w:ascii="Times New Roman" w:hAnsi="Times New Roman" w:cs="Times New Roman"/>
                <w:sz w:val="20"/>
                <w:szCs w:val="20"/>
              </w:rPr>
              <w:t>11.3 材质：铝合金；</w:t>
            </w:r>
          </w:p>
        </w:tc>
      </w:tr>
      <w:tr w14:paraId="7E82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top w:val="nil"/>
              <w:left w:val="single" w:color="auto" w:sz="4" w:space="0"/>
              <w:bottom w:val="single" w:color="auto" w:sz="4" w:space="0"/>
              <w:right w:val="single" w:color="auto" w:sz="4" w:space="0"/>
            </w:tcBorders>
            <w:vAlign w:val="center"/>
          </w:tcPr>
          <w:p w14:paraId="31078F03">
            <w:pPr>
              <w:widowControl/>
              <w:jc w:val="center"/>
              <w:rPr>
                <w:rFonts w:ascii="Times New Roman" w:hAnsi="Times New Roman" w:eastAsia="宋体"/>
                <w:b/>
                <w:sz w:val="20"/>
                <w:szCs w:val="20"/>
              </w:rPr>
            </w:pPr>
          </w:p>
        </w:tc>
        <w:tc>
          <w:tcPr>
            <w:tcW w:w="1094" w:type="pct"/>
            <w:vMerge w:val="continue"/>
            <w:tcBorders>
              <w:top w:val="nil"/>
              <w:left w:val="single" w:color="auto" w:sz="4" w:space="0"/>
              <w:bottom w:val="single" w:color="auto" w:sz="4" w:space="0"/>
              <w:right w:val="single" w:color="auto" w:sz="4" w:space="0"/>
            </w:tcBorders>
            <w:vAlign w:val="center"/>
          </w:tcPr>
          <w:p w14:paraId="3A1837DB">
            <w:pPr>
              <w:widowControl/>
              <w:jc w:val="left"/>
              <w:rPr>
                <w:rFonts w:ascii="Times New Roman" w:hAnsi="Times New Roman" w:eastAsia="宋体"/>
                <w:kern w:val="0"/>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66210F4A">
            <w:pPr>
              <w:rPr>
                <w:rFonts w:ascii="Times New Roman" w:hAnsi="Times New Roman" w:cs="Times New Roman"/>
                <w:sz w:val="20"/>
                <w:szCs w:val="20"/>
              </w:rPr>
            </w:pPr>
            <w:r>
              <w:rPr>
                <w:rFonts w:hint="eastAsia" w:ascii="Times New Roman" w:hAnsi="Times New Roman" w:cs="Times New Roman"/>
                <w:sz w:val="20"/>
                <w:szCs w:val="20"/>
              </w:rPr>
              <w:t>11.4</w:t>
            </w:r>
            <w:r>
              <w:rPr>
                <w:rFonts w:ascii="Times New Roman" w:hAnsi="Times New Roman" w:cs="Times New Roman"/>
                <w:sz w:val="20"/>
                <w:szCs w:val="20"/>
              </w:rPr>
              <w:t xml:space="preserve"> </w:t>
            </w:r>
            <w:r>
              <w:rPr>
                <w:rFonts w:hint="eastAsia" w:ascii="Times New Roman" w:hAnsi="Times New Roman" w:cs="Times New Roman"/>
                <w:sz w:val="20"/>
                <w:szCs w:val="20"/>
              </w:rPr>
              <w:t>耐压水深：≥ 1000米；</w:t>
            </w:r>
            <w:r>
              <w:rPr>
                <w:rFonts w:ascii="Times New Roman" w:hAnsi="Times New Roman" w:cs="Times New Roman"/>
                <w:sz w:val="20"/>
                <w:szCs w:val="20"/>
              </w:rPr>
              <w:t xml:space="preserve"> </w:t>
            </w:r>
          </w:p>
        </w:tc>
      </w:tr>
      <w:tr w14:paraId="1EC9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27C8DCDC">
            <w:pPr>
              <w:widowControl/>
              <w:jc w:val="center"/>
              <w:rPr>
                <w:rFonts w:ascii="Times New Roman" w:hAnsi="Times New Roman" w:eastAsia="宋体"/>
                <w:b/>
                <w:sz w:val="20"/>
                <w:szCs w:val="20"/>
              </w:rPr>
            </w:pPr>
            <w:r>
              <w:rPr>
                <w:rFonts w:hint="eastAsia" w:ascii="Times New Roman" w:hAnsi="Times New Roman" w:eastAsia="宋体"/>
                <w:b/>
                <w:sz w:val="20"/>
                <w:szCs w:val="20"/>
              </w:rPr>
              <w:t>12</w:t>
            </w:r>
          </w:p>
        </w:tc>
        <w:tc>
          <w:tcPr>
            <w:tcW w:w="1094" w:type="pct"/>
            <w:vMerge w:val="restart"/>
            <w:tcBorders>
              <w:top w:val="nil"/>
              <w:left w:val="single" w:color="auto" w:sz="4" w:space="0"/>
              <w:right w:val="single" w:color="auto" w:sz="4" w:space="0"/>
            </w:tcBorders>
            <w:vAlign w:val="center"/>
          </w:tcPr>
          <w:p w14:paraId="2F4043CC">
            <w:pPr>
              <w:widowControl/>
              <w:jc w:val="center"/>
              <w:rPr>
                <w:rFonts w:ascii="Times New Roman" w:hAnsi="Times New Roman" w:eastAsia="宋体"/>
                <w:kern w:val="0"/>
                <w:sz w:val="20"/>
                <w:szCs w:val="20"/>
              </w:rPr>
            </w:pPr>
            <w:r>
              <w:rPr>
                <w:rFonts w:ascii="Times New Roman" w:hAnsi="Times New Roman" w:cs="Times New Roman"/>
                <w:sz w:val="18"/>
                <w:szCs w:val="18"/>
              </w:rPr>
              <w:t>2.2七功能机械臂</w:t>
            </w:r>
          </w:p>
        </w:tc>
        <w:tc>
          <w:tcPr>
            <w:tcW w:w="3307" w:type="pct"/>
            <w:tcBorders>
              <w:top w:val="single" w:color="auto" w:sz="4" w:space="0"/>
              <w:left w:val="single" w:color="auto" w:sz="4" w:space="0"/>
              <w:bottom w:val="single" w:color="auto" w:sz="4" w:space="0"/>
              <w:right w:val="single" w:color="auto" w:sz="4" w:space="0"/>
            </w:tcBorders>
            <w:vAlign w:val="center"/>
          </w:tcPr>
          <w:p w14:paraId="0A18B323">
            <w:pPr>
              <w:rPr>
                <w:rFonts w:ascii="Times New Roman" w:hAnsi="Times New Roman" w:cs="Times New Roman"/>
                <w:sz w:val="20"/>
                <w:szCs w:val="20"/>
              </w:rPr>
            </w:pPr>
            <w:r>
              <w:rPr>
                <w:rFonts w:hint="eastAsia" w:ascii="Times New Roman" w:hAnsi="Times New Roman" w:cs="Times New Roman"/>
                <w:sz w:val="20"/>
                <w:szCs w:val="20"/>
              </w:rPr>
              <w:t>12.1</w:t>
            </w:r>
            <w:r>
              <w:rPr>
                <w:rFonts w:ascii="Times New Roman" w:hAnsi="Times New Roman" w:cs="Times New Roman"/>
                <w:sz w:val="20"/>
                <w:szCs w:val="20"/>
              </w:rPr>
              <w:t xml:space="preserve"> </w:t>
            </w:r>
            <w:r>
              <w:rPr>
                <w:rFonts w:hint="eastAsia" w:ascii="Times New Roman" w:hAnsi="Times New Roman" w:cs="Times New Roman"/>
                <w:sz w:val="20"/>
                <w:szCs w:val="20"/>
              </w:rPr>
              <w:t>数量：2套；</w:t>
            </w:r>
          </w:p>
        </w:tc>
      </w:tr>
      <w:tr w14:paraId="1FC5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18BA0CC4">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67D58A4F">
            <w:pPr>
              <w:widowControl/>
              <w:jc w:val="left"/>
              <w:rPr>
                <w:rFonts w:ascii="Times New Roman" w:hAnsi="Times New Roman" w:eastAsia="宋体"/>
                <w:kern w:val="0"/>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3AEED649">
            <w:pPr>
              <w:rPr>
                <w:rFonts w:ascii="Times New Roman" w:hAnsi="Times New Roman" w:cs="Times New Roman"/>
                <w:sz w:val="20"/>
                <w:szCs w:val="20"/>
              </w:rPr>
            </w:pPr>
            <w:r>
              <w:rPr>
                <w:rFonts w:hint="eastAsia" w:ascii="Times New Roman" w:hAnsi="Times New Roman" w:cs="Times New Roman"/>
                <w:sz w:val="20"/>
                <w:szCs w:val="20"/>
              </w:rPr>
              <w:t>12.2</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水下最大负载：200kg；</w:t>
            </w:r>
          </w:p>
        </w:tc>
      </w:tr>
      <w:tr w14:paraId="55F9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1BA4B097">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2FF17240">
            <w:pPr>
              <w:widowControl/>
              <w:jc w:val="left"/>
              <w:rPr>
                <w:rFonts w:ascii="Times New Roman" w:hAnsi="Times New Roman" w:eastAsia="宋体"/>
                <w:kern w:val="0"/>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75B5434E">
            <w:pPr>
              <w:rPr>
                <w:rFonts w:ascii="Times New Roman" w:hAnsi="Times New Roman" w:cs="Times New Roman"/>
                <w:sz w:val="20"/>
                <w:szCs w:val="20"/>
              </w:rPr>
            </w:pPr>
            <w:r>
              <w:rPr>
                <w:rFonts w:hint="eastAsia" w:ascii="Times New Roman" w:hAnsi="Times New Roman" w:cs="Times New Roman"/>
                <w:sz w:val="20"/>
                <w:szCs w:val="20"/>
              </w:rPr>
              <w:t xml:space="preserve">12.3 </w:t>
            </w:r>
            <w:r>
              <w:rPr>
                <w:rFonts w:hint="eastAsia"/>
                <w:sz w:val="20"/>
              </w:rPr>
              <w:t xml:space="preserve">▲ </w:t>
            </w:r>
            <w:r>
              <w:rPr>
                <w:rFonts w:hint="eastAsia" w:ascii="Times New Roman" w:hAnsi="Times New Roman" w:cs="Times New Roman"/>
                <w:sz w:val="20"/>
                <w:szCs w:val="20"/>
              </w:rPr>
              <w:t>功能：7自由度、主从控制液压机械臂；</w:t>
            </w:r>
          </w:p>
        </w:tc>
      </w:tr>
      <w:tr w14:paraId="727C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5D4DAF18">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20B068E1">
            <w:pPr>
              <w:widowControl/>
              <w:jc w:val="left"/>
              <w:rPr>
                <w:rFonts w:ascii="Times New Roman" w:hAnsi="Times New Roman" w:eastAsia="宋体"/>
                <w:kern w:val="0"/>
                <w:sz w:val="20"/>
                <w:szCs w:val="20"/>
              </w:rPr>
            </w:pPr>
          </w:p>
        </w:tc>
        <w:tc>
          <w:tcPr>
            <w:tcW w:w="3307" w:type="pct"/>
            <w:tcBorders>
              <w:top w:val="single" w:color="auto" w:sz="4" w:space="0"/>
              <w:left w:val="single" w:color="auto" w:sz="4" w:space="0"/>
              <w:bottom w:val="single" w:color="auto" w:sz="4" w:space="0"/>
              <w:right w:val="single" w:color="auto" w:sz="4" w:space="0"/>
            </w:tcBorders>
            <w:vAlign w:val="center"/>
          </w:tcPr>
          <w:p w14:paraId="2F42FDE4">
            <w:pPr>
              <w:rPr>
                <w:rFonts w:ascii="Times New Roman" w:hAnsi="Times New Roman" w:cs="Times New Roman"/>
                <w:sz w:val="20"/>
                <w:szCs w:val="20"/>
              </w:rPr>
            </w:pPr>
            <w:r>
              <w:rPr>
                <w:rFonts w:hint="eastAsia" w:ascii="Times New Roman" w:hAnsi="Times New Roman" w:cs="Times New Roman"/>
                <w:sz w:val="20"/>
                <w:szCs w:val="20"/>
              </w:rPr>
              <w:t>12.4</w:t>
            </w:r>
            <w:r>
              <w:rPr>
                <w:rFonts w:ascii="Times New Roman" w:hAnsi="Times New Roman" w:cs="Times New Roman"/>
                <w:sz w:val="20"/>
                <w:szCs w:val="20"/>
              </w:rPr>
              <w:t xml:space="preserve"> </w:t>
            </w:r>
            <w:r>
              <w:rPr>
                <w:rFonts w:hint="eastAsia" w:ascii="Times New Roman" w:hAnsi="Times New Roman" w:cs="Times New Roman"/>
                <w:sz w:val="20"/>
                <w:szCs w:val="20"/>
              </w:rPr>
              <w:t>耐压水深：≥ 1000米；</w:t>
            </w:r>
          </w:p>
        </w:tc>
      </w:tr>
      <w:tr w14:paraId="6B98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tcBorders>
              <w:top w:val="nil"/>
              <w:left w:val="single" w:color="auto" w:sz="4" w:space="0"/>
              <w:right w:val="single" w:color="auto" w:sz="4" w:space="0"/>
            </w:tcBorders>
            <w:shd w:val="clear" w:color="auto" w:fill="auto"/>
            <w:vAlign w:val="center"/>
          </w:tcPr>
          <w:p w14:paraId="2F077B0D">
            <w:pPr>
              <w:jc w:val="center"/>
              <w:rPr>
                <w:rFonts w:ascii="Times New Roman" w:hAnsi="Times New Roman"/>
                <w:b/>
                <w:sz w:val="20"/>
                <w:szCs w:val="20"/>
              </w:rPr>
            </w:pPr>
            <w:r>
              <w:rPr>
                <w:rFonts w:hint="eastAsia" w:ascii="Times New Roman" w:hAnsi="Times New Roman"/>
                <w:b/>
                <w:sz w:val="20"/>
                <w:szCs w:val="20"/>
              </w:rPr>
              <w:t>13</w:t>
            </w:r>
          </w:p>
        </w:tc>
        <w:tc>
          <w:tcPr>
            <w:tcW w:w="1094" w:type="pct"/>
            <w:tcBorders>
              <w:top w:val="nil"/>
              <w:left w:val="single" w:color="auto" w:sz="4" w:space="0"/>
              <w:right w:val="single" w:color="auto" w:sz="4" w:space="0"/>
            </w:tcBorders>
            <w:shd w:val="clear" w:color="auto" w:fill="auto"/>
            <w:vAlign w:val="center"/>
          </w:tcPr>
          <w:p w14:paraId="48802563">
            <w:pPr>
              <w:widowControl/>
              <w:jc w:val="center"/>
              <w:rPr>
                <w:rFonts w:ascii="Times New Roman" w:hAnsi="Times New Roman"/>
              </w:rPr>
            </w:pPr>
            <w:r>
              <w:rPr>
                <w:rFonts w:ascii="Times New Roman" w:hAnsi="Times New Roman" w:cs="Times New Roman"/>
                <w:sz w:val="18"/>
                <w:szCs w:val="18"/>
              </w:rPr>
              <w:t>3</w:t>
            </w:r>
            <w:r>
              <w:rPr>
                <w:rFonts w:hint="eastAsia" w:ascii="Times New Roman" w:hAnsi="Times New Roman" w:cs="Times New Roman"/>
                <w:sz w:val="18"/>
                <w:szCs w:val="18"/>
              </w:rPr>
              <w:t>．控制系统</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232EEF43">
            <w:pPr>
              <w:rPr>
                <w:rFonts w:ascii="Times New Roman" w:hAnsi="Times New Roman" w:cs="Times New Roman"/>
                <w:bCs/>
                <w:sz w:val="20"/>
                <w:szCs w:val="20"/>
              </w:rPr>
            </w:pPr>
            <w:r>
              <w:rPr>
                <w:rFonts w:hint="eastAsia" w:ascii="Times New Roman" w:hAnsi="Times New Roman" w:cs="Times New Roman"/>
                <w:bCs/>
                <w:sz w:val="20"/>
                <w:szCs w:val="20"/>
              </w:rPr>
              <w:t>13.1包括：供电系统、水面控制系统、水面视频转化系统</w:t>
            </w:r>
          </w:p>
        </w:tc>
      </w:tr>
      <w:tr w14:paraId="6070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7CD8C039">
            <w:pPr>
              <w:jc w:val="center"/>
              <w:rPr>
                <w:rFonts w:ascii="Times New Roman" w:hAnsi="Times New Roman"/>
                <w:bCs/>
                <w:sz w:val="20"/>
                <w:szCs w:val="20"/>
              </w:rPr>
            </w:pPr>
            <w:r>
              <w:rPr>
                <w:rFonts w:hint="eastAsia" w:ascii="Times New Roman" w:hAnsi="Times New Roman"/>
                <w:b/>
                <w:sz w:val="20"/>
                <w:szCs w:val="20"/>
              </w:rPr>
              <w:t>14</w:t>
            </w:r>
          </w:p>
        </w:tc>
        <w:tc>
          <w:tcPr>
            <w:tcW w:w="1094" w:type="pct"/>
            <w:vMerge w:val="restart"/>
            <w:tcBorders>
              <w:left w:val="single" w:color="auto" w:sz="4" w:space="0"/>
              <w:right w:val="single" w:color="auto" w:sz="4" w:space="0"/>
            </w:tcBorders>
            <w:vAlign w:val="center"/>
          </w:tcPr>
          <w:p w14:paraId="2DC40DE2">
            <w:pPr>
              <w:jc w:val="center"/>
              <w:rPr>
                <w:rFonts w:ascii="宋体" w:hAnsi="宋体"/>
                <w:sz w:val="20"/>
                <w:szCs w:val="20"/>
              </w:rPr>
            </w:pPr>
            <w:r>
              <w:rPr>
                <w:rFonts w:ascii="Times New Roman" w:hAnsi="Times New Roman" w:cs="Times New Roman"/>
                <w:sz w:val="18"/>
                <w:szCs w:val="18"/>
              </w:rPr>
              <w:t>3.1供电系统</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62A1B24F">
            <w:pPr>
              <w:rPr>
                <w:rFonts w:ascii="Times New Roman" w:hAnsi="Times New Roman" w:cs="Times New Roman"/>
                <w:bCs/>
                <w:sz w:val="20"/>
                <w:szCs w:val="20"/>
              </w:rPr>
            </w:pPr>
            <w:r>
              <w:rPr>
                <w:rFonts w:hint="eastAsia" w:ascii="Times New Roman" w:hAnsi="Times New Roman" w:cs="Times New Roman"/>
                <w:color w:val="000000"/>
                <w:sz w:val="20"/>
                <w:szCs w:val="20"/>
              </w:rPr>
              <w:t>14</w:t>
            </w:r>
            <w:r>
              <w:rPr>
                <w:rFonts w:hint="eastAsia" w:ascii="Times New Roman" w:hAnsi="Times New Roman" w:cs="Times New Roman"/>
                <w:bCs/>
                <w:sz w:val="20"/>
                <w:szCs w:val="20"/>
              </w:rPr>
              <w:t>.</w:t>
            </w:r>
            <w:r>
              <w:rPr>
                <w:rFonts w:hint="eastAsia" w:ascii="Times New Roman" w:hAnsi="Times New Roman" w:cs="Times New Roman"/>
                <w:color w:val="000000"/>
                <w:sz w:val="20"/>
                <w:szCs w:val="20"/>
              </w:rPr>
              <w:t>1</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输入：380-500</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VAC 50/60Hz；</w:t>
            </w:r>
          </w:p>
        </w:tc>
      </w:tr>
      <w:tr w14:paraId="3026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bottom w:val="single" w:color="auto" w:sz="4" w:space="0"/>
              <w:right w:val="single" w:color="auto" w:sz="4" w:space="0"/>
            </w:tcBorders>
            <w:vAlign w:val="center"/>
          </w:tcPr>
          <w:p w14:paraId="5665EF18">
            <w:pPr>
              <w:jc w:val="center"/>
              <w:rPr>
                <w:rFonts w:ascii="Times New Roman" w:hAnsi="Times New Roman"/>
                <w:b/>
                <w:sz w:val="20"/>
                <w:szCs w:val="20"/>
              </w:rPr>
            </w:pPr>
          </w:p>
        </w:tc>
        <w:tc>
          <w:tcPr>
            <w:tcW w:w="1094" w:type="pct"/>
            <w:vMerge w:val="continue"/>
            <w:tcBorders>
              <w:left w:val="single" w:color="auto" w:sz="4" w:space="0"/>
              <w:bottom w:val="single" w:color="auto" w:sz="4" w:space="0"/>
              <w:right w:val="single" w:color="auto" w:sz="4" w:space="0"/>
            </w:tcBorders>
            <w:vAlign w:val="center"/>
          </w:tcPr>
          <w:p w14:paraId="2637215B">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7450AD3A">
            <w:pPr>
              <w:rPr>
                <w:rFonts w:ascii="Times New Roman" w:hAnsi="Times New Roman" w:cs="Times New Roman"/>
                <w:color w:val="000000"/>
                <w:sz w:val="20"/>
                <w:szCs w:val="20"/>
              </w:rPr>
            </w:pPr>
            <w:r>
              <w:rPr>
                <w:rFonts w:hint="eastAsia" w:ascii="Times New Roman" w:hAnsi="Times New Roman" w:cs="Times New Roman"/>
                <w:color w:val="000000"/>
                <w:sz w:val="20"/>
                <w:szCs w:val="20"/>
              </w:rPr>
              <w:t>14</w:t>
            </w:r>
            <w:r>
              <w:rPr>
                <w:rFonts w:hint="eastAsia" w:ascii="Times New Roman" w:hAnsi="Times New Roman" w:cs="Times New Roman"/>
                <w:bCs/>
                <w:sz w:val="20"/>
                <w:szCs w:val="20"/>
              </w:rPr>
              <w:t>.2</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功率：150</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kW；</w:t>
            </w:r>
          </w:p>
        </w:tc>
      </w:tr>
      <w:tr w14:paraId="5EA5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6001E787">
            <w:pPr>
              <w:jc w:val="center"/>
              <w:rPr>
                <w:rFonts w:ascii="Times New Roman" w:hAnsi="Times New Roman"/>
                <w:bCs/>
                <w:sz w:val="20"/>
                <w:szCs w:val="20"/>
              </w:rPr>
            </w:pPr>
            <w:r>
              <w:rPr>
                <w:rFonts w:hint="eastAsia" w:ascii="Times New Roman" w:hAnsi="Times New Roman"/>
                <w:b/>
                <w:sz w:val="20"/>
                <w:szCs w:val="20"/>
              </w:rPr>
              <w:t>15</w:t>
            </w:r>
          </w:p>
        </w:tc>
        <w:tc>
          <w:tcPr>
            <w:tcW w:w="1094" w:type="pct"/>
            <w:vMerge w:val="restart"/>
            <w:tcBorders>
              <w:left w:val="single" w:color="auto" w:sz="4" w:space="0"/>
              <w:right w:val="single" w:color="auto" w:sz="4" w:space="0"/>
            </w:tcBorders>
            <w:vAlign w:val="center"/>
          </w:tcPr>
          <w:p w14:paraId="6C39EE33">
            <w:pPr>
              <w:jc w:val="center"/>
              <w:rPr>
                <w:rFonts w:ascii="宋体" w:hAnsi="宋体"/>
                <w:color w:val="000000"/>
                <w:sz w:val="20"/>
                <w:szCs w:val="20"/>
              </w:rPr>
            </w:pPr>
            <w:r>
              <w:rPr>
                <w:rFonts w:ascii="Times New Roman" w:hAnsi="Times New Roman" w:cs="Times New Roman"/>
                <w:sz w:val="18"/>
                <w:szCs w:val="18"/>
              </w:rPr>
              <w:t>3.2水面</w:t>
            </w:r>
            <w:r>
              <w:rPr>
                <w:rFonts w:ascii="宋体" w:hAnsi="宋体"/>
                <w:sz w:val="20"/>
                <w:szCs w:val="20"/>
              </w:rPr>
              <w:t>控制系统</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44D2CD9E">
            <w:pPr>
              <w:pStyle w:val="6"/>
              <w:spacing w:before="0" w:beforeLines="0" w:after="0" w:afterLines="0"/>
              <w:ind w:firstLine="0" w:firstLineChars="0"/>
              <w:rPr>
                <w:sz w:val="20"/>
              </w:rPr>
            </w:pPr>
            <w:r>
              <w:rPr>
                <w:sz w:val="20"/>
              </w:rPr>
              <w:t xml:space="preserve">15.1 </w:t>
            </w:r>
            <w:r>
              <w:rPr>
                <w:rFonts w:hint="eastAsia"/>
                <w:sz w:val="20"/>
              </w:rPr>
              <w:t>包含光纤传输系统和控制软件；</w:t>
            </w:r>
          </w:p>
        </w:tc>
      </w:tr>
      <w:tr w14:paraId="5543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05295E55">
            <w:pPr>
              <w:jc w:val="center"/>
              <w:rPr>
                <w:rFonts w:ascii="Times New Roman" w:hAnsi="Times New Roman"/>
                <w:b/>
                <w:sz w:val="20"/>
                <w:szCs w:val="20"/>
              </w:rPr>
            </w:pPr>
          </w:p>
        </w:tc>
        <w:tc>
          <w:tcPr>
            <w:tcW w:w="1094" w:type="pct"/>
            <w:vMerge w:val="continue"/>
            <w:tcBorders>
              <w:left w:val="single" w:color="auto" w:sz="4" w:space="0"/>
              <w:right w:val="single" w:color="auto" w:sz="4" w:space="0"/>
            </w:tcBorders>
            <w:vAlign w:val="center"/>
          </w:tcPr>
          <w:p w14:paraId="388707DF">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12ADFFB6">
            <w:pPr>
              <w:pStyle w:val="6"/>
              <w:spacing w:before="0" w:beforeLines="0" w:after="0" w:afterLines="0"/>
              <w:ind w:firstLine="0" w:firstLineChars="0"/>
              <w:rPr>
                <w:sz w:val="20"/>
              </w:rPr>
            </w:pPr>
            <w:r>
              <w:rPr>
                <w:rFonts w:hint="eastAsia"/>
                <w:sz w:val="20"/>
              </w:rPr>
              <w:t>1</w:t>
            </w:r>
            <w:r>
              <w:rPr>
                <w:sz w:val="20"/>
              </w:rPr>
              <w:t xml:space="preserve">5.2 </w:t>
            </w:r>
            <w:r>
              <w:rPr>
                <w:rFonts w:hint="eastAsia"/>
                <w:sz w:val="20"/>
              </w:rPr>
              <w:t>光纤传输系统：2路；</w:t>
            </w:r>
          </w:p>
        </w:tc>
      </w:tr>
      <w:tr w14:paraId="14CA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23022BC8">
            <w:pPr>
              <w:jc w:val="center"/>
              <w:rPr>
                <w:rFonts w:ascii="Times New Roman" w:hAnsi="Times New Roman"/>
                <w:b/>
                <w:sz w:val="20"/>
                <w:szCs w:val="20"/>
              </w:rPr>
            </w:pPr>
          </w:p>
        </w:tc>
        <w:tc>
          <w:tcPr>
            <w:tcW w:w="1094" w:type="pct"/>
            <w:vMerge w:val="continue"/>
            <w:tcBorders>
              <w:left w:val="single" w:color="auto" w:sz="4" w:space="0"/>
              <w:right w:val="single" w:color="auto" w:sz="4" w:space="0"/>
            </w:tcBorders>
            <w:vAlign w:val="center"/>
          </w:tcPr>
          <w:p w14:paraId="0A03BD75">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2A50EE6D">
            <w:pPr>
              <w:pStyle w:val="6"/>
              <w:spacing w:before="0" w:beforeLines="0" w:after="0" w:afterLines="0"/>
              <w:ind w:firstLine="0" w:firstLineChars="0"/>
              <w:rPr>
                <w:sz w:val="20"/>
              </w:rPr>
            </w:pPr>
            <w:r>
              <w:rPr>
                <w:rFonts w:hint="eastAsia"/>
                <w:sz w:val="20"/>
              </w:rPr>
              <w:t>15.3</w:t>
            </w:r>
            <w:r>
              <w:rPr>
                <w:rFonts w:hint="eastAsia"/>
                <w:bCs/>
                <w:sz w:val="20"/>
              </w:rPr>
              <w:t>控制间：高电压配电箱与ROV操作台分区隔离</w:t>
            </w:r>
          </w:p>
        </w:tc>
      </w:tr>
      <w:tr w14:paraId="4964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6E59255E">
            <w:pPr>
              <w:jc w:val="center"/>
              <w:rPr>
                <w:rFonts w:ascii="Times New Roman" w:hAnsi="Times New Roman"/>
                <w:b/>
                <w:sz w:val="20"/>
                <w:szCs w:val="20"/>
              </w:rPr>
            </w:pPr>
          </w:p>
        </w:tc>
        <w:tc>
          <w:tcPr>
            <w:tcW w:w="1094" w:type="pct"/>
            <w:vMerge w:val="continue"/>
            <w:tcBorders>
              <w:left w:val="single" w:color="auto" w:sz="4" w:space="0"/>
              <w:right w:val="single" w:color="auto" w:sz="4" w:space="0"/>
            </w:tcBorders>
            <w:vAlign w:val="center"/>
          </w:tcPr>
          <w:p w14:paraId="59049ACD">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2B639156">
            <w:pPr>
              <w:pStyle w:val="6"/>
              <w:spacing w:before="0" w:beforeLines="0" w:after="0" w:afterLines="0"/>
              <w:ind w:firstLine="0" w:firstLineChars="0"/>
              <w:rPr>
                <w:sz w:val="20"/>
              </w:rPr>
            </w:pPr>
            <w:r>
              <w:rPr>
                <w:rFonts w:hint="eastAsia"/>
                <w:sz w:val="20"/>
              </w:rPr>
              <w:t>15.4</w:t>
            </w:r>
            <w:r>
              <w:rPr>
                <w:rFonts w:hint="eastAsia"/>
                <w:bCs/>
                <w:sz w:val="20"/>
              </w:rPr>
              <w:t>操作台：配备两个ROV操作台，互为备用，并且一键切换</w:t>
            </w:r>
          </w:p>
        </w:tc>
      </w:tr>
      <w:tr w14:paraId="7D37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1E5951BF">
            <w:pPr>
              <w:jc w:val="center"/>
              <w:rPr>
                <w:rFonts w:ascii="Times New Roman" w:hAnsi="Times New Roman"/>
                <w:b/>
                <w:sz w:val="20"/>
                <w:szCs w:val="20"/>
              </w:rPr>
            </w:pPr>
          </w:p>
        </w:tc>
        <w:tc>
          <w:tcPr>
            <w:tcW w:w="1094" w:type="pct"/>
            <w:vMerge w:val="continue"/>
            <w:tcBorders>
              <w:left w:val="single" w:color="auto" w:sz="4" w:space="0"/>
              <w:right w:val="single" w:color="auto" w:sz="4" w:space="0"/>
            </w:tcBorders>
            <w:vAlign w:val="center"/>
          </w:tcPr>
          <w:p w14:paraId="43493E3B">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38B5D48C">
            <w:pPr>
              <w:pStyle w:val="6"/>
              <w:spacing w:before="0" w:beforeLines="0" w:after="0" w:afterLines="0"/>
              <w:ind w:firstLine="0" w:firstLineChars="0"/>
              <w:rPr>
                <w:sz w:val="20"/>
              </w:rPr>
            </w:pPr>
            <w:r>
              <w:rPr>
                <w:rFonts w:hint="eastAsia"/>
                <w:bCs/>
                <w:sz w:val="20"/>
              </w:rPr>
              <w:t>15.5应急启停开关：1个控制间供电启停开关。2个ROV供电启停开关（主副操作台各1个）</w:t>
            </w:r>
          </w:p>
        </w:tc>
      </w:tr>
      <w:tr w14:paraId="5035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bottom w:val="single" w:color="auto" w:sz="4" w:space="0"/>
              <w:right w:val="single" w:color="auto" w:sz="4" w:space="0"/>
            </w:tcBorders>
            <w:vAlign w:val="center"/>
          </w:tcPr>
          <w:p w14:paraId="5C2FCABD">
            <w:pPr>
              <w:jc w:val="center"/>
              <w:rPr>
                <w:rFonts w:ascii="Times New Roman" w:hAnsi="Times New Roman"/>
                <w:b/>
                <w:sz w:val="20"/>
                <w:szCs w:val="20"/>
              </w:rPr>
            </w:pPr>
          </w:p>
        </w:tc>
        <w:tc>
          <w:tcPr>
            <w:tcW w:w="1094" w:type="pct"/>
            <w:vMerge w:val="continue"/>
            <w:tcBorders>
              <w:left w:val="single" w:color="auto" w:sz="4" w:space="0"/>
              <w:bottom w:val="single" w:color="auto" w:sz="4" w:space="0"/>
              <w:right w:val="single" w:color="auto" w:sz="4" w:space="0"/>
            </w:tcBorders>
            <w:vAlign w:val="center"/>
          </w:tcPr>
          <w:p w14:paraId="4B5BDDBE">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08C7F5E2">
            <w:pPr>
              <w:pStyle w:val="6"/>
              <w:spacing w:before="0" w:beforeLines="0" w:after="0" w:afterLines="0"/>
              <w:ind w:firstLine="0" w:firstLineChars="0"/>
              <w:rPr>
                <w:bCs/>
                <w:sz w:val="20"/>
              </w:rPr>
            </w:pPr>
            <w:r>
              <w:rPr>
                <w:rFonts w:hint="eastAsia"/>
                <w:bCs/>
                <w:sz w:val="20"/>
              </w:rPr>
              <w:t>15.6外接设备接口：16个LAN接口（通过转接线转换成RS232/422/485等不同信号格式）</w:t>
            </w:r>
          </w:p>
        </w:tc>
      </w:tr>
      <w:tr w14:paraId="3BF9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52647CE5">
            <w:pPr>
              <w:jc w:val="center"/>
              <w:rPr>
                <w:rFonts w:ascii="Times New Roman" w:hAnsi="Times New Roman"/>
                <w:b/>
                <w:sz w:val="20"/>
                <w:szCs w:val="20"/>
              </w:rPr>
            </w:pPr>
            <w:r>
              <w:rPr>
                <w:rFonts w:hint="eastAsia" w:ascii="Times New Roman" w:hAnsi="Times New Roman"/>
                <w:b/>
                <w:sz w:val="20"/>
                <w:szCs w:val="20"/>
              </w:rPr>
              <w:t>16</w:t>
            </w:r>
          </w:p>
        </w:tc>
        <w:tc>
          <w:tcPr>
            <w:tcW w:w="1094" w:type="pct"/>
            <w:vMerge w:val="restart"/>
            <w:tcBorders>
              <w:top w:val="nil"/>
              <w:left w:val="single" w:color="auto" w:sz="4" w:space="0"/>
              <w:right w:val="single" w:color="auto" w:sz="4" w:space="0"/>
            </w:tcBorders>
            <w:vAlign w:val="center"/>
          </w:tcPr>
          <w:p w14:paraId="1C0B49A0">
            <w:pPr>
              <w:jc w:val="center"/>
              <w:rPr>
                <w:rFonts w:ascii="Times New Roman" w:hAnsi="Times New Roman" w:cs="Times New Roman"/>
                <w:sz w:val="18"/>
                <w:szCs w:val="18"/>
              </w:rPr>
            </w:pPr>
            <w:r>
              <w:rPr>
                <w:rFonts w:ascii="Times New Roman" w:hAnsi="Times New Roman" w:cs="Times New Roman"/>
                <w:sz w:val="18"/>
                <w:szCs w:val="18"/>
              </w:rPr>
              <w:t>3.3水面视频转化系统</w:t>
            </w:r>
          </w:p>
        </w:tc>
        <w:tc>
          <w:tcPr>
            <w:tcW w:w="3307" w:type="pct"/>
            <w:tcBorders>
              <w:top w:val="single" w:color="auto" w:sz="4" w:space="0"/>
              <w:left w:val="single" w:color="auto" w:sz="4" w:space="0"/>
              <w:bottom w:val="single" w:color="auto" w:sz="4" w:space="0"/>
              <w:right w:val="single" w:color="auto" w:sz="4" w:space="0"/>
            </w:tcBorders>
            <w:vAlign w:val="center"/>
          </w:tcPr>
          <w:p w14:paraId="4CF31483">
            <w:pPr>
              <w:rPr>
                <w:rFonts w:ascii="Times New Roman" w:hAnsi="Times New Roman" w:cs="Times New Roman"/>
                <w:bCs/>
                <w:sz w:val="20"/>
                <w:szCs w:val="20"/>
              </w:rPr>
            </w:pPr>
            <w:r>
              <w:rPr>
                <w:rFonts w:ascii="Times New Roman" w:hAnsi="Times New Roman" w:cs="Times New Roman"/>
                <w:sz w:val="20"/>
                <w:szCs w:val="20"/>
              </w:rPr>
              <w:t>16.1</w:t>
            </w:r>
            <w:r>
              <w:rPr>
                <w:rFonts w:hint="eastAsia" w:ascii="Times New Roman" w:hAnsi="Times New Roman" w:cs="Times New Roman"/>
                <w:sz w:val="20"/>
                <w:szCs w:val="20"/>
              </w:rPr>
              <w:t xml:space="preserve"> </w:t>
            </w:r>
            <w:r>
              <w:rPr>
                <w:rFonts w:hint="eastAsia" w:ascii="Times New Roman" w:hAnsi="Times New Roman" w:cs="Times New Roman"/>
                <w:color w:val="000000"/>
                <w:sz w:val="20"/>
                <w:szCs w:val="20"/>
              </w:rPr>
              <w:t>包含多路视频分配系统、视频录像机和电视墙</w:t>
            </w:r>
            <w:r>
              <w:rPr>
                <w:rFonts w:hint="eastAsia" w:ascii="Times New Roman" w:hAnsi="Times New Roman" w:cs="Times New Roman"/>
                <w:bCs/>
                <w:sz w:val="20"/>
                <w:szCs w:val="20"/>
              </w:rPr>
              <w:t>；</w:t>
            </w:r>
          </w:p>
        </w:tc>
      </w:tr>
      <w:tr w14:paraId="5E12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97" w:type="pct"/>
            <w:vMerge w:val="continue"/>
            <w:tcBorders>
              <w:left w:val="single" w:color="auto" w:sz="4" w:space="0"/>
              <w:right w:val="single" w:color="auto" w:sz="4" w:space="0"/>
            </w:tcBorders>
            <w:vAlign w:val="center"/>
          </w:tcPr>
          <w:p w14:paraId="4BA6D72B">
            <w:pPr>
              <w:widowControl/>
              <w:jc w:val="center"/>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5729A659">
            <w:pPr>
              <w:widowControl/>
              <w:jc w:val="left"/>
              <w:rPr>
                <w:rFonts w:ascii="Times New Roman" w:hAnsi="Times New Roman" w:eastAsia="宋体"/>
                <w:color w:val="000000"/>
                <w:kern w:val="0"/>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1E6F51D5">
            <w:pPr>
              <w:pStyle w:val="6"/>
              <w:spacing w:before="0" w:beforeLines="0" w:after="0" w:afterLines="0"/>
              <w:ind w:firstLine="0" w:firstLineChars="0"/>
              <w:rPr>
                <w:sz w:val="20"/>
              </w:rPr>
            </w:pPr>
            <w:r>
              <w:rPr>
                <w:sz w:val="20"/>
              </w:rPr>
              <w:t xml:space="preserve">16.2 </w:t>
            </w:r>
            <w:r>
              <w:rPr>
                <w:rFonts w:hint="eastAsia"/>
                <w:sz w:val="20"/>
              </w:rPr>
              <w:t>视频录像机规格：720P，1080P，1080i，NMEA，带字幕叠加功能；</w:t>
            </w:r>
          </w:p>
        </w:tc>
      </w:tr>
      <w:tr w14:paraId="6CE2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1D5669C5">
            <w:pPr>
              <w:jc w:val="center"/>
              <w:rPr>
                <w:rFonts w:ascii="Times New Roman" w:hAnsi="Times New Roman"/>
                <w:b/>
                <w:sz w:val="20"/>
                <w:szCs w:val="20"/>
              </w:rPr>
            </w:pPr>
            <w:r>
              <w:rPr>
                <w:rFonts w:hint="eastAsia" w:ascii="Times New Roman" w:hAnsi="Times New Roman"/>
                <w:b/>
                <w:sz w:val="20"/>
                <w:szCs w:val="20"/>
              </w:rPr>
              <w:t>17</w:t>
            </w:r>
          </w:p>
        </w:tc>
        <w:tc>
          <w:tcPr>
            <w:tcW w:w="1094" w:type="pct"/>
            <w:vMerge w:val="restart"/>
            <w:tcBorders>
              <w:top w:val="nil"/>
              <w:left w:val="single" w:color="auto" w:sz="4" w:space="0"/>
              <w:right w:val="single" w:color="auto" w:sz="4" w:space="0"/>
            </w:tcBorders>
            <w:vAlign w:val="center"/>
          </w:tcPr>
          <w:p w14:paraId="1B63BA3F">
            <w:pPr>
              <w:jc w:val="center"/>
            </w:pPr>
            <w:r>
              <w:rPr>
                <w:rFonts w:ascii="Times New Roman" w:hAnsi="Times New Roman" w:cs="Times New Roman"/>
                <w:sz w:val="18"/>
                <w:szCs w:val="18"/>
              </w:rPr>
              <w:t>4</w:t>
            </w:r>
            <w:r>
              <w:rPr>
                <w:rFonts w:hint="eastAsia" w:ascii="Times New Roman" w:hAnsi="Times New Roman" w:cs="Times New Roman"/>
                <w:sz w:val="18"/>
                <w:szCs w:val="18"/>
              </w:rPr>
              <w:t>．柔性缆</w:t>
            </w:r>
          </w:p>
        </w:tc>
        <w:tc>
          <w:tcPr>
            <w:tcW w:w="3307" w:type="pct"/>
            <w:tcBorders>
              <w:top w:val="single" w:color="auto" w:sz="4" w:space="0"/>
              <w:left w:val="single" w:color="auto" w:sz="4" w:space="0"/>
              <w:bottom w:val="single" w:color="auto" w:sz="4" w:space="0"/>
              <w:right w:val="single" w:color="auto" w:sz="4" w:space="0"/>
            </w:tcBorders>
            <w:vAlign w:val="center"/>
          </w:tcPr>
          <w:p w14:paraId="47267A63">
            <w:pPr>
              <w:rPr>
                <w:rFonts w:ascii="Times New Roman" w:hAnsi="Times New Roman" w:cs="Times New Roman"/>
                <w:sz w:val="20"/>
                <w:szCs w:val="20"/>
              </w:rPr>
            </w:pPr>
            <w:r>
              <w:rPr>
                <w:rFonts w:ascii="Times New Roman" w:hAnsi="Times New Roman" w:cs="Times New Roman"/>
                <w:sz w:val="20"/>
                <w:szCs w:val="20"/>
              </w:rPr>
              <w:t>17.1</w:t>
            </w:r>
            <w:r>
              <w:rPr>
                <w:rFonts w:hint="eastAsia" w:ascii="Times New Roman" w:hAnsi="Times New Roman" w:cs="Times New Roman"/>
                <w:sz w:val="20"/>
                <w:szCs w:val="20"/>
              </w:rPr>
              <w:t xml:space="preserve"> </w:t>
            </w:r>
            <w:r>
              <w:rPr>
                <w:rFonts w:hint="eastAsia"/>
                <w:b/>
                <w:bCs/>
                <w:sz w:val="20"/>
              </w:rPr>
              <w:t xml:space="preserve">▲ </w:t>
            </w:r>
            <w:r>
              <w:rPr>
                <w:rFonts w:hint="eastAsia" w:ascii="Times New Roman" w:hAnsi="Times New Roman" w:cs="Times New Roman"/>
                <w:sz w:val="20"/>
                <w:szCs w:val="20"/>
              </w:rPr>
              <w:t>强度：满足ROV自重到水深1000米作业强度，总长不少于1200米；</w:t>
            </w:r>
          </w:p>
        </w:tc>
      </w:tr>
      <w:tr w14:paraId="5D33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top w:val="nil"/>
              <w:left w:val="single" w:color="auto" w:sz="4" w:space="0"/>
              <w:right w:val="single" w:color="auto" w:sz="4" w:space="0"/>
            </w:tcBorders>
            <w:vAlign w:val="center"/>
          </w:tcPr>
          <w:p w14:paraId="30321010">
            <w:pPr>
              <w:jc w:val="center"/>
              <w:rPr>
                <w:rFonts w:ascii="Times New Roman" w:hAnsi="Times New Roman"/>
                <w:b/>
                <w:sz w:val="20"/>
                <w:szCs w:val="20"/>
              </w:rPr>
            </w:pPr>
          </w:p>
        </w:tc>
        <w:tc>
          <w:tcPr>
            <w:tcW w:w="1094" w:type="pct"/>
            <w:vMerge w:val="continue"/>
            <w:tcBorders>
              <w:top w:val="nil"/>
              <w:left w:val="single" w:color="auto" w:sz="4" w:space="0"/>
              <w:right w:val="single" w:color="auto" w:sz="4" w:space="0"/>
            </w:tcBorders>
            <w:vAlign w:val="center"/>
          </w:tcPr>
          <w:p w14:paraId="1BA751CC">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vAlign w:val="center"/>
          </w:tcPr>
          <w:p w14:paraId="45B39C21">
            <w:pPr>
              <w:rPr>
                <w:rFonts w:ascii="Times New Roman" w:hAnsi="Times New Roman" w:cs="Times New Roman"/>
                <w:sz w:val="20"/>
                <w:szCs w:val="20"/>
              </w:rPr>
            </w:pPr>
            <w:r>
              <w:rPr>
                <w:rFonts w:ascii="Times New Roman" w:hAnsi="Times New Roman" w:cs="Times New Roman"/>
                <w:sz w:val="20"/>
                <w:szCs w:val="20"/>
              </w:rPr>
              <w:t xml:space="preserve">17.2 </w:t>
            </w:r>
            <w:r>
              <w:rPr>
                <w:rFonts w:hint="eastAsia" w:ascii="Times New Roman" w:hAnsi="Times New Roman" w:cs="Times New Roman"/>
                <w:sz w:val="20"/>
                <w:szCs w:val="20"/>
              </w:rPr>
              <w:t>结构：光电复合缆。铠装层采用芳纶丝材料，光纤类型：G.657A2光纤，1管12芯，电源线、控制线、射频线和通讯线采用铜绞线；</w:t>
            </w:r>
          </w:p>
        </w:tc>
      </w:tr>
      <w:tr w14:paraId="3BB2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top w:val="nil"/>
              <w:left w:val="single" w:color="auto" w:sz="4" w:space="0"/>
              <w:right w:val="single" w:color="auto" w:sz="4" w:space="0"/>
            </w:tcBorders>
            <w:vAlign w:val="center"/>
          </w:tcPr>
          <w:p w14:paraId="53FDC83C">
            <w:pPr>
              <w:jc w:val="center"/>
              <w:rPr>
                <w:rFonts w:ascii="Times New Roman" w:hAnsi="Times New Roman"/>
                <w:b/>
                <w:sz w:val="20"/>
                <w:szCs w:val="20"/>
              </w:rPr>
            </w:pPr>
            <w:r>
              <w:rPr>
                <w:rFonts w:hint="eastAsia" w:ascii="Times New Roman" w:hAnsi="Times New Roman"/>
                <w:b/>
                <w:sz w:val="20"/>
                <w:szCs w:val="20"/>
              </w:rPr>
              <w:t>1</w:t>
            </w:r>
            <w:r>
              <w:rPr>
                <w:rFonts w:ascii="Times New Roman" w:hAnsi="Times New Roman"/>
                <w:b/>
                <w:sz w:val="20"/>
                <w:szCs w:val="20"/>
              </w:rPr>
              <w:t>8</w:t>
            </w:r>
          </w:p>
        </w:tc>
        <w:tc>
          <w:tcPr>
            <w:tcW w:w="1094" w:type="pct"/>
            <w:vMerge w:val="restart"/>
            <w:tcBorders>
              <w:top w:val="nil"/>
              <w:left w:val="single" w:color="auto" w:sz="4" w:space="0"/>
              <w:right w:val="single" w:color="auto" w:sz="4" w:space="0"/>
            </w:tcBorders>
            <w:vAlign w:val="center"/>
          </w:tcPr>
          <w:p w14:paraId="3C1666AF">
            <w:pPr>
              <w:jc w:val="center"/>
              <w:rPr>
                <w:rFonts w:ascii="Times New Roman" w:hAnsi="Times New Roman" w:cs="Times New Roman"/>
                <w:sz w:val="18"/>
                <w:szCs w:val="18"/>
              </w:rPr>
            </w:pPr>
            <w:r>
              <w:rPr>
                <w:rFonts w:ascii="Times New Roman" w:hAnsi="Times New Roman" w:cs="Times New Roman"/>
                <w:sz w:val="18"/>
                <w:szCs w:val="18"/>
              </w:rPr>
              <w:t>5</w:t>
            </w:r>
            <w:r>
              <w:rPr>
                <w:rFonts w:hint="eastAsia" w:ascii="Times New Roman" w:hAnsi="Times New Roman" w:cs="Times New Roman"/>
                <w:sz w:val="18"/>
                <w:szCs w:val="18"/>
              </w:rPr>
              <w:t>．缆收放系统</w:t>
            </w:r>
          </w:p>
        </w:tc>
        <w:tc>
          <w:tcPr>
            <w:tcW w:w="3307" w:type="pct"/>
            <w:tcBorders>
              <w:top w:val="single" w:color="auto" w:sz="4" w:space="0"/>
              <w:left w:val="single" w:color="auto" w:sz="4" w:space="0"/>
              <w:bottom w:val="single" w:color="auto" w:sz="4" w:space="0"/>
              <w:right w:val="single" w:color="auto" w:sz="4" w:space="0"/>
            </w:tcBorders>
            <w:vAlign w:val="center"/>
          </w:tcPr>
          <w:p w14:paraId="24BE0755">
            <w:pPr>
              <w:rPr>
                <w:rFonts w:ascii="Times New Roman" w:hAnsi="Times New Roman" w:cs="Times New Roman"/>
                <w:sz w:val="20"/>
                <w:szCs w:val="20"/>
              </w:rPr>
            </w:pPr>
            <w:r>
              <w:rPr>
                <w:rFonts w:ascii="Times New Roman" w:hAnsi="Times New Roman" w:cs="Times New Roman"/>
                <w:sz w:val="20"/>
                <w:szCs w:val="20"/>
              </w:rPr>
              <w:t>18.1</w:t>
            </w:r>
            <w:r>
              <w:rPr>
                <w:rFonts w:hint="eastAsia" w:ascii="Times New Roman" w:hAnsi="Times New Roman" w:cs="Times New Roman"/>
                <w:sz w:val="20"/>
                <w:szCs w:val="20"/>
              </w:rPr>
              <w:t xml:space="preserve"> 包括</w:t>
            </w:r>
            <w:r>
              <w:rPr>
                <w:rFonts w:ascii="Times New Roman" w:hAnsi="Times New Roman" w:cs="Times New Roman"/>
                <w:sz w:val="18"/>
                <w:szCs w:val="18"/>
              </w:rPr>
              <w:t>液压站</w:t>
            </w:r>
            <w:r>
              <w:rPr>
                <w:rFonts w:hint="eastAsia" w:ascii="Times New Roman" w:hAnsi="Times New Roman" w:cs="Times New Roman"/>
                <w:sz w:val="18"/>
                <w:szCs w:val="18"/>
              </w:rPr>
              <w:t>、</w:t>
            </w:r>
            <w:r>
              <w:rPr>
                <w:rFonts w:hint="eastAsia" w:ascii="Times New Roman" w:hAnsi="Times New Roman" w:cs="Times New Roman"/>
                <w:sz w:val="20"/>
                <w:szCs w:val="20"/>
              </w:rPr>
              <w:t>绞车、释放回收门架等</w:t>
            </w:r>
            <w:r>
              <w:rPr>
                <w:rFonts w:ascii="Times New Roman" w:hAnsi="Times New Roman" w:cs="Times New Roman"/>
                <w:sz w:val="20"/>
                <w:szCs w:val="20"/>
              </w:rPr>
              <w:t>；</w:t>
            </w:r>
          </w:p>
        </w:tc>
      </w:tr>
      <w:tr w14:paraId="5B78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4883D6E4">
            <w:pPr>
              <w:jc w:val="center"/>
              <w:rPr>
                <w:rFonts w:ascii="Times New Roman" w:hAnsi="Times New Roman"/>
                <w:b/>
                <w:sz w:val="20"/>
                <w:szCs w:val="20"/>
              </w:rPr>
            </w:pPr>
          </w:p>
        </w:tc>
        <w:tc>
          <w:tcPr>
            <w:tcW w:w="1094" w:type="pct"/>
            <w:vMerge w:val="continue"/>
            <w:tcBorders>
              <w:left w:val="single" w:color="auto" w:sz="4" w:space="0"/>
              <w:right w:val="single" w:color="auto" w:sz="4" w:space="0"/>
            </w:tcBorders>
            <w:vAlign w:val="center"/>
          </w:tcPr>
          <w:p w14:paraId="0EB87C5D">
            <w:pPr>
              <w:jc w:val="center"/>
              <w:rPr>
                <w:rFonts w:ascii="Times New Roman" w:hAnsi="Times New Roman" w:cs="Times New Roman"/>
                <w:sz w:val="18"/>
                <w:szCs w:val="18"/>
              </w:rPr>
            </w:pPr>
          </w:p>
        </w:tc>
        <w:tc>
          <w:tcPr>
            <w:tcW w:w="3307" w:type="pct"/>
            <w:tcBorders>
              <w:top w:val="single" w:color="auto" w:sz="4" w:space="0"/>
              <w:left w:val="single" w:color="auto" w:sz="4" w:space="0"/>
              <w:bottom w:val="single" w:color="auto" w:sz="4" w:space="0"/>
              <w:right w:val="single" w:color="auto" w:sz="4" w:space="0"/>
            </w:tcBorders>
            <w:vAlign w:val="center"/>
          </w:tcPr>
          <w:p w14:paraId="200DDB2C">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8.2 </w:t>
            </w:r>
            <w:r>
              <w:rPr>
                <w:rFonts w:hint="eastAsia" w:ascii="Times New Roman" w:hAnsi="Times New Roman" w:cs="Times New Roman"/>
                <w:sz w:val="20"/>
                <w:szCs w:val="20"/>
              </w:rPr>
              <w:t>有效容缆量大于1000米（37mm），具备刹车和自动排缆功能；</w:t>
            </w:r>
          </w:p>
        </w:tc>
      </w:tr>
      <w:tr w14:paraId="6268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left w:val="single" w:color="auto" w:sz="4" w:space="0"/>
              <w:right w:val="single" w:color="auto" w:sz="4" w:space="0"/>
            </w:tcBorders>
            <w:vAlign w:val="center"/>
          </w:tcPr>
          <w:p w14:paraId="31462DD6">
            <w:pPr>
              <w:widowControl/>
              <w:jc w:val="center"/>
              <w:rPr>
                <w:rFonts w:ascii="Times New Roman" w:hAnsi="Times New Roman" w:eastAsia="宋体"/>
                <w:b/>
                <w:sz w:val="20"/>
                <w:szCs w:val="20"/>
              </w:rPr>
            </w:pPr>
            <w:r>
              <w:rPr>
                <w:rFonts w:hint="eastAsia" w:ascii="Times New Roman" w:hAnsi="Times New Roman" w:eastAsia="宋体"/>
                <w:b/>
                <w:sz w:val="20"/>
                <w:szCs w:val="20"/>
              </w:rPr>
              <w:t>1</w:t>
            </w:r>
            <w:r>
              <w:rPr>
                <w:rFonts w:ascii="Times New Roman" w:hAnsi="Times New Roman" w:eastAsia="宋体"/>
                <w:b/>
                <w:sz w:val="20"/>
                <w:szCs w:val="20"/>
              </w:rPr>
              <w:t>9</w:t>
            </w:r>
          </w:p>
        </w:tc>
        <w:tc>
          <w:tcPr>
            <w:tcW w:w="1094" w:type="pct"/>
            <w:vMerge w:val="restart"/>
            <w:tcBorders>
              <w:left w:val="single" w:color="auto" w:sz="4" w:space="0"/>
              <w:right w:val="single" w:color="auto" w:sz="4" w:space="0"/>
            </w:tcBorders>
            <w:shd w:val="clear" w:color="auto" w:fill="auto"/>
            <w:vAlign w:val="center"/>
          </w:tcPr>
          <w:p w14:paraId="6F6F3496">
            <w:pPr>
              <w:jc w:val="center"/>
              <w:rPr>
                <w:rFonts w:ascii="Times New Roman" w:hAnsi="Times New Roman" w:cs="Times New Roman"/>
                <w:sz w:val="20"/>
                <w:szCs w:val="20"/>
              </w:rPr>
            </w:pPr>
            <w:r>
              <w:rPr>
                <w:rFonts w:ascii="Times New Roman" w:hAnsi="Times New Roman" w:cs="Times New Roman"/>
                <w:sz w:val="18"/>
                <w:szCs w:val="18"/>
              </w:rPr>
              <w:t>5.1液压站</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0172B7A1">
            <w:pPr>
              <w:rPr>
                <w:rFonts w:ascii="Times New Roman" w:hAnsi="Times New Roman" w:cs="Times New Roman"/>
                <w:sz w:val="20"/>
                <w:szCs w:val="20"/>
              </w:rPr>
            </w:pPr>
            <w:r>
              <w:rPr>
                <w:rFonts w:ascii="Times New Roman" w:hAnsi="Times New Roman" w:cs="Times New Roman"/>
                <w:sz w:val="20"/>
                <w:szCs w:val="20"/>
              </w:rPr>
              <w:t xml:space="preserve">19.1 </w:t>
            </w:r>
            <w:r>
              <w:rPr>
                <w:rFonts w:hint="eastAsia" w:ascii="Times New Roman" w:hAnsi="Times New Roman" w:cs="Times New Roman"/>
                <w:sz w:val="20"/>
                <w:szCs w:val="20"/>
              </w:rPr>
              <w:t>功率：90kW；</w:t>
            </w:r>
          </w:p>
        </w:tc>
      </w:tr>
      <w:tr w14:paraId="581F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4EE33D6A">
            <w:pPr>
              <w:widowControl/>
              <w:jc w:val="left"/>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27C95A40">
            <w:pPr>
              <w:widowControl/>
              <w:jc w:val="left"/>
              <w:rPr>
                <w:rFonts w:ascii="Times New Roman" w:hAnsi="Times New Roman" w:eastAsia="宋体"/>
                <w:color w:val="000000"/>
                <w:kern w:val="0"/>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4E58B14D">
            <w:pPr>
              <w:rPr>
                <w:rFonts w:ascii="Times New Roman" w:hAnsi="Times New Roman" w:cs="Times New Roman"/>
                <w:sz w:val="20"/>
                <w:szCs w:val="20"/>
              </w:rPr>
            </w:pPr>
            <w:r>
              <w:rPr>
                <w:rFonts w:ascii="Times New Roman" w:hAnsi="Times New Roman" w:cs="Times New Roman"/>
                <w:sz w:val="20"/>
                <w:szCs w:val="20"/>
              </w:rPr>
              <w:t xml:space="preserve">19.2 </w:t>
            </w:r>
            <w:r>
              <w:rPr>
                <w:rFonts w:hint="eastAsia" w:ascii="Times New Roman" w:hAnsi="Times New Roman" w:cs="Times New Roman"/>
                <w:sz w:val="20"/>
                <w:szCs w:val="20"/>
              </w:rPr>
              <w:t>油箱容量：1200L；</w:t>
            </w:r>
          </w:p>
        </w:tc>
      </w:tr>
      <w:tr w14:paraId="78A1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056307C6">
            <w:pPr>
              <w:widowControl/>
              <w:jc w:val="left"/>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5D16F884">
            <w:pPr>
              <w:widowControl/>
              <w:jc w:val="left"/>
              <w:rPr>
                <w:rFonts w:ascii="Times New Roman" w:hAnsi="Times New Roman" w:eastAsia="宋体"/>
                <w:color w:val="000000"/>
                <w:kern w:val="0"/>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1DA01B47">
            <w:pPr>
              <w:rPr>
                <w:rFonts w:ascii="Times New Roman" w:hAnsi="Times New Roman" w:cs="Times New Roman"/>
                <w:sz w:val="20"/>
                <w:szCs w:val="20"/>
              </w:rPr>
            </w:pPr>
            <w:r>
              <w:rPr>
                <w:rFonts w:ascii="Times New Roman" w:hAnsi="Times New Roman" w:cs="Times New Roman"/>
                <w:sz w:val="20"/>
                <w:szCs w:val="20"/>
              </w:rPr>
              <w:t xml:space="preserve">19.3 </w:t>
            </w:r>
            <w:r>
              <w:rPr>
                <w:rFonts w:hint="eastAsia" w:ascii="Times New Roman" w:hAnsi="Times New Roman" w:cs="Times New Roman"/>
                <w:sz w:val="20"/>
                <w:szCs w:val="20"/>
              </w:rPr>
              <w:t>系统最大操作压力：</w:t>
            </w:r>
            <w:r>
              <w:rPr>
                <w:rFonts w:ascii="Times New Roman" w:hAnsi="Times New Roman" w:cs="Times New Roman"/>
                <w:sz w:val="20"/>
                <w:szCs w:val="20"/>
              </w:rPr>
              <w:t>260Bar</w:t>
            </w:r>
            <w:r>
              <w:rPr>
                <w:rFonts w:hint="eastAsia" w:ascii="Times New Roman" w:hAnsi="Times New Roman" w:cs="Times New Roman"/>
                <w:sz w:val="20"/>
                <w:szCs w:val="20"/>
              </w:rPr>
              <w:t>；</w:t>
            </w:r>
          </w:p>
        </w:tc>
      </w:tr>
      <w:tr w14:paraId="4124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vAlign w:val="center"/>
          </w:tcPr>
          <w:p w14:paraId="7B367255">
            <w:pPr>
              <w:widowControl/>
              <w:jc w:val="left"/>
              <w:rPr>
                <w:rFonts w:ascii="Times New Roman" w:hAnsi="Times New Roman" w:eastAsia="宋体"/>
                <w:b/>
                <w:sz w:val="20"/>
                <w:szCs w:val="20"/>
              </w:rPr>
            </w:pPr>
          </w:p>
        </w:tc>
        <w:tc>
          <w:tcPr>
            <w:tcW w:w="1094" w:type="pct"/>
            <w:vMerge w:val="continue"/>
            <w:tcBorders>
              <w:left w:val="single" w:color="auto" w:sz="4" w:space="0"/>
              <w:right w:val="single" w:color="auto" w:sz="4" w:space="0"/>
            </w:tcBorders>
            <w:vAlign w:val="center"/>
          </w:tcPr>
          <w:p w14:paraId="59C55E82">
            <w:pPr>
              <w:widowControl/>
              <w:jc w:val="left"/>
              <w:rPr>
                <w:rFonts w:ascii="Times New Roman" w:hAnsi="Times New Roman" w:eastAsia="宋体"/>
                <w:color w:val="000000"/>
                <w:kern w:val="0"/>
                <w:sz w:val="20"/>
                <w:szCs w:val="20"/>
              </w:rPr>
            </w:pP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0036D775">
            <w:pPr>
              <w:rPr>
                <w:rFonts w:ascii="Times New Roman" w:hAnsi="Times New Roman" w:cs="Times New Roman"/>
                <w:sz w:val="20"/>
                <w:szCs w:val="20"/>
              </w:rPr>
            </w:pPr>
            <w:r>
              <w:rPr>
                <w:rFonts w:ascii="Times New Roman" w:hAnsi="Times New Roman" w:cs="Times New Roman"/>
                <w:sz w:val="20"/>
                <w:szCs w:val="20"/>
              </w:rPr>
              <w:t>19.4</w:t>
            </w:r>
            <w:r>
              <w:rPr>
                <w:rFonts w:hint="eastAsia" w:ascii="Times New Roman" w:hAnsi="Times New Roman" w:cs="Times New Roman"/>
                <w:sz w:val="20"/>
                <w:szCs w:val="20"/>
              </w:rPr>
              <w:t xml:space="preserve"> 储油箱材质：316不锈钢；</w:t>
            </w:r>
          </w:p>
        </w:tc>
      </w:tr>
      <w:tr w14:paraId="6B6A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left w:val="single" w:color="auto" w:sz="4" w:space="0"/>
              <w:right w:val="single" w:color="auto" w:sz="4" w:space="0"/>
            </w:tcBorders>
            <w:shd w:val="clear" w:color="auto" w:fill="auto"/>
            <w:vAlign w:val="center"/>
          </w:tcPr>
          <w:p w14:paraId="2775C9CB">
            <w:pPr>
              <w:jc w:val="center"/>
              <w:rPr>
                <w:rFonts w:ascii="Times New Roman" w:hAnsi="Times New Roman"/>
                <w:bCs/>
                <w:color w:val="558ED5" w:themeColor="text2" w:themeTint="99"/>
                <w:sz w:val="20"/>
                <w:szCs w:val="20"/>
                <w14:textFill>
                  <w14:solidFill>
                    <w14:schemeClr w14:val="tx2">
                      <w14:lumMod w14:val="60000"/>
                      <w14:lumOff w14:val="40000"/>
                    </w14:schemeClr>
                  </w14:solidFill>
                </w14:textFill>
              </w:rPr>
            </w:pPr>
            <w:r>
              <w:rPr>
                <w:rFonts w:ascii="Times New Roman" w:hAnsi="Times New Roman" w:eastAsia="宋体"/>
                <w:b/>
                <w:sz w:val="20"/>
                <w:szCs w:val="20"/>
              </w:rPr>
              <w:t>20</w:t>
            </w:r>
          </w:p>
        </w:tc>
        <w:tc>
          <w:tcPr>
            <w:tcW w:w="1094" w:type="pct"/>
            <w:vMerge w:val="restart"/>
            <w:tcBorders>
              <w:left w:val="single" w:color="auto" w:sz="4" w:space="0"/>
              <w:right w:val="single" w:color="auto" w:sz="4" w:space="0"/>
            </w:tcBorders>
            <w:shd w:val="clear" w:color="auto" w:fill="auto"/>
            <w:vAlign w:val="center"/>
          </w:tcPr>
          <w:p w14:paraId="23C2847A">
            <w:pPr>
              <w:jc w:val="center"/>
              <w:rPr>
                <w:rFonts w:ascii="Times New Roman" w:hAnsi="Times New Roman" w:cs="Times New Roman"/>
              </w:rPr>
            </w:pPr>
            <w:r>
              <w:rPr>
                <w:rFonts w:ascii="Times New Roman" w:hAnsi="Times New Roman" w:cs="Times New Roman"/>
                <w:sz w:val="18"/>
                <w:szCs w:val="18"/>
              </w:rPr>
              <w:t>5.2绞车</w:t>
            </w:r>
          </w:p>
        </w:tc>
        <w:tc>
          <w:tcPr>
            <w:tcW w:w="3307" w:type="pct"/>
            <w:tcBorders>
              <w:top w:val="single" w:color="auto" w:sz="4" w:space="0"/>
              <w:left w:val="single" w:color="auto" w:sz="4" w:space="0"/>
              <w:bottom w:val="single" w:color="auto" w:sz="4" w:space="0"/>
              <w:right w:val="single" w:color="auto" w:sz="4" w:space="0"/>
            </w:tcBorders>
            <w:shd w:val="clear" w:color="auto" w:fill="auto"/>
            <w:vAlign w:val="center"/>
          </w:tcPr>
          <w:p w14:paraId="46D02F37">
            <w:pPr>
              <w:rPr>
                <w:rFonts w:ascii="Times New Roman" w:hAnsi="Times New Roman" w:cs="Times New Roman"/>
                <w:sz w:val="20"/>
                <w:szCs w:val="20"/>
              </w:rPr>
            </w:pPr>
            <w:r>
              <w:rPr>
                <w:rFonts w:ascii="Times New Roman" w:hAnsi="Times New Roman" w:cs="Times New Roman"/>
                <w:sz w:val="20"/>
                <w:szCs w:val="20"/>
              </w:rPr>
              <w:t xml:space="preserve">20.1 </w:t>
            </w:r>
            <w:r>
              <w:rPr>
                <w:rFonts w:hint="eastAsia" w:ascii="Times New Roman" w:hAnsi="Times New Roman" w:cs="Times New Roman"/>
                <w:sz w:val="20"/>
                <w:szCs w:val="20"/>
              </w:rPr>
              <w:t>滚筒表层拉力：大于</w:t>
            </w:r>
            <w:r>
              <w:rPr>
                <w:rFonts w:ascii="Times New Roman" w:hAnsi="Times New Roman" w:cs="Times New Roman"/>
                <w:sz w:val="20"/>
                <w:szCs w:val="20"/>
              </w:rPr>
              <w:t>9</w:t>
            </w:r>
            <w:r>
              <w:rPr>
                <w:rFonts w:hint="eastAsia" w:ascii="Times New Roman" w:hAnsi="Times New Roman" w:cs="Times New Roman"/>
                <w:sz w:val="20"/>
                <w:szCs w:val="20"/>
              </w:rPr>
              <w:t>吨；</w:t>
            </w:r>
          </w:p>
        </w:tc>
      </w:tr>
      <w:tr w14:paraId="3153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tcPr>
          <w:p w14:paraId="2229E278">
            <w:pPr>
              <w:widowControl/>
              <w:jc w:val="left"/>
              <w:rPr>
                <w:rFonts w:ascii="Times New Roman" w:hAnsi="Times New Roman" w:eastAsia="宋体"/>
                <w:b/>
                <w:sz w:val="20"/>
                <w:szCs w:val="20"/>
              </w:rPr>
            </w:pPr>
          </w:p>
        </w:tc>
        <w:tc>
          <w:tcPr>
            <w:tcW w:w="1094" w:type="pct"/>
            <w:vMerge w:val="continue"/>
            <w:tcBorders>
              <w:left w:val="single" w:color="auto" w:sz="4" w:space="0"/>
              <w:right w:val="single" w:color="auto" w:sz="4" w:space="0"/>
            </w:tcBorders>
          </w:tcPr>
          <w:p w14:paraId="072908F5">
            <w:pPr>
              <w:rPr>
                <w:rFonts w:ascii="Times New Roman" w:hAnsi="Times New Roman" w:cs="Times New Roman"/>
              </w:rPr>
            </w:pPr>
          </w:p>
        </w:tc>
        <w:tc>
          <w:tcPr>
            <w:tcW w:w="3307" w:type="pct"/>
            <w:shd w:val="clear" w:color="auto" w:fill="auto"/>
            <w:vAlign w:val="center"/>
          </w:tcPr>
          <w:p w14:paraId="7B351531">
            <w:pPr>
              <w:rPr>
                <w:rFonts w:ascii="Times New Roman" w:hAnsi="Times New Roman" w:cs="Times New Roman"/>
                <w:sz w:val="20"/>
                <w:szCs w:val="20"/>
              </w:rPr>
            </w:pPr>
            <w:r>
              <w:rPr>
                <w:rFonts w:ascii="Times New Roman" w:hAnsi="Times New Roman" w:cs="Times New Roman"/>
                <w:sz w:val="20"/>
                <w:szCs w:val="20"/>
              </w:rPr>
              <w:t>20.2</w:t>
            </w:r>
            <w:r>
              <w:rPr>
                <w:rFonts w:hint="eastAsia" w:ascii="Times New Roman" w:hAnsi="Times New Roman" w:cs="Times New Roman"/>
                <w:sz w:val="20"/>
                <w:szCs w:val="20"/>
              </w:rPr>
              <w:t xml:space="preserve"> 制动：12吨；</w:t>
            </w:r>
          </w:p>
        </w:tc>
      </w:tr>
      <w:tr w14:paraId="2634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tcPr>
          <w:p w14:paraId="6FC37B1E">
            <w:pPr>
              <w:widowControl/>
              <w:jc w:val="left"/>
              <w:rPr>
                <w:rFonts w:ascii="Times New Roman" w:hAnsi="Times New Roman" w:eastAsia="宋体"/>
                <w:b/>
                <w:sz w:val="20"/>
                <w:szCs w:val="20"/>
              </w:rPr>
            </w:pPr>
          </w:p>
        </w:tc>
        <w:tc>
          <w:tcPr>
            <w:tcW w:w="1094" w:type="pct"/>
            <w:vMerge w:val="continue"/>
            <w:tcBorders>
              <w:left w:val="single" w:color="auto" w:sz="4" w:space="0"/>
              <w:right w:val="single" w:color="auto" w:sz="4" w:space="0"/>
            </w:tcBorders>
          </w:tcPr>
          <w:p w14:paraId="5477A73A">
            <w:pPr>
              <w:rPr>
                <w:rFonts w:ascii="Times New Roman" w:hAnsi="Times New Roman" w:cs="Times New Roman"/>
              </w:rPr>
            </w:pPr>
          </w:p>
        </w:tc>
        <w:tc>
          <w:tcPr>
            <w:tcW w:w="3307" w:type="pct"/>
            <w:shd w:val="clear" w:color="auto" w:fill="auto"/>
            <w:vAlign w:val="center"/>
          </w:tcPr>
          <w:p w14:paraId="37565E2C">
            <w:pPr>
              <w:rPr>
                <w:rFonts w:ascii="Times New Roman" w:hAnsi="Times New Roman" w:cs="Times New Roman"/>
                <w:sz w:val="20"/>
                <w:szCs w:val="20"/>
              </w:rPr>
            </w:pPr>
            <w:r>
              <w:rPr>
                <w:rFonts w:ascii="Times New Roman" w:hAnsi="Times New Roman" w:cs="Times New Roman"/>
                <w:sz w:val="20"/>
                <w:szCs w:val="20"/>
              </w:rPr>
              <w:t>20.3</w:t>
            </w:r>
            <w:r>
              <w:rPr>
                <w:rFonts w:hint="eastAsia" w:ascii="Times New Roman" w:hAnsi="Times New Roman" w:cs="Times New Roman"/>
                <w:sz w:val="20"/>
                <w:szCs w:val="20"/>
              </w:rPr>
              <w:t>平均收放电缆速度：40米/分钟；</w:t>
            </w:r>
          </w:p>
        </w:tc>
      </w:tr>
      <w:tr w14:paraId="068C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tcPr>
          <w:p w14:paraId="3A451A3D">
            <w:pPr>
              <w:widowControl/>
              <w:jc w:val="left"/>
              <w:rPr>
                <w:rFonts w:ascii="Times New Roman" w:hAnsi="Times New Roman" w:eastAsia="宋体"/>
                <w:b/>
                <w:sz w:val="20"/>
                <w:szCs w:val="20"/>
              </w:rPr>
            </w:pPr>
          </w:p>
        </w:tc>
        <w:tc>
          <w:tcPr>
            <w:tcW w:w="1094" w:type="pct"/>
            <w:vMerge w:val="continue"/>
            <w:tcBorders>
              <w:left w:val="single" w:color="auto" w:sz="4" w:space="0"/>
              <w:right w:val="single" w:color="auto" w:sz="4" w:space="0"/>
            </w:tcBorders>
          </w:tcPr>
          <w:p w14:paraId="35A718E0">
            <w:pPr>
              <w:rPr>
                <w:rFonts w:ascii="Times New Roman" w:hAnsi="Times New Roman" w:cs="Times New Roman"/>
              </w:rPr>
            </w:pPr>
          </w:p>
        </w:tc>
        <w:tc>
          <w:tcPr>
            <w:tcW w:w="3307" w:type="pct"/>
            <w:shd w:val="clear" w:color="auto" w:fill="auto"/>
            <w:vAlign w:val="center"/>
          </w:tcPr>
          <w:p w14:paraId="7FE6AEEE">
            <w:pPr>
              <w:rPr>
                <w:rFonts w:ascii="Times New Roman" w:hAnsi="Times New Roman" w:cs="Times New Roman"/>
                <w:sz w:val="20"/>
                <w:szCs w:val="20"/>
              </w:rPr>
            </w:pPr>
            <w:r>
              <w:rPr>
                <w:rFonts w:hint="eastAsia" w:ascii="Times New Roman" w:hAnsi="Times New Roman" w:cs="Times New Roman"/>
                <w:sz w:val="20"/>
                <w:szCs w:val="20"/>
              </w:rPr>
              <w:t>20.4 配备5吨钢丝绞车</w:t>
            </w:r>
          </w:p>
        </w:tc>
      </w:tr>
      <w:tr w14:paraId="7A15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restart"/>
            <w:tcBorders>
              <w:left w:val="single" w:color="auto" w:sz="4" w:space="0"/>
              <w:right w:val="single" w:color="auto" w:sz="4" w:space="0"/>
            </w:tcBorders>
            <w:vAlign w:val="center"/>
          </w:tcPr>
          <w:p w14:paraId="48565BD7">
            <w:pPr>
              <w:jc w:val="center"/>
              <w:rPr>
                <w:rFonts w:ascii="Times New Roman" w:hAnsi="Times New Roman"/>
                <w:sz w:val="20"/>
                <w:szCs w:val="20"/>
              </w:rPr>
            </w:pPr>
            <w:r>
              <w:rPr>
                <w:rFonts w:hint="eastAsia" w:ascii="Times New Roman" w:hAnsi="Times New Roman"/>
                <w:b/>
                <w:bCs/>
                <w:sz w:val="20"/>
                <w:szCs w:val="20"/>
              </w:rPr>
              <w:t>2</w:t>
            </w:r>
            <w:r>
              <w:rPr>
                <w:rFonts w:ascii="Times New Roman" w:hAnsi="Times New Roman"/>
                <w:b/>
                <w:bCs/>
                <w:sz w:val="20"/>
                <w:szCs w:val="20"/>
              </w:rPr>
              <w:t>1</w:t>
            </w:r>
          </w:p>
        </w:tc>
        <w:tc>
          <w:tcPr>
            <w:tcW w:w="1094" w:type="pct"/>
            <w:vMerge w:val="restart"/>
            <w:tcBorders>
              <w:left w:val="single" w:color="auto" w:sz="4" w:space="0"/>
              <w:right w:val="single" w:color="auto" w:sz="4" w:space="0"/>
            </w:tcBorders>
            <w:vAlign w:val="center"/>
          </w:tcPr>
          <w:p w14:paraId="612E81C6">
            <w:pPr>
              <w:jc w:val="center"/>
              <w:rPr>
                <w:rFonts w:ascii="Times New Roman" w:hAnsi="Times New Roman"/>
                <w:sz w:val="20"/>
                <w:szCs w:val="20"/>
              </w:rPr>
            </w:pPr>
            <w:r>
              <w:rPr>
                <w:rFonts w:ascii="Times New Roman" w:hAnsi="Times New Roman"/>
                <w:sz w:val="20"/>
                <w:szCs w:val="20"/>
              </w:rPr>
              <w:t>5.3</w:t>
            </w:r>
            <w:r>
              <w:rPr>
                <w:rFonts w:hint="eastAsia" w:ascii="Times New Roman" w:hAnsi="Times New Roman"/>
                <w:sz w:val="20"/>
                <w:szCs w:val="20"/>
              </w:rPr>
              <w:t>ROV释放回收</w:t>
            </w:r>
            <w:r>
              <w:rPr>
                <w:rFonts w:ascii="Times New Roman" w:hAnsi="Times New Roman"/>
                <w:sz w:val="20"/>
                <w:szCs w:val="20"/>
              </w:rPr>
              <w:t>门架</w:t>
            </w:r>
          </w:p>
        </w:tc>
        <w:tc>
          <w:tcPr>
            <w:tcW w:w="3307" w:type="pct"/>
            <w:shd w:val="clear" w:color="auto" w:fill="auto"/>
            <w:vAlign w:val="center"/>
          </w:tcPr>
          <w:p w14:paraId="3790B846">
            <w:pP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 xml:space="preserve">1.1 </w:t>
            </w:r>
            <w:r>
              <w:rPr>
                <w:rFonts w:hint="eastAsia" w:ascii="Times New Roman" w:hAnsi="Times New Roman" w:cs="Times New Roman"/>
                <w:sz w:val="20"/>
                <w:szCs w:val="20"/>
              </w:rPr>
              <w:t>功能：具备锁死、释放与回收功能，具备前后止荡功能；</w:t>
            </w:r>
          </w:p>
        </w:tc>
      </w:tr>
      <w:tr w14:paraId="00F7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7" w:type="pct"/>
            <w:vMerge w:val="continue"/>
            <w:tcBorders>
              <w:left w:val="single" w:color="auto" w:sz="4" w:space="0"/>
              <w:right w:val="single" w:color="auto" w:sz="4" w:space="0"/>
            </w:tcBorders>
          </w:tcPr>
          <w:p w14:paraId="72F2CEE9">
            <w:pPr>
              <w:widowControl/>
              <w:jc w:val="left"/>
              <w:rPr>
                <w:rFonts w:ascii="Times New Roman" w:hAnsi="Times New Roman" w:eastAsia="宋体"/>
                <w:b/>
                <w:sz w:val="20"/>
                <w:szCs w:val="20"/>
              </w:rPr>
            </w:pPr>
          </w:p>
        </w:tc>
        <w:tc>
          <w:tcPr>
            <w:tcW w:w="1094" w:type="pct"/>
            <w:vMerge w:val="continue"/>
            <w:tcBorders>
              <w:left w:val="single" w:color="auto" w:sz="4" w:space="0"/>
              <w:right w:val="single" w:color="auto" w:sz="4" w:space="0"/>
            </w:tcBorders>
          </w:tcPr>
          <w:p w14:paraId="2E259D1D">
            <w:pPr>
              <w:rPr>
                <w:rFonts w:ascii="Times New Roman" w:hAnsi="Times New Roman" w:cs="Times New Roman"/>
              </w:rPr>
            </w:pPr>
          </w:p>
        </w:tc>
        <w:tc>
          <w:tcPr>
            <w:tcW w:w="3307" w:type="pct"/>
            <w:shd w:val="clear" w:color="auto" w:fill="auto"/>
            <w:vAlign w:val="center"/>
          </w:tcPr>
          <w:p w14:paraId="501F3151">
            <w:pP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 xml:space="preserve">1.2 </w:t>
            </w:r>
            <w:r>
              <w:rPr>
                <w:rFonts w:hint="eastAsia" w:ascii="Times New Roman" w:hAnsi="Times New Roman" w:cs="Times New Roman"/>
                <w:sz w:val="20"/>
                <w:szCs w:val="20"/>
              </w:rPr>
              <w:t>材质：Q345D高强度钢。</w:t>
            </w:r>
          </w:p>
        </w:tc>
      </w:tr>
    </w:tbl>
    <w:p w14:paraId="0622FD12">
      <w:pPr>
        <w:rPr>
          <w:rFonts w:ascii="宋体" w:hAnsi="宋体" w:eastAsia="宋体"/>
          <w:b/>
          <w:szCs w:val="21"/>
        </w:rPr>
      </w:pPr>
    </w:p>
    <w:p w14:paraId="15CF30AD">
      <w:pPr>
        <w:rPr>
          <w:rFonts w:hint="eastAsia"/>
          <w:sz w:val="28"/>
          <w:szCs w:val="28"/>
        </w:rPr>
      </w:pPr>
      <w:r>
        <w:rPr>
          <w:rFonts w:hint="eastAsia"/>
          <w:sz w:val="28"/>
          <w:szCs w:val="28"/>
        </w:rPr>
        <w:br w:type="page"/>
      </w:r>
    </w:p>
    <w:p w14:paraId="5622D3C6">
      <w:pPr>
        <w:pStyle w:val="5"/>
        <w:spacing w:before="120" w:beforeLines="50" w:after="120" w:afterLines="50"/>
        <w:rPr>
          <w:sz w:val="28"/>
          <w:szCs w:val="28"/>
        </w:rPr>
      </w:pPr>
      <w:r>
        <w:rPr>
          <w:rFonts w:hint="eastAsia"/>
          <w:sz w:val="28"/>
          <w:szCs w:val="28"/>
        </w:rPr>
        <w:t>五、商务要求</w:t>
      </w:r>
    </w:p>
    <w:p w14:paraId="3B7C6A43">
      <w:pPr>
        <w:ind w:firstLine="482" w:firstLineChars="200"/>
        <w:rPr>
          <w:rFonts w:ascii="宋体" w:hAnsi="宋体" w:eastAsia="宋体"/>
          <w:b/>
        </w:rPr>
      </w:pPr>
      <w:r>
        <w:rPr>
          <w:rFonts w:hint="eastAsia" w:ascii="宋体" w:hAnsi="宋体" w:eastAsia="宋体"/>
          <w:b/>
          <w:szCs w:val="21"/>
        </w:rPr>
        <w:t>说明：</w:t>
      </w:r>
      <w:r>
        <w:rPr>
          <w:rFonts w:ascii="宋体" w:hAnsi="宋体" w:eastAsia="宋体"/>
          <w:b/>
        </w:rPr>
        <w:t>1</w:t>
      </w:r>
      <w:r>
        <w:rPr>
          <w:rFonts w:hint="eastAsia" w:ascii="宋体" w:hAnsi="宋体" w:eastAsia="宋体"/>
          <w:b/>
        </w:rPr>
        <w:t>、评分时，如对一项招标商务要求（以划分框为准）中的内容存在两处（或以上）负偏离的，在评分时只作一项负偏离扣分。</w:t>
      </w:r>
    </w:p>
    <w:p w14:paraId="21B4F5B7">
      <w:pPr>
        <w:ind w:firstLine="482" w:firstLineChars="200"/>
        <w:rPr>
          <w:rFonts w:ascii="宋体" w:hAnsi="宋体" w:eastAsia="宋体"/>
          <w:b/>
          <w:szCs w:val="21"/>
        </w:rPr>
      </w:pPr>
      <w:r>
        <w:rPr>
          <w:rFonts w:ascii="宋体" w:hAnsi="宋体" w:eastAsia="宋体"/>
          <w:b/>
          <w:szCs w:val="21"/>
        </w:rPr>
        <w:t>2</w:t>
      </w:r>
      <w:r>
        <w:rPr>
          <w:rFonts w:hint="eastAsia" w:ascii="宋体" w:hAnsi="宋体" w:eastAsia="宋体"/>
          <w:b/>
          <w:szCs w:val="21"/>
        </w:rPr>
        <w:t>、带“</w:t>
      </w:r>
      <w:r>
        <w:rPr>
          <w:rFonts w:hint="eastAsia" w:ascii="宋体" w:hAnsi="宋体" w:eastAsia="宋体" w:cs="宋体"/>
          <w:b/>
          <w:szCs w:val="21"/>
        </w:rPr>
        <w:t>★</w:t>
      </w:r>
      <w:r>
        <w:rPr>
          <w:rFonts w:hint="eastAsia" w:ascii="宋体" w:hAnsi="宋体" w:eastAsia="宋体"/>
          <w:b/>
          <w:szCs w:val="21"/>
        </w:rPr>
        <w:t>”指标项为实质性条款，如出现负偏离，将被视为未实质性满足招标文件要求作投标无效处理；带“</w:t>
      </w:r>
      <w:r>
        <w:rPr>
          <w:rFonts w:ascii="宋体" w:hAnsi="宋体" w:eastAsia="宋体"/>
        </w:rPr>
        <w:t>▲</w:t>
      </w:r>
      <w:r>
        <w:rPr>
          <w:rFonts w:hint="eastAsia" w:ascii="宋体" w:hAnsi="宋体" w:eastAsia="宋体"/>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620"/>
        <w:gridCol w:w="5940"/>
      </w:tblGrid>
      <w:tr w14:paraId="16FC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dxa"/>
            <w:vAlign w:val="center"/>
          </w:tcPr>
          <w:p w14:paraId="3CBB0C9E">
            <w:pPr>
              <w:jc w:val="center"/>
              <w:rPr>
                <w:b/>
              </w:rPr>
            </w:pPr>
            <w:r>
              <w:rPr>
                <w:rFonts w:hint="eastAsia"/>
                <w:b/>
              </w:rPr>
              <w:t>序号</w:t>
            </w:r>
          </w:p>
        </w:tc>
        <w:tc>
          <w:tcPr>
            <w:tcW w:w="1620" w:type="dxa"/>
            <w:vAlign w:val="center"/>
          </w:tcPr>
          <w:p w14:paraId="5AD36DB9">
            <w:pPr>
              <w:jc w:val="center"/>
              <w:rPr>
                <w:b/>
              </w:rPr>
            </w:pPr>
            <w:r>
              <w:rPr>
                <w:rFonts w:hint="eastAsia"/>
                <w:b/>
              </w:rPr>
              <w:t>目录</w:t>
            </w:r>
          </w:p>
        </w:tc>
        <w:tc>
          <w:tcPr>
            <w:tcW w:w="5940" w:type="dxa"/>
            <w:vAlign w:val="center"/>
          </w:tcPr>
          <w:p w14:paraId="36C9E107">
            <w:pPr>
              <w:jc w:val="center"/>
              <w:rPr>
                <w:b/>
              </w:rPr>
            </w:pPr>
            <w:r>
              <w:rPr>
                <w:rFonts w:hint="eastAsia"/>
                <w:b/>
              </w:rPr>
              <w:t>招标商务需求</w:t>
            </w:r>
          </w:p>
        </w:tc>
      </w:tr>
      <w:tr w14:paraId="0470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14:paraId="2A33B865">
            <w:pPr>
              <w:rPr>
                <w:b/>
              </w:rPr>
            </w:pPr>
            <w:r>
              <w:rPr>
                <w:rFonts w:hint="eastAsia"/>
                <w:b/>
              </w:rPr>
              <w:t>（一）</w:t>
            </w:r>
            <w:r>
              <w:rPr>
                <w:rFonts w:ascii="Times New Roman" w:hAnsi="Times New Roman" w:cs="Times New Roman" w:eastAsiaTheme="majorEastAsia"/>
                <w:b/>
                <w:szCs w:val="21"/>
              </w:rPr>
              <w:t>保修期内售后服务要求（期间产生的费用均已包含在投标报价中）</w:t>
            </w:r>
          </w:p>
        </w:tc>
      </w:tr>
      <w:tr w14:paraId="48AC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60" w:type="dxa"/>
            <w:vAlign w:val="center"/>
          </w:tcPr>
          <w:p w14:paraId="0AE4AEFD">
            <w:pPr>
              <w:jc w:val="center"/>
              <w:rPr>
                <w:bCs/>
              </w:rPr>
            </w:pPr>
            <w:r>
              <w:rPr>
                <w:rFonts w:hint="eastAsia"/>
                <w:bCs/>
              </w:rPr>
              <w:t>1</w:t>
            </w:r>
          </w:p>
        </w:tc>
        <w:tc>
          <w:tcPr>
            <w:tcW w:w="1620" w:type="dxa"/>
          </w:tcPr>
          <w:p w14:paraId="0F24E48D">
            <w:r>
              <w:rPr>
                <w:rFonts w:hint="eastAsia"/>
              </w:rPr>
              <w:t>维修响应及故障解决时间</w:t>
            </w:r>
          </w:p>
        </w:tc>
        <w:tc>
          <w:tcPr>
            <w:tcW w:w="5940" w:type="dxa"/>
          </w:tcPr>
          <w:p w14:paraId="085492C7">
            <w:pPr>
              <w:rPr>
                <w:b/>
              </w:rPr>
            </w:pPr>
            <w:r>
              <w:rPr>
                <w:rFonts w:ascii="Times New Roman" w:hAnsi="Times New Roman" w:cs="Times New Roman" w:eastAsiaTheme="majorEastAsia"/>
                <w:bCs/>
                <w:szCs w:val="21"/>
              </w:rPr>
              <w:t>在保修期内，一旦发生质量问题，投标人保证在接到通知</w:t>
            </w:r>
            <w:r>
              <w:rPr>
                <w:rFonts w:ascii="Times New Roman" w:hAnsi="Times New Roman" w:cs="Times New Roman" w:eastAsiaTheme="majorEastAsia"/>
                <w:bCs/>
                <w:szCs w:val="21"/>
                <w:u w:val="single"/>
              </w:rPr>
              <w:t xml:space="preserve">2 </w:t>
            </w:r>
            <w:r>
              <w:rPr>
                <w:rFonts w:ascii="Times New Roman" w:hAnsi="Times New Roman" w:cs="Times New Roman" w:eastAsiaTheme="majorEastAsia"/>
                <w:bCs/>
                <w:szCs w:val="21"/>
              </w:rPr>
              <w:t>小时内</w:t>
            </w:r>
            <w:r>
              <w:rPr>
                <w:rFonts w:ascii="Times New Roman" w:hAnsi="Times New Roman" w:cs="Times New Roman" w:eastAsiaTheme="majorEastAsia"/>
                <w:szCs w:val="21"/>
              </w:rPr>
              <w:t>对采购人的服务要求作出响应。对于紧急故障（如设备停机），投标人需在</w:t>
            </w:r>
            <w:r>
              <w:rPr>
                <w:rFonts w:ascii="Times New Roman" w:hAnsi="Times New Roman" w:cs="Times New Roman" w:eastAsiaTheme="majorEastAsia"/>
                <w:szCs w:val="21"/>
                <w:u w:val="single"/>
              </w:rPr>
              <w:t xml:space="preserve"> 3 </w:t>
            </w:r>
            <w:r>
              <w:rPr>
                <w:rFonts w:ascii="Times New Roman" w:hAnsi="Times New Roman" w:cs="Times New Roman" w:eastAsiaTheme="majorEastAsia"/>
                <w:szCs w:val="21"/>
              </w:rPr>
              <w:t>天内到场排除故障；对于一般故障，投标人需在</w:t>
            </w:r>
            <w:r>
              <w:rPr>
                <w:rFonts w:ascii="Times New Roman" w:hAnsi="Times New Roman" w:cs="Times New Roman" w:eastAsiaTheme="majorEastAsia"/>
                <w:szCs w:val="21"/>
                <w:u w:val="single"/>
              </w:rPr>
              <w:t xml:space="preserve"> 10 </w:t>
            </w:r>
            <w:r>
              <w:rPr>
                <w:rFonts w:ascii="Times New Roman" w:hAnsi="Times New Roman" w:cs="Times New Roman" w:eastAsiaTheme="majorEastAsia"/>
                <w:szCs w:val="21"/>
              </w:rPr>
              <w:t>天内到场排除故障；若遇重大故障不能按期排除，则设备免费保修期顺延，但投标人应在</w:t>
            </w:r>
            <w:r>
              <w:rPr>
                <w:rFonts w:ascii="Times New Roman" w:hAnsi="Times New Roman" w:cs="Times New Roman" w:eastAsiaTheme="majorEastAsia"/>
                <w:szCs w:val="21"/>
                <w:u w:val="single"/>
              </w:rPr>
              <w:t xml:space="preserve"> 30 </w:t>
            </w:r>
            <w:r>
              <w:rPr>
                <w:rFonts w:ascii="Times New Roman" w:hAnsi="Times New Roman" w:cs="Times New Roman" w:eastAsiaTheme="majorEastAsia"/>
                <w:szCs w:val="21"/>
              </w:rPr>
              <w:t>个工作日内排除故障。保修期内，某项货物出现故障的次数达【5】次的，其保修时间延长【6】个月；延长期限内，该项部件出现故障的次数达【5】次的，保修期继续延长【6】个月，以后均按此规定执行。</w:t>
            </w:r>
          </w:p>
        </w:tc>
      </w:tr>
      <w:tr w14:paraId="2F71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60" w:type="dxa"/>
            <w:vAlign w:val="center"/>
          </w:tcPr>
          <w:p w14:paraId="08C21872">
            <w:pPr>
              <w:jc w:val="center"/>
              <w:rPr>
                <w:bCs/>
                <w:szCs w:val="21"/>
              </w:rPr>
            </w:pPr>
            <w:r>
              <w:rPr>
                <w:rFonts w:hint="eastAsia"/>
                <w:bCs/>
                <w:szCs w:val="21"/>
              </w:rPr>
              <w:t>2</w:t>
            </w:r>
          </w:p>
        </w:tc>
        <w:tc>
          <w:tcPr>
            <w:tcW w:w="1620" w:type="dxa"/>
          </w:tcPr>
          <w:p w14:paraId="1A41CEBA">
            <w:pPr>
              <w:rPr>
                <w:szCs w:val="21"/>
              </w:rPr>
            </w:pPr>
            <w:r>
              <w:rPr>
                <w:rFonts w:hint="eastAsia"/>
                <w:szCs w:val="21"/>
              </w:rPr>
              <w:t>关于免费保修期</w:t>
            </w:r>
          </w:p>
        </w:tc>
        <w:tc>
          <w:tcPr>
            <w:tcW w:w="5940" w:type="dxa"/>
          </w:tcPr>
          <w:p w14:paraId="4F55534E">
            <w:pPr>
              <w:rPr>
                <w:b/>
                <w:szCs w:val="21"/>
              </w:rPr>
            </w:pPr>
            <w:r>
              <w:rPr>
                <w:rFonts w:hint="eastAsia"/>
                <w:bCs/>
                <w:szCs w:val="21"/>
              </w:rPr>
              <w:t>★货物免费保修期</w:t>
            </w:r>
            <w:r>
              <w:rPr>
                <w:rFonts w:hint="eastAsia"/>
                <w:bCs/>
                <w:szCs w:val="21"/>
                <w:u w:val="single"/>
              </w:rPr>
              <w:t xml:space="preserve">  </w:t>
            </w:r>
            <w:r>
              <w:rPr>
                <w:bCs/>
                <w:szCs w:val="21"/>
                <w:u w:val="single"/>
              </w:rPr>
              <w:t>1</w:t>
            </w:r>
            <w:r>
              <w:rPr>
                <w:rFonts w:hint="eastAsia"/>
                <w:bCs/>
                <w:szCs w:val="21"/>
                <w:u w:val="single"/>
              </w:rPr>
              <w:t xml:space="preserve">  </w:t>
            </w:r>
            <w:r>
              <w:rPr>
                <w:rFonts w:hint="eastAsia"/>
                <w:bCs/>
                <w:szCs w:val="21"/>
              </w:rPr>
              <w:t>年，时间自最终验收合格并交付使用之日起计算。</w:t>
            </w:r>
          </w:p>
        </w:tc>
      </w:tr>
      <w:tr w14:paraId="4A2B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60" w:type="dxa"/>
            <w:vAlign w:val="center"/>
          </w:tcPr>
          <w:p w14:paraId="440C5AB9">
            <w:pPr>
              <w:jc w:val="center"/>
              <w:rPr>
                <w:bCs/>
                <w:szCs w:val="21"/>
              </w:rPr>
            </w:pPr>
            <w:r>
              <w:rPr>
                <w:rFonts w:hint="eastAsia"/>
                <w:bCs/>
              </w:rPr>
              <w:t>3</w:t>
            </w:r>
          </w:p>
        </w:tc>
        <w:tc>
          <w:tcPr>
            <w:tcW w:w="1620" w:type="dxa"/>
            <w:vAlign w:val="center"/>
          </w:tcPr>
          <w:p w14:paraId="091E749E">
            <w:pPr>
              <w:rPr>
                <w:szCs w:val="21"/>
              </w:rPr>
            </w:pPr>
            <w:r>
              <w:rPr>
                <w:rFonts w:hint="eastAsia" w:ascii="宋体" w:hAnsi="宋体" w:eastAsia="宋体" w:cs="宋体"/>
                <w:szCs w:val="24"/>
              </w:rPr>
              <w:t>关于软件升级</w:t>
            </w:r>
          </w:p>
        </w:tc>
        <w:tc>
          <w:tcPr>
            <w:tcW w:w="5940" w:type="dxa"/>
          </w:tcPr>
          <w:p w14:paraId="7E7BE229">
            <w:pPr>
              <w:rPr>
                <w:bCs/>
                <w:szCs w:val="21"/>
              </w:rPr>
            </w:pPr>
            <w:r>
              <w:rPr>
                <w:rFonts w:hint="eastAsia" w:ascii="宋体" w:hAnsi="宋体" w:eastAsia="宋体" w:cs="宋体"/>
                <w:szCs w:val="24"/>
              </w:rPr>
              <w:t>中标人对设备控制软件提供5年免费升级服务，时间自最终验收合格并交付使用之日起计算。</w:t>
            </w:r>
          </w:p>
        </w:tc>
      </w:tr>
      <w:tr w14:paraId="7AFE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60" w:type="dxa"/>
            <w:vAlign w:val="center"/>
          </w:tcPr>
          <w:p w14:paraId="6EFC9DD6">
            <w:pPr>
              <w:jc w:val="center"/>
              <w:rPr>
                <w:bCs/>
              </w:rPr>
            </w:pPr>
            <w:r>
              <w:rPr>
                <w:bCs/>
              </w:rPr>
              <w:t>4</w:t>
            </w:r>
          </w:p>
        </w:tc>
        <w:tc>
          <w:tcPr>
            <w:tcW w:w="1620" w:type="dxa"/>
            <w:vAlign w:val="center"/>
          </w:tcPr>
          <w:p w14:paraId="6683DDBD">
            <w:r>
              <w:rPr>
                <w:rFonts w:ascii="宋体" w:hAnsi="宋体"/>
              </w:rPr>
              <w:t>培训</w:t>
            </w:r>
            <w:r>
              <w:rPr>
                <w:rFonts w:hint="eastAsia" w:ascii="宋体" w:hAnsi="宋体"/>
              </w:rPr>
              <w:t>服务</w:t>
            </w:r>
            <w:r>
              <w:rPr>
                <w:rFonts w:ascii="宋体" w:hAnsi="宋体"/>
              </w:rPr>
              <w:t>要求</w:t>
            </w:r>
          </w:p>
        </w:tc>
        <w:tc>
          <w:tcPr>
            <w:tcW w:w="5940" w:type="dxa"/>
            <w:vAlign w:val="center"/>
          </w:tcPr>
          <w:p w14:paraId="39D3CA89">
            <w:pPr>
              <w:rPr>
                <w:bCs/>
                <w:szCs w:val="21"/>
              </w:rPr>
            </w:pPr>
            <w:r>
              <w:rPr>
                <w:rFonts w:hint="eastAsia" w:ascii="宋体" w:hAnsi="宋体" w:eastAsia="宋体" w:cs="宋体"/>
                <w:szCs w:val="24"/>
              </w:rPr>
              <w:t>在仪器安装完成后，由仪器供应商派专业工程师对使用人员免费进行技术培训。包括仪器基本原理和结构介绍、仪器操作方法、仪器基本保养维护程序等内容。培训应包含基本培训和高级应用培训。根据用户实际需求，双方协商时间，参加培训的人员至少</w:t>
            </w:r>
            <w:r>
              <w:rPr>
                <w:rFonts w:hint="eastAsia" w:ascii="宋体" w:hAnsi="宋体" w:eastAsia="宋体" w:cs="宋体"/>
                <w:szCs w:val="24"/>
                <w:u w:val="single"/>
              </w:rPr>
              <w:t xml:space="preserve"> 5</w:t>
            </w:r>
            <w:r>
              <w:rPr>
                <w:rFonts w:ascii="宋体" w:hAnsi="宋体" w:eastAsia="宋体" w:cs="宋体"/>
                <w:szCs w:val="24"/>
                <w:u w:val="single"/>
              </w:rPr>
              <w:t xml:space="preserve"> </w:t>
            </w:r>
            <w:r>
              <w:rPr>
                <w:rFonts w:hint="eastAsia" w:ascii="宋体" w:hAnsi="宋体" w:eastAsia="宋体" w:cs="宋体"/>
                <w:szCs w:val="24"/>
              </w:rPr>
              <w:t>人次。</w:t>
            </w:r>
          </w:p>
        </w:tc>
      </w:tr>
      <w:tr w14:paraId="64F53EEF">
        <w:tblPrEx>
          <w:tblCellMar>
            <w:top w:w="0" w:type="dxa"/>
            <w:left w:w="108" w:type="dxa"/>
            <w:bottom w:w="0" w:type="dxa"/>
            <w:right w:w="108" w:type="dxa"/>
          </w:tblCellMar>
        </w:tblPrEx>
        <w:trPr>
          <w:trHeight w:val="523" w:hRule="atLeast"/>
        </w:trPr>
        <w:tc>
          <w:tcPr>
            <w:tcW w:w="1260" w:type="dxa"/>
            <w:vAlign w:val="center"/>
          </w:tcPr>
          <w:p w14:paraId="59FB59CD">
            <w:pPr>
              <w:jc w:val="center"/>
              <w:rPr>
                <w:bCs/>
              </w:rPr>
            </w:pPr>
            <w:r>
              <w:rPr>
                <w:rFonts w:hint="eastAsia"/>
                <w:bCs/>
              </w:rPr>
              <w:t>5</w:t>
            </w:r>
          </w:p>
        </w:tc>
        <w:tc>
          <w:tcPr>
            <w:tcW w:w="1620" w:type="dxa"/>
            <w:vAlign w:val="center"/>
          </w:tcPr>
          <w:p w14:paraId="1891C45B">
            <w:pPr>
              <w:rPr>
                <w:rFonts w:ascii="宋体" w:hAnsi="宋体"/>
              </w:rPr>
            </w:pPr>
            <w:r>
              <w:rPr>
                <w:rFonts w:hint="eastAsia" w:ascii="宋体" w:hAnsi="宋体"/>
              </w:rPr>
              <w:t>海上作业服务</w:t>
            </w:r>
          </w:p>
        </w:tc>
        <w:tc>
          <w:tcPr>
            <w:tcW w:w="5940" w:type="dxa"/>
            <w:vAlign w:val="center"/>
          </w:tcPr>
          <w:p w14:paraId="4FB3986F">
            <w:pPr>
              <w:rPr>
                <w:rFonts w:ascii="宋体" w:hAnsi="宋体" w:eastAsia="宋体" w:cs="宋体"/>
                <w:szCs w:val="24"/>
              </w:rPr>
            </w:pPr>
            <w:r>
              <w:rPr>
                <w:rFonts w:hint="eastAsia"/>
                <w:bCs/>
                <w:szCs w:val="21"/>
              </w:rPr>
              <w:t>★</w:t>
            </w:r>
            <w:r>
              <w:rPr>
                <w:rFonts w:hint="eastAsia" w:ascii="宋体" w:hAnsi="宋体" w:eastAsia="宋体" w:cs="宋体"/>
                <w:szCs w:val="24"/>
              </w:rPr>
              <w:t>在售后保修期内，投标人至少安排一个班组（3人）跟踪海上作业一个航次（30天），确保使用人员完全掌握整套ROV系统的使用。</w:t>
            </w:r>
          </w:p>
        </w:tc>
      </w:tr>
      <w:tr w14:paraId="2841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60" w:type="dxa"/>
            <w:vAlign w:val="center"/>
          </w:tcPr>
          <w:p w14:paraId="7CFDBC23">
            <w:pPr>
              <w:jc w:val="center"/>
              <w:rPr>
                <w:bCs/>
              </w:rPr>
            </w:pPr>
            <w:r>
              <w:rPr>
                <w:rFonts w:hint="eastAsia"/>
                <w:bCs/>
              </w:rPr>
              <w:t>6</w:t>
            </w:r>
          </w:p>
        </w:tc>
        <w:tc>
          <w:tcPr>
            <w:tcW w:w="1620" w:type="dxa"/>
            <w:vAlign w:val="center"/>
          </w:tcPr>
          <w:p w14:paraId="2160A740">
            <w:pPr>
              <w:rPr>
                <w:b/>
              </w:rPr>
            </w:pPr>
            <w:r>
              <w:rPr>
                <w:rFonts w:ascii="宋体" w:hAnsi="宋体"/>
              </w:rPr>
              <w:t>其他</w:t>
            </w:r>
          </w:p>
        </w:tc>
        <w:tc>
          <w:tcPr>
            <w:tcW w:w="5940" w:type="dxa"/>
            <w:vAlign w:val="center"/>
          </w:tcPr>
          <w:p w14:paraId="37EEFD3C">
            <w:pPr>
              <w:rPr>
                <w:b/>
              </w:rPr>
            </w:pPr>
            <w:r>
              <w:rPr>
                <w:rFonts w:ascii="宋体" w:hAnsi="宋体"/>
              </w:rPr>
              <w:t>投标人应按其投标文件中的承诺，进行其他售后服务工作。</w:t>
            </w:r>
          </w:p>
        </w:tc>
      </w:tr>
      <w:tr w14:paraId="6721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14:paraId="25D6625B">
            <w:pPr>
              <w:rPr>
                <w:b/>
              </w:rPr>
            </w:pPr>
            <w:r>
              <w:rPr>
                <w:rFonts w:hint="eastAsia"/>
                <w:b/>
              </w:rPr>
              <w:t>（二）免费保修期外售后服务要求</w:t>
            </w:r>
          </w:p>
        </w:tc>
      </w:tr>
      <w:tr w14:paraId="2C8DCC14">
        <w:tblPrEx>
          <w:tblCellMar>
            <w:top w:w="0" w:type="dxa"/>
            <w:left w:w="108" w:type="dxa"/>
            <w:bottom w:w="0" w:type="dxa"/>
            <w:right w:w="108" w:type="dxa"/>
          </w:tblCellMar>
        </w:tblPrEx>
        <w:trPr>
          <w:trHeight w:val="350" w:hRule="atLeast"/>
        </w:trPr>
        <w:tc>
          <w:tcPr>
            <w:tcW w:w="1260" w:type="dxa"/>
            <w:vAlign w:val="center"/>
          </w:tcPr>
          <w:p w14:paraId="566AA568">
            <w:pPr>
              <w:jc w:val="center"/>
              <w:rPr>
                <w:bCs/>
              </w:rPr>
            </w:pPr>
            <w:r>
              <w:rPr>
                <w:rFonts w:ascii="Times New Roman" w:hAnsi="Times New Roman"/>
              </w:rPr>
              <w:t>1</w:t>
            </w:r>
          </w:p>
        </w:tc>
        <w:tc>
          <w:tcPr>
            <w:tcW w:w="1620" w:type="dxa"/>
            <w:vAlign w:val="center"/>
          </w:tcPr>
          <w:p w14:paraId="7887DFD5">
            <w:pPr>
              <w:rPr>
                <w:b/>
              </w:rPr>
            </w:pPr>
            <w:r>
              <w:rPr>
                <w:rFonts w:ascii="宋体" w:hAnsi="宋体"/>
              </w:rPr>
              <w:t>免费保修期外的</w:t>
            </w:r>
            <w:r>
              <w:rPr>
                <w:rFonts w:hint="eastAsia" w:ascii="宋体" w:hAnsi="宋体"/>
                <w:szCs w:val="21"/>
              </w:rPr>
              <w:t>售后维保方案</w:t>
            </w:r>
          </w:p>
        </w:tc>
        <w:tc>
          <w:tcPr>
            <w:tcW w:w="5940" w:type="dxa"/>
            <w:vAlign w:val="center"/>
          </w:tcPr>
          <w:p w14:paraId="5BE5417A">
            <w:pPr>
              <w:pStyle w:val="7"/>
              <w:rPr>
                <w:b/>
              </w:rPr>
            </w:pPr>
            <w:r>
              <w:rPr>
                <w:rFonts w:ascii="宋体" w:hAnsi="宋体"/>
              </w:rPr>
              <w:t>投标人</w:t>
            </w:r>
            <w:r>
              <w:rPr>
                <w:rFonts w:hint="eastAsia" w:ascii="宋体" w:hAnsi="宋体"/>
              </w:rPr>
              <w:t>提供</w:t>
            </w:r>
            <w:r>
              <w:rPr>
                <w:rFonts w:hint="eastAsia" w:ascii="宋体" w:hAnsi="宋体"/>
                <w:szCs w:val="21"/>
              </w:rPr>
              <w:t>售后维保方案，</w:t>
            </w:r>
            <w:r>
              <w:rPr>
                <w:rFonts w:ascii="宋体" w:hAnsi="宋体"/>
              </w:rPr>
              <w:t>保证免费保修期外继续为用户提供相应的售后服务</w:t>
            </w:r>
            <w:r>
              <w:rPr>
                <w:rFonts w:hint="eastAsia" w:ascii="宋体" w:hAnsi="宋体"/>
              </w:rPr>
              <w:t>，</w:t>
            </w:r>
            <w:r>
              <w:rPr>
                <w:rFonts w:ascii="Times New Roman" w:hAnsi="Times New Roman" w:cs="Times New Roman" w:eastAsiaTheme="majorEastAsia"/>
                <w:szCs w:val="21"/>
              </w:rPr>
              <w:t>协助排除故障、修复或更换零部件</w:t>
            </w:r>
            <w:r>
              <w:rPr>
                <w:rFonts w:hint="eastAsia" w:ascii="Times New Roman" w:hAnsi="Times New Roman" w:cs="Times New Roman" w:eastAsiaTheme="majorEastAsia"/>
                <w:szCs w:val="21"/>
              </w:rPr>
              <w:t>等</w:t>
            </w:r>
            <w:r>
              <w:rPr>
                <w:rFonts w:ascii="Times New Roman" w:hAnsi="Times New Roman" w:cs="Times New Roman" w:eastAsiaTheme="majorEastAsia"/>
                <w:szCs w:val="21"/>
              </w:rPr>
              <w:t>。</w:t>
            </w:r>
          </w:p>
        </w:tc>
      </w:tr>
      <w:tr w14:paraId="2049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684ED454">
            <w:pPr>
              <w:jc w:val="center"/>
              <w:rPr>
                <w:bCs/>
              </w:rPr>
            </w:pPr>
            <w:r>
              <w:rPr>
                <w:rFonts w:ascii="Times New Roman" w:hAnsi="Times New Roman"/>
              </w:rPr>
              <w:t>2</w:t>
            </w:r>
          </w:p>
        </w:tc>
        <w:tc>
          <w:tcPr>
            <w:tcW w:w="1620" w:type="dxa"/>
            <w:vAlign w:val="center"/>
          </w:tcPr>
          <w:p w14:paraId="0FE1D57F">
            <w:pPr>
              <w:rPr>
                <w:b/>
              </w:rPr>
            </w:pPr>
            <w:r>
              <w:rPr>
                <w:rFonts w:ascii="宋体" w:hAnsi="宋体"/>
              </w:rPr>
              <w:t>维修响应及故障解决时间</w:t>
            </w:r>
          </w:p>
        </w:tc>
        <w:tc>
          <w:tcPr>
            <w:tcW w:w="5940" w:type="dxa"/>
            <w:vAlign w:val="center"/>
          </w:tcPr>
          <w:p w14:paraId="4D68150B">
            <w:pPr>
              <w:rPr>
                <w:b/>
              </w:rPr>
            </w:pPr>
            <w:r>
              <w:rPr>
                <w:rFonts w:hint="eastAsia" w:ascii="宋体" w:hAnsi="宋体" w:eastAsia="宋体" w:cs="宋体"/>
                <w:szCs w:val="24"/>
              </w:rPr>
              <w:t>在免费保修期外，一旦发生质量问题，在</w:t>
            </w:r>
            <w:r>
              <w:rPr>
                <w:rFonts w:hint="eastAsia" w:ascii="宋体" w:hAnsi="宋体" w:eastAsia="宋体" w:cs="宋体"/>
                <w:szCs w:val="24"/>
                <w:u w:val="single"/>
              </w:rPr>
              <w:t>24</w:t>
            </w:r>
            <w:r>
              <w:rPr>
                <w:rFonts w:hint="eastAsia" w:ascii="宋体" w:hAnsi="宋体" w:eastAsia="宋体" w:cs="宋体"/>
                <w:szCs w:val="24"/>
              </w:rPr>
              <w:t>小时内对用户的服务要求作出响应，重大问题或其他无法迅速解决的问题，应在</w:t>
            </w:r>
            <w:r>
              <w:rPr>
                <w:rFonts w:hint="eastAsia" w:ascii="宋体" w:hAnsi="宋体" w:eastAsia="宋体" w:cs="宋体"/>
                <w:szCs w:val="24"/>
                <w:u w:val="single"/>
              </w:rPr>
              <w:t>5</w:t>
            </w:r>
            <w:r>
              <w:rPr>
                <w:rFonts w:hint="eastAsia" w:ascii="宋体" w:hAnsi="宋体" w:eastAsia="宋体" w:cs="宋体"/>
                <w:szCs w:val="24"/>
              </w:rPr>
              <w:t>个工作日内解决或提出明确的解决方案。</w:t>
            </w:r>
          </w:p>
        </w:tc>
      </w:tr>
      <w:tr w14:paraId="2DE3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47FE5FB2">
            <w:pPr>
              <w:jc w:val="center"/>
              <w:rPr>
                <w:bCs/>
              </w:rPr>
            </w:pPr>
            <w:r>
              <w:rPr>
                <w:rFonts w:ascii="Times New Roman" w:hAnsi="Times New Roman"/>
              </w:rPr>
              <w:t>3</w:t>
            </w:r>
          </w:p>
        </w:tc>
        <w:tc>
          <w:tcPr>
            <w:tcW w:w="1620" w:type="dxa"/>
          </w:tcPr>
          <w:p w14:paraId="47D57095">
            <w:pPr>
              <w:rPr>
                <w:b/>
              </w:rPr>
            </w:pPr>
            <w:r>
              <w:rPr>
                <w:rFonts w:ascii="宋体" w:hAnsi="宋体"/>
              </w:rPr>
              <w:t>售后配件和人工费用</w:t>
            </w:r>
          </w:p>
        </w:tc>
        <w:tc>
          <w:tcPr>
            <w:tcW w:w="5940" w:type="dxa"/>
          </w:tcPr>
          <w:p w14:paraId="4DA4E798">
            <w:pPr>
              <w:rPr>
                <w:b/>
              </w:rPr>
            </w:pPr>
            <w:r>
              <w:rPr>
                <w:rFonts w:ascii="宋体" w:hAnsi="宋体"/>
              </w:rPr>
              <w:t>在免费保修期外每次维修前，投标人需按成本价为售后配件和人工服务进行报价，用户购买完成后需尽快开具费用发票。</w:t>
            </w:r>
          </w:p>
        </w:tc>
      </w:tr>
      <w:tr w14:paraId="40E7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820" w:type="dxa"/>
            <w:gridSpan w:val="3"/>
          </w:tcPr>
          <w:p w14:paraId="5881376A">
            <w:pPr>
              <w:rPr>
                <w:b/>
              </w:rPr>
            </w:pPr>
            <w:r>
              <w:rPr>
                <w:rFonts w:hint="eastAsia"/>
                <w:b/>
              </w:rPr>
              <w:t>（三）其他商务要求</w:t>
            </w:r>
          </w:p>
        </w:tc>
      </w:tr>
      <w:tr w14:paraId="6C1D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60" w:type="dxa"/>
            <w:vMerge w:val="restart"/>
            <w:vAlign w:val="center"/>
          </w:tcPr>
          <w:p w14:paraId="03E9F40D">
            <w:pPr>
              <w:jc w:val="center"/>
              <w:rPr>
                <w:bCs/>
              </w:rPr>
            </w:pPr>
            <w:r>
              <w:rPr>
                <w:rFonts w:hint="eastAsia"/>
                <w:bCs/>
              </w:rPr>
              <w:t>1</w:t>
            </w:r>
          </w:p>
        </w:tc>
        <w:tc>
          <w:tcPr>
            <w:tcW w:w="1620" w:type="dxa"/>
            <w:vMerge w:val="restart"/>
            <w:vAlign w:val="center"/>
          </w:tcPr>
          <w:p w14:paraId="64356B6F">
            <w:r>
              <w:rPr>
                <w:rFonts w:hint="eastAsia"/>
                <w:bCs/>
                <w:color w:val="000000" w:themeColor="text1"/>
                <w:szCs w:val="21"/>
                <w14:textFill>
                  <w14:solidFill>
                    <w14:schemeClr w14:val="tx1"/>
                  </w14:solidFill>
                </w14:textFill>
              </w:rPr>
              <w:t>★</w:t>
            </w:r>
            <w:r>
              <w:rPr>
                <w:rFonts w:hint="eastAsia"/>
              </w:rPr>
              <w:t>关于交货</w:t>
            </w:r>
          </w:p>
        </w:tc>
        <w:tc>
          <w:tcPr>
            <w:tcW w:w="5940" w:type="dxa"/>
          </w:tcPr>
          <w:p w14:paraId="4A472BFD">
            <w:pPr>
              <w:rPr>
                <w:bCs/>
                <w:szCs w:val="21"/>
              </w:rPr>
            </w:pPr>
            <w:r>
              <w:rPr>
                <w:rFonts w:ascii="Times New Roman" w:hAnsi="Times New Roman"/>
              </w:rPr>
              <w:t>1.1</w:t>
            </w:r>
            <w:r>
              <w:rPr>
                <w:rFonts w:ascii="宋体" w:hAnsi="宋体"/>
              </w:rPr>
              <w:t>交货地点：</w:t>
            </w:r>
            <w:r>
              <w:rPr>
                <w:rFonts w:ascii="Times New Roman" w:hAnsi="Times New Roman" w:cs="Times New Roman" w:eastAsiaTheme="majorEastAsia"/>
                <w:bCs/>
                <w:szCs w:val="21"/>
              </w:rPr>
              <w:t>深圳市内采购人指定地点</w:t>
            </w:r>
            <w:r>
              <w:rPr>
                <w:rFonts w:hint="eastAsia" w:ascii="Times New Roman" w:hAnsi="Times New Roman" w:cs="Times New Roman" w:eastAsiaTheme="majorEastAsia"/>
                <w:bCs/>
                <w:szCs w:val="21"/>
              </w:rPr>
              <w:t>。</w:t>
            </w:r>
          </w:p>
        </w:tc>
      </w:tr>
      <w:tr w14:paraId="5AA3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60" w:type="dxa"/>
            <w:vMerge w:val="continue"/>
            <w:vAlign w:val="center"/>
          </w:tcPr>
          <w:p w14:paraId="1E925774">
            <w:pPr>
              <w:jc w:val="center"/>
              <w:rPr>
                <w:bCs/>
              </w:rPr>
            </w:pPr>
          </w:p>
        </w:tc>
        <w:tc>
          <w:tcPr>
            <w:tcW w:w="1620" w:type="dxa"/>
            <w:vMerge w:val="continue"/>
            <w:vAlign w:val="center"/>
          </w:tcPr>
          <w:p w14:paraId="28E8FC90">
            <w:pPr>
              <w:jc w:val="center"/>
            </w:pPr>
          </w:p>
        </w:tc>
        <w:tc>
          <w:tcPr>
            <w:tcW w:w="5940" w:type="dxa"/>
          </w:tcPr>
          <w:p w14:paraId="39ADF4D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1.2投标人必须承担的设备运输、安装调试、验收检测、</w:t>
            </w:r>
            <w:r>
              <w:rPr>
                <w:rFonts w:hint="eastAsia" w:ascii="Segoe UI Symbol" w:hAnsi="Segoe UI Symbol" w:cs="Segoe UI Symbol"/>
                <w:bCs/>
                <w:szCs w:val="21"/>
              </w:rPr>
              <w:t>专家评审费</w:t>
            </w:r>
            <w:r>
              <w:rPr>
                <w:rFonts w:hint="eastAsia"/>
                <w:bCs/>
                <w:color w:val="000000" w:themeColor="text1"/>
                <w:szCs w:val="21"/>
                <w14:textFill>
                  <w14:solidFill>
                    <w14:schemeClr w14:val="tx1"/>
                  </w14:solidFill>
                </w14:textFill>
              </w:rPr>
              <w:t>等一切费用并提供下述文件交付清单中的文件、图纸等以及其他类似的义务。并需要配合招标人完成土建工程相关需求，提交货物与土建工程的接口文件等材料；在土建工程实施之前，配合招标人办理环境影响评价等相关手续，并提交相关需求资料；在货物进场安装、调试的过程中，配合招标人办理辐射安全许可等相关手续，并提交相关需求资料。</w:t>
            </w:r>
          </w:p>
          <w:p w14:paraId="4A88C4B8">
            <w:pPr>
              <w:pStyle w:val="17"/>
              <w:ind w:left="0" w:leftChars="0" w:firstLine="0" w:firstLineChars="0"/>
            </w:pPr>
            <w:r>
              <w:rPr>
                <w:rFonts w:hint="eastAsia"/>
                <w:color w:val="000000" w:themeColor="text1"/>
                <w14:textFill>
                  <w14:solidFill>
                    <w14:schemeClr w14:val="tx1"/>
                  </w14:solidFill>
                </w14:textFill>
              </w:rPr>
              <w:t>（1）文档交付清单：</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4185"/>
            </w:tblGrid>
            <w:tr w14:paraId="4FE8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699FBA7E">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序号</w:t>
                  </w:r>
                </w:p>
              </w:tc>
              <w:tc>
                <w:tcPr>
                  <w:tcW w:w="4185" w:type="dxa"/>
                  <w:vAlign w:val="center"/>
                </w:tcPr>
                <w:p w14:paraId="2D46C59A">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文件资料名称</w:t>
                  </w:r>
                </w:p>
              </w:tc>
            </w:tr>
            <w:tr w14:paraId="799F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0D1E0BAE">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一</w:t>
                  </w:r>
                </w:p>
              </w:tc>
              <w:tc>
                <w:tcPr>
                  <w:tcW w:w="4185" w:type="dxa"/>
                  <w:vAlign w:val="center"/>
                </w:tcPr>
                <w:p w14:paraId="3CBF6F5E">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合同签订后提交</w:t>
                  </w:r>
                  <w:r>
                    <w:rPr>
                      <w:rFonts w:hint="eastAsia" w:ascii="Times New Roman" w:hAnsi="Times New Roman" w:cs="Times New Roman"/>
                      <w:b/>
                      <w:bCs/>
                      <w:szCs w:val="21"/>
                      <w14:ligatures w14:val="standardContextual"/>
                    </w:rPr>
                    <w:t>（合同签订1</w:t>
                  </w:r>
                  <w:r>
                    <w:rPr>
                      <w:rFonts w:ascii="Times New Roman" w:hAnsi="Times New Roman" w:cs="Times New Roman"/>
                      <w:b/>
                      <w:bCs/>
                      <w:szCs w:val="21"/>
                      <w14:ligatures w14:val="standardContextual"/>
                    </w:rPr>
                    <w:t>0</w:t>
                  </w:r>
                  <w:r>
                    <w:rPr>
                      <w:rFonts w:hint="eastAsia" w:ascii="Times New Roman" w:hAnsi="Times New Roman" w:cs="Times New Roman"/>
                      <w:b/>
                      <w:bCs/>
                      <w:szCs w:val="21"/>
                      <w14:ligatures w14:val="standardContextual"/>
                    </w:rPr>
                    <w:t>日历日）</w:t>
                  </w:r>
                </w:p>
              </w:tc>
            </w:tr>
            <w:tr w14:paraId="1B22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6B09DB25">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1</w:t>
                  </w:r>
                </w:p>
              </w:tc>
              <w:tc>
                <w:tcPr>
                  <w:tcW w:w="4185" w:type="dxa"/>
                  <w:vAlign w:val="center"/>
                </w:tcPr>
                <w:p w14:paraId="19E4227E">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加工制造</w:t>
                  </w:r>
                  <w:r>
                    <w:rPr>
                      <w:rFonts w:ascii="Times New Roman" w:hAnsi="Times New Roman" w:cs="Times New Roman"/>
                      <w:szCs w:val="21"/>
                      <w14:ligatures w14:val="standardContextual"/>
                    </w:rPr>
                    <w:t>实施方案</w:t>
                  </w:r>
                </w:p>
              </w:tc>
            </w:tr>
            <w:tr w14:paraId="3F53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9FC0F60">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二</w:t>
                  </w:r>
                </w:p>
              </w:tc>
              <w:tc>
                <w:tcPr>
                  <w:tcW w:w="4185" w:type="dxa"/>
                  <w:vAlign w:val="center"/>
                </w:tcPr>
                <w:p w14:paraId="6BAFD9D6">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详细设计</w:t>
                  </w:r>
                  <w:r>
                    <w:rPr>
                      <w:rFonts w:hint="eastAsia" w:ascii="Times New Roman" w:hAnsi="Times New Roman" w:cs="Times New Roman"/>
                      <w:b/>
                      <w:bCs/>
                      <w:szCs w:val="21"/>
                      <w14:ligatures w14:val="standardContextual"/>
                    </w:rPr>
                    <w:t>输出文件</w:t>
                  </w:r>
                  <w:r>
                    <w:rPr>
                      <w:rFonts w:ascii="Times New Roman" w:hAnsi="Times New Roman" w:cs="Times New Roman"/>
                      <w:b/>
                      <w:bCs/>
                      <w:szCs w:val="21"/>
                      <w14:ligatures w14:val="standardContextual"/>
                    </w:rPr>
                    <w:t>提交</w:t>
                  </w:r>
                  <w:r>
                    <w:rPr>
                      <w:rFonts w:hint="eastAsia" w:ascii="Times New Roman" w:hAnsi="Times New Roman" w:cs="Times New Roman"/>
                      <w:b/>
                      <w:bCs/>
                      <w:szCs w:val="21"/>
                      <w14:ligatures w14:val="standardContextual"/>
                    </w:rPr>
                    <w:t>（合同签订</w:t>
                  </w:r>
                  <w:r>
                    <w:rPr>
                      <w:rFonts w:ascii="Times New Roman" w:hAnsi="Times New Roman" w:cs="Times New Roman"/>
                      <w:b/>
                      <w:bCs/>
                      <w:szCs w:val="21"/>
                      <w14:ligatures w14:val="standardContextual"/>
                    </w:rPr>
                    <w:t>30</w:t>
                  </w:r>
                  <w:r>
                    <w:rPr>
                      <w:rFonts w:hint="eastAsia" w:ascii="Times New Roman" w:hAnsi="Times New Roman" w:cs="Times New Roman"/>
                      <w:b/>
                      <w:bCs/>
                      <w:szCs w:val="21"/>
                      <w14:ligatures w14:val="standardContextual"/>
                    </w:rPr>
                    <w:t>日历日）</w:t>
                  </w:r>
                </w:p>
              </w:tc>
            </w:tr>
            <w:tr w14:paraId="2435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F146BEE">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2</w:t>
                  </w:r>
                </w:p>
              </w:tc>
              <w:tc>
                <w:tcPr>
                  <w:tcW w:w="4185" w:type="dxa"/>
                  <w:vAlign w:val="center"/>
                </w:tcPr>
                <w:p w14:paraId="56B55EB7">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szCs w:val="21"/>
                      <w14:ligatures w14:val="standardContextual"/>
                    </w:rPr>
                    <w:t>详细设计报告（含工程设计图纸）</w:t>
                  </w:r>
                </w:p>
              </w:tc>
            </w:tr>
            <w:tr w14:paraId="7113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34E67EF8">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3</w:t>
                  </w:r>
                </w:p>
              </w:tc>
              <w:tc>
                <w:tcPr>
                  <w:tcW w:w="4185" w:type="dxa"/>
                  <w:vAlign w:val="center"/>
                </w:tcPr>
                <w:p w14:paraId="07B0AB22">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零部件明细表</w:t>
                  </w:r>
                </w:p>
              </w:tc>
            </w:tr>
            <w:tr w14:paraId="6041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1BBD00C2">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4</w:t>
                  </w:r>
                </w:p>
              </w:tc>
              <w:tc>
                <w:tcPr>
                  <w:tcW w:w="4185" w:type="dxa"/>
                  <w:shd w:val="clear" w:color="auto" w:fill="auto"/>
                  <w:vAlign w:val="center"/>
                </w:tcPr>
                <w:p w14:paraId="78496360">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验收大纲</w:t>
                  </w:r>
                </w:p>
              </w:tc>
            </w:tr>
            <w:tr w14:paraId="1D39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4DFB37FE">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5</w:t>
                  </w:r>
                </w:p>
              </w:tc>
              <w:tc>
                <w:tcPr>
                  <w:tcW w:w="4185" w:type="dxa"/>
                  <w:shd w:val="clear" w:color="auto" w:fill="auto"/>
                  <w:vAlign w:val="center"/>
                </w:tcPr>
                <w:p w14:paraId="10605588">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经济性分析报告</w:t>
                  </w:r>
                </w:p>
              </w:tc>
            </w:tr>
            <w:tr w14:paraId="2FB4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47784A7D">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三</w:t>
                  </w:r>
                </w:p>
              </w:tc>
              <w:tc>
                <w:tcPr>
                  <w:tcW w:w="4185" w:type="dxa"/>
                  <w:shd w:val="clear" w:color="auto" w:fill="auto"/>
                  <w:vAlign w:val="center"/>
                </w:tcPr>
                <w:p w14:paraId="0FE61B6D">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研制生产过程中提交</w:t>
                  </w:r>
                </w:p>
              </w:tc>
            </w:tr>
            <w:tr w14:paraId="600A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1C431BD8">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6</w:t>
                  </w:r>
                </w:p>
              </w:tc>
              <w:tc>
                <w:tcPr>
                  <w:tcW w:w="4185" w:type="dxa"/>
                  <w:shd w:val="clear" w:color="auto" w:fill="auto"/>
                  <w:vAlign w:val="center"/>
                </w:tcPr>
                <w:p w14:paraId="212E5CB0">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加工制造过程系列文件（</w:t>
                  </w:r>
                  <w:r>
                    <w:rPr>
                      <w:rFonts w:hint="eastAsia" w:ascii="Times New Roman" w:hAnsi="Times New Roman" w:cs="Times New Roman"/>
                      <w:szCs w:val="21"/>
                      <w14:ligatures w14:val="standardContextual"/>
                    </w:rPr>
                    <w:t>节点文件、</w:t>
                  </w:r>
                  <w:r>
                    <w:rPr>
                      <w:rFonts w:ascii="Times New Roman" w:hAnsi="Times New Roman" w:cs="Times New Roman"/>
                      <w:szCs w:val="21"/>
                      <w14:ligatures w14:val="standardContextual"/>
                    </w:rPr>
                    <w:t>阶段测试报告、总结、变更记录等）</w:t>
                  </w:r>
                </w:p>
              </w:tc>
            </w:tr>
            <w:tr w14:paraId="5431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0F7F67F0">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四</w:t>
                  </w:r>
                </w:p>
              </w:tc>
              <w:tc>
                <w:tcPr>
                  <w:tcW w:w="4185" w:type="dxa"/>
                  <w:shd w:val="clear" w:color="auto" w:fill="auto"/>
                  <w:vAlign w:val="center"/>
                </w:tcPr>
                <w:p w14:paraId="3044A6DF">
                  <w:pPr>
                    <w:widowControl w:val="0"/>
                    <w:jc w:val="center"/>
                    <w:rPr>
                      <w:rFonts w:ascii="仿宋_GB2312" w:hAnsi="方正仿宋_GB2312" w:cs="方正仿宋_GB2312"/>
                      <w:sz w:val="24"/>
                      <w14:ligatures w14:val="standardContextual"/>
                    </w:rPr>
                  </w:pPr>
                  <w:r>
                    <w:rPr>
                      <w:rFonts w:ascii="Times New Roman" w:hAnsi="Times New Roman" w:cs="Times New Roman"/>
                      <w:b/>
                      <w:bCs/>
                      <w:szCs w:val="21"/>
                      <w14:ligatures w14:val="standardContextual"/>
                    </w:rPr>
                    <w:t>出厂验收、现场联调前</w:t>
                  </w:r>
                  <w:r>
                    <w:rPr>
                      <w:rFonts w:hint="eastAsia" w:ascii="Times New Roman" w:hAnsi="Times New Roman" w:cs="Times New Roman"/>
                      <w:b/>
                      <w:bCs/>
                      <w:szCs w:val="21"/>
                      <w14:ligatures w14:val="standardContextual"/>
                    </w:rPr>
                    <w:t>（2</w:t>
                  </w:r>
                  <w:r>
                    <w:rPr>
                      <w:rFonts w:ascii="Times New Roman" w:hAnsi="Times New Roman" w:cs="Times New Roman"/>
                      <w:b/>
                      <w:bCs/>
                      <w:szCs w:val="21"/>
                      <w14:ligatures w14:val="standardContextual"/>
                    </w:rPr>
                    <w:t>0</w:t>
                  </w:r>
                  <w:r>
                    <w:rPr>
                      <w:rFonts w:hint="eastAsia" w:ascii="Times New Roman" w:hAnsi="Times New Roman" w:cs="Times New Roman"/>
                      <w:b/>
                      <w:bCs/>
                      <w:szCs w:val="21"/>
                      <w14:ligatures w14:val="standardContextual"/>
                    </w:rPr>
                    <w:t>日历日）</w:t>
                  </w:r>
                  <w:r>
                    <w:rPr>
                      <w:rFonts w:ascii="Times New Roman" w:hAnsi="Times New Roman" w:cs="Times New Roman"/>
                      <w:b/>
                      <w:bCs/>
                      <w:szCs w:val="21"/>
                      <w14:ligatures w14:val="standardContextual"/>
                    </w:rPr>
                    <w:t>提交</w:t>
                  </w:r>
                </w:p>
              </w:tc>
            </w:tr>
            <w:tr w14:paraId="6B91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14A1759C">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7</w:t>
                  </w:r>
                </w:p>
              </w:tc>
              <w:tc>
                <w:tcPr>
                  <w:tcW w:w="4185" w:type="dxa"/>
                  <w:vAlign w:val="center"/>
                </w:tcPr>
                <w:p w14:paraId="765294F7">
                  <w:pPr>
                    <w:widowControl w:val="0"/>
                    <w:jc w:val="center"/>
                    <w:rPr>
                      <w:rFonts w:ascii="仿宋_GB2312" w:hAnsi="方正仿宋_GB2312" w:cs="方正仿宋_GB2312"/>
                      <w:sz w:val="24"/>
                      <w14:ligatures w14:val="standardContextual"/>
                    </w:rPr>
                  </w:pPr>
                  <w:r>
                    <w:rPr>
                      <w:rFonts w:ascii="Times New Roman" w:hAnsi="Times New Roman" w:cs="Times New Roman"/>
                      <w:szCs w:val="21"/>
                      <w14:ligatures w14:val="standardContextual"/>
                    </w:rPr>
                    <w:t>现场安装调试实施方案（现场安装调试方案、发货计划、安装</w:t>
                  </w:r>
                  <w:r>
                    <w:rPr>
                      <w:rFonts w:hint="eastAsia" w:ascii="Times New Roman" w:hAnsi="Times New Roman" w:cs="Times New Roman"/>
                      <w:szCs w:val="21"/>
                      <w14:ligatures w14:val="standardContextual"/>
                    </w:rPr>
                    <w:t>调试</w:t>
                  </w:r>
                  <w:r>
                    <w:rPr>
                      <w:rFonts w:ascii="Times New Roman" w:hAnsi="Times New Roman" w:cs="Times New Roman"/>
                      <w:szCs w:val="21"/>
                      <w14:ligatures w14:val="standardContextual"/>
                    </w:rPr>
                    <w:t>计划等）</w:t>
                  </w:r>
                </w:p>
              </w:tc>
            </w:tr>
            <w:tr w14:paraId="7640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1687520F">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五</w:t>
                  </w:r>
                </w:p>
              </w:tc>
              <w:tc>
                <w:tcPr>
                  <w:tcW w:w="4185" w:type="dxa"/>
                  <w:vAlign w:val="center"/>
                </w:tcPr>
                <w:p w14:paraId="28F22004">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最终验收前提交</w:t>
                  </w:r>
                </w:p>
              </w:tc>
            </w:tr>
            <w:tr w14:paraId="3409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15A3B362">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8</w:t>
                  </w:r>
                </w:p>
              </w:tc>
              <w:tc>
                <w:tcPr>
                  <w:tcW w:w="4185" w:type="dxa"/>
                  <w:vAlign w:val="center"/>
                </w:tcPr>
                <w:p w14:paraId="3B9F7A59">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设备出厂测试报告或合格证明文件</w:t>
                  </w:r>
                </w:p>
              </w:tc>
            </w:tr>
            <w:tr w14:paraId="4550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42367AE0">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9</w:t>
                  </w:r>
                </w:p>
              </w:tc>
              <w:tc>
                <w:tcPr>
                  <w:tcW w:w="4185" w:type="dxa"/>
                  <w:vAlign w:val="center"/>
                </w:tcPr>
                <w:p w14:paraId="12F23E41">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szCs w:val="21"/>
                      <w14:ligatures w14:val="standardContextual"/>
                    </w:rPr>
                    <w:t>设备/软件使用说明书（含具体操作流程、安全规范）</w:t>
                  </w:r>
                </w:p>
              </w:tc>
            </w:tr>
            <w:tr w14:paraId="632B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2F6374EC">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0</w:t>
                  </w:r>
                </w:p>
              </w:tc>
              <w:tc>
                <w:tcPr>
                  <w:tcW w:w="4185" w:type="dxa"/>
                  <w:vAlign w:val="center"/>
                </w:tcPr>
                <w:p w14:paraId="4C301EDD">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设备维护手册</w:t>
                  </w:r>
                </w:p>
              </w:tc>
            </w:tr>
            <w:tr w14:paraId="5BBA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22FF579B">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1</w:t>
                  </w:r>
                </w:p>
              </w:tc>
              <w:tc>
                <w:tcPr>
                  <w:tcW w:w="4185" w:type="dxa"/>
                  <w:vAlign w:val="center"/>
                </w:tcPr>
                <w:p w14:paraId="19252E46">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安装调试运行记录</w:t>
                  </w:r>
                </w:p>
              </w:tc>
            </w:tr>
            <w:tr w14:paraId="7E5B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651D0741">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2</w:t>
                  </w:r>
                </w:p>
              </w:tc>
              <w:tc>
                <w:tcPr>
                  <w:tcW w:w="4185" w:type="dxa"/>
                  <w:vAlign w:val="center"/>
                </w:tcPr>
                <w:p w14:paraId="57813E59">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安装调试技术</w:t>
                  </w:r>
                  <w:r>
                    <w:rPr>
                      <w:rFonts w:hint="eastAsia"/>
                      <w:szCs w:val="21"/>
                      <w14:ligatures w14:val="standardContextual"/>
                    </w:rPr>
                    <w:t>总结报告</w:t>
                  </w:r>
                </w:p>
              </w:tc>
            </w:tr>
            <w:tr w14:paraId="50FD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4DC672FB">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3</w:t>
                  </w:r>
                </w:p>
              </w:tc>
              <w:tc>
                <w:tcPr>
                  <w:tcW w:w="4185" w:type="dxa"/>
                  <w:vAlign w:val="center"/>
                </w:tcPr>
                <w:p w14:paraId="614A837D">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保养记录</w:t>
                  </w:r>
                </w:p>
              </w:tc>
            </w:tr>
            <w:tr w14:paraId="19BB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4C336E37">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4</w:t>
                  </w:r>
                </w:p>
              </w:tc>
              <w:tc>
                <w:tcPr>
                  <w:tcW w:w="4185" w:type="dxa"/>
                  <w:vAlign w:val="center"/>
                </w:tcPr>
                <w:p w14:paraId="4ABD1AA4">
                  <w:pPr>
                    <w:widowControl w:val="0"/>
                    <w:jc w:val="center"/>
                    <w:rPr>
                      <w:rFonts w:ascii="仿宋_GB2312" w:hAnsi="方正仿宋_GB2312" w:eastAsia="仿宋_GB2312" w:cs="方正仿宋_GB2312"/>
                      <w:sz w:val="24"/>
                      <w14:ligatures w14:val="standardContextual"/>
                    </w:rPr>
                  </w:pPr>
                  <w:r>
                    <w:rPr>
                      <w:rFonts w:hint="eastAsia" w:ascii="宋体" w:hAnsi="宋体"/>
                      <w:szCs w:val="21"/>
                      <w14:ligatures w14:val="standardContextual"/>
                    </w:rPr>
                    <w:t>仪器设备履历书(使用、检修、故障、事故记录)</w:t>
                  </w:r>
                </w:p>
              </w:tc>
            </w:tr>
            <w:tr w14:paraId="5039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662AF41B">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5</w:t>
                  </w:r>
                </w:p>
              </w:tc>
              <w:tc>
                <w:tcPr>
                  <w:tcW w:w="4185" w:type="dxa"/>
                  <w:vAlign w:val="center"/>
                </w:tcPr>
                <w:p w14:paraId="79747BF6">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出入库单</w:t>
                  </w:r>
                </w:p>
              </w:tc>
            </w:tr>
            <w:tr w14:paraId="3609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4A90E0F4">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6</w:t>
                  </w:r>
                </w:p>
              </w:tc>
              <w:tc>
                <w:tcPr>
                  <w:tcW w:w="4185" w:type="dxa"/>
                  <w:vAlign w:val="center"/>
                </w:tcPr>
                <w:p w14:paraId="78B052F7">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全套竣工图纸</w:t>
                  </w:r>
                </w:p>
              </w:tc>
            </w:tr>
            <w:tr w14:paraId="0DF1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0F6AF513">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7</w:t>
                  </w:r>
                </w:p>
              </w:tc>
              <w:tc>
                <w:tcPr>
                  <w:tcW w:w="4185" w:type="dxa"/>
                  <w:vAlign w:val="center"/>
                </w:tcPr>
                <w:p w14:paraId="44E3D41A">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控制软件可执行程序、源代码</w:t>
                  </w:r>
                  <w:r>
                    <w:rPr>
                      <w:rFonts w:hint="eastAsia" w:ascii="Times New Roman" w:hAnsi="Times New Roman" w:cs="Times New Roman"/>
                      <w:szCs w:val="21"/>
                      <w14:ligatures w14:val="standardContextual"/>
                    </w:rPr>
                    <w:t>、软件使用许可协议</w:t>
                  </w:r>
                </w:p>
              </w:tc>
            </w:tr>
            <w:tr w14:paraId="1184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5E73CD9">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8</w:t>
                  </w:r>
                </w:p>
              </w:tc>
              <w:tc>
                <w:tcPr>
                  <w:tcW w:w="4185" w:type="dxa"/>
                  <w:vAlign w:val="center"/>
                </w:tcPr>
                <w:p w14:paraId="101945EF">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产品及文件交付清单</w:t>
                  </w:r>
                </w:p>
              </w:tc>
            </w:tr>
            <w:tr w14:paraId="7D2F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338A89E5">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9</w:t>
                  </w:r>
                </w:p>
              </w:tc>
              <w:tc>
                <w:tcPr>
                  <w:tcW w:w="4185" w:type="dxa"/>
                  <w:vAlign w:val="center"/>
                </w:tcPr>
                <w:p w14:paraId="789739C1">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电气元器件明细表</w:t>
                  </w:r>
                </w:p>
              </w:tc>
            </w:tr>
            <w:tr w14:paraId="62B3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04ABCD51">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2</w:t>
                  </w:r>
                  <w:r>
                    <w:rPr>
                      <w:rFonts w:ascii="Times New Roman" w:hAnsi="Times New Roman" w:cs="Times New Roman"/>
                      <w:szCs w:val="21"/>
                      <w14:ligatures w14:val="standardContextual"/>
                    </w:rPr>
                    <w:t>0</w:t>
                  </w:r>
                </w:p>
              </w:tc>
              <w:tc>
                <w:tcPr>
                  <w:tcW w:w="4185" w:type="dxa"/>
                  <w:vAlign w:val="center"/>
                </w:tcPr>
                <w:p w14:paraId="3408462B">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电气接线图</w:t>
                  </w:r>
                </w:p>
              </w:tc>
            </w:tr>
            <w:tr w14:paraId="70E6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6B69D441">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2</w:t>
                  </w:r>
                  <w:r>
                    <w:rPr>
                      <w:rFonts w:ascii="Times New Roman" w:hAnsi="Times New Roman" w:cs="Times New Roman"/>
                      <w:szCs w:val="21"/>
                      <w14:ligatures w14:val="standardContextual"/>
                    </w:rPr>
                    <w:t>1</w:t>
                  </w:r>
                </w:p>
              </w:tc>
              <w:tc>
                <w:tcPr>
                  <w:tcW w:w="4185" w:type="dxa"/>
                  <w:vAlign w:val="center"/>
                </w:tcPr>
                <w:p w14:paraId="76C033E5">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操作人员培训记录</w:t>
                  </w:r>
                </w:p>
              </w:tc>
            </w:tr>
            <w:tr w14:paraId="69DF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485A0C76">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2</w:t>
                  </w:r>
                  <w:r>
                    <w:rPr>
                      <w:rFonts w:ascii="Times New Roman" w:hAnsi="Times New Roman" w:cs="Times New Roman"/>
                      <w:szCs w:val="21"/>
                      <w14:ligatures w14:val="standardContextual"/>
                    </w:rPr>
                    <w:t>2</w:t>
                  </w:r>
                </w:p>
              </w:tc>
              <w:tc>
                <w:tcPr>
                  <w:tcW w:w="4185" w:type="dxa"/>
                  <w:vAlign w:val="center"/>
                </w:tcPr>
                <w:p w14:paraId="22F1A04E">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14:ligatures w14:val="standardContextual"/>
                    </w:rPr>
                    <w:t>项目研制总结报告</w:t>
                  </w:r>
                </w:p>
              </w:tc>
            </w:tr>
          </w:tbl>
          <w:p w14:paraId="28448C8F">
            <w:pPr>
              <w:rPr>
                <w:bCs/>
                <w:szCs w:val="21"/>
              </w:rPr>
            </w:pPr>
          </w:p>
        </w:tc>
      </w:tr>
      <w:tr w14:paraId="0F7D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60" w:type="dxa"/>
            <w:vMerge w:val="continue"/>
            <w:vAlign w:val="center"/>
          </w:tcPr>
          <w:p w14:paraId="2C5D5506">
            <w:pPr>
              <w:jc w:val="center"/>
              <w:rPr>
                <w:bCs/>
              </w:rPr>
            </w:pPr>
          </w:p>
        </w:tc>
        <w:tc>
          <w:tcPr>
            <w:tcW w:w="1620" w:type="dxa"/>
            <w:vMerge w:val="continue"/>
            <w:vAlign w:val="center"/>
          </w:tcPr>
          <w:p w14:paraId="02A8C356">
            <w:pPr>
              <w:jc w:val="center"/>
            </w:pPr>
          </w:p>
        </w:tc>
        <w:tc>
          <w:tcPr>
            <w:tcW w:w="5940" w:type="dxa"/>
          </w:tcPr>
          <w:p w14:paraId="7809B492">
            <w:pPr>
              <w:rPr>
                <w:bCs/>
                <w:szCs w:val="21"/>
              </w:rPr>
            </w:pPr>
            <w:r>
              <w:rPr>
                <w:rFonts w:ascii="Segoe UI Symbol" w:hAnsi="Segoe UI Symbol"/>
              </w:rPr>
              <w:t>★</w:t>
            </w:r>
            <w:r>
              <w:rPr>
                <w:rFonts w:ascii="Times New Roman" w:hAnsi="Times New Roman"/>
              </w:rPr>
              <w:t>1.3</w:t>
            </w:r>
            <w:r>
              <w:rPr>
                <w:rFonts w:ascii="宋体" w:hAnsi="宋体"/>
              </w:rPr>
              <w:t>签订合同后</w:t>
            </w:r>
            <w:r>
              <w:rPr>
                <w:rFonts w:ascii="宋体" w:hAnsi="宋体"/>
                <w:u w:val="single"/>
              </w:rPr>
              <w:t xml:space="preserve"> </w:t>
            </w:r>
            <w:r>
              <w:rPr>
                <w:rFonts w:ascii="Times New Roman" w:hAnsi="Times New Roman"/>
                <w:u w:val="single"/>
              </w:rPr>
              <w:t xml:space="preserve">540 </w:t>
            </w:r>
            <w:r>
              <w:rPr>
                <w:rFonts w:ascii="宋体" w:hAnsi="宋体"/>
              </w:rPr>
              <w:t>天（日历日）内交货。</w:t>
            </w:r>
          </w:p>
        </w:tc>
      </w:tr>
      <w:tr w14:paraId="06C7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14:paraId="104EF300">
            <w:pPr>
              <w:jc w:val="center"/>
              <w:rPr>
                <w:bCs/>
              </w:rPr>
            </w:pPr>
            <w:r>
              <w:rPr>
                <w:rFonts w:hint="eastAsia"/>
                <w:bCs/>
              </w:rPr>
              <w:t>2</w:t>
            </w:r>
          </w:p>
        </w:tc>
        <w:tc>
          <w:tcPr>
            <w:tcW w:w="1620" w:type="dxa"/>
            <w:vMerge w:val="restart"/>
            <w:vAlign w:val="center"/>
          </w:tcPr>
          <w:p w14:paraId="0EA4B7B2">
            <w:r>
              <w:rPr>
                <w:rFonts w:hint="eastAsia"/>
                <w:bCs/>
                <w:color w:val="000000" w:themeColor="text1"/>
                <w:szCs w:val="21"/>
                <w14:textFill>
                  <w14:solidFill>
                    <w14:schemeClr w14:val="tx1"/>
                  </w14:solidFill>
                </w14:textFill>
              </w:rPr>
              <w:t>★</w:t>
            </w:r>
            <w:r>
              <w:rPr>
                <w:rFonts w:hint="eastAsia"/>
              </w:rPr>
              <w:t>安装调试及验收</w:t>
            </w:r>
          </w:p>
        </w:tc>
        <w:tc>
          <w:tcPr>
            <w:tcW w:w="5940" w:type="dxa"/>
          </w:tcPr>
          <w:p w14:paraId="3BDFA61B">
            <w:pPr>
              <w:spacing w:line="340" w:lineRule="exact"/>
              <w:rPr>
                <w:bCs/>
                <w:szCs w:val="21"/>
              </w:rPr>
            </w:pPr>
            <w:r>
              <w:rPr>
                <w:rFonts w:hint="eastAsia"/>
                <w:bCs/>
                <w:szCs w:val="21"/>
              </w:rPr>
              <w:t>2</w:t>
            </w:r>
            <w:r>
              <w:rPr>
                <w:bCs/>
                <w:szCs w:val="21"/>
              </w:rPr>
              <w:t>.1</w:t>
            </w:r>
            <w:r>
              <w:rPr>
                <w:rFonts w:hint="eastAsia"/>
                <w:bCs/>
                <w:szCs w:val="21"/>
              </w:rPr>
              <w:t>投标人应派有经验的技术人员到现场进行安装、调试，直到设备正常使用。</w:t>
            </w:r>
          </w:p>
        </w:tc>
      </w:tr>
      <w:tr w14:paraId="6EF3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0B8503FD">
            <w:pPr>
              <w:jc w:val="center"/>
              <w:rPr>
                <w:b/>
              </w:rPr>
            </w:pPr>
          </w:p>
        </w:tc>
        <w:tc>
          <w:tcPr>
            <w:tcW w:w="1620" w:type="dxa"/>
            <w:vMerge w:val="continue"/>
          </w:tcPr>
          <w:p w14:paraId="31CC5E3D">
            <w:pPr>
              <w:rPr>
                <w:b/>
              </w:rPr>
            </w:pPr>
          </w:p>
        </w:tc>
        <w:tc>
          <w:tcPr>
            <w:tcW w:w="5940" w:type="dxa"/>
          </w:tcPr>
          <w:p w14:paraId="5DA4E850">
            <w:pPr>
              <w:spacing w:line="340" w:lineRule="exact"/>
              <w:rPr>
                <w:bCs/>
                <w:szCs w:val="21"/>
              </w:rPr>
            </w:pPr>
            <w:r>
              <w:rPr>
                <w:rFonts w:hint="eastAsia"/>
                <w:bCs/>
                <w:szCs w:val="21"/>
              </w:rPr>
              <w:t>2</w:t>
            </w:r>
            <w:r>
              <w:rPr>
                <w:bCs/>
                <w:szCs w:val="21"/>
              </w:rPr>
              <w:t>.2</w:t>
            </w:r>
            <w:r>
              <w:rPr>
                <w:rFonts w:hint="eastAsia"/>
                <w:bCs/>
                <w:szCs w:val="21"/>
              </w:rPr>
              <w:t>由采购人按合同和招标、投标文件约定的要求和标准及中华人民共和国现行的验收规范和评定标准进行交货验收。</w:t>
            </w:r>
          </w:p>
        </w:tc>
      </w:tr>
      <w:tr w14:paraId="4DC8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595135D9">
            <w:pPr>
              <w:jc w:val="center"/>
              <w:rPr>
                <w:b/>
              </w:rPr>
            </w:pPr>
          </w:p>
        </w:tc>
        <w:tc>
          <w:tcPr>
            <w:tcW w:w="1620" w:type="dxa"/>
            <w:vMerge w:val="continue"/>
          </w:tcPr>
          <w:p w14:paraId="6A5FB6C6">
            <w:pPr>
              <w:rPr>
                <w:b/>
              </w:rPr>
            </w:pPr>
          </w:p>
        </w:tc>
        <w:tc>
          <w:tcPr>
            <w:tcW w:w="5940" w:type="dxa"/>
          </w:tcPr>
          <w:p w14:paraId="1DF845CE">
            <w:pPr>
              <w:spacing w:line="340" w:lineRule="exact"/>
              <w:rPr>
                <w:bCs/>
                <w:szCs w:val="21"/>
              </w:rPr>
            </w:pPr>
            <w:r>
              <w:rPr>
                <w:rFonts w:hint="eastAsia"/>
                <w:bCs/>
                <w:szCs w:val="21"/>
              </w:rPr>
              <w:t>2.</w:t>
            </w:r>
            <w:r>
              <w:rPr>
                <w:bCs/>
                <w:szCs w:val="21"/>
              </w:rPr>
              <w:t xml:space="preserve">3 </w:t>
            </w:r>
            <w:r>
              <w:rPr>
                <w:rFonts w:hint="eastAsia"/>
                <w:bCs/>
                <w:szCs w:val="21"/>
              </w:rPr>
              <w:t>投标人货物经过双方检验认可后，签署验收报告，产品保修期自验收合格之日起算，由投标人提供产品保修文件。</w:t>
            </w:r>
          </w:p>
        </w:tc>
      </w:tr>
      <w:tr w14:paraId="495E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1D7AC765">
            <w:pPr>
              <w:jc w:val="center"/>
              <w:rPr>
                <w:b/>
              </w:rPr>
            </w:pPr>
          </w:p>
        </w:tc>
        <w:tc>
          <w:tcPr>
            <w:tcW w:w="1620" w:type="dxa"/>
            <w:vMerge w:val="continue"/>
          </w:tcPr>
          <w:p w14:paraId="36BB87BD">
            <w:pPr>
              <w:rPr>
                <w:b/>
              </w:rPr>
            </w:pPr>
          </w:p>
        </w:tc>
        <w:tc>
          <w:tcPr>
            <w:tcW w:w="5940" w:type="dxa"/>
          </w:tcPr>
          <w:p w14:paraId="6C7E22C2">
            <w:pPr>
              <w:spacing w:line="340" w:lineRule="exact"/>
              <w:rPr>
                <w:bCs/>
                <w:szCs w:val="21"/>
              </w:rPr>
            </w:pPr>
            <w:r>
              <w:rPr>
                <w:rFonts w:hint="eastAsia"/>
                <w:bCs/>
                <w:szCs w:val="21"/>
              </w:rPr>
              <w:t>2.</w:t>
            </w:r>
            <w:r>
              <w:rPr>
                <w:bCs/>
                <w:szCs w:val="21"/>
              </w:rPr>
              <w:t>4</w:t>
            </w:r>
            <w:r>
              <w:rPr>
                <w:rFonts w:hint="eastAsia"/>
                <w:bCs/>
                <w:szCs w:val="21"/>
              </w:rPr>
              <w:t>当满足以下条件时，采购人才向中标人签发货物验收报告：</w:t>
            </w:r>
          </w:p>
          <w:p w14:paraId="6915E475">
            <w:pPr>
              <w:rPr>
                <w:bCs/>
                <w:szCs w:val="21"/>
              </w:rPr>
            </w:pPr>
            <w:r>
              <w:rPr>
                <w:rFonts w:hint="eastAsia"/>
                <w:bCs/>
                <w:szCs w:val="21"/>
              </w:rPr>
              <w:t>（1）设备全新,外观无伤痕变形或明显修饰痕迹。</w:t>
            </w:r>
          </w:p>
          <w:p w14:paraId="585761EF">
            <w:pPr>
              <w:rPr>
                <w:bCs/>
                <w:szCs w:val="21"/>
              </w:rPr>
            </w:pPr>
            <w:r>
              <w:rPr>
                <w:rFonts w:hint="eastAsia"/>
                <w:bCs/>
                <w:szCs w:val="21"/>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7BF4852">
            <w:pPr>
              <w:rPr>
                <w:bCs/>
                <w:szCs w:val="21"/>
              </w:rPr>
            </w:pPr>
            <w:r>
              <w:rPr>
                <w:rFonts w:hint="eastAsia"/>
                <w:bCs/>
                <w:szCs w:val="21"/>
              </w:rPr>
              <w:t>（3）技术文件资料、备件等已按规定数量移交完毕。</w:t>
            </w:r>
          </w:p>
          <w:p w14:paraId="17CCE880">
            <w:pPr>
              <w:rPr>
                <w:bCs/>
                <w:szCs w:val="21"/>
              </w:rPr>
            </w:pPr>
            <w:r>
              <w:rPr>
                <w:rFonts w:hint="eastAsia"/>
                <w:bCs/>
                <w:szCs w:val="21"/>
              </w:rPr>
              <w:t>（4）按照招标书要求及投标文件提供的技术要求验收必须合格。</w:t>
            </w:r>
          </w:p>
          <w:p w14:paraId="5D0AF676">
            <w:pPr>
              <w:spacing w:line="340" w:lineRule="exact"/>
              <w:rPr>
                <w:bCs/>
                <w:szCs w:val="21"/>
              </w:rPr>
            </w:pPr>
            <w:r>
              <w:rPr>
                <w:rFonts w:hint="eastAsia"/>
                <w:bCs/>
                <w:szCs w:val="21"/>
              </w:rPr>
              <w:t>（5）投标人提供的各种文件载明的内容必须真实，其技术数据采购人有权要求投标人无偿提供采购人认可的第三方按照双方同意的试验方法进行检测。检测结果必须证明投标人提供的技术数据是真实的，否则视为不合格。</w:t>
            </w:r>
          </w:p>
          <w:p w14:paraId="7BBF0C04">
            <w:pPr>
              <w:spacing w:line="340" w:lineRule="exact"/>
              <w:rPr>
                <w:bCs/>
                <w:szCs w:val="21"/>
              </w:rPr>
            </w:pPr>
            <w:r>
              <w:rPr>
                <w:rFonts w:hint="eastAsia"/>
                <w:bCs/>
                <w:szCs w:val="21"/>
              </w:rPr>
              <w:t>（6）货物具备产品合格证。</w:t>
            </w:r>
          </w:p>
          <w:p w14:paraId="503A7BFA">
            <w:pPr>
              <w:spacing w:line="340" w:lineRule="exact"/>
              <w:rPr>
                <w:bCs/>
                <w:szCs w:val="21"/>
              </w:rPr>
            </w:pPr>
            <w:r>
              <w:rPr>
                <w:rFonts w:hint="eastAsia"/>
                <w:bCs/>
                <w:szCs w:val="21"/>
              </w:rPr>
              <w:t>（7）</w:t>
            </w:r>
            <w:r>
              <w:rPr>
                <w:rFonts w:hint="eastAsia"/>
              </w:rPr>
              <w:t>在货物安装调试过程中须保留安装调试记录，安装调试合格及安装调试记录归档后，所有技术指标达到技术规范书要求，经验收合格后，双方共同签署验收报告</w:t>
            </w:r>
            <w:r>
              <w:rPr>
                <w:rFonts w:hint="eastAsia"/>
                <w:bCs/>
                <w:szCs w:val="21"/>
              </w:rPr>
              <w:t>。</w:t>
            </w:r>
          </w:p>
        </w:tc>
      </w:tr>
      <w:tr w14:paraId="2D02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14:paraId="66A0B2FD">
            <w:pPr>
              <w:jc w:val="center"/>
              <w:rPr>
                <w:bCs/>
              </w:rPr>
            </w:pPr>
            <w:r>
              <w:rPr>
                <w:rFonts w:hint="eastAsia"/>
                <w:bCs/>
              </w:rPr>
              <w:t>3</w:t>
            </w:r>
          </w:p>
        </w:tc>
        <w:tc>
          <w:tcPr>
            <w:tcW w:w="1620" w:type="dxa"/>
            <w:vMerge w:val="restart"/>
            <w:vAlign w:val="center"/>
          </w:tcPr>
          <w:p w14:paraId="7A203D6F">
            <w:bookmarkStart w:id="42" w:name="OLE_LINK2"/>
            <w:r>
              <w:rPr>
                <w:rFonts w:hint="eastAsia"/>
                <w:bCs/>
                <w:color w:val="000000" w:themeColor="text1"/>
                <w:szCs w:val="21"/>
                <w14:textFill>
                  <w14:solidFill>
                    <w14:schemeClr w14:val="tx1"/>
                  </w14:solidFill>
                </w14:textFill>
              </w:rPr>
              <w:t>★</w:t>
            </w:r>
            <w:bookmarkEnd w:id="42"/>
            <w:r>
              <w:rPr>
                <w:rFonts w:hint="eastAsia"/>
              </w:rPr>
              <w:t>关于违约</w:t>
            </w:r>
          </w:p>
        </w:tc>
        <w:tc>
          <w:tcPr>
            <w:tcW w:w="5940" w:type="dxa"/>
          </w:tcPr>
          <w:p w14:paraId="496EE170">
            <w:pPr>
              <w:rPr>
                <w:b/>
              </w:rPr>
            </w:pPr>
            <w:r>
              <w:rPr>
                <w:rFonts w:hint="eastAsia"/>
                <w:color w:val="000000" w:themeColor="text1"/>
                <w14:textFill>
                  <w14:solidFill>
                    <w14:schemeClr w14:val="tx1"/>
                  </w14:solidFill>
                </w14:textFill>
              </w:rPr>
              <w:t>3.1中标人应充分掌握项目全过程风险，建立风险研判机制和切实可行的风险处置预案，并及时报送甲方止损。因中标人原因造成损失的，应由中标人承担相应责任。</w:t>
            </w:r>
          </w:p>
        </w:tc>
      </w:tr>
      <w:tr w14:paraId="3A6E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4C87E821">
            <w:pPr>
              <w:jc w:val="center"/>
              <w:rPr>
                <w:bCs/>
              </w:rPr>
            </w:pPr>
          </w:p>
        </w:tc>
        <w:tc>
          <w:tcPr>
            <w:tcW w:w="1620" w:type="dxa"/>
            <w:vMerge w:val="continue"/>
            <w:vAlign w:val="center"/>
          </w:tcPr>
          <w:p w14:paraId="095BB0B2">
            <w:pPr>
              <w:jc w:val="center"/>
            </w:pPr>
          </w:p>
        </w:tc>
        <w:tc>
          <w:tcPr>
            <w:tcW w:w="5940" w:type="dxa"/>
          </w:tcPr>
          <w:p w14:paraId="4BF8D1B4">
            <w:pPr>
              <w:rPr>
                <w:color w:val="000000" w:themeColor="text1"/>
                <w14:textFill>
                  <w14:solidFill>
                    <w14:schemeClr w14:val="tx1"/>
                  </w14:solidFill>
                </w14:textFill>
              </w:rPr>
            </w:pPr>
            <w:r>
              <w:rPr>
                <w:rFonts w:hint="eastAsia"/>
                <w:color w:val="000000" w:themeColor="text1"/>
                <w14:textFill>
                  <w14:solidFill>
                    <w14:schemeClr w14:val="tx1"/>
                  </w14:solidFill>
                </w14:textFill>
              </w:rPr>
              <w:t>3.2在无不可抗力影响的前提下，中标人将按时完成合同内容并确保所有工作均符合行业标准及本合同规定的质量标准。若因中标人导致设备工期延误或无法完成，进而影响中标人按时完成合同约定建设内容，中标人应在知晓此类情况后，立即通知甲方，详细说明延误或无法完成的原因、预计影响程度及已采取或拟采取的补救措施，并承担由此造成的甲方的相应损失：</w:t>
            </w:r>
          </w:p>
          <w:p w14:paraId="6D72338F">
            <w:r>
              <w:rPr>
                <w:rFonts w:hint="eastAsia"/>
                <w:color w:val="000000" w:themeColor="text1"/>
                <w14:textFill>
                  <w14:solidFill>
                    <w14:schemeClr w14:val="tx1"/>
                  </w14:solidFill>
                </w14:textFill>
              </w:rPr>
              <w:t>（1）中标人不能交货的，需退回已支付货款并偿付全部货款的  10 %作为违约金。</w:t>
            </w:r>
            <w:r>
              <w:rPr>
                <w:rFonts w:ascii="Times New Roman" w:hAnsi="Times New Roman" w:cs="Times New Roman" w:eastAsiaTheme="majorEastAsia"/>
                <w:bCs/>
                <w:szCs w:val="21"/>
              </w:rPr>
              <w:t>同时，采购人有权单方面解除合同，投标人应当退还采购人已支付的合同款。如上述违约金金额仍不足以补偿采购人因投标人违约造成的损失，采购人有权进一步向投标人提出索赔。</w:t>
            </w:r>
          </w:p>
          <w:p w14:paraId="5FCAD10A">
            <w:r>
              <w:rPr>
                <w:rFonts w:hint="eastAsia"/>
                <w:color w:val="000000" w:themeColor="text1"/>
                <w14:textFill>
                  <w14:solidFill>
                    <w14:schemeClr w14:val="tx1"/>
                  </w14:solidFill>
                </w14:textFill>
              </w:rPr>
              <w:t>（2）中标人应充分掌握逾期风险，若中标人未按期完成合同所有系统及设备的到货、安装、调试及验收的，构成工程验收逾期，每逾期一日，甲方每日按合同暂定总金额万分之五向中标人计收违约</w:t>
            </w:r>
            <w:r>
              <w:rPr>
                <w:rFonts w:hint="eastAsia"/>
              </w:rPr>
              <w:t>金。</w:t>
            </w:r>
            <w:r>
              <w:rPr>
                <w:rFonts w:ascii="Times New Roman" w:hAnsi="Times New Roman" w:cs="Times New Roman" w:eastAsiaTheme="majorEastAsia"/>
                <w:bCs/>
                <w:szCs w:val="21"/>
              </w:rPr>
              <w:t>违约金最高不超过合同总价的【5】%。</w:t>
            </w:r>
          </w:p>
          <w:p w14:paraId="3B1E3F13">
            <w:pPr>
              <w:rPr>
                <w:color w:val="000000" w:themeColor="text1"/>
                <w14:textFill>
                  <w14:solidFill>
                    <w14:schemeClr w14:val="tx1"/>
                  </w14:solidFill>
                </w14:textFill>
              </w:rPr>
            </w:pPr>
            <w:r>
              <w:rPr>
                <w:rFonts w:hint="eastAsia"/>
                <w:color w:val="000000" w:themeColor="text1"/>
                <w14:textFill>
                  <w14:solidFill>
                    <w14:schemeClr w14:val="tx1"/>
                  </w14:solidFill>
                </w14:textFill>
              </w:rPr>
              <w:t>（3）中标人因自身原因导致设备到货、验收、安装、调试联机逾期、逾期超过【30个日历日】的，甲方有权向中标人发出书面催告，经催告后30个日历日，中标人仍未恢复履行的，甲方有权书面通知中标人解除本合同，合同剩余款项不予支付，中标人应赔偿甲方因此导致的相应损失。本合同自甲方书面解除通知送达中标人之日终止。</w:t>
            </w:r>
          </w:p>
          <w:p w14:paraId="3EE617A4">
            <w:pPr>
              <w:rPr>
                <w:color w:val="000000" w:themeColor="text1"/>
                <w14:textFill>
                  <w14:solidFill>
                    <w14:schemeClr w14:val="tx1"/>
                  </w14:solidFill>
                </w14:textFill>
              </w:rPr>
            </w:pPr>
            <w:r>
              <w:rPr>
                <w:rFonts w:hint="eastAsia"/>
                <w:color w:val="000000" w:themeColor="text1"/>
                <w14:textFill>
                  <w14:solidFill>
                    <w14:schemeClr w14:val="tx1"/>
                  </w14:solidFill>
                </w14:textFill>
              </w:rPr>
              <w:t>（4）中标人应保证提交档案的准确性、真实性、完整性、及时性，如因中标人提交档案的原因造成档案验收、设施项目验收无法通过或延迟的，中标人应赔偿甲方因此产生的全部直接经济损失；造成严重后果的，甲方有权解除本合同，合同剩余款项不予支付，中标人应赔偿甲方因此导致的相应损失。</w:t>
            </w:r>
          </w:p>
          <w:p w14:paraId="0BB24665">
            <w:pPr>
              <w:spacing w:line="340" w:lineRule="exact"/>
              <w:rPr>
                <w:bCs/>
                <w:szCs w:val="21"/>
              </w:rPr>
            </w:pPr>
            <w:r>
              <w:rPr>
                <w:rFonts w:hint="eastAsia"/>
                <w:color w:val="000000" w:themeColor="text1"/>
                <w14:textFill>
                  <w14:solidFill>
                    <w14:schemeClr w14:val="tx1"/>
                  </w14:solidFill>
                </w14:textFill>
              </w:rPr>
              <w:t>（5）本合同履行过程中，若中标人有违反与本合同相关的国家、省、市各级法律法规、规章制度、办法条例、行业规范及深圳大设施相关规定的，由中标人承担责任并负责整改。</w:t>
            </w:r>
          </w:p>
        </w:tc>
      </w:tr>
      <w:tr w14:paraId="4689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069E460F">
            <w:pPr>
              <w:jc w:val="center"/>
              <w:rPr>
                <w:bCs/>
              </w:rPr>
            </w:pPr>
          </w:p>
        </w:tc>
        <w:tc>
          <w:tcPr>
            <w:tcW w:w="1620" w:type="dxa"/>
            <w:vMerge w:val="continue"/>
            <w:vAlign w:val="center"/>
          </w:tcPr>
          <w:p w14:paraId="1375C103">
            <w:pPr>
              <w:jc w:val="center"/>
            </w:pPr>
          </w:p>
        </w:tc>
        <w:tc>
          <w:tcPr>
            <w:tcW w:w="5940" w:type="dxa"/>
          </w:tcPr>
          <w:p w14:paraId="6E57013E">
            <w:pPr>
              <w:spacing w:line="340" w:lineRule="exact"/>
            </w:pPr>
            <w:r>
              <w:rPr>
                <w:rFonts w:ascii="Times New Roman" w:hAnsi="Times New Roman" w:cs="Times New Roman" w:eastAsiaTheme="majorEastAsia"/>
                <w:bCs/>
                <w:szCs w:val="21"/>
              </w:rPr>
              <w:t>3.3若投标人未按本合同的约定提供保修等售后服务，采购人有权自行委托第三方提供采购人所需要的技术支持和售后服务，所发生的一切费用均由投标人承担，如因此造成采购人损失的，投标人应承担赔偿责任。投标人在履行售后服务过程中，因整改造成采购人损失的，应承担修复和赔偿责任。</w:t>
            </w:r>
          </w:p>
        </w:tc>
      </w:tr>
      <w:tr w14:paraId="5165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375CE9A3">
            <w:pPr>
              <w:jc w:val="center"/>
              <w:rPr>
                <w:bCs/>
              </w:rPr>
            </w:pPr>
          </w:p>
        </w:tc>
        <w:tc>
          <w:tcPr>
            <w:tcW w:w="1620" w:type="dxa"/>
            <w:vMerge w:val="continue"/>
            <w:vAlign w:val="center"/>
          </w:tcPr>
          <w:p w14:paraId="64458807">
            <w:pPr>
              <w:jc w:val="center"/>
            </w:pPr>
          </w:p>
        </w:tc>
        <w:tc>
          <w:tcPr>
            <w:tcW w:w="5940" w:type="dxa"/>
          </w:tcPr>
          <w:p w14:paraId="0FED7CB6">
            <w:pPr>
              <w:spacing w:line="340" w:lineRule="exact"/>
              <w:rPr>
                <w:rFonts w:ascii="Times New Roman" w:hAnsi="Times New Roman" w:cs="Times New Roman" w:eastAsiaTheme="majorEastAsia"/>
                <w:bCs/>
                <w:szCs w:val="21"/>
              </w:rPr>
            </w:pPr>
            <w:r>
              <w:rPr>
                <w:rFonts w:ascii="Times New Roman" w:hAnsi="Times New Roman" w:cs="Times New Roman" w:eastAsiaTheme="majorEastAsia"/>
                <w:bCs/>
                <w:szCs w:val="21"/>
              </w:rPr>
              <w:t>3.4违约方未能履行本协议给守约方造成任何经济损失、使守约方遭受第三方追索或受到行政机关处罚的，违约方应当赔偿守约方全部损失，包括但不限于实际损失、因维权或追索而产生的全部开支、律师费、诉讼费、保全费、担保费、差旅费以及其他相关费用等。</w:t>
            </w:r>
          </w:p>
        </w:tc>
      </w:tr>
      <w:tr w14:paraId="45B3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21B201A3">
            <w:pPr>
              <w:jc w:val="center"/>
              <w:rPr>
                <w:bCs/>
              </w:rPr>
            </w:pPr>
          </w:p>
        </w:tc>
        <w:tc>
          <w:tcPr>
            <w:tcW w:w="1620" w:type="dxa"/>
            <w:vMerge w:val="continue"/>
            <w:vAlign w:val="center"/>
          </w:tcPr>
          <w:p w14:paraId="3CBA1983">
            <w:pPr>
              <w:jc w:val="center"/>
            </w:pPr>
          </w:p>
        </w:tc>
        <w:tc>
          <w:tcPr>
            <w:tcW w:w="5940" w:type="dxa"/>
          </w:tcPr>
          <w:p w14:paraId="6479B520">
            <w:pPr>
              <w:spacing w:line="340" w:lineRule="exact"/>
              <w:rPr>
                <w:rFonts w:ascii="Times New Roman" w:hAnsi="Times New Roman" w:cs="Times New Roman" w:eastAsiaTheme="majorEastAsia"/>
                <w:bCs/>
                <w:szCs w:val="21"/>
              </w:rPr>
            </w:pPr>
            <w:r>
              <w:rPr>
                <w:rFonts w:ascii="Times New Roman" w:hAnsi="Times New Roman" w:cs="Times New Roman" w:eastAsiaTheme="majorEastAsia"/>
                <w:bCs/>
                <w:szCs w:val="21"/>
              </w:rPr>
              <w:t>3.5投标人在项目验收前未将全部产品合格证、说明书、使用手册、关键节点交付文件、测试和验收报告等交付采购人的，采购人有权不予验收，并有权要求投标人赔偿采购人因此导致的相关损失。对研制类设备，具体交付资料以实际情况为准。</w:t>
            </w:r>
          </w:p>
        </w:tc>
      </w:tr>
      <w:tr w14:paraId="5B9E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35CD0C3B">
            <w:pPr>
              <w:jc w:val="center"/>
              <w:rPr>
                <w:bCs/>
              </w:rPr>
            </w:pPr>
          </w:p>
        </w:tc>
        <w:tc>
          <w:tcPr>
            <w:tcW w:w="1620" w:type="dxa"/>
            <w:vMerge w:val="continue"/>
            <w:vAlign w:val="center"/>
          </w:tcPr>
          <w:p w14:paraId="0EB55A62">
            <w:pPr>
              <w:jc w:val="center"/>
            </w:pPr>
          </w:p>
        </w:tc>
        <w:tc>
          <w:tcPr>
            <w:tcW w:w="5940" w:type="dxa"/>
          </w:tcPr>
          <w:p w14:paraId="0A49BF3A">
            <w:pPr>
              <w:spacing w:line="340" w:lineRule="exact"/>
              <w:rPr>
                <w:bCs/>
                <w:szCs w:val="21"/>
              </w:rPr>
            </w:pPr>
            <w:r>
              <w:rPr>
                <w:rFonts w:hint="eastAsia"/>
                <w:color w:val="000000" w:themeColor="text1"/>
                <w14:textFill>
                  <w14:solidFill>
                    <w14:schemeClr w14:val="tx1"/>
                  </w14:solidFill>
                </w14:textFill>
              </w:rPr>
              <w:t>3.6中标人所交设备质量不能符合其投标承诺的技术要求及质量保证要求的，或在投标阶段为了中标而盲目虚假承诺、低价恶性竞争，在履约阶段则通过偷工减料、以次充好而获取利润的，采购人有权拒绝接收，并要求投标人在双方确定的合理期限内完成整改，整改工作不得延误合同规定的交货期限，若产生赶工费用，由投标人承担且投标人应额外赔偿采购人因此产生的全部经济损失。</w:t>
            </w:r>
          </w:p>
        </w:tc>
      </w:tr>
      <w:tr w14:paraId="2351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24FACEBC">
            <w:pPr>
              <w:jc w:val="center"/>
              <w:rPr>
                <w:bCs/>
              </w:rPr>
            </w:pPr>
          </w:p>
        </w:tc>
        <w:tc>
          <w:tcPr>
            <w:tcW w:w="1620" w:type="dxa"/>
            <w:vMerge w:val="continue"/>
            <w:vAlign w:val="center"/>
          </w:tcPr>
          <w:p w14:paraId="614DC162">
            <w:pPr>
              <w:jc w:val="center"/>
            </w:pPr>
          </w:p>
        </w:tc>
        <w:tc>
          <w:tcPr>
            <w:tcW w:w="5940" w:type="dxa"/>
          </w:tcPr>
          <w:p w14:paraId="37D76D8B">
            <w:pPr>
              <w:rPr>
                <w:color w:val="000000" w:themeColor="text1"/>
                <w14:textFill>
                  <w14:solidFill>
                    <w14:schemeClr w14:val="tx1"/>
                  </w14:solidFill>
                </w14:textFill>
              </w:rPr>
            </w:pPr>
            <w:r>
              <w:rPr>
                <w:rFonts w:hint="eastAsia"/>
                <w:color w:val="000000" w:themeColor="text1"/>
                <w14:textFill>
                  <w14:solidFill>
                    <w14:schemeClr w14:val="tx1"/>
                  </w14:solidFill>
                </w14:textFill>
              </w:rPr>
              <w:t>3.7中标人提供的货物不符合质量标准或存在货物质量缺陷，采购人有权根据法定质量检测部门出具的检验证书向中标人提出索赔。如在质量保证期内，中标人对缺陷货物负有责任而采购人提出索赔，中标人应按照采购人同意的下列一种或多种方式解决索赔事宜：</w:t>
            </w:r>
          </w:p>
          <w:p w14:paraId="799073B9">
            <w:pPr>
              <w:rPr>
                <w:color w:val="000000" w:themeColor="text1"/>
                <w14:textFill>
                  <w14:solidFill>
                    <w14:schemeClr w14:val="tx1"/>
                  </w14:solidFill>
                </w14:textFill>
              </w:rPr>
            </w:pPr>
            <w:r>
              <w:rPr>
                <w:rFonts w:hint="eastAsia"/>
                <w:color w:val="000000" w:themeColor="text1"/>
                <w14:textFill>
                  <w14:solidFill>
                    <w14:schemeClr w14:val="tx1"/>
                  </w14:solidFill>
                </w14:textFill>
              </w:rPr>
              <w:t>（1）中标人同意退货并将货款退还给采购人，由此发生的一切费用和损失由中标人承担。</w:t>
            </w:r>
          </w:p>
          <w:p w14:paraId="52593301">
            <w:pPr>
              <w:rPr>
                <w:color w:val="000000" w:themeColor="text1"/>
                <w14:textFill>
                  <w14:solidFill>
                    <w14:schemeClr w14:val="tx1"/>
                  </w14:solidFill>
                </w14:textFill>
              </w:rPr>
            </w:pPr>
            <w:r>
              <w:rPr>
                <w:rFonts w:hint="eastAsia"/>
                <w:color w:val="000000" w:themeColor="text1"/>
                <w14:textFill>
                  <w14:solidFill>
                    <w14:schemeClr w14:val="tx1"/>
                  </w14:solidFill>
                </w14:textFill>
              </w:rPr>
              <w:t>（2）根据货物的质量状况以及采购人所遭受的损失，经过双方商定降低货物的价格。</w:t>
            </w:r>
          </w:p>
          <w:p w14:paraId="06A4CEFE">
            <w:pPr>
              <w:spacing w:line="340" w:lineRule="exact"/>
              <w:rPr>
                <w:bCs/>
                <w:szCs w:val="21"/>
              </w:rPr>
            </w:pPr>
            <w:r>
              <w:rPr>
                <w:rFonts w:hint="eastAsia"/>
                <w:color w:val="000000" w:themeColor="text1"/>
                <w14:textFill>
                  <w14:solidFill>
                    <w14:schemeClr w14:val="tx1"/>
                  </w14:solidFill>
                </w14:textFill>
              </w:rPr>
              <w:t>（3）中标人应在接到采购人通知后七天内负责采用符合合同规定的规格、质量和性能要求的新零件、部件和设备来替换有缺陷的部分或修补缺陷部分，其费用由中标人负担。同时，中标人应在约定的质量保证期基础上相应延长修补和/或替换件的质量保证期。</w:t>
            </w:r>
          </w:p>
        </w:tc>
      </w:tr>
      <w:tr w14:paraId="5051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2067868C">
            <w:pPr>
              <w:jc w:val="center"/>
              <w:rPr>
                <w:bCs/>
              </w:rPr>
            </w:pPr>
          </w:p>
        </w:tc>
        <w:tc>
          <w:tcPr>
            <w:tcW w:w="1620" w:type="dxa"/>
            <w:vMerge w:val="continue"/>
            <w:vAlign w:val="center"/>
          </w:tcPr>
          <w:p w14:paraId="0E810462">
            <w:pPr>
              <w:jc w:val="center"/>
            </w:pPr>
          </w:p>
        </w:tc>
        <w:tc>
          <w:tcPr>
            <w:tcW w:w="5940" w:type="dxa"/>
          </w:tcPr>
          <w:p w14:paraId="11980C88">
            <w:pPr>
              <w:spacing w:line="340" w:lineRule="exact"/>
              <w:rPr>
                <w:color w:val="000000" w:themeColor="text1"/>
                <w14:textFill>
                  <w14:solidFill>
                    <w14:schemeClr w14:val="tx1"/>
                  </w14:solidFill>
                </w14:textFill>
              </w:rPr>
            </w:pPr>
            <w:r>
              <w:rPr>
                <w:rFonts w:ascii="Times New Roman" w:hAnsi="Times New Roman" w:cs="Times New Roman" w:eastAsiaTheme="majorEastAsia"/>
                <w:bCs/>
                <w:szCs w:val="21"/>
              </w:rPr>
              <w:t>3.8本合同项下，投标人应向采购人支付的全部款项，包括但不限于违约金、赔偿金、补偿金等，采购人均可从投标人的剩余货款中直接扣除（扣除顺序由采购人自行决定）。</w:t>
            </w:r>
          </w:p>
        </w:tc>
      </w:tr>
      <w:tr w14:paraId="09CD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14:paraId="258A3FD3">
            <w:pPr>
              <w:jc w:val="center"/>
              <w:rPr>
                <w:bCs/>
              </w:rPr>
            </w:pPr>
            <w:r>
              <w:rPr>
                <w:rFonts w:hint="eastAsia"/>
                <w:bCs/>
              </w:rPr>
              <w:t>4</w:t>
            </w:r>
          </w:p>
        </w:tc>
        <w:tc>
          <w:tcPr>
            <w:tcW w:w="1620" w:type="dxa"/>
            <w:vMerge w:val="restart"/>
            <w:vAlign w:val="center"/>
          </w:tcPr>
          <w:p w14:paraId="0E65D13D">
            <w:r>
              <w:rPr>
                <w:rFonts w:hint="eastAsia"/>
                <w:bCs/>
                <w:color w:val="000000" w:themeColor="text1"/>
                <w:szCs w:val="21"/>
                <w14:textFill>
                  <w14:solidFill>
                    <w14:schemeClr w14:val="tx1"/>
                  </w14:solidFill>
                </w14:textFill>
              </w:rPr>
              <w:t>★</w:t>
            </w:r>
            <w:r>
              <w:rPr>
                <w:rFonts w:ascii="Times New Roman" w:hAnsi="Times New Roman" w:cs="Times New Roman" w:eastAsiaTheme="majorEastAsia"/>
                <w:bCs/>
                <w:color w:val="000000"/>
                <w:szCs w:val="21"/>
              </w:rPr>
              <w:t>付款方式</w:t>
            </w:r>
          </w:p>
        </w:tc>
        <w:tc>
          <w:tcPr>
            <w:tcW w:w="5940" w:type="dxa"/>
          </w:tcPr>
          <w:p w14:paraId="4C7EE755">
            <w:pPr>
              <w:spacing w:line="340" w:lineRule="exact"/>
              <w:rPr>
                <w:bCs/>
                <w:szCs w:val="21"/>
              </w:rPr>
            </w:pPr>
            <w:r>
              <w:rPr>
                <w:rFonts w:hint="eastAsia"/>
                <w:bCs/>
                <w:color w:val="000000" w:themeColor="text1"/>
                <w:szCs w:val="21"/>
                <w14:textFill>
                  <w14:solidFill>
                    <w14:schemeClr w14:val="tx1"/>
                  </w14:solidFill>
                </w14:textFill>
              </w:rPr>
              <w:t>4.1支付合同款项时，一律不向中标人以外的任何第三方办理付款手续。开户行和帐号以合同签订的为准，如果中标人要求变更，则中标人必须提供加盖了单位公章、法定代表人签字的证明文件，报经采购人审查同意。</w:t>
            </w:r>
          </w:p>
        </w:tc>
      </w:tr>
      <w:tr w14:paraId="0674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41AD8C30">
            <w:pPr>
              <w:jc w:val="center"/>
              <w:rPr>
                <w:bCs/>
              </w:rPr>
            </w:pPr>
          </w:p>
        </w:tc>
        <w:tc>
          <w:tcPr>
            <w:tcW w:w="1620" w:type="dxa"/>
            <w:vMerge w:val="continue"/>
            <w:vAlign w:val="center"/>
          </w:tcPr>
          <w:p w14:paraId="2CBF41A7"/>
        </w:tc>
        <w:tc>
          <w:tcPr>
            <w:tcW w:w="5940" w:type="dxa"/>
          </w:tcPr>
          <w:p w14:paraId="5C2B119C">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4.2付款方式：</w:t>
            </w:r>
          </w:p>
          <w:p w14:paraId="4B539F72">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（1）合同签订后，中标人向采购方提交付款申请单及相应增值税专用发票后10个工作日内，采购方向乙方支付合同总价3</w:t>
            </w:r>
            <w:r>
              <w:rPr>
                <w:rFonts w:ascii="Times New Roman" w:hAnsi="Times New Roman" w:cs="Times New Roman" w:eastAsiaTheme="majorEastAsia"/>
                <w:bCs/>
                <w:color w:val="000000" w:themeColor="text1"/>
                <w:szCs w:val="21"/>
                <w14:textFill>
                  <w14:solidFill>
                    <w14:schemeClr w14:val="tx1"/>
                  </w14:solidFill>
                </w14:textFill>
              </w:rPr>
              <w:t>0</w:t>
            </w:r>
            <w:r>
              <w:rPr>
                <w:rFonts w:hint="eastAsia" w:ascii="Times New Roman" w:hAnsi="Times New Roman" w:cs="Times New Roman" w:eastAsiaTheme="majorEastAsia"/>
                <w:bCs/>
                <w:color w:val="000000" w:themeColor="text1"/>
                <w:szCs w:val="21"/>
                <w14:textFill>
                  <w14:solidFill>
                    <w14:schemeClr w14:val="tx1"/>
                  </w14:solidFill>
                </w14:textFill>
              </w:rPr>
              <w:t>%的款项；</w:t>
            </w:r>
          </w:p>
          <w:p w14:paraId="79A142CA">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2）中标人完成详细设计方案，编制完成实施方案、质量计划、详细设计报告及图纸、零部件明细表、安装调试大纲及技术验收规范等文件，并通过专家评审后，提交付款申请单及相应增值税专用发票后10个工作日内，采购方向乙方支付合同总价</w:t>
            </w:r>
            <w:r>
              <w:rPr>
                <w:rFonts w:ascii="Times New Roman" w:hAnsi="Times New Roman" w:cs="Times New Roman" w:eastAsiaTheme="majorEastAsia"/>
                <w:bCs/>
                <w:color w:val="000000" w:themeColor="text1"/>
                <w:szCs w:val="21"/>
                <w14:textFill>
                  <w14:solidFill>
                    <w14:schemeClr w14:val="tx1"/>
                  </w14:solidFill>
                </w14:textFill>
              </w:rPr>
              <w:t>20</w:t>
            </w:r>
            <w:r>
              <w:rPr>
                <w:rFonts w:hint="eastAsia" w:ascii="Times New Roman" w:hAnsi="Times New Roman" w:cs="Times New Roman" w:eastAsiaTheme="majorEastAsia"/>
                <w:bCs/>
                <w:color w:val="000000" w:themeColor="text1"/>
                <w:szCs w:val="21"/>
                <w14:textFill>
                  <w14:solidFill>
                    <w14:schemeClr w14:val="tx1"/>
                  </w14:solidFill>
                </w14:textFill>
              </w:rPr>
              <w:t>%的款项；</w:t>
            </w:r>
          </w:p>
          <w:p w14:paraId="786161A1">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w:t>
            </w:r>
            <w:r>
              <w:rPr>
                <w:rFonts w:ascii="Times New Roman" w:hAnsi="Times New Roman" w:cs="Times New Roman" w:eastAsiaTheme="majorEastAsia"/>
                <w:bCs/>
                <w:color w:val="000000" w:themeColor="text1"/>
                <w:szCs w:val="21"/>
                <w14:textFill>
                  <w14:solidFill>
                    <w14:schemeClr w14:val="tx1"/>
                  </w14:solidFill>
                </w14:textFill>
              </w:rPr>
              <w:t>3</w:t>
            </w:r>
            <w:r>
              <w:rPr>
                <w:rFonts w:hint="eastAsia" w:ascii="Times New Roman" w:hAnsi="Times New Roman" w:cs="Times New Roman" w:eastAsiaTheme="majorEastAsia"/>
                <w:bCs/>
                <w:color w:val="000000" w:themeColor="text1"/>
                <w:szCs w:val="21"/>
                <w14:textFill>
                  <w14:solidFill>
                    <w14:schemeClr w14:val="tx1"/>
                  </w14:solidFill>
                </w14:textFill>
              </w:rPr>
              <w:t>）全部货物统一发货前，中标人提交货物运输单，完成项目实施过程中要求的质量控制点管控工作的检查及存档，提交付款申请单及相应增值税专用发票后10个工作日内支付合同总价3</w:t>
            </w:r>
            <w:r>
              <w:rPr>
                <w:rFonts w:ascii="Times New Roman" w:hAnsi="Times New Roman" w:cs="Times New Roman" w:eastAsiaTheme="majorEastAsia"/>
                <w:bCs/>
                <w:color w:val="000000" w:themeColor="text1"/>
                <w:szCs w:val="21"/>
                <w14:textFill>
                  <w14:solidFill>
                    <w14:schemeClr w14:val="tx1"/>
                  </w14:solidFill>
                </w14:textFill>
              </w:rPr>
              <w:t>0</w:t>
            </w:r>
            <w:r>
              <w:rPr>
                <w:rFonts w:hint="eastAsia" w:ascii="Times New Roman" w:hAnsi="Times New Roman" w:cs="Times New Roman" w:eastAsiaTheme="majorEastAsia"/>
                <w:bCs/>
                <w:color w:val="000000" w:themeColor="text1"/>
                <w:szCs w:val="21"/>
                <w14:textFill>
                  <w14:solidFill>
                    <w14:schemeClr w14:val="tx1"/>
                  </w14:solidFill>
                </w14:textFill>
              </w:rPr>
              <w:t>%款项；</w:t>
            </w:r>
          </w:p>
          <w:p w14:paraId="5EF6419C">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w:t>
            </w:r>
            <w:r>
              <w:rPr>
                <w:rFonts w:ascii="Times New Roman" w:hAnsi="Times New Roman" w:cs="Times New Roman" w:eastAsiaTheme="majorEastAsia"/>
                <w:bCs/>
                <w:color w:val="000000" w:themeColor="text1"/>
                <w:szCs w:val="21"/>
                <w14:textFill>
                  <w14:solidFill>
                    <w14:schemeClr w14:val="tx1"/>
                  </w14:solidFill>
                </w14:textFill>
              </w:rPr>
              <w:t>4</w:t>
            </w:r>
            <w:r>
              <w:rPr>
                <w:rFonts w:hint="eastAsia" w:ascii="Times New Roman" w:hAnsi="Times New Roman" w:cs="Times New Roman" w:eastAsiaTheme="majorEastAsia"/>
                <w:bCs/>
                <w:color w:val="000000" w:themeColor="text1"/>
                <w:szCs w:val="21"/>
                <w14:textFill>
                  <w14:solidFill>
                    <w14:schemeClr w14:val="tx1"/>
                  </w14:solidFill>
                </w14:textFill>
              </w:rPr>
              <w:t>）中标人将全部货物送到采购方指定地点</w:t>
            </w:r>
            <w:r>
              <w:rPr>
                <w:rFonts w:ascii="Times New Roman" w:hAnsi="Times New Roman" w:cs="Times New Roman" w:eastAsiaTheme="majorEastAsia"/>
                <w:bCs/>
                <w:color w:val="000000" w:themeColor="text1"/>
                <w:szCs w:val="21"/>
                <w14:textFill>
                  <w14:solidFill>
                    <w14:schemeClr w14:val="tx1"/>
                  </w14:solidFill>
                </w14:textFill>
              </w:rPr>
              <w:t>、完成安装</w:t>
            </w:r>
            <w:r>
              <w:rPr>
                <w:rFonts w:hint="eastAsia" w:ascii="Times New Roman" w:hAnsi="Times New Roman" w:cs="Times New Roman" w:eastAsiaTheme="majorEastAsia"/>
                <w:bCs/>
                <w:color w:val="000000" w:themeColor="text1"/>
                <w:szCs w:val="21"/>
                <w14:textFill>
                  <w14:solidFill>
                    <w14:schemeClr w14:val="tx1"/>
                  </w14:solidFill>
                </w14:textFill>
              </w:rPr>
              <w:t>、各项指标达到合同指标要求，并通过专家验收，提交付款申请单及相应增值税专用发票后 10 个工作日内支付合同总价</w:t>
            </w:r>
            <w:r>
              <w:rPr>
                <w:rFonts w:ascii="Times New Roman" w:hAnsi="Times New Roman" w:cs="Times New Roman" w:eastAsiaTheme="majorEastAsia"/>
                <w:bCs/>
                <w:color w:val="000000" w:themeColor="text1"/>
                <w:szCs w:val="21"/>
                <w14:textFill>
                  <w14:solidFill>
                    <w14:schemeClr w14:val="tx1"/>
                  </w14:solidFill>
                </w14:textFill>
              </w:rPr>
              <w:t>20</w:t>
            </w:r>
            <w:r>
              <w:rPr>
                <w:rFonts w:hint="eastAsia" w:ascii="Times New Roman" w:hAnsi="Times New Roman" w:cs="Times New Roman" w:eastAsiaTheme="majorEastAsia"/>
                <w:bCs/>
                <w:color w:val="000000" w:themeColor="text1"/>
                <w:szCs w:val="21"/>
                <w14:textFill>
                  <w14:solidFill>
                    <w14:schemeClr w14:val="tx1"/>
                  </w14:solidFill>
                </w14:textFill>
              </w:rPr>
              <w:t>%款项</w:t>
            </w:r>
            <w:r>
              <w:rPr>
                <w:rFonts w:ascii="Times New Roman" w:hAnsi="Times New Roman" w:cs="Times New Roman" w:eastAsiaTheme="majorEastAsia"/>
                <w:bCs/>
                <w:color w:val="000000" w:themeColor="text1"/>
                <w:szCs w:val="21"/>
                <w14:textFill>
                  <w14:solidFill>
                    <w14:schemeClr w14:val="tx1"/>
                  </w14:solidFill>
                </w14:textFill>
              </w:rPr>
              <w:t>。</w:t>
            </w:r>
          </w:p>
          <w:p w14:paraId="62FD5ACE">
            <w:pPr>
              <w:rPr>
                <w:bCs/>
                <w:szCs w:val="21"/>
              </w:rPr>
            </w:pPr>
            <w:r>
              <w:rPr>
                <w:rFonts w:hint="eastAsia" w:ascii="Times New Roman" w:hAnsi="Times New Roman" w:cs="Times New Roman" w:eastAsiaTheme="majorEastAsia"/>
                <w:bCs/>
                <w:color w:val="000000" w:themeColor="text1"/>
                <w:szCs w:val="21"/>
                <w14:textFill>
                  <w14:solidFill>
                    <w14:schemeClr w14:val="tx1"/>
                  </w14:solidFill>
                </w14:textFill>
              </w:rPr>
              <w:t>（5）付款节点中涉及到的详细设计专家评审、阶段性验收测试评审、出厂验收评审、现场预验收评审、现场最终验收评审等费用由中标人支付。相关评审会议的流程需要遵循甲方管理要求，评审及测试结果由采购方确认认可后，方可通过。</w:t>
            </w:r>
          </w:p>
        </w:tc>
      </w:tr>
      <w:tr w14:paraId="5D73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17D035D4">
            <w:pPr>
              <w:jc w:val="center"/>
              <w:rPr>
                <w:bCs/>
              </w:rPr>
            </w:pPr>
          </w:p>
        </w:tc>
        <w:tc>
          <w:tcPr>
            <w:tcW w:w="1620" w:type="dxa"/>
            <w:vMerge w:val="continue"/>
            <w:vAlign w:val="center"/>
          </w:tcPr>
          <w:p w14:paraId="796DCFAC"/>
        </w:tc>
        <w:tc>
          <w:tcPr>
            <w:tcW w:w="5940" w:type="dxa"/>
          </w:tcPr>
          <w:p w14:paraId="161BDBB1">
            <w:pPr>
              <w:spacing w:line="340" w:lineRule="exact"/>
              <w:rPr>
                <w:bCs/>
                <w:szCs w:val="21"/>
              </w:rPr>
            </w:pPr>
            <w:r>
              <w:rPr>
                <w:rFonts w:ascii="Times New Roman" w:hAnsi="Times New Roman" w:cs="Times New Roman" w:eastAsiaTheme="majorEastAsia"/>
                <w:bCs/>
                <w:color w:val="000000" w:themeColor="text1"/>
                <w:szCs w:val="21"/>
                <w14:textFill>
                  <w14:solidFill>
                    <w14:schemeClr w14:val="tx1"/>
                  </w14:solidFill>
                </w14:textFill>
              </w:rPr>
              <w:t>4.3 因财政资金拨款未到位而导致</w:t>
            </w:r>
            <w:r>
              <w:rPr>
                <w:rFonts w:hint="eastAsia" w:ascii="Times New Roman" w:hAnsi="Times New Roman" w:cs="Times New Roman" w:eastAsiaTheme="majorEastAsia"/>
                <w:bCs/>
                <w:color w:val="000000" w:themeColor="text1"/>
                <w:szCs w:val="21"/>
                <w14:textFill>
                  <w14:solidFill>
                    <w14:schemeClr w14:val="tx1"/>
                  </w14:solidFill>
                </w14:textFill>
              </w:rPr>
              <w:t>采购人</w:t>
            </w:r>
            <w:r>
              <w:rPr>
                <w:rFonts w:ascii="Times New Roman" w:hAnsi="Times New Roman" w:cs="Times New Roman" w:eastAsiaTheme="majorEastAsia"/>
                <w:bCs/>
                <w:color w:val="000000" w:themeColor="text1"/>
                <w:szCs w:val="21"/>
                <w14:textFill>
                  <w14:solidFill>
                    <w14:schemeClr w14:val="tx1"/>
                  </w14:solidFill>
                </w14:textFill>
              </w:rPr>
              <w:t>未在约定期限内支付合同费用的，投标人不得要求采购人承担逾期付款的违约责任。每次付款前，投标人应需先提供相应额度的正规发票给采购人，以便办理支付手续。</w:t>
            </w:r>
          </w:p>
        </w:tc>
      </w:tr>
      <w:tr w14:paraId="61FF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5711A8B3">
            <w:pPr>
              <w:jc w:val="center"/>
              <w:rPr>
                <w:bCs/>
              </w:rPr>
            </w:pPr>
            <w:r>
              <w:rPr>
                <w:rFonts w:hint="eastAsia"/>
                <w:bCs/>
              </w:rPr>
              <w:t>5</w:t>
            </w:r>
          </w:p>
        </w:tc>
        <w:tc>
          <w:tcPr>
            <w:tcW w:w="1620" w:type="dxa"/>
            <w:vAlign w:val="center"/>
          </w:tcPr>
          <w:p w14:paraId="5839E3F6">
            <w:r>
              <w:rPr>
                <w:rFonts w:hint="eastAsia"/>
                <w:bCs/>
                <w:color w:val="000000" w:themeColor="text1"/>
                <w:szCs w:val="21"/>
                <w14:textFill>
                  <w14:solidFill>
                    <w14:schemeClr w14:val="tx1"/>
                  </w14:solidFill>
                </w14:textFill>
              </w:rPr>
              <w:t>★</w:t>
            </w:r>
            <w:r>
              <w:rPr>
                <w:rFonts w:hint="eastAsia"/>
              </w:rPr>
              <w:t>报价要求</w:t>
            </w:r>
          </w:p>
        </w:tc>
        <w:tc>
          <w:tcPr>
            <w:tcW w:w="5940" w:type="dxa"/>
          </w:tcPr>
          <w:p w14:paraId="237121D5">
            <w:pPr>
              <w:spacing w:line="340" w:lineRule="exact"/>
              <w:rPr>
                <w:bCs/>
                <w:szCs w:val="21"/>
              </w:rPr>
            </w:pPr>
            <w:bookmarkStart w:id="43" w:name="_Hlk183200699"/>
            <w:r>
              <w:rPr>
                <w:rFonts w:ascii="Times New Roman" w:hAnsi="Times New Roman" w:cs="Times New Roman" w:eastAsiaTheme="majorEastAsia"/>
                <w:bCs/>
                <w:szCs w:val="21"/>
              </w:rPr>
              <w:t>投标总价为包干价，必须是完成该项目的一切费用总和，包括设备费、设计制造费</w:t>
            </w:r>
            <w:r>
              <w:rPr>
                <w:rFonts w:hint="eastAsia" w:ascii="Times New Roman" w:hAnsi="Times New Roman" w:cs="Times New Roman" w:eastAsiaTheme="majorEastAsia"/>
                <w:bCs/>
                <w:szCs w:val="21"/>
              </w:rPr>
              <w:t>、评审费、</w:t>
            </w:r>
            <w:r>
              <w:rPr>
                <w:rFonts w:ascii="Times New Roman" w:hAnsi="Times New Roman" w:cs="Times New Roman" w:eastAsiaTheme="majorEastAsia"/>
                <w:bCs/>
                <w:szCs w:val="21"/>
              </w:rPr>
              <w:t>检验检测费、包装运输费、装卸费、保险费、技术培训费、设备安装费、调试费（含设备调试期间产生的水、电等能源耗费）、售后服务费、中标服务费、国家规定的各项税费等全部费用及增值税；</w:t>
            </w:r>
            <w:r>
              <w:rPr>
                <w:rFonts w:ascii="Times New Roman" w:hAnsi="Times New Roman" w:cs="Times New Roman" w:eastAsiaTheme="majorEastAsia"/>
                <w:szCs w:val="21"/>
              </w:rPr>
              <w:t>投标人所报的合同总价和各项单价价格在合同实施期间应保持不变并不因劳务、材料、机械等成本的价格变动而做任何调整。</w:t>
            </w:r>
            <w:bookmarkEnd w:id="43"/>
          </w:p>
        </w:tc>
      </w:tr>
      <w:tr w14:paraId="32C4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14:paraId="472DA1C0">
            <w:pPr>
              <w:ind w:firstLine="480" w:firstLineChars="200"/>
              <w:rPr>
                <w:bCs/>
                <w:szCs w:val="21"/>
              </w:rPr>
            </w:pPr>
            <w:r>
              <w:rPr>
                <w:rFonts w:hint="eastAsia"/>
                <w:bCs/>
                <w:szCs w:val="21"/>
              </w:rPr>
              <w:t>6</w:t>
            </w:r>
          </w:p>
        </w:tc>
        <w:tc>
          <w:tcPr>
            <w:tcW w:w="1620" w:type="dxa"/>
            <w:vMerge w:val="restart"/>
            <w:vAlign w:val="center"/>
          </w:tcPr>
          <w:p w14:paraId="3DBBDD4B">
            <w:pPr>
              <w:rPr>
                <w:bCs/>
                <w:szCs w:val="21"/>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质量标准和保证</w:t>
            </w:r>
          </w:p>
        </w:tc>
        <w:tc>
          <w:tcPr>
            <w:tcW w:w="5940" w:type="dxa"/>
          </w:tcPr>
          <w:p w14:paraId="40827714">
            <w:pPr>
              <w:spacing w:line="340" w:lineRule="exact"/>
              <w:rPr>
                <w:bCs/>
                <w:szCs w:val="21"/>
              </w:rPr>
            </w:pPr>
            <w:r>
              <w:rPr>
                <w:rFonts w:hint="eastAsia"/>
                <w:color w:val="000000" w:themeColor="text1"/>
                <w14:textFill>
                  <w14:solidFill>
                    <w14:schemeClr w14:val="tx1"/>
                  </w14:solidFill>
                </w14:textFill>
              </w:rPr>
              <w:t>6.1</w:t>
            </w:r>
            <w:r>
              <w:rPr>
                <w:rFonts w:hint="eastAsia"/>
                <w:bCs/>
                <w:color w:val="000000" w:themeColor="text1"/>
                <w14:textFill>
                  <w14:solidFill>
                    <w14:schemeClr w14:val="tx1"/>
                  </w14:solidFill>
                </w14:textFill>
              </w:rPr>
              <w:t>投标人需按照合同规定提供全部产品及完整的技术资料。</w:t>
            </w:r>
          </w:p>
        </w:tc>
      </w:tr>
      <w:tr w14:paraId="4AE9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4A09ACD0">
            <w:pPr>
              <w:ind w:firstLine="480" w:firstLineChars="200"/>
              <w:rPr>
                <w:bCs/>
                <w:szCs w:val="21"/>
              </w:rPr>
            </w:pPr>
          </w:p>
        </w:tc>
        <w:tc>
          <w:tcPr>
            <w:tcW w:w="1620" w:type="dxa"/>
            <w:vMerge w:val="continue"/>
            <w:vAlign w:val="center"/>
          </w:tcPr>
          <w:p w14:paraId="7AC1710C">
            <w:pPr>
              <w:rPr>
                <w:color w:val="000000" w:themeColor="text1"/>
                <w14:textFill>
                  <w14:solidFill>
                    <w14:schemeClr w14:val="tx1"/>
                  </w14:solidFill>
                </w14:textFill>
              </w:rPr>
            </w:pPr>
          </w:p>
        </w:tc>
        <w:tc>
          <w:tcPr>
            <w:tcW w:w="5940" w:type="dxa"/>
          </w:tcPr>
          <w:p w14:paraId="22EA2BDF">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中标人在约定的时间内未能弥补缺陷，采购人可采取必要的补救措施，但其风险和费用将由中标人承担，采购人根据合同规定对中标人行使的其他权利不受影响。</w:t>
            </w:r>
          </w:p>
        </w:tc>
      </w:tr>
      <w:tr w14:paraId="3136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16EDBDC0">
            <w:pPr>
              <w:ind w:firstLine="480" w:firstLineChars="200"/>
              <w:rPr>
                <w:bCs/>
                <w:szCs w:val="21"/>
              </w:rPr>
            </w:pPr>
          </w:p>
        </w:tc>
        <w:tc>
          <w:tcPr>
            <w:tcW w:w="1620" w:type="dxa"/>
            <w:vMerge w:val="continue"/>
            <w:vAlign w:val="center"/>
          </w:tcPr>
          <w:p w14:paraId="03281F4D">
            <w:pPr>
              <w:rPr>
                <w:color w:val="000000" w:themeColor="text1"/>
                <w14:textFill>
                  <w14:solidFill>
                    <w14:schemeClr w14:val="tx1"/>
                  </w14:solidFill>
                </w14:textFill>
              </w:rPr>
            </w:pPr>
          </w:p>
        </w:tc>
        <w:tc>
          <w:tcPr>
            <w:tcW w:w="5940" w:type="dxa"/>
          </w:tcPr>
          <w:p w14:paraId="00CEDC07">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投标人所出售的货物还应符合国家和行业设计制造标准、国家有关安全、环保、卫生等强制性规定。</w:t>
            </w:r>
          </w:p>
        </w:tc>
      </w:tr>
      <w:tr w14:paraId="6319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414C68EB">
            <w:pPr>
              <w:ind w:firstLine="480" w:firstLineChars="200"/>
              <w:rPr>
                <w:bCs/>
                <w:szCs w:val="21"/>
              </w:rPr>
            </w:pPr>
            <w:r>
              <w:rPr>
                <w:rFonts w:hint="eastAsia"/>
                <w:bCs/>
                <w:color w:val="000000" w:themeColor="text1"/>
                <w14:textFill>
                  <w14:solidFill>
                    <w14:schemeClr w14:val="tx1"/>
                  </w14:solidFill>
                </w14:textFill>
              </w:rPr>
              <w:t>7</w:t>
            </w:r>
          </w:p>
        </w:tc>
        <w:tc>
          <w:tcPr>
            <w:tcW w:w="1620" w:type="dxa"/>
            <w:vAlign w:val="center"/>
          </w:tcPr>
          <w:p w14:paraId="3DF664E4">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保密义务</w:t>
            </w:r>
          </w:p>
        </w:tc>
        <w:tc>
          <w:tcPr>
            <w:tcW w:w="5940" w:type="dxa"/>
          </w:tcPr>
          <w:p w14:paraId="0E9FF2EB">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采购人、中标人双方在采购和履行合同过程中所获悉的所有信息都属于保密的内容，采购人中标人双方均有保密义务。</w:t>
            </w:r>
          </w:p>
        </w:tc>
      </w:tr>
      <w:tr w14:paraId="2D1D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14:paraId="5504241C">
            <w:pPr>
              <w:ind w:firstLine="480" w:firstLineChars="200"/>
              <w:rPr>
                <w:bCs/>
                <w:szCs w:val="21"/>
              </w:rPr>
            </w:pPr>
            <w:r>
              <w:rPr>
                <w:rFonts w:hint="eastAsia"/>
                <w:bCs/>
                <w:color w:val="000000" w:themeColor="text1"/>
                <w14:textFill>
                  <w14:solidFill>
                    <w14:schemeClr w14:val="tx1"/>
                  </w14:solidFill>
                </w14:textFill>
              </w:rPr>
              <w:t>8</w:t>
            </w:r>
          </w:p>
        </w:tc>
        <w:tc>
          <w:tcPr>
            <w:tcW w:w="1620" w:type="dxa"/>
            <w:vMerge w:val="restart"/>
            <w:vAlign w:val="center"/>
          </w:tcPr>
          <w:p w14:paraId="4F0BAF0B">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合同的变更</w:t>
            </w:r>
          </w:p>
        </w:tc>
        <w:tc>
          <w:tcPr>
            <w:tcW w:w="5940" w:type="dxa"/>
            <w:vAlign w:val="center"/>
          </w:tcPr>
          <w:p w14:paraId="14BFA1DC">
            <w:pPr>
              <w:spacing w:line="340" w:lineRule="exact"/>
              <w:rPr>
                <w:color w:val="000000" w:themeColor="text1"/>
                <w14:textFill>
                  <w14:solidFill>
                    <w14:schemeClr w14:val="tx1"/>
                  </w14:solidFill>
                </w14:textFill>
              </w:rPr>
            </w:pPr>
            <w:r>
              <w:rPr>
                <w:rFonts w:hint="eastAsia" w:ascii="宋体" w:hAnsi="宋体" w:cs="宋体"/>
                <w:bCs/>
                <w:color w:val="000000" w:themeColor="text1"/>
                <w:kern w:val="0"/>
                <w:szCs w:val="20"/>
                <w14:textFill>
                  <w14:solidFill>
                    <w14:schemeClr w14:val="tx1"/>
                  </w14:solidFill>
                </w14:textFill>
              </w:rPr>
              <w:t>8.1政府采购合同未约定或者约定不明的事项，采购人可以与供应商协商签订补充协议。补充协议不得变更采购合同的实质性内容。</w:t>
            </w:r>
          </w:p>
        </w:tc>
      </w:tr>
      <w:tr w14:paraId="21B6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2F6822F7">
            <w:pPr>
              <w:ind w:firstLine="480" w:firstLineChars="200"/>
              <w:rPr>
                <w:bCs/>
                <w:szCs w:val="21"/>
              </w:rPr>
            </w:pPr>
          </w:p>
        </w:tc>
        <w:tc>
          <w:tcPr>
            <w:tcW w:w="1620" w:type="dxa"/>
            <w:vMerge w:val="continue"/>
            <w:vAlign w:val="center"/>
          </w:tcPr>
          <w:p w14:paraId="4BA3246B">
            <w:pPr>
              <w:rPr>
                <w:color w:val="000000" w:themeColor="text1"/>
                <w14:textFill>
                  <w14:solidFill>
                    <w14:schemeClr w14:val="tx1"/>
                  </w14:solidFill>
                </w14:textFill>
              </w:rPr>
            </w:pPr>
          </w:p>
        </w:tc>
        <w:tc>
          <w:tcPr>
            <w:tcW w:w="5940" w:type="dxa"/>
            <w:vAlign w:val="center"/>
          </w:tcPr>
          <w:p w14:paraId="47D79E3C">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除了双方签署书面协议，并成为合同不可分割的一部分之外，本合同条件不得有任何变更。</w:t>
            </w:r>
          </w:p>
        </w:tc>
      </w:tr>
      <w:tr w14:paraId="06A7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60" w:type="dxa"/>
            <w:vAlign w:val="center"/>
          </w:tcPr>
          <w:p w14:paraId="6A399DAB">
            <w:pPr>
              <w:ind w:firstLine="480" w:firstLineChars="200"/>
              <w:rPr>
                <w:bCs/>
                <w:szCs w:val="21"/>
              </w:rPr>
            </w:pPr>
            <w:r>
              <w:rPr>
                <w:rFonts w:hint="eastAsia"/>
                <w:bCs/>
                <w:color w:val="000000" w:themeColor="text1"/>
                <w14:textFill>
                  <w14:solidFill>
                    <w14:schemeClr w14:val="tx1"/>
                  </w14:solidFill>
                </w14:textFill>
              </w:rPr>
              <w:t>9</w:t>
            </w:r>
          </w:p>
        </w:tc>
        <w:tc>
          <w:tcPr>
            <w:tcW w:w="1620" w:type="dxa"/>
            <w:vAlign w:val="center"/>
          </w:tcPr>
          <w:p w14:paraId="1870AA5A">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合同的转让和分包</w:t>
            </w:r>
          </w:p>
        </w:tc>
        <w:tc>
          <w:tcPr>
            <w:tcW w:w="5940" w:type="dxa"/>
            <w:vAlign w:val="center"/>
          </w:tcPr>
          <w:p w14:paraId="6050A189">
            <w:pPr>
              <w:spacing w:line="340" w:lineRule="exact"/>
              <w:rPr>
                <w:color w:val="000000" w:themeColor="text1"/>
                <w14:textFill>
                  <w14:solidFill>
                    <w14:schemeClr w14:val="tx1"/>
                  </w14:solidFill>
                </w14:textFill>
              </w:rPr>
            </w:pPr>
            <w:r>
              <w:rPr>
                <w:rFonts w:ascii="Times New Roman" w:hAnsi="Times New Roman" w:cs="Times New Roman" w:eastAsiaTheme="majorEastAsia"/>
                <w:bCs/>
                <w:kern w:val="0"/>
                <w:szCs w:val="21"/>
              </w:rPr>
              <w:t>投标人不得以任何形式部分或全部转让其应履行的合同义务。</w:t>
            </w:r>
          </w:p>
        </w:tc>
      </w:tr>
      <w:tr w14:paraId="74D3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14:paraId="5E2B4625">
            <w:pPr>
              <w:ind w:firstLine="480" w:firstLineChars="200"/>
              <w:rPr>
                <w:bCs/>
                <w:szCs w:val="21"/>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0</w:t>
            </w:r>
          </w:p>
        </w:tc>
        <w:tc>
          <w:tcPr>
            <w:tcW w:w="1620" w:type="dxa"/>
            <w:vMerge w:val="restart"/>
            <w:vAlign w:val="center"/>
          </w:tcPr>
          <w:p w14:paraId="2AB3100A">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解决争议的办法</w:t>
            </w:r>
          </w:p>
        </w:tc>
        <w:tc>
          <w:tcPr>
            <w:tcW w:w="5940" w:type="dxa"/>
            <w:vAlign w:val="center"/>
          </w:tcPr>
          <w:p w14:paraId="48A41F9F">
            <w:r>
              <w:rPr>
                <w:rFonts w:ascii="Times New Roman" w:hAnsi="Times New Roman" w:cs="Times New Roman" w:eastAsiaTheme="majorEastAsia"/>
                <w:bCs/>
                <w:kern w:val="0"/>
                <w:szCs w:val="21"/>
              </w:rPr>
              <w:t>10.1因合同货物的质量问题而发生的争议，由质检部门进行质量鉴定。经检验，质量符合标准的，鉴定费用由采购人承担；质量不符合标准的，鉴定费用由投标人承担，并且投标人负责重新提供符合合同要求的货物给采购人，由此造成延期供货的，投标人承担延期供货的违约责任。</w:t>
            </w:r>
          </w:p>
        </w:tc>
      </w:tr>
      <w:tr w14:paraId="63C1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2EA5C060">
            <w:pPr>
              <w:ind w:firstLine="480" w:firstLineChars="200"/>
              <w:rPr>
                <w:bCs/>
                <w:szCs w:val="21"/>
              </w:rPr>
            </w:pPr>
          </w:p>
        </w:tc>
        <w:tc>
          <w:tcPr>
            <w:tcW w:w="1620" w:type="dxa"/>
            <w:vMerge w:val="continue"/>
            <w:vAlign w:val="center"/>
          </w:tcPr>
          <w:p w14:paraId="7E129AA9">
            <w:pPr>
              <w:rPr>
                <w:color w:val="000000" w:themeColor="text1"/>
                <w14:textFill>
                  <w14:solidFill>
                    <w14:schemeClr w14:val="tx1"/>
                  </w14:solidFill>
                </w14:textFill>
              </w:rPr>
            </w:pPr>
          </w:p>
        </w:tc>
        <w:tc>
          <w:tcPr>
            <w:tcW w:w="5940" w:type="dxa"/>
            <w:vAlign w:val="center"/>
          </w:tcPr>
          <w:p w14:paraId="7943CCC1">
            <w:r>
              <w:rPr>
                <w:rFonts w:ascii="Times New Roman" w:hAnsi="Times New Roman" w:cs="Times New Roman" w:eastAsiaTheme="majorEastAsia"/>
                <w:bCs/>
                <w:kern w:val="0"/>
                <w:szCs w:val="21"/>
              </w:rPr>
              <w:t>10.2因本合同履行过程中所产生的纠纷和争议，应本着互谅互让、互相尊重、和平友好的原则协商解决。如从协商开始【30个日历日】内仍不能解决，任一方可向采购人所在地的人民法院提起诉讼。</w:t>
            </w:r>
          </w:p>
        </w:tc>
      </w:tr>
      <w:tr w14:paraId="1DE4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3E870C1B">
            <w:pPr>
              <w:ind w:firstLine="480" w:firstLineChars="200"/>
              <w:rPr>
                <w:bCs/>
                <w:szCs w:val="21"/>
              </w:rPr>
            </w:pPr>
          </w:p>
        </w:tc>
        <w:tc>
          <w:tcPr>
            <w:tcW w:w="1620" w:type="dxa"/>
            <w:vMerge w:val="continue"/>
            <w:vAlign w:val="center"/>
          </w:tcPr>
          <w:p w14:paraId="5C9A75CC">
            <w:pPr>
              <w:rPr>
                <w:color w:val="000000" w:themeColor="text1"/>
                <w14:textFill>
                  <w14:solidFill>
                    <w14:schemeClr w14:val="tx1"/>
                  </w14:solidFill>
                </w14:textFill>
              </w:rPr>
            </w:pPr>
          </w:p>
        </w:tc>
        <w:tc>
          <w:tcPr>
            <w:tcW w:w="5940" w:type="dxa"/>
            <w:vAlign w:val="center"/>
          </w:tcPr>
          <w:p w14:paraId="54A624AE">
            <w:pPr>
              <w:rPr>
                <w:rFonts w:ascii="宋体" w:hAnsi="宋体" w:cs="宋体"/>
                <w:bCs/>
                <w:kern w:val="0"/>
                <w:szCs w:val="20"/>
              </w:rPr>
            </w:pPr>
            <w:r>
              <w:rPr>
                <w:rFonts w:ascii="Times New Roman" w:hAnsi="Times New Roman" w:cs="Times New Roman" w:eastAsiaTheme="majorEastAsia"/>
                <w:bCs/>
                <w:kern w:val="0"/>
                <w:szCs w:val="21"/>
              </w:rPr>
              <w:t>10.3在诉讼期间，除正在进行诉讼的部分外，合同的其他部分应继续执行。</w:t>
            </w:r>
          </w:p>
        </w:tc>
      </w:tr>
      <w:tr w14:paraId="67F2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152B3A96">
            <w:pPr>
              <w:ind w:firstLine="480" w:firstLineChars="200"/>
              <w:rPr>
                <w:bCs/>
                <w:szCs w:val="21"/>
              </w:rPr>
            </w:pPr>
          </w:p>
        </w:tc>
        <w:tc>
          <w:tcPr>
            <w:tcW w:w="1620" w:type="dxa"/>
            <w:vMerge w:val="continue"/>
            <w:vAlign w:val="center"/>
          </w:tcPr>
          <w:p w14:paraId="65DA4FEC">
            <w:pPr>
              <w:rPr>
                <w:color w:val="000000" w:themeColor="text1"/>
                <w14:textFill>
                  <w14:solidFill>
                    <w14:schemeClr w14:val="tx1"/>
                  </w14:solidFill>
                </w14:textFill>
              </w:rPr>
            </w:pPr>
          </w:p>
        </w:tc>
        <w:tc>
          <w:tcPr>
            <w:tcW w:w="5940" w:type="dxa"/>
            <w:vAlign w:val="center"/>
          </w:tcPr>
          <w:p w14:paraId="7BE155D1">
            <w:r>
              <w:rPr>
                <w:rFonts w:ascii="Times New Roman" w:hAnsi="Times New Roman" w:cs="Times New Roman" w:eastAsiaTheme="majorEastAsia"/>
                <w:bCs/>
                <w:kern w:val="0"/>
                <w:szCs w:val="21"/>
              </w:rPr>
              <w:t>10.4投标人提供的所有软件必须为正版或取得合理使用授权，采购人不承担知识产权纠纷带来的任何侵权责任，由此造成的损失由投标人负责赔偿。</w:t>
            </w:r>
          </w:p>
        </w:tc>
      </w:tr>
      <w:tr w14:paraId="6926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237C9F3B">
            <w:pPr>
              <w:ind w:firstLine="480" w:firstLineChars="200"/>
              <w:rPr>
                <w:bCs/>
                <w:szCs w:val="21"/>
              </w:rPr>
            </w:pPr>
            <w:r>
              <w:rPr>
                <w:rFonts w:hint="eastAsia"/>
                <w:color w:val="000000" w:themeColor="text1"/>
                <w14:textFill>
                  <w14:solidFill>
                    <w14:schemeClr w14:val="tx1"/>
                  </w14:solidFill>
                </w14:textFill>
              </w:rPr>
              <w:t>11</w:t>
            </w:r>
          </w:p>
        </w:tc>
        <w:tc>
          <w:tcPr>
            <w:tcW w:w="1620" w:type="dxa"/>
            <w:vAlign w:val="center"/>
          </w:tcPr>
          <w:p w14:paraId="1D68E1B0">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合同语言</w:t>
            </w:r>
          </w:p>
        </w:tc>
        <w:tc>
          <w:tcPr>
            <w:tcW w:w="5940" w:type="dxa"/>
          </w:tcPr>
          <w:p w14:paraId="74E0B1EE">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本合同以及双方来住的与合同有关的信件、传真和其它文件应用中文书写。</w:t>
            </w:r>
          </w:p>
        </w:tc>
      </w:tr>
      <w:tr w14:paraId="71A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12AD17D7">
            <w:pPr>
              <w:ind w:firstLine="480" w:firstLineChars="200"/>
              <w:rPr>
                <w:bCs/>
                <w:szCs w:val="21"/>
              </w:rPr>
            </w:pPr>
            <w:r>
              <w:rPr>
                <w:rFonts w:hint="eastAsia"/>
                <w:color w:val="000000" w:themeColor="text1"/>
                <w14:textFill>
                  <w14:solidFill>
                    <w14:schemeClr w14:val="tx1"/>
                  </w14:solidFill>
                </w14:textFill>
              </w:rPr>
              <w:t>12</w:t>
            </w:r>
          </w:p>
        </w:tc>
        <w:tc>
          <w:tcPr>
            <w:tcW w:w="1620" w:type="dxa"/>
            <w:vAlign w:val="center"/>
          </w:tcPr>
          <w:p w14:paraId="7C8784EB">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法律适用</w:t>
            </w:r>
          </w:p>
        </w:tc>
        <w:tc>
          <w:tcPr>
            <w:tcW w:w="5940" w:type="dxa"/>
          </w:tcPr>
          <w:p w14:paraId="0F213352">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本合同适用中华人民共和国现行法律、行政法规和规章，如合同条款与法律、行政法规和规章不一致的，按照法律、行政法规和规章修改本合同。</w:t>
            </w:r>
          </w:p>
        </w:tc>
      </w:tr>
      <w:tr w14:paraId="7AF4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14:paraId="30351D11">
            <w:pPr>
              <w:ind w:firstLine="480" w:firstLineChars="200"/>
              <w:rPr>
                <w:bCs/>
                <w:szCs w:val="21"/>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3</w:t>
            </w:r>
          </w:p>
        </w:tc>
        <w:tc>
          <w:tcPr>
            <w:tcW w:w="1620" w:type="dxa"/>
            <w:vMerge w:val="restart"/>
            <w:vAlign w:val="center"/>
          </w:tcPr>
          <w:p w14:paraId="515F3217">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通知</w:t>
            </w:r>
          </w:p>
        </w:tc>
        <w:tc>
          <w:tcPr>
            <w:tcW w:w="5940" w:type="dxa"/>
            <w:vAlign w:val="center"/>
          </w:tcPr>
          <w:p w14:paraId="08BEEB05">
            <w:pPr>
              <w:spacing w:line="340" w:lineRule="exact"/>
              <w:rPr>
                <w:color w:val="000000" w:themeColor="text1"/>
                <w14:textFill>
                  <w14:solidFill>
                    <w14:schemeClr w14:val="tx1"/>
                  </w14:solidFill>
                </w14:textFill>
              </w:rPr>
            </w:pPr>
            <w:r>
              <w:rPr>
                <w:rFonts w:hint="eastAsia" w:ascii="宋体" w:hAnsi="宋体" w:cs="宋体"/>
                <w:bCs/>
                <w:color w:val="000000" w:themeColor="text1"/>
                <w:kern w:val="0"/>
                <w:szCs w:val="20"/>
                <w14:textFill>
                  <w14:solidFill>
                    <w14:schemeClr w14:val="tx1"/>
                  </w14:solidFill>
                </w14:textFill>
              </w:rPr>
              <w:t>13.1 本合同一方给另一方的通知均应采用书面形式，传真或快递送到对方的地址和办理签收手续。</w:t>
            </w:r>
          </w:p>
        </w:tc>
      </w:tr>
      <w:tr w14:paraId="7999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14:paraId="5E796BC5">
            <w:pPr>
              <w:ind w:firstLine="480" w:firstLineChars="200"/>
              <w:rPr>
                <w:bCs/>
                <w:szCs w:val="21"/>
              </w:rPr>
            </w:pPr>
          </w:p>
        </w:tc>
        <w:tc>
          <w:tcPr>
            <w:tcW w:w="1620" w:type="dxa"/>
            <w:vMerge w:val="continue"/>
            <w:vAlign w:val="center"/>
          </w:tcPr>
          <w:p w14:paraId="56441A79">
            <w:pPr>
              <w:rPr>
                <w:color w:val="000000" w:themeColor="text1"/>
                <w14:textFill>
                  <w14:solidFill>
                    <w14:schemeClr w14:val="tx1"/>
                  </w14:solidFill>
                </w14:textFill>
              </w:rPr>
            </w:pPr>
          </w:p>
        </w:tc>
        <w:tc>
          <w:tcPr>
            <w:tcW w:w="5940" w:type="dxa"/>
            <w:vAlign w:val="center"/>
          </w:tcPr>
          <w:p w14:paraId="2D445471">
            <w:pPr>
              <w:spacing w:line="340" w:lineRule="exact"/>
              <w:rPr>
                <w:color w:val="000000" w:themeColor="text1"/>
                <w14:textFill>
                  <w14:solidFill>
                    <w14:schemeClr w14:val="tx1"/>
                  </w14:solidFill>
                </w14:textFill>
              </w:rPr>
            </w:pPr>
            <w:r>
              <w:rPr>
                <w:rFonts w:hint="eastAsia" w:ascii="宋体" w:hAnsi="宋体" w:cs="宋体"/>
                <w:bCs/>
                <w:color w:val="000000" w:themeColor="text1"/>
                <w:kern w:val="0"/>
                <w:szCs w:val="20"/>
                <w14:textFill>
                  <w14:solidFill>
                    <w14:schemeClr w14:val="tx1"/>
                  </w14:solidFill>
                </w14:textFill>
              </w:rPr>
              <w:t>13.2 通知以送到之日或通知书中规定的生效之日起生效，两者中以较迟之日为准。</w:t>
            </w:r>
          </w:p>
        </w:tc>
      </w:tr>
      <w:tr w14:paraId="4050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1260" w:type="dxa"/>
            <w:vMerge w:val="restart"/>
            <w:vAlign w:val="center"/>
          </w:tcPr>
          <w:p w14:paraId="1B62EA46">
            <w:pPr>
              <w:ind w:firstLine="480" w:firstLineChars="200"/>
              <w:rPr>
                <w:bCs/>
                <w:szCs w:val="21"/>
              </w:rPr>
            </w:pPr>
            <w:r>
              <w:rPr>
                <w:rFonts w:hint="eastAsia"/>
                <w:color w:val="000000" w:themeColor="text1"/>
                <w14:textFill>
                  <w14:solidFill>
                    <w14:schemeClr w14:val="tx1"/>
                  </w14:solidFill>
                </w14:textFill>
              </w:rPr>
              <w:t>14</w:t>
            </w:r>
          </w:p>
        </w:tc>
        <w:tc>
          <w:tcPr>
            <w:tcW w:w="1620" w:type="dxa"/>
            <w:vMerge w:val="restart"/>
            <w:vAlign w:val="center"/>
          </w:tcPr>
          <w:p w14:paraId="6AB45B86">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知识产权</w:t>
            </w:r>
          </w:p>
        </w:tc>
        <w:tc>
          <w:tcPr>
            <w:tcW w:w="5940" w:type="dxa"/>
            <w:vAlign w:val="center"/>
          </w:tcPr>
          <w:p w14:paraId="501F7D6F">
            <w:r>
              <w:rPr>
                <w:rFonts w:ascii="Times New Roman" w:hAnsi="Times New Roman" w:cs="Times New Roman" w:eastAsiaTheme="majorEastAsia"/>
                <w:szCs w:val="21"/>
              </w:rPr>
              <w:t>14.1投标人应保证采购人在使用该货物或其任何一部分时免受第三方提出侵犯其专利、商标、版权等知识产权或商品名称及其他权利的起诉及索赔。若采购人因此被第三方起诉或以其它方式追究责任，投标人应赔偿因采购人被第三方索赔所引起的一切损失，包括但不限于采购人所支付的侵权损害赔偿费、律师费、诉讼费、仲裁费、办案差旅费等因应诉、沟通协调所发的一切费用。</w:t>
            </w:r>
          </w:p>
        </w:tc>
      </w:tr>
      <w:tr w14:paraId="3675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1260" w:type="dxa"/>
            <w:vMerge w:val="continue"/>
            <w:vAlign w:val="center"/>
          </w:tcPr>
          <w:p w14:paraId="64C638FA">
            <w:pPr>
              <w:spacing w:line="340" w:lineRule="exact"/>
            </w:pPr>
          </w:p>
        </w:tc>
        <w:tc>
          <w:tcPr>
            <w:tcW w:w="1620" w:type="dxa"/>
            <w:vMerge w:val="continue"/>
            <w:vAlign w:val="center"/>
          </w:tcPr>
          <w:p w14:paraId="3AC01C4D">
            <w:pPr>
              <w:spacing w:line="340" w:lineRule="exact"/>
            </w:pPr>
          </w:p>
        </w:tc>
        <w:tc>
          <w:tcPr>
            <w:tcW w:w="5940" w:type="dxa"/>
            <w:vAlign w:val="center"/>
          </w:tcPr>
          <w:p w14:paraId="5A3F2D80">
            <w:r>
              <w:rPr>
                <w:rFonts w:ascii="Times New Roman" w:hAnsi="Times New Roman" w:cs="Times New Roman" w:eastAsiaTheme="majorEastAsia"/>
                <w:szCs w:val="21"/>
              </w:rPr>
              <w:t>14.2</w:t>
            </w:r>
            <w:r>
              <w:rPr>
                <w:rFonts w:ascii="Times New Roman" w:hAnsi="Times New Roman" w:cs="Times New Roman" w:eastAsiaTheme="majorEastAsia"/>
                <w:bCs/>
                <w:kern w:val="0"/>
                <w:szCs w:val="21"/>
              </w:rPr>
              <w:t>除第三人依法享有知识产权的之外，中标人实施本项目所形成成果的知识产权归采购人所有，未经采购人许可，中标人不得随意使用</w:t>
            </w:r>
            <w:r>
              <w:rPr>
                <w:rFonts w:ascii="Times New Roman" w:hAnsi="Times New Roman" w:cs="Times New Roman" w:eastAsiaTheme="majorEastAsia"/>
                <w:kern w:val="0"/>
                <w:szCs w:val="21"/>
              </w:rPr>
              <w:t>。</w:t>
            </w:r>
          </w:p>
        </w:tc>
      </w:tr>
      <w:tr w14:paraId="414C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7AE33EA0">
            <w:pPr>
              <w:ind w:firstLine="480" w:firstLineChars="200"/>
              <w:rPr>
                <w:bCs/>
                <w:szCs w:val="21"/>
              </w:rPr>
            </w:pPr>
            <w:r>
              <w:rPr>
                <w:rFonts w:hint="eastAsia"/>
                <w:color w:val="000000" w:themeColor="text1"/>
                <w14:textFill>
                  <w14:solidFill>
                    <w14:schemeClr w14:val="tx1"/>
                  </w14:solidFill>
                </w14:textFill>
              </w:rPr>
              <w:t>15</w:t>
            </w:r>
          </w:p>
        </w:tc>
        <w:tc>
          <w:tcPr>
            <w:tcW w:w="1620" w:type="dxa"/>
            <w:vAlign w:val="center"/>
          </w:tcPr>
          <w:p w14:paraId="171513D1">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合同解除和终止</w:t>
            </w:r>
          </w:p>
        </w:tc>
        <w:tc>
          <w:tcPr>
            <w:tcW w:w="5940" w:type="dxa"/>
          </w:tcPr>
          <w:p w14:paraId="56136D02">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如果中标人未能在协议规定的限期或采购人同意延长的限期内提供部分或全部货物，采购人可向中标人发出书面的违约通知书，提出终止部份或全部协议。采购人可在任何时候出于自身的便利向中标人发出书面通知终止部分合同，采购人在合同总价中扣除该终止部分货物的价款，并不再对中标人作出额外赔偿。</w:t>
            </w:r>
          </w:p>
        </w:tc>
      </w:tr>
      <w:tr w14:paraId="52DA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14:paraId="67E146B7">
            <w:pPr>
              <w:ind w:firstLine="480" w:firstLineChars="200"/>
              <w:rPr>
                <w:bCs/>
                <w:szCs w:val="21"/>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6</w:t>
            </w:r>
          </w:p>
        </w:tc>
        <w:tc>
          <w:tcPr>
            <w:tcW w:w="1620" w:type="dxa"/>
            <w:vAlign w:val="center"/>
          </w:tcPr>
          <w:p w14:paraId="166E3A6A">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税费</w:t>
            </w:r>
          </w:p>
        </w:tc>
        <w:tc>
          <w:tcPr>
            <w:tcW w:w="5940" w:type="dxa"/>
          </w:tcPr>
          <w:p w14:paraId="2ADB32FB">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增值税专用发票。</w:t>
            </w:r>
          </w:p>
        </w:tc>
      </w:tr>
    </w:tbl>
    <w:p w14:paraId="6A0BC582">
      <w:pPr>
        <w:pStyle w:val="6"/>
        <w:spacing w:before="60" w:beforeLines="25" w:after="60" w:afterLines="25"/>
        <w:ind w:firstLine="448" w:firstLineChars="187"/>
        <w:rPr>
          <w:rFonts w:ascii="宋体" w:hAnsi="宋体"/>
          <w:szCs w:val="21"/>
        </w:rPr>
      </w:pPr>
    </w:p>
    <w:p w14:paraId="642C2E97">
      <w:pPr>
        <w:pStyle w:val="6"/>
        <w:spacing w:before="60" w:beforeLines="25" w:after="60" w:afterLines="25"/>
        <w:ind w:firstLine="448" w:firstLineChars="187"/>
        <w:rPr>
          <w:rFonts w:ascii="宋体" w:hAnsi="宋体" w:eastAsia="宋体"/>
          <w:szCs w:val="21"/>
        </w:rPr>
      </w:pPr>
    </w:p>
    <w:p w14:paraId="34A47375">
      <w:pPr>
        <w:pStyle w:val="6"/>
        <w:spacing w:before="60" w:beforeLines="25" w:after="60" w:afterLines="25"/>
        <w:ind w:firstLine="448" w:firstLineChars="187"/>
        <w:rPr>
          <w:rFonts w:ascii="宋体" w:hAnsi="宋体" w:eastAsia="宋体"/>
          <w:szCs w:val="21"/>
        </w:rPr>
      </w:pPr>
    </w:p>
    <w:p w14:paraId="5461ABBF">
      <w:pPr>
        <w:pStyle w:val="5"/>
        <w:spacing w:before="120" w:beforeLines="50" w:after="120" w:afterLines="50"/>
        <w:rPr>
          <w:sz w:val="28"/>
          <w:szCs w:val="28"/>
        </w:rPr>
      </w:pPr>
      <w:r>
        <w:rPr>
          <w:rFonts w:hint="eastAsia"/>
          <w:sz w:val="28"/>
          <w:szCs w:val="28"/>
        </w:rPr>
        <w:t>六、其他重要条款</w:t>
      </w:r>
    </w:p>
    <w:p w14:paraId="6DDA5C8E">
      <w:pPr>
        <w:ind w:firstLine="480" w:firstLineChars="200"/>
        <w:rPr>
          <w:rFonts w:ascii="宋体" w:hAnsi="宋体" w:eastAsia="宋体"/>
          <w:bCs/>
          <w:szCs w:val="21"/>
        </w:rPr>
      </w:pPr>
      <w:r>
        <w:rPr>
          <w:rFonts w:hint="eastAsia" w:ascii="宋体" w:hAnsi="宋体" w:eastAsia="宋体"/>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2ECA352A">
      <w:pPr>
        <w:pStyle w:val="6"/>
        <w:spacing w:before="60" w:beforeLines="25" w:after="60" w:afterLines="25"/>
        <w:ind w:firstLine="448" w:firstLineChars="187"/>
        <w:rPr>
          <w:rFonts w:ascii="宋体" w:hAnsi="宋体" w:eastAsia="宋体"/>
          <w:szCs w:val="21"/>
        </w:rPr>
      </w:pPr>
      <w:r>
        <w:rPr>
          <w:rFonts w:ascii="宋体" w:hAnsi="宋体" w:eastAsia="宋体"/>
          <w:bCs/>
          <w:szCs w:val="21"/>
        </w:rPr>
        <w:t>2</w:t>
      </w:r>
      <w:r>
        <w:rPr>
          <w:rFonts w:hint="eastAsia" w:ascii="宋体" w:hAnsi="宋体" w:eastAsia="宋体"/>
          <w:bCs/>
          <w:szCs w:val="21"/>
        </w:rPr>
        <w:t>、投标人应充分了解项目的位置、情况、道路及任何其它足以影响投标报价的情况，任何因忽视或误解项目情况而导致的索赔或服务期限延长申请将不获批准。</w:t>
      </w:r>
    </w:p>
    <w:p w14:paraId="0F40137A">
      <w:pPr>
        <w:ind w:firstLine="480" w:firstLineChars="200"/>
        <w:rPr>
          <w:rFonts w:ascii="宋体" w:hAnsi="宋体" w:eastAsia="宋体"/>
          <w:bCs/>
          <w:szCs w:val="21"/>
        </w:rPr>
      </w:pPr>
      <w:r>
        <w:rPr>
          <w:rFonts w:ascii="宋体" w:hAnsi="宋体" w:eastAsia="宋体"/>
          <w:bCs/>
          <w:szCs w:val="21"/>
        </w:rPr>
        <w:t>3</w:t>
      </w:r>
      <w:r>
        <w:rPr>
          <w:rFonts w:hint="eastAsia" w:ascii="宋体" w:hAnsi="宋体" w:eastAsia="宋体"/>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0B2F85EC">
      <w:pPr>
        <w:ind w:firstLine="480" w:firstLineChars="200"/>
        <w:rPr>
          <w:rFonts w:ascii="宋体" w:hAnsi="宋体" w:eastAsia="宋体"/>
          <w:bCs/>
          <w:szCs w:val="21"/>
        </w:rPr>
      </w:pPr>
      <w:r>
        <w:rPr>
          <w:rFonts w:ascii="宋体" w:hAnsi="宋体" w:eastAsia="宋体"/>
          <w:bCs/>
          <w:szCs w:val="21"/>
        </w:rPr>
        <w:t>4</w:t>
      </w:r>
      <w:r>
        <w:rPr>
          <w:rFonts w:hint="eastAsia" w:ascii="宋体" w:hAnsi="宋体" w:eastAsia="宋体"/>
          <w:bCs/>
          <w:szCs w:val="21"/>
        </w:rPr>
        <w:t>、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14:paraId="3AE2D080">
      <w:pPr>
        <w:ind w:firstLine="480" w:firstLineChars="200"/>
        <w:rPr>
          <w:rFonts w:ascii="宋体" w:hAnsi="宋体" w:eastAsia="宋体"/>
          <w:bCs/>
          <w:szCs w:val="21"/>
        </w:rPr>
      </w:pPr>
      <w:r>
        <w:rPr>
          <w:rFonts w:ascii="宋体" w:hAnsi="宋体" w:eastAsia="宋体"/>
          <w:bCs/>
          <w:szCs w:val="21"/>
        </w:rPr>
        <w:t>5</w:t>
      </w:r>
      <w:r>
        <w:rPr>
          <w:rFonts w:hint="eastAsia" w:ascii="宋体" w:hAnsi="宋体" w:eastAsia="宋体"/>
          <w:bCs/>
          <w:szCs w:val="21"/>
        </w:rPr>
        <w:t>、除政府采购合同继续履行将损害国家利益和社会公共利益外，双方当事人不得擅自变更、中止或者终止合同。</w:t>
      </w:r>
    </w:p>
    <w:p w14:paraId="2A34147C">
      <w:pPr>
        <w:ind w:firstLine="480" w:firstLineChars="200"/>
        <w:rPr>
          <w:rFonts w:ascii="宋体" w:hAnsi="宋体" w:eastAsia="宋体"/>
          <w:bCs/>
          <w:szCs w:val="21"/>
        </w:rPr>
      </w:pPr>
      <w:r>
        <w:rPr>
          <w:rFonts w:ascii="宋体" w:hAnsi="宋体" w:eastAsia="宋体"/>
          <w:bCs/>
          <w:szCs w:val="21"/>
        </w:rPr>
        <w:t>6</w:t>
      </w:r>
      <w:r>
        <w:rPr>
          <w:rFonts w:hint="eastAsia" w:ascii="宋体" w:hAnsi="宋体" w:eastAsia="宋体"/>
          <w:bCs/>
          <w:szCs w:val="21"/>
        </w:rPr>
        <w:t>、“信用中国”、“中国政府采购网”、“深圳信用网”以及“深圳市政府采购监管网”为供应商信用信息的查询渠道，相关信息以开标当日的查询结果为准。</w:t>
      </w:r>
    </w:p>
    <w:p w14:paraId="70037EED">
      <w:pPr>
        <w:rPr>
          <w:rFonts w:hint="eastAsia" w:eastAsia="宋体"/>
          <w:sz w:val="28"/>
          <w:szCs w:val="28"/>
          <w:lang w:eastAsia="zh-CN"/>
        </w:rPr>
      </w:pPr>
      <w:r>
        <w:rPr>
          <w:rFonts w:hint="eastAsia" w:eastAsia="宋体"/>
          <w:sz w:val="28"/>
          <w:szCs w:val="28"/>
          <w:lang w:eastAsia="zh-CN"/>
        </w:rPr>
        <w:br w:type="page"/>
      </w:r>
    </w:p>
    <w:p w14:paraId="5BB1DA6D">
      <w:pPr>
        <w:pStyle w:val="5"/>
        <w:spacing w:before="120" w:beforeLines="50" w:after="120" w:afterLines="50"/>
        <w:ind w:firstLine="420"/>
        <w:rPr>
          <w:sz w:val="28"/>
          <w:szCs w:val="28"/>
        </w:rPr>
      </w:pPr>
      <w:r>
        <w:rPr>
          <w:rFonts w:hint="eastAsia" w:eastAsia="宋体"/>
          <w:sz w:val="28"/>
          <w:szCs w:val="28"/>
          <w:lang w:eastAsia="zh-CN"/>
        </w:rPr>
        <w:t>七</w:t>
      </w:r>
      <w:r>
        <w:rPr>
          <w:rFonts w:hint="eastAsia"/>
          <w:sz w:val="28"/>
          <w:szCs w:val="28"/>
        </w:rPr>
        <w:t>、演示要求</w:t>
      </w:r>
    </w:p>
    <w:p w14:paraId="3078E94D">
      <w:pPr>
        <w:ind w:firstLine="480" w:firstLineChars="200"/>
        <w:rPr>
          <w:rFonts w:ascii="宋体" w:hAnsi="宋体" w:eastAsia="宋体"/>
        </w:rPr>
      </w:pPr>
      <w:r>
        <w:rPr>
          <w:rFonts w:hint="eastAsia" w:ascii="宋体" w:hAnsi="宋体" w:eastAsia="宋体"/>
        </w:rPr>
        <w:t>（一）总体要求：</w:t>
      </w:r>
    </w:p>
    <w:p w14:paraId="1F8CF5FE">
      <w:pPr>
        <w:ind w:firstLine="480" w:firstLineChars="200"/>
        <w:rPr>
          <w:rFonts w:ascii="宋体" w:hAnsi="宋体" w:eastAsia="宋体"/>
        </w:rPr>
      </w:pPr>
      <w:r>
        <w:rPr>
          <w:rFonts w:hint="eastAsia" w:ascii="宋体" w:hAnsi="宋体" w:eastAsia="宋体"/>
        </w:rPr>
        <w:t>各投标人应在招标公告规定的本项目投标截止时间前及地点参加现场演示。</w:t>
      </w:r>
    </w:p>
    <w:p w14:paraId="4CE07C82">
      <w:pPr>
        <w:ind w:firstLine="480" w:firstLineChars="200"/>
        <w:rPr>
          <w:rFonts w:ascii="宋体" w:hAnsi="宋体" w:eastAsia="宋体"/>
        </w:rPr>
      </w:pPr>
      <w:r>
        <w:rPr>
          <w:rFonts w:hint="eastAsia" w:ascii="宋体" w:hAnsi="宋体" w:eastAsia="宋体"/>
        </w:rPr>
        <w:t>演示地点提供电源、带VGA接口的液晶显示器及宽带上网环境（无WIFI环境），由投标人代表自带手提电脑、无线路由器、便携式服务器、U盘及其它能完成演示操作的设备（具体以投标人实际需要为准，但严禁携带手机等通讯工具）等进行演示。由于演示场地有限，建议勿携带过大设备进行演示。</w:t>
      </w:r>
    </w:p>
    <w:p w14:paraId="04F3757E">
      <w:pPr>
        <w:ind w:firstLine="480" w:firstLineChars="200"/>
        <w:rPr>
          <w:rFonts w:ascii="宋体" w:hAnsi="宋体" w:eastAsia="宋体"/>
        </w:rPr>
      </w:pPr>
      <w:r>
        <w:rPr>
          <w:rFonts w:hint="eastAsia" w:ascii="宋体" w:hAnsi="宋体" w:eastAsia="宋体"/>
        </w:rPr>
        <w:t>每个投标人的现场演示时间不超过</w:t>
      </w:r>
      <w:r>
        <w:rPr>
          <w:rFonts w:hint="eastAsia" w:ascii="宋体" w:hAnsi="宋体" w:eastAsia="宋体"/>
          <w:lang w:val="en-US" w:eastAsia="zh-CN"/>
        </w:rPr>
        <w:t>2</w:t>
      </w:r>
      <w:r>
        <w:rPr>
          <w:rFonts w:hint="eastAsia" w:ascii="宋体" w:hAnsi="宋体" w:eastAsia="宋体"/>
        </w:rPr>
        <w:t>0分钟（演示期间评委将进行提问，并有权酌情延长时间），现场演示人员不得超过</w:t>
      </w:r>
      <w:r>
        <w:rPr>
          <w:rFonts w:hint="eastAsia" w:ascii="宋体" w:hAnsi="宋体" w:eastAsia="宋体"/>
          <w:lang w:val="en-US" w:eastAsia="zh-CN"/>
        </w:rPr>
        <w:t>3</w:t>
      </w:r>
      <w:r>
        <w:rPr>
          <w:rFonts w:hint="eastAsia" w:ascii="宋体" w:hAnsi="宋体" w:eastAsia="宋体"/>
        </w:rPr>
        <w:t>人。</w:t>
      </w:r>
    </w:p>
    <w:p w14:paraId="5FBF7AC5">
      <w:pPr>
        <w:ind w:firstLine="480" w:firstLineChars="200"/>
        <w:rPr>
          <w:rFonts w:ascii="宋体" w:hAnsi="宋体" w:eastAsia="宋体"/>
        </w:rPr>
      </w:pPr>
      <w:r>
        <w:rPr>
          <w:rFonts w:hint="eastAsia" w:ascii="宋体" w:hAnsi="宋体" w:eastAsia="宋体"/>
        </w:rPr>
        <w:t>（二）具体程序：</w:t>
      </w:r>
    </w:p>
    <w:p w14:paraId="7F33CFC5">
      <w:pPr>
        <w:ind w:firstLine="480" w:firstLineChars="200"/>
        <w:rPr>
          <w:rFonts w:ascii="宋体" w:hAnsi="宋体" w:eastAsia="宋体"/>
        </w:rPr>
      </w:pPr>
      <w:r>
        <w:rPr>
          <w:rFonts w:hint="eastAsia" w:ascii="宋体" w:hAnsi="宋体" w:eastAsia="宋体"/>
        </w:rPr>
        <w:t>1.现场演示人员须在招标公告规定的投标截止时间前，携带法定代表人证明书</w:t>
      </w:r>
      <w:r>
        <w:rPr>
          <w:rFonts w:hint="eastAsia" w:ascii="宋体" w:hAnsi="宋体" w:eastAsia="宋体"/>
          <w:color w:val="auto"/>
        </w:rPr>
        <w:t>（盖公章）、授权委托书（盖公章）、现场演示人员的身份证原件和复印件，到达友和保险经纪有限公司</w:t>
      </w:r>
      <w:r>
        <w:rPr>
          <w:rFonts w:hint="eastAsia" w:ascii="宋体" w:hAnsi="宋体" w:eastAsia="宋体"/>
        </w:rPr>
        <w:t>，按工作人员指引进行签到。</w:t>
      </w:r>
    </w:p>
    <w:p w14:paraId="2676A7FD">
      <w:pPr>
        <w:ind w:firstLine="480" w:firstLineChars="200"/>
        <w:rPr>
          <w:rFonts w:ascii="宋体" w:hAnsi="宋体" w:eastAsia="宋体"/>
        </w:rPr>
      </w:pPr>
      <w:r>
        <w:rPr>
          <w:rFonts w:hint="eastAsia" w:ascii="宋体" w:hAnsi="宋体" w:eastAsia="宋体"/>
        </w:rPr>
        <w:t>特别注意事项：（1）资料提供不齐全的，不予签到；（2）招标公告规定的投标截止时间后，不再受理签到；（3）未签到的人员，不能参与现场演示。</w:t>
      </w:r>
    </w:p>
    <w:p w14:paraId="261764C0">
      <w:pPr>
        <w:ind w:firstLine="480" w:firstLineChars="200"/>
        <w:rPr>
          <w:rFonts w:ascii="宋体" w:hAnsi="宋体" w:eastAsia="宋体"/>
        </w:rPr>
      </w:pPr>
      <w:r>
        <w:rPr>
          <w:rFonts w:hint="eastAsia" w:ascii="宋体" w:hAnsi="宋体" w:eastAsia="宋体"/>
        </w:rPr>
        <w:t>2.招标公告规定的投标截止时间后正式进行现场演示。现场演示正式开始前将进行身份核对；核对内容为现场演示人员提供的“授权委托书（盖公章）、现场演示人员的身份证原件和复印件”。资料不齐全的人员，不得参与现场演示。</w:t>
      </w:r>
    </w:p>
    <w:p w14:paraId="75CD61CF">
      <w:pPr>
        <w:ind w:firstLine="480" w:firstLineChars="200"/>
        <w:rPr>
          <w:rFonts w:ascii="宋体" w:hAnsi="宋体" w:eastAsia="宋体"/>
        </w:rPr>
      </w:pPr>
      <w:r>
        <w:rPr>
          <w:rFonts w:hint="eastAsia" w:ascii="宋体" w:hAnsi="宋体" w:eastAsia="宋体"/>
        </w:rPr>
        <w:t>（三）其它要求：</w:t>
      </w:r>
    </w:p>
    <w:p w14:paraId="64700C8C">
      <w:pPr>
        <w:ind w:firstLine="480" w:firstLineChars="200"/>
        <w:rPr>
          <w:rFonts w:ascii="宋体" w:hAnsi="宋体" w:eastAsia="宋体"/>
        </w:rPr>
      </w:pPr>
      <w:r>
        <w:rPr>
          <w:rFonts w:hint="eastAsia" w:ascii="宋体" w:hAnsi="宋体" w:eastAsia="宋体"/>
        </w:rPr>
        <w:t>1.参加本次现场演示的各投标人，视为认可本次现场演示的程序和环境能够满足现场演示基本条件，并对本现场演示方案要求内的各项规定不做事后异议，且能够严格遵守相关规定。</w:t>
      </w:r>
    </w:p>
    <w:p w14:paraId="7116F208">
      <w:pPr>
        <w:ind w:firstLine="480" w:firstLineChars="200"/>
        <w:rPr>
          <w:rFonts w:ascii="宋体" w:hAnsi="宋体" w:eastAsia="宋体"/>
        </w:rPr>
      </w:pPr>
      <w:r>
        <w:rPr>
          <w:rFonts w:hint="eastAsia" w:ascii="宋体" w:hAnsi="宋体" w:eastAsia="宋体"/>
        </w:rPr>
        <w:t>2.现场演示在评审过程中进行。现场演示原则上按签到顺序依次进行（经评委同意，可以酌情进行调整）。一个投标人一次性现场演示完毕。一个投标人在进行现场演示时，其他投标人不得进入现场。现场演示期间，评委可视情况现场提问。</w:t>
      </w:r>
    </w:p>
    <w:p w14:paraId="159603F8">
      <w:pPr>
        <w:ind w:firstLine="480" w:firstLineChars="200"/>
        <w:rPr>
          <w:rFonts w:ascii="宋体" w:hAnsi="宋体" w:eastAsia="宋体"/>
        </w:rPr>
      </w:pPr>
      <w:r>
        <w:rPr>
          <w:rFonts w:hint="eastAsia" w:ascii="宋体" w:hAnsi="宋体" w:eastAsia="宋体"/>
        </w:rPr>
        <w:t>3.投标人对本次现场演示条件的不确定性疑虑应在现场演示开始前做书面陈述，若疑虑不能完全消除，并认为现场演示结果仍会产生误判，则可退出现场演示。</w:t>
      </w:r>
    </w:p>
    <w:p w14:paraId="753C7AD5">
      <w:pPr>
        <w:ind w:firstLine="480" w:firstLineChars="200"/>
        <w:rPr>
          <w:rFonts w:ascii="宋体" w:hAnsi="宋体" w:eastAsia="宋体"/>
        </w:rPr>
      </w:pPr>
      <w:r>
        <w:rPr>
          <w:rFonts w:hint="eastAsia" w:ascii="宋体" w:hAnsi="宋体" w:eastAsia="宋体"/>
        </w:rPr>
        <w:t>4.参加本次现场演示的各投标人，视为同意承担其演示结果不确定性的风险，即同意专家以现场演示情况的判定结论。</w:t>
      </w:r>
    </w:p>
    <w:p w14:paraId="5FFEBE4B">
      <w:pPr>
        <w:ind w:firstLine="480" w:firstLineChars="200"/>
        <w:rPr>
          <w:rFonts w:ascii="宋体" w:hAnsi="宋体" w:eastAsia="宋体"/>
        </w:rPr>
      </w:pPr>
      <w:r>
        <w:rPr>
          <w:rFonts w:hint="eastAsia" w:ascii="宋体" w:hAnsi="宋体" w:eastAsia="宋体"/>
        </w:rPr>
        <w:t>5.各项费用由投标人自理、风险自负。</w:t>
      </w:r>
    </w:p>
    <w:p w14:paraId="1A3180F6">
      <w:pPr>
        <w:ind w:firstLine="480" w:firstLineChars="200"/>
        <w:rPr>
          <w:rFonts w:ascii="宋体" w:hAnsi="宋体" w:eastAsia="宋体"/>
        </w:rPr>
      </w:pPr>
      <w:r>
        <w:rPr>
          <w:rFonts w:hint="eastAsia" w:ascii="宋体" w:hAnsi="宋体" w:eastAsia="宋体"/>
        </w:rPr>
        <w:t>（四）演示内容：</w:t>
      </w:r>
    </w:p>
    <w:p w14:paraId="59E9A7AB">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kern w:val="2"/>
        </w:rPr>
      </w:pPr>
      <w:bookmarkStart w:id="44" w:name="_Hlk86246764"/>
      <w:r>
        <w:rPr>
          <w:rFonts w:hint="eastAsia"/>
          <w:kern w:val="2"/>
        </w:rPr>
        <w:t>（1）提供所投标ROV产品海上应用视频以证明作业能力；</w:t>
      </w:r>
    </w:p>
    <w:p w14:paraId="418A9C93">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kern w:val="2"/>
        </w:rPr>
      </w:pPr>
      <w:r>
        <w:rPr>
          <w:rFonts w:hint="eastAsia"/>
          <w:kern w:val="2"/>
        </w:rPr>
        <w:t>（2）自主研发的证明文件；</w:t>
      </w:r>
    </w:p>
    <w:p w14:paraId="0E63892C">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kern w:val="2"/>
        </w:rPr>
      </w:pPr>
      <w:r>
        <w:rPr>
          <w:rFonts w:hint="eastAsia"/>
          <w:kern w:val="2"/>
        </w:rPr>
        <w:t>（3）样机照片。</w:t>
      </w:r>
      <w:r>
        <w:rPr>
          <w:rFonts w:hint="eastAsia"/>
          <w:kern w:val="2"/>
        </w:rPr>
        <w:br w:type="page"/>
      </w:r>
    </w:p>
    <w:p w14:paraId="110F78B4">
      <w:pPr>
        <w:pStyle w:val="5"/>
        <w:rPr>
          <w:kern w:val="2"/>
        </w:rPr>
      </w:pPr>
      <w:r>
        <w:rPr>
          <w:rFonts w:hint="eastAsia"/>
          <w:kern w:val="2"/>
        </w:rPr>
        <w:t>第四章 投标文件组成要求及格式</w:t>
      </w:r>
    </w:p>
    <w:p w14:paraId="0CD6108C">
      <w:pPr>
        <w:rPr>
          <w:rStyle w:val="32"/>
          <w:rFonts w:ascii="宋体" w:hAnsi="宋体" w:eastAsia="宋体"/>
          <w:sz w:val="24"/>
        </w:rPr>
      </w:pPr>
      <w:r>
        <w:rPr>
          <w:rStyle w:val="32"/>
          <w:rFonts w:hint="eastAsia" w:ascii="宋体" w:hAnsi="宋体" w:eastAsia="宋体"/>
          <w:sz w:val="24"/>
        </w:rPr>
        <w:t>特别提醒：</w:t>
      </w:r>
    </w:p>
    <w:p w14:paraId="086A7867">
      <w:pPr>
        <w:ind w:firstLine="480" w:firstLineChars="200"/>
        <w:rPr>
          <w:rFonts w:ascii="宋体" w:hAnsi="宋体" w:eastAsia="宋体"/>
        </w:rPr>
      </w:pPr>
      <w:r>
        <w:rPr>
          <w:rFonts w:hint="eastAsia" w:ascii="宋体" w:hAnsi="宋体" w:eastAsia="宋体"/>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3B3B413B">
      <w:pPr>
        <w:rPr>
          <w:rFonts w:ascii="宋体" w:hAnsi="宋体" w:eastAsia="宋体"/>
        </w:rPr>
      </w:pPr>
      <w:r>
        <w:rPr>
          <w:rFonts w:hint="eastAsia" w:ascii="宋体" w:hAnsi="宋体" w:eastAsia="宋体"/>
        </w:rPr>
        <w:t xml:space="preserve">    投标文件正文（信息公开部分）必须编制于“投标书目录”部分，投标文件附件（非信息公开部分）必须编制于“投标书附件”部分，如下图所示。</w:t>
      </w:r>
    </w:p>
    <w:p w14:paraId="266DC28D">
      <w:pPr>
        <w:rPr>
          <w:rFonts w:ascii="宋体" w:hAnsi="宋体" w:eastAsia="宋体" w:cs="宋体"/>
        </w:rPr>
      </w:pPr>
      <w:r>
        <w:rPr>
          <w:rFonts w:ascii="宋体" w:hAnsi="宋体" w:eastAsia="宋体"/>
        </w:rPr>
        <w:drawing>
          <wp:inline distT="0" distB="0" distL="114300" distR="114300">
            <wp:extent cx="5278755" cy="4126230"/>
            <wp:effectExtent l="0" t="0" r="17145" b="762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a:picLocks noChangeAspect="1"/>
                    </pic:cNvPicPr>
                  </pic:nvPicPr>
                  <pic:blipFill>
                    <a:blip r:embed="rId8"/>
                    <a:stretch>
                      <a:fillRect/>
                    </a:stretch>
                  </pic:blipFill>
                  <pic:spPr>
                    <a:xfrm>
                      <a:off x="0" y="0"/>
                      <a:ext cx="5278755" cy="4126230"/>
                    </a:xfrm>
                    <a:prstGeom prst="rect">
                      <a:avLst/>
                    </a:prstGeom>
                    <a:noFill/>
                    <a:ln>
                      <a:noFill/>
                    </a:ln>
                  </pic:spPr>
                </pic:pic>
              </a:graphicData>
            </a:graphic>
          </wp:inline>
        </w:drawing>
      </w:r>
    </w:p>
    <w:p w14:paraId="1DC13601">
      <w:pPr>
        <w:rPr>
          <w:rFonts w:ascii="宋体" w:hAnsi="宋体" w:eastAsia="宋体"/>
        </w:rPr>
      </w:pPr>
    </w:p>
    <w:p w14:paraId="43F4F558">
      <w:pPr>
        <w:jc w:val="center"/>
        <w:rPr>
          <w:rFonts w:ascii="宋体" w:hAnsi="宋体" w:eastAsia="宋体"/>
        </w:rPr>
      </w:pPr>
    </w:p>
    <w:p w14:paraId="55527CB0">
      <w:pPr>
        <w:ind w:firstLine="480" w:firstLineChars="200"/>
        <w:rPr>
          <w:rFonts w:ascii="宋体" w:hAnsi="宋体" w:eastAsia="宋体"/>
        </w:rPr>
      </w:pPr>
      <w:bookmarkStart w:id="45" w:name="_Hlk72257167"/>
      <w:r>
        <w:rPr>
          <w:rFonts w:hint="eastAsia" w:ascii="宋体" w:hAnsi="宋体" w:eastAsia="宋体"/>
        </w:rPr>
        <w:t>招标机构公布投标文件正文（信息公开部分）时为计算机截取信息自动公布，</w:t>
      </w:r>
      <w:r>
        <w:rPr>
          <w:rFonts w:hint="eastAsia" w:ascii="宋体" w:hAnsi="宋体" w:eastAsia="宋体"/>
          <w:b/>
          <w:bCs/>
        </w:rPr>
        <w:t>如投标人误将涉及个人隐私的信息放入投标文件正文，相关后果由投标人自负；</w:t>
      </w:r>
      <w:r>
        <w:rPr>
          <w:rFonts w:hint="eastAsia" w:ascii="宋体" w:hAnsi="宋体" w:eastAsia="宋体"/>
        </w:rPr>
        <w:t>如投标人将必须放于投标文件正文（信息公开部分）的内容放入投标文件附件（非信息公开部分），将作投标无效处理。</w:t>
      </w:r>
    </w:p>
    <w:bookmarkEnd w:id="44"/>
    <w:bookmarkEnd w:id="45"/>
    <w:p w14:paraId="48BEDF3D">
      <w:pPr>
        <w:rPr>
          <w:rFonts w:ascii="宋体" w:hAnsi="宋体" w:eastAsia="宋体"/>
        </w:rPr>
      </w:pPr>
      <w:r>
        <w:rPr>
          <w:rFonts w:ascii="宋体" w:hAnsi="宋体" w:eastAsia="宋体"/>
        </w:rPr>
        <w:br w:type="page"/>
      </w:r>
    </w:p>
    <w:p w14:paraId="3BF93345">
      <w:pPr>
        <w:outlineLvl w:val="0"/>
        <w:rPr>
          <w:rStyle w:val="32"/>
          <w:rFonts w:ascii="宋体" w:hAnsi="宋体" w:eastAsia="宋体"/>
          <w:sz w:val="28"/>
          <w:szCs w:val="28"/>
        </w:rPr>
      </w:pPr>
      <w:r>
        <w:rPr>
          <w:rStyle w:val="32"/>
          <w:rFonts w:hint="eastAsia" w:ascii="宋体" w:hAnsi="宋体" w:eastAsia="宋体"/>
          <w:sz w:val="28"/>
          <w:szCs w:val="28"/>
        </w:rPr>
        <w:t>投标文件组成：</w:t>
      </w:r>
    </w:p>
    <w:p w14:paraId="61245AC2">
      <w:pPr>
        <w:ind w:firstLine="1200" w:firstLineChars="500"/>
        <w:outlineLvl w:val="0"/>
        <w:rPr>
          <w:rFonts w:ascii="宋体" w:hAnsi="宋体" w:eastAsia="宋体"/>
        </w:rPr>
      </w:pPr>
      <w:bookmarkStart w:id="46" w:name="_Hlk72257253"/>
      <w:r>
        <w:rPr>
          <w:rFonts w:hint="eastAsia" w:ascii="宋体" w:hAnsi="宋体" w:eastAsia="宋体"/>
        </w:rPr>
        <w:t>1.投标文件正文</w:t>
      </w:r>
      <w:r>
        <w:rPr>
          <w:rFonts w:hint="eastAsia" w:ascii="宋体" w:hAnsi="宋体" w:eastAsia="宋体"/>
          <w:b/>
          <w:color w:val="FF0000"/>
        </w:rPr>
        <w:t>（信息公开部分）</w:t>
      </w:r>
      <w:r>
        <w:rPr>
          <w:rFonts w:hint="eastAsia" w:ascii="宋体" w:hAnsi="宋体" w:eastAsia="宋体"/>
        </w:rPr>
        <w:t>，主要包括以下内容：</w:t>
      </w:r>
    </w:p>
    <w:p w14:paraId="3A344E93">
      <w:pPr>
        <w:ind w:firstLine="2160" w:firstLineChars="900"/>
        <w:rPr>
          <w:rFonts w:ascii="宋体" w:hAnsi="宋体" w:eastAsia="宋体"/>
          <w:szCs w:val="21"/>
        </w:rPr>
      </w:pPr>
      <w:r>
        <w:rPr>
          <w:rFonts w:hint="eastAsia" w:ascii="宋体" w:hAnsi="宋体" w:eastAsia="宋体"/>
          <w:szCs w:val="21"/>
        </w:rPr>
        <w:t>（1）</w:t>
      </w:r>
      <w:bookmarkStart w:id="47" w:name="_Hlk72070784"/>
      <w:r>
        <w:rPr>
          <w:rFonts w:hint="eastAsia" w:ascii="宋体" w:hAnsi="宋体" w:eastAsia="宋体"/>
          <w:szCs w:val="21"/>
        </w:rPr>
        <w:t>投标函</w:t>
      </w:r>
      <w:bookmarkEnd w:id="47"/>
    </w:p>
    <w:p w14:paraId="4B669393">
      <w:pPr>
        <w:ind w:firstLine="2160" w:firstLineChars="900"/>
        <w:rPr>
          <w:rFonts w:ascii="宋体" w:hAnsi="宋体" w:eastAsia="宋体"/>
          <w:szCs w:val="21"/>
        </w:rPr>
      </w:pPr>
      <w:r>
        <w:rPr>
          <w:rFonts w:hint="eastAsia" w:ascii="宋体" w:hAnsi="宋体" w:eastAsia="宋体"/>
          <w:szCs w:val="21"/>
        </w:rPr>
        <w:t>（2）</w:t>
      </w:r>
      <w:bookmarkStart w:id="48" w:name="_Hlk72062521"/>
      <w:r>
        <w:rPr>
          <w:rFonts w:hint="eastAsia" w:ascii="宋体" w:hAnsi="宋体" w:eastAsia="宋体"/>
          <w:szCs w:val="21"/>
        </w:rPr>
        <w:t>政府采购投标及履约承诺函</w:t>
      </w:r>
      <w:bookmarkEnd w:id="48"/>
    </w:p>
    <w:p w14:paraId="40291366">
      <w:pPr>
        <w:ind w:firstLine="2160" w:firstLineChars="900"/>
        <w:rPr>
          <w:rFonts w:ascii="宋体" w:hAnsi="宋体" w:eastAsia="宋体"/>
          <w:szCs w:val="21"/>
        </w:rPr>
      </w:pPr>
      <w:r>
        <w:rPr>
          <w:rFonts w:hint="eastAsia" w:ascii="宋体" w:hAnsi="宋体" w:eastAsia="宋体"/>
          <w:szCs w:val="21"/>
        </w:rPr>
        <w:t>（3）投标人情况及资格证明文件</w:t>
      </w:r>
    </w:p>
    <w:p w14:paraId="3F8DB7AE">
      <w:pPr>
        <w:ind w:firstLine="2160" w:firstLineChars="900"/>
        <w:rPr>
          <w:rFonts w:ascii="宋体" w:hAnsi="宋体" w:eastAsia="宋体"/>
          <w:szCs w:val="21"/>
        </w:rPr>
      </w:pPr>
      <w:bookmarkStart w:id="49" w:name="_Hlk72257201"/>
      <w:r>
        <w:rPr>
          <w:rFonts w:hint="eastAsia" w:ascii="宋体" w:hAnsi="宋体" w:eastAsia="宋体"/>
          <w:szCs w:val="21"/>
        </w:rPr>
        <w:t>（4）项目详细报价</w:t>
      </w:r>
    </w:p>
    <w:p w14:paraId="4EF5B7BE">
      <w:pPr>
        <w:ind w:firstLine="2160" w:firstLineChars="900"/>
        <w:rPr>
          <w:rFonts w:ascii="宋体" w:hAnsi="宋体" w:eastAsia="宋体"/>
        </w:rPr>
      </w:pPr>
      <w:r>
        <w:rPr>
          <w:rFonts w:hint="eastAsia" w:ascii="宋体" w:hAnsi="宋体" w:eastAsia="宋体"/>
          <w:szCs w:val="21"/>
        </w:rPr>
        <w:t>（5）投标人认为需要加以说明的其他内容</w:t>
      </w:r>
    </w:p>
    <w:bookmarkEnd w:id="49"/>
    <w:p w14:paraId="6B814390">
      <w:pPr>
        <w:ind w:firstLine="1200" w:firstLineChars="500"/>
        <w:outlineLvl w:val="0"/>
        <w:rPr>
          <w:rFonts w:ascii="宋体" w:hAnsi="宋体" w:eastAsia="宋体"/>
        </w:rPr>
      </w:pPr>
      <w:r>
        <w:rPr>
          <w:rFonts w:hint="eastAsia" w:ascii="宋体" w:hAnsi="宋体" w:eastAsia="宋体"/>
        </w:rPr>
        <w:t>2.投标文件附件</w:t>
      </w:r>
      <w:r>
        <w:rPr>
          <w:rFonts w:hint="eastAsia" w:ascii="宋体" w:hAnsi="宋体" w:eastAsia="宋体"/>
          <w:b/>
          <w:color w:val="FF0000"/>
        </w:rPr>
        <w:t>（信息不公开部分）</w:t>
      </w:r>
      <w:r>
        <w:rPr>
          <w:rFonts w:hint="eastAsia" w:ascii="宋体" w:hAnsi="宋体" w:eastAsia="宋体"/>
        </w:rPr>
        <w:t>：主要包括以下内容：</w:t>
      </w:r>
    </w:p>
    <w:p w14:paraId="51DA1C19">
      <w:pPr>
        <w:ind w:firstLine="2160" w:firstLineChars="900"/>
        <w:rPr>
          <w:rFonts w:ascii="宋体" w:hAnsi="宋体" w:eastAsia="宋体"/>
          <w:szCs w:val="21"/>
        </w:rPr>
      </w:pPr>
      <w:r>
        <w:rPr>
          <w:rFonts w:hint="eastAsia" w:ascii="宋体" w:hAnsi="宋体" w:eastAsia="宋体"/>
          <w:szCs w:val="21"/>
        </w:rPr>
        <w:t>（1）法定代表人（负责人或执行事务合伙人）资格证明书</w:t>
      </w:r>
    </w:p>
    <w:p w14:paraId="07EE4D86">
      <w:pPr>
        <w:ind w:firstLine="2160" w:firstLineChars="900"/>
        <w:rPr>
          <w:rFonts w:ascii="宋体" w:hAnsi="宋体" w:eastAsia="宋体"/>
          <w:szCs w:val="21"/>
        </w:rPr>
      </w:pPr>
      <w:r>
        <w:rPr>
          <w:rFonts w:hint="eastAsia" w:ascii="宋体" w:hAnsi="宋体" w:eastAsia="宋体"/>
          <w:szCs w:val="21"/>
        </w:rPr>
        <w:t>（2）投标文件签署授权委托书</w:t>
      </w:r>
    </w:p>
    <w:p w14:paraId="2EF08FE7">
      <w:pPr>
        <w:ind w:firstLine="2160" w:firstLineChars="900"/>
        <w:rPr>
          <w:rFonts w:ascii="宋体" w:hAnsi="宋体" w:eastAsia="宋体"/>
          <w:szCs w:val="21"/>
        </w:rPr>
      </w:pPr>
      <w:r>
        <w:rPr>
          <w:rFonts w:hint="eastAsia" w:ascii="宋体" w:hAnsi="宋体" w:eastAsia="宋体"/>
          <w:szCs w:val="21"/>
        </w:rPr>
        <w:t>（3）供应商基本情况表</w:t>
      </w:r>
    </w:p>
    <w:p w14:paraId="14FC0968">
      <w:pPr>
        <w:ind w:firstLine="2160" w:firstLineChars="900"/>
        <w:rPr>
          <w:rFonts w:hint="eastAsia" w:ascii="宋体" w:hAnsi="宋体" w:eastAsia="宋体"/>
          <w:szCs w:val="21"/>
          <w:lang w:val="en-US" w:eastAsia="zh-CN"/>
        </w:rPr>
      </w:pPr>
      <w:r>
        <w:rPr>
          <w:rFonts w:hint="eastAsia" w:ascii="宋体" w:hAnsi="宋体" w:eastAsia="宋体"/>
          <w:szCs w:val="21"/>
        </w:rPr>
        <w:t>（4）供应商基本情况表</w:t>
      </w:r>
      <w:r>
        <w:rPr>
          <w:rFonts w:hint="eastAsia" w:ascii="宋体" w:hAnsi="宋体" w:eastAsia="宋体"/>
          <w:szCs w:val="21"/>
          <w:lang w:val="en-US" w:eastAsia="zh-CN"/>
        </w:rPr>
        <w:t>及附件</w:t>
      </w:r>
    </w:p>
    <w:p w14:paraId="64C78FAB">
      <w:pPr>
        <w:ind w:firstLine="2160" w:firstLineChars="900"/>
        <w:rPr>
          <w:rFonts w:hint="eastAsia" w:ascii="宋体" w:hAnsi="宋体" w:eastAsia="宋体"/>
          <w:szCs w:val="21"/>
          <w:lang w:eastAsia="zh-CN"/>
        </w:rPr>
      </w:pPr>
      <w:r>
        <w:rPr>
          <w:rFonts w:hint="eastAsia" w:ascii="宋体" w:hAnsi="宋体" w:eastAsia="宋体"/>
          <w:szCs w:val="21"/>
          <w:lang w:eastAsia="zh-CN"/>
        </w:rPr>
        <w:t>（</w:t>
      </w:r>
      <w:r>
        <w:rPr>
          <w:rFonts w:hint="eastAsia" w:ascii="宋体" w:hAnsi="宋体" w:eastAsia="宋体"/>
          <w:szCs w:val="21"/>
          <w:lang w:val="en-US" w:eastAsia="zh-CN"/>
        </w:rPr>
        <w:t>5</w:t>
      </w:r>
      <w:r>
        <w:rPr>
          <w:rFonts w:hint="eastAsia" w:ascii="宋体" w:hAnsi="宋体" w:eastAsia="宋体"/>
          <w:szCs w:val="21"/>
          <w:lang w:eastAsia="zh-CN"/>
        </w:rPr>
        <w:t>）</w:t>
      </w:r>
      <w:r>
        <w:rPr>
          <w:rFonts w:hint="eastAsia" w:ascii="宋体" w:hAnsi="宋体" w:eastAsia="宋体"/>
          <w:szCs w:val="21"/>
        </w:rPr>
        <w:t>实质性条款响应情况表</w:t>
      </w:r>
    </w:p>
    <w:p w14:paraId="51B60ADB">
      <w:pPr>
        <w:ind w:firstLine="2160" w:firstLineChars="9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6</w:t>
      </w:r>
      <w:r>
        <w:rPr>
          <w:rFonts w:hint="eastAsia" w:ascii="宋体" w:hAnsi="宋体" w:eastAsia="宋体"/>
          <w:szCs w:val="21"/>
        </w:rPr>
        <w:t>）技术要求偏离表</w:t>
      </w:r>
    </w:p>
    <w:p w14:paraId="7E5CE0E5">
      <w:pPr>
        <w:ind w:firstLine="2160" w:firstLineChars="9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7</w:t>
      </w:r>
      <w:r>
        <w:rPr>
          <w:rFonts w:hint="eastAsia" w:ascii="宋体" w:hAnsi="宋体" w:eastAsia="宋体"/>
          <w:szCs w:val="21"/>
        </w:rPr>
        <w:t>）商务要求偏离表</w:t>
      </w:r>
    </w:p>
    <w:p w14:paraId="64BCBC0A">
      <w:pPr>
        <w:ind w:firstLine="2160" w:firstLineChars="900"/>
        <w:rPr>
          <w:rFonts w:hint="eastAsia"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8</w:t>
      </w:r>
      <w:r>
        <w:rPr>
          <w:rFonts w:hint="eastAsia" w:ascii="宋体" w:hAnsi="宋体" w:eastAsia="宋体"/>
          <w:szCs w:val="21"/>
        </w:rPr>
        <w:t>）</w:t>
      </w:r>
      <w:r>
        <w:rPr>
          <w:rFonts w:hint="eastAsia" w:ascii="宋体" w:hAnsi="宋体" w:cs="宋体"/>
          <w:szCs w:val="21"/>
        </w:rPr>
        <w:t>项目分析与技术保障方案</w:t>
      </w:r>
    </w:p>
    <w:p w14:paraId="436EF0FC">
      <w:pPr>
        <w:ind w:firstLine="2160" w:firstLineChars="900"/>
        <w:rPr>
          <w:rFonts w:hint="eastAsia" w:ascii="宋体" w:hAnsi="宋体" w:cs="宋体"/>
          <w:szCs w:val="21"/>
        </w:rPr>
      </w:pPr>
      <w:r>
        <w:rPr>
          <w:rFonts w:hint="eastAsia" w:ascii="宋体" w:hAnsi="宋体" w:eastAsia="宋体"/>
          <w:szCs w:val="21"/>
          <w:lang w:eastAsia="zh-CN"/>
        </w:rPr>
        <w:t>（</w:t>
      </w:r>
      <w:r>
        <w:rPr>
          <w:rFonts w:hint="eastAsia" w:ascii="宋体" w:hAnsi="宋体" w:eastAsia="宋体"/>
          <w:szCs w:val="21"/>
          <w:lang w:val="en-US" w:eastAsia="zh-CN"/>
        </w:rPr>
        <w:t>9</w:t>
      </w:r>
      <w:r>
        <w:rPr>
          <w:rFonts w:hint="eastAsia" w:ascii="宋体" w:hAnsi="宋体" w:eastAsia="宋体"/>
          <w:szCs w:val="21"/>
          <w:lang w:eastAsia="zh-CN"/>
        </w:rPr>
        <w:t>）</w:t>
      </w:r>
      <w:r>
        <w:rPr>
          <w:rFonts w:hint="eastAsia" w:ascii="宋体" w:hAnsi="宋体" w:cs="宋体"/>
          <w:szCs w:val="21"/>
        </w:rPr>
        <w:t>安装调试保障方案</w:t>
      </w:r>
    </w:p>
    <w:p w14:paraId="73633F9A">
      <w:pPr>
        <w:ind w:firstLine="2160" w:firstLineChars="900"/>
        <w:rPr>
          <w:rFonts w:hint="eastAsia" w:ascii="宋体" w:hAnsi="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10</w:t>
      </w:r>
      <w:r>
        <w:rPr>
          <w:rFonts w:hint="eastAsia" w:ascii="宋体" w:hAnsi="宋体" w:eastAsia="宋体" w:cs="宋体"/>
          <w:szCs w:val="21"/>
          <w:lang w:eastAsia="zh-CN"/>
        </w:rPr>
        <w:t>）</w:t>
      </w:r>
      <w:r>
        <w:rPr>
          <w:rFonts w:hint="eastAsia" w:ascii="宋体" w:hAnsi="宋体"/>
          <w:szCs w:val="21"/>
        </w:rPr>
        <w:t>培训服务方案</w:t>
      </w:r>
    </w:p>
    <w:p w14:paraId="33A7265E">
      <w:pPr>
        <w:ind w:firstLine="2160" w:firstLineChars="900"/>
        <w:rPr>
          <w:rFonts w:hint="eastAsia" w:ascii="宋体" w:hAnsi="宋体" w:eastAsia="宋体"/>
          <w:szCs w:val="21"/>
          <w:lang w:eastAsia="zh-CN"/>
        </w:rPr>
      </w:pPr>
      <w:r>
        <w:rPr>
          <w:rFonts w:hint="eastAsia" w:ascii="宋体" w:hAnsi="宋体" w:eastAsia="宋体"/>
          <w:szCs w:val="21"/>
          <w:lang w:eastAsia="zh-CN"/>
        </w:rPr>
        <w:t>（</w:t>
      </w:r>
      <w:r>
        <w:rPr>
          <w:rFonts w:hint="eastAsia" w:ascii="宋体" w:hAnsi="宋体" w:eastAsia="宋体"/>
          <w:szCs w:val="21"/>
          <w:lang w:val="en-US" w:eastAsia="zh-CN"/>
        </w:rPr>
        <w:t>11</w:t>
      </w:r>
      <w:r>
        <w:rPr>
          <w:rFonts w:hint="eastAsia" w:ascii="宋体" w:hAnsi="宋体" w:eastAsia="宋体"/>
          <w:szCs w:val="21"/>
          <w:lang w:eastAsia="zh-CN"/>
        </w:rPr>
        <w:t>）</w:t>
      </w:r>
      <w:r>
        <w:rPr>
          <w:rFonts w:hint="eastAsia" w:ascii="宋体" w:hAnsi="宋体" w:cs="宋体"/>
          <w:szCs w:val="21"/>
        </w:rPr>
        <w:t>免费保修期外</w:t>
      </w:r>
      <w:r>
        <w:rPr>
          <w:rFonts w:hint="eastAsia" w:ascii="宋体" w:hAnsi="宋体"/>
          <w:szCs w:val="21"/>
        </w:rPr>
        <w:t>售后维保方案</w:t>
      </w:r>
    </w:p>
    <w:p w14:paraId="0AFDF8EA">
      <w:pPr>
        <w:ind w:firstLine="2160" w:firstLineChars="9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12</w:t>
      </w:r>
      <w:r>
        <w:rPr>
          <w:rFonts w:hint="eastAsia" w:ascii="宋体" w:hAnsi="宋体" w:eastAsia="宋体"/>
          <w:szCs w:val="21"/>
        </w:rPr>
        <w:t>）投标人认为需要加以说明的其他内容</w:t>
      </w:r>
      <w:bookmarkEnd w:id="46"/>
      <w:r>
        <w:rPr>
          <w:rFonts w:hint="eastAsia" w:ascii="宋体" w:hAnsi="宋体" w:eastAsia="宋体"/>
          <w:szCs w:val="21"/>
        </w:rPr>
        <w:t>（格式自定）</w:t>
      </w:r>
    </w:p>
    <w:p w14:paraId="1DA879C7">
      <w:pPr>
        <w:ind w:firstLine="487" w:firstLineChars="202"/>
        <w:rPr>
          <w:rFonts w:ascii="宋体" w:hAnsi="宋体" w:eastAsia="宋体"/>
          <w:b/>
          <w:szCs w:val="21"/>
        </w:rPr>
      </w:pPr>
      <w:bookmarkStart w:id="50" w:name="_Hlk72257771"/>
      <w:r>
        <w:rPr>
          <w:rFonts w:hint="eastAsia" w:ascii="宋体" w:hAnsi="宋体" w:eastAsia="宋体"/>
          <w:b/>
          <w:szCs w:val="21"/>
        </w:rPr>
        <w:t>备注：</w:t>
      </w:r>
    </w:p>
    <w:p w14:paraId="526AF8BC">
      <w:pPr>
        <w:ind w:firstLine="487" w:firstLineChars="202"/>
        <w:rPr>
          <w:rFonts w:ascii="宋体" w:hAnsi="宋体" w:eastAsia="宋体"/>
          <w:b/>
          <w:szCs w:val="21"/>
        </w:rPr>
      </w:pPr>
      <w:r>
        <w:rPr>
          <w:rFonts w:hint="eastAsia" w:ascii="宋体" w:hAnsi="宋体" w:eastAsia="宋体"/>
          <w:b/>
          <w:szCs w:val="21"/>
        </w:rPr>
        <w:t>1.本项目为网上电子投标项目，投标文件不需法人或授权委托人另行签字，无需加盖单位公章，招标文件专用条款另有规定的除外。</w:t>
      </w:r>
    </w:p>
    <w:p w14:paraId="5E5A0B11">
      <w:pPr>
        <w:ind w:firstLine="482" w:firstLineChars="200"/>
        <w:rPr>
          <w:rFonts w:ascii="宋体" w:hAnsi="宋体" w:eastAsia="宋体"/>
          <w:color w:val="FF0000"/>
        </w:rPr>
      </w:pPr>
      <w:bookmarkStart w:id="51" w:name="_Hlk72263559"/>
      <w:r>
        <w:rPr>
          <w:rFonts w:hint="eastAsia" w:ascii="宋体" w:hAnsi="宋体" w:eastAsia="宋体"/>
          <w:b/>
          <w:szCs w:val="21"/>
        </w:rPr>
        <w:t>2.关于填写“开标一览表”的说明：“开标一览表”中除“投标总价”外，其他信息不作评审依据。</w:t>
      </w:r>
      <w:bookmarkEnd w:id="50"/>
      <w:bookmarkEnd w:id="51"/>
    </w:p>
    <w:p w14:paraId="44B33CCB">
      <w:pPr>
        <w:rPr>
          <w:rFonts w:ascii="宋体" w:hAnsi="宋体" w:eastAsia="宋体"/>
          <w:color w:val="FF0000"/>
        </w:rPr>
      </w:pPr>
    </w:p>
    <w:p w14:paraId="02DE9864">
      <w:pPr>
        <w:rPr>
          <w:rFonts w:ascii="宋体" w:hAnsi="宋体" w:eastAsia="宋体"/>
          <w:color w:val="FF0000"/>
        </w:rPr>
      </w:pPr>
      <w:r>
        <w:rPr>
          <w:rFonts w:ascii="宋体" w:hAnsi="宋体" w:eastAsia="宋体"/>
          <w:color w:val="FF0000"/>
        </w:rPr>
        <w:br w:type="page"/>
      </w:r>
    </w:p>
    <w:p w14:paraId="121E71D2">
      <w:pPr>
        <w:rPr>
          <w:rFonts w:ascii="宋体" w:hAnsi="宋体" w:eastAsia="宋体"/>
          <w:color w:val="FF0000"/>
        </w:rPr>
      </w:pPr>
    </w:p>
    <w:p w14:paraId="19927B0F">
      <w:pPr>
        <w:outlineLvl w:val="1"/>
        <w:rPr>
          <w:rFonts w:ascii="宋体" w:hAnsi="宋体" w:eastAsia="宋体"/>
          <w:b/>
          <w:color w:val="FF0000"/>
          <w:sz w:val="28"/>
          <w:szCs w:val="28"/>
        </w:rPr>
      </w:pPr>
      <w:r>
        <w:rPr>
          <w:rFonts w:hint="eastAsia" w:ascii="宋体" w:hAnsi="宋体" w:eastAsia="宋体"/>
          <w:b/>
          <w:color w:val="FF0000"/>
          <w:sz w:val="28"/>
          <w:szCs w:val="28"/>
        </w:rPr>
        <w:t>投标文件正文（信息公开部分）</w:t>
      </w:r>
    </w:p>
    <w:p w14:paraId="1AB862ED">
      <w:pPr>
        <w:pStyle w:val="3"/>
        <w:jc w:val="center"/>
        <w:rPr>
          <w:b w:val="0"/>
          <w:sz w:val="24"/>
        </w:rPr>
      </w:pPr>
      <w:r>
        <w:rPr>
          <w:rFonts w:hint="eastAsia"/>
          <w:b w:val="0"/>
          <w:sz w:val="24"/>
        </w:rPr>
        <w:t>一、投标函</w:t>
      </w:r>
    </w:p>
    <w:p w14:paraId="6DCE83C0">
      <w:pPr>
        <w:spacing w:line="360" w:lineRule="auto"/>
        <w:rPr>
          <w:rFonts w:ascii="宋体" w:hAnsi="宋体" w:eastAsia="宋体"/>
          <w:szCs w:val="21"/>
        </w:rPr>
      </w:pPr>
      <w:bookmarkStart w:id="52" w:name="_Hlk72257506"/>
      <w:r>
        <w:rPr>
          <w:rFonts w:hint="eastAsia" w:ascii="宋体" w:hAnsi="宋体" w:eastAsia="宋体"/>
          <w:szCs w:val="21"/>
        </w:rPr>
        <w:t>致：</w:t>
      </w:r>
      <w:r>
        <w:rPr>
          <w:rFonts w:hint="eastAsia" w:ascii="宋体" w:hAnsi="宋体" w:eastAsia="宋体"/>
          <w:color w:val="FF0000"/>
          <w:szCs w:val="21"/>
          <w:u w:val="single"/>
        </w:rPr>
        <w:t>友和保险经纪有限公司</w:t>
      </w:r>
    </w:p>
    <w:p w14:paraId="217706FE">
      <w:pPr>
        <w:ind w:firstLine="480" w:firstLineChars="200"/>
        <w:rPr>
          <w:rFonts w:ascii="宋体" w:hAnsi="宋体" w:eastAsia="宋体"/>
          <w:szCs w:val="21"/>
        </w:rPr>
      </w:pPr>
      <w:bookmarkStart w:id="53" w:name="_Hlk73818812"/>
      <w:r>
        <w:rPr>
          <w:rFonts w:hint="eastAsia" w:ascii="宋体" w:hAnsi="宋体" w:eastAsia="宋体"/>
          <w:szCs w:val="21"/>
        </w:rPr>
        <w:t>1、根据已收到贵单位的项目编号为</w:t>
      </w:r>
      <w:r>
        <w:rPr>
          <w:rFonts w:hint="eastAsia" w:ascii="宋体" w:hAnsi="宋体" w:eastAsia="宋体"/>
          <w:szCs w:val="21"/>
          <w:u w:val="single"/>
        </w:rPr>
        <w:tab/>
      </w:r>
      <w:r>
        <w:rPr>
          <w:rFonts w:hint="eastAsia" w:ascii="宋体" w:hAnsi="宋体" w:eastAsia="宋体" w:cs="宋体"/>
          <w:color w:val="FF0000"/>
          <w:highlight w:val="yellow"/>
          <w:u w:val="single"/>
        </w:rPr>
        <w:t>SZDL2025XXXXXX</w:t>
      </w:r>
      <w:r>
        <w:rPr>
          <w:rFonts w:hint="eastAsia" w:ascii="宋体" w:hAnsi="宋体" w:eastAsia="宋体"/>
          <w:szCs w:val="21"/>
          <w:u w:val="single"/>
        </w:rPr>
        <w:tab/>
      </w:r>
      <w:r>
        <w:rPr>
          <w:rFonts w:hint="eastAsia" w:ascii="宋体" w:hAnsi="宋体" w:eastAsia="宋体"/>
          <w:szCs w:val="21"/>
        </w:rPr>
        <w:t>的</w:t>
      </w:r>
      <w:r>
        <w:rPr>
          <w:rFonts w:hint="eastAsia" w:ascii="宋体" w:hAnsi="宋体" w:eastAsia="宋体"/>
          <w:szCs w:val="21"/>
          <w:u w:val="single"/>
        </w:rPr>
        <w:t>ROV及附属配套</w:t>
      </w:r>
      <w:r>
        <w:rPr>
          <w:rFonts w:hint="eastAsia" w:ascii="宋体" w:hAnsi="宋体" w:eastAsia="宋体"/>
          <w:szCs w:val="21"/>
        </w:rPr>
        <w:t>项目的招标文件，遵照《深圳经济特区政府采购条例》和《深圳网上政府采购管理暂行办法》等有关规定，我单位经研究上述招标文件的专用条款及通用条款后，</w:t>
      </w:r>
      <w:bookmarkStart w:id="54" w:name="_Hlk72263588"/>
      <w:r>
        <w:rPr>
          <w:rFonts w:hint="eastAsia" w:ascii="宋体" w:hAnsi="宋体" w:eastAsia="宋体"/>
          <w:szCs w:val="21"/>
        </w:rPr>
        <w:t>愿意按照招标文件要求承包上述项目并修补其任何缺陷。</w:t>
      </w:r>
      <w:bookmarkEnd w:id="54"/>
    </w:p>
    <w:p w14:paraId="27CAEBD2">
      <w:pPr>
        <w:ind w:firstLine="480" w:firstLineChars="200"/>
        <w:rPr>
          <w:rFonts w:ascii="宋体" w:hAnsi="宋体" w:eastAsia="宋体"/>
          <w:szCs w:val="21"/>
        </w:rPr>
      </w:pPr>
      <w:r>
        <w:rPr>
          <w:rFonts w:ascii="宋体" w:hAnsi="宋体" w:eastAsia="宋体"/>
          <w:szCs w:val="21"/>
        </w:rPr>
        <w:t>2</w:t>
      </w:r>
      <w:r>
        <w:rPr>
          <w:rFonts w:hint="eastAsia" w:ascii="宋体" w:hAnsi="宋体" w:eastAsia="宋体"/>
          <w:szCs w:val="21"/>
        </w:rPr>
        <w:t>、</w:t>
      </w:r>
      <w:bookmarkStart w:id="55" w:name="_Hlk73819847"/>
      <w:r>
        <w:rPr>
          <w:rFonts w:hint="eastAsia" w:ascii="宋体" w:hAnsi="宋体" w:eastAsia="宋体"/>
          <w:szCs w:val="21"/>
        </w:rPr>
        <w:t>投标价格见投标书编制软件中《开标一览表》中填写的投标总价。</w:t>
      </w:r>
      <w:bookmarkEnd w:id="55"/>
    </w:p>
    <w:p w14:paraId="272956E9">
      <w:pPr>
        <w:ind w:firstLine="480" w:firstLineChars="200"/>
        <w:rPr>
          <w:rFonts w:ascii="宋体" w:hAnsi="宋体" w:eastAsia="宋体"/>
          <w:szCs w:val="21"/>
        </w:rPr>
      </w:pPr>
      <w:r>
        <w:rPr>
          <w:rFonts w:hint="eastAsia" w:ascii="宋体" w:hAnsi="宋体" w:eastAsia="宋体"/>
          <w:szCs w:val="21"/>
        </w:rPr>
        <w:t>3、如果我单位中标，我单位将按照招标文件的要求足额提交履约担保。</w:t>
      </w:r>
    </w:p>
    <w:p w14:paraId="0ED6E1FA">
      <w:pPr>
        <w:ind w:firstLine="480" w:firstLineChars="200"/>
        <w:rPr>
          <w:rFonts w:ascii="宋体" w:hAnsi="宋体" w:eastAsia="宋体"/>
          <w:szCs w:val="21"/>
        </w:rPr>
      </w:pPr>
      <w:r>
        <w:rPr>
          <w:rFonts w:hint="eastAsia" w:ascii="宋体" w:hAnsi="宋体" w:eastAsia="宋体"/>
          <w:szCs w:val="21"/>
        </w:rPr>
        <w:t>4、我单位同意所递交的投标文件在“对通用条款的补充内容”中明确的投标有效期内有效，在此期间内我单位的投标有可能中标，我方将受此约束。</w:t>
      </w:r>
    </w:p>
    <w:p w14:paraId="6ED48897">
      <w:pPr>
        <w:ind w:firstLine="480" w:firstLineChars="200"/>
        <w:rPr>
          <w:rFonts w:ascii="宋体" w:hAnsi="宋体" w:eastAsia="宋体"/>
          <w:szCs w:val="21"/>
        </w:rPr>
      </w:pPr>
      <w:r>
        <w:rPr>
          <w:rFonts w:hint="eastAsia" w:ascii="宋体" w:hAnsi="宋体" w:eastAsia="宋体"/>
          <w:szCs w:val="21"/>
        </w:rPr>
        <w:t>5、除非另外达成协议并生效，贵单位的中标通知书和本投标文件将构成合同的重要内容。</w:t>
      </w:r>
    </w:p>
    <w:p w14:paraId="657F43D7">
      <w:pPr>
        <w:ind w:firstLine="480" w:firstLineChars="200"/>
        <w:rPr>
          <w:rFonts w:ascii="宋体" w:hAnsi="宋体" w:eastAsia="宋体"/>
          <w:szCs w:val="21"/>
        </w:rPr>
      </w:pPr>
      <w:r>
        <w:rPr>
          <w:rFonts w:hint="eastAsia" w:ascii="宋体" w:hAnsi="宋体" w:eastAsia="宋体"/>
          <w:szCs w:val="21"/>
        </w:rPr>
        <w:t>6、我单位理解贵单位将不受必须接受所收到的最低报价或其它任何投标文件的约束。</w:t>
      </w:r>
      <w:bookmarkEnd w:id="53"/>
    </w:p>
    <w:p w14:paraId="1039CBEC">
      <w:pPr>
        <w:ind w:left="617" w:leftChars="257"/>
        <w:rPr>
          <w:rFonts w:ascii="宋体" w:hAnsi="宋体" w:eastAsia="宋体"/>
          <w:szCs w:val="21"/>
        </w:rPr>
      </w:pPr>
      <w:r>
        <w:rPr>
          <w:rFonts w:hint="eastAsia" w:ascii="宋体" w:hAnsi="宋体" w:eastAsia="宋体"/>
          <w:szCs w:val="21"/>
        </w:rPr>
        <w:t>投标人：</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单位地址：</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 xml:space="preserve">  </w:t>
      </w:r>
    </w:p>
    <w:p w14:paraId="7E78D3D9">
      <w:pPr>
        <w:ind w:left="617" w:leftChars="257"/>
        <w:rPr>
          <w:rFonts w:ascii="宋体" w:hAnsi="宋体" w:eastAsia="宋体"/>
          <w:szCs w:val="21"/>
          <w:u w:val="single"/>
        </w:rPr>
      </w:pPr>
      <w:r>
        <w:rPr>
          <w:rFonts w:hint="eastAsia" w:ascii="宋体" w:hAnsi="宋体" w:eastAsia="宋体"/>
          <w:szCs w:val="21"/>
        </w:rPr>
        <w:t>法定代表人（负责人或执行事务合伙人）或其委托代理人：</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p>
    <w:p w14:paraId="314AB646">
      <w:pPr>
        <w:ind w:left="617" w:leftChars="257"/>
        <w:rPr>
          <w:rFonts w:ascii="宋体" w:hAnsi="宋体" w:eastAsia="宋体"/>
          <w:szCs w:val="21"/>
          <w:u w:val="single"/>
        </w:rPr>
      </w:pPr>
      <w:r>
        <w:rPr>
          <w:rFonts w:hint="eastAsia" w:ascii="宋体" w:hAnsi="宋体" w:eastAsia="宋体"/>
          <w:szCs w:val="21"/>
        </w:rPr>
        <w:t>邮政编码：</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电话：</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p>
    <w:p w14:paraId="37655590">
      <w:pPr>
        <w:ind w:left="617" w:leftChars="257"/>
        <w:rPr>
          <w:rFonts w:ascii="宋体" w:hAnsi="宋体" w:eastAsia="宋体"/>
          <w:szCs w:val="21"/>
          <w:u w:val="single"/>
        </w:rPr>
      </w:pPr>
      <w:r>
        <w:rPr>
          <w:rFonts w:hint="eastAsia" w:ascii="宋体" w:hAnsi="宋体" w:eastAsia="宋体"/>
          <w:szCs w:val="21"/>
        </w:rPr>
        <w:t>传真：</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邮箱：</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p>
    <w:p w14:paraId="7DCE5086">
      <w:pPr>
        <w:ind w:left="617" w:leftChars="257"/>
        <w:rPr>
          <w:rFonts w:ascii="宋体" w:hAnsi="宋体" w:eastAsia="宋体"/>
          <w:szCs w:val="21"/>
        </w:rPr>
      </w:pPr>
      <w:r>
        <w:rPr>
          <w:rFonts w:hint="eastAsia" w:ascii="宋体" w:hAnsi="宋体" w:eastAsia="宋体"/>
          <w:szCs w:val="21"/>
        </w:rPr>
        <w:t>开户银行名称：</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开户银行账号：</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p>
    <w:p w14:paraId="72ECEAD7">
      <w:pPr>
        <w:ind w:left="617" w:leftChars="257"/>
        <w:rPr>
          <w:rFonts w:ascii="宋体" w:hAnsi="宋体" w:eastAsia="宋体"/>
          <w:szCs w:val="21"/>
        </w:rPr>
      </w:pPr>
      <w:r>
        <w:rPr>
          <w:rFonts w:hint="eastAsia" w:ascii="宋体" w:hAnsi="宋体" w:eastAsia="宋体"/>
          <w:szCs w:val="21"/>
        </w:rPr>
        <w:t>开户银行地址：</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开户银行电话：</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u w:val="single"/>
        </w:rPr>
        <w:tab/>
      </w:r>
    </w:p>
    <w:p w14:paraId="19563686">
      <w:pPr>
        <w:ind w:firstLine="616" w:firstLineChars="257"/>
        <w:rPr>
          <w:rFonts w:ascii="宋体" w:hAnsi="宋体" w:eastAsia="宋体"/>
        </w:rPr>
      </w:pPr>
      <w:r>
        <w:rPr>
          <w:rFonts w:hint="eastAsia" w:ascii="宋体" w:hAnsi="宋体" w:eastAsia="宋体"/>
          <w:szCs w:val="21"/>
        </w:rPr>
        <w:t>日期：</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年</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月</w:t>
      </w:r>
      <w:r>
        <w:rPr>
          <w:rFonts w:hint="eastAsia" w:ascii="宋体" w:hAnsi="宋体" w:eastAsia="宋体"/>
          <w:szCs w:val="21"/>
          <w:u w:val="single"/>
        </w:rPr>
        <w:tab/>
      </w:r>
      <w:r>
        <w:rPr>
          <w:rFonts w:hint="eastAsia" w:ascii="宋体" w:hAnsi="宋体" w:eastAsia="宋体"/>
          <w:szCs w:val="21"/>
          <w:u w:val="single"/>
        </w:rPr>
        <w:tab/>
      </w:r>
      <w:r>
        <w:rPr>
          <w:rFonts w:hint="eastAsia" w:ascii="宋体" w:hAnsi="宋体" w:eastAsia="宋体"/>
          <w:szCs w:val="21"/>
        </w:rPr>
        <w:t>日</w:t>
      </w:r>
    </w:p>
    <w:p w14:paraId="5F5F8210">
      <w:pPr>
        <w:rPr>
          <w:rFonts w:ascii="宋体" w:hAnsi="宋体" w:eastAsia="宋体"/>
        </w:rPr>
      </w:pPr>
    </w:p>
    <w:bookmarkEnd w:id="52"/>
    <w:p w14:paraId="55A23C03">
      <w:r>
        <w:rPr>
          <w:rFonts w:hint="eastAsia"/>
        </w:rPr>
        <w:br w:type="page"/>
      </w:r>
    </w:p>
    <w:p w14:paraId="5EE67F2F">
      <w:pPr>
        <w:pStyle w:val="3"/>
        <w:jc w:val="center"/>
        <w:rPr>
          <w:b w:val="0"/>
          <w:sz w:val="24"/>
        </w:rPr>
      </w:pPr>
      <w:r>
        <w:rPr>
          <w:rFonts w:hint="eastAsia"/>
          <w:b w:val="0"/>
          <w:sz w:val="24"/>
        </w:rPr>
        <w:t>二、政府采购投标及履约承诺函</w:t>
      </w:r>
    </w:p>
    <w:p w14:paraId="1B039B9E">
      <w:pPr>
        <w:rPr>
          <w:rFonts w:ascii="宋体" w:hAnsi="宋体" w:eastAsia="宋体"/>
          <w:color w:val="000000" w:themeColor="text1"/>
          <w14:textFill>
            <w14:solidFill>
              <w14:schemeClr w14:val="tx1"/>
            </w14:solidFill>
          </w14:textFill>
        </w:rPr>
      </w:pPr>
      <w:bookmarkStart w:id="56" w:name="_Hlk72257530"/>
      <w:r>
        <w:rPr>
          <w:rFonts w:hint="eastAsia" w:ascii="宋体" w:hAnsi="宋体" w:eastAsia="宋体"/>
          <w:color w:val="000000" w:themeColor="text1"/>
          <w14:textFill>
            <w14:solidFill>
              <w14:schemeClr w14:val="tx1"/>
            </w14:solidFill>
          </w14:textFill>
        </w:rPr>
        <w:t>致：</w:t>
      </w:r>
      <w:r>
        <w:rPr>
          <w:rFonts w:hint="eastAsia" w:ascii="宋体" w:hAnsi="宋体" w:eastAsia="宋体"/>
          <w:color w:val="000000" w:themeColor="text1"/>
          <w:u w:val="single"/>
          <w14:textFill>
            <w14:solidFill>
              <w14:schemeClr w14:val="tx1"/>
            </w14:solidFill>
          </w14:textFill>
        </w:rPr>
        <w:t>友和保险经纪有限公司</w:t>
      </w:r>
    </w:p>
    <w:p w14:paraId="44ADF884">
      <w:pPr>
        <w:ind w:right="-815"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我单位承诺：</w:t>
      </w:r>
    </w:p>
    <w:p w14:paraId="39B03BC4">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hint="eastAsia" w:ascii="宋体" w:hAnsi="宋体"/>
          <w:szCs w:val="21"/>
        </w:rPr>
        <w:t>我单位参与本项目所投标（响应）的货物、工程或服务，不存在侵犯知识产权的情况；已知悉并同意中标（成交）结果信息公示（公开）的内容。</w:t>
      </w:r>
    </w:p>
    <w:p w14:paraId="3BA9CF29">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w:t>
      </w:r>
      <w:r>
        <w:rPr>
          <w:rFonts w:hint="eastAsia" w:ascii="宋体" w:hAnsi="宋体"/>
          <w:szCs w:val="21"/>
        </w:rPr>
        <w:t>我单位参与该项目投标，</w:t>
      </w:r>
      <w:r>
        <w:rPr>
          <w:rFonts w:hint="eastAsia" w:ascii="宋体" w:hAnsi="宋体" w:eastAsia="宋体"/>
        </w:rPr>
        <w:t>不采用联合体投标，不使用进口产品参与投标。</w:t>
      </w:r>
    </w:p>
    <w:p w14:paraId="051584AA">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3.我单位参与本项目政府采购活动时不存在被有关部门禁止参与政府采购活动且在有效期内的情况。</w:t>
      </w:r>
    </w:p>
    <w:p w14:paraId="184403C8">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4.我单位具备《中华人民共和国政府采购法》第二十二条的条件。</w:t>
      </w:r>
    </w:p>
    <w:p w14:paraId="0AEA82FC">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5.我单位未被列入失信被执行人、重大税收违法失信主体、政府采购严重违法失信行为记录名单；不存在《深圳市财政局政府采购供应商信用信息管理办法》（深财规〔2023〕3号）列明的严重违法失信行为。</w:t>
      </w:r>
    </w:p>
    <w:p w14:paraId="1355A4DC">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我单位参与该项目投标，严格遵守政府采购相关法律，不造假，不围标、串标、陪标。我单位已清楚，如违反上述要求，投标将作无效处理，被列入不良记录名单并在网上曝光，同时将被提请政府采购主管部门给予一定年限</w:t>
      </w:r>
      <w:r>
        <w:rPr>
          <w:rFonts w:ascii="宋体" w:hAnsi="宋体" w:eastAsia="宋体"/>
          <w:color w:val="000000" w:themeColor="text1"/>
          <w14:textFill>
            <w14:solidFill>
              <w14:schemeClr w14:val="tx1"/>
            </w14:solidFill>
          </w14:textFill>
        </w:rPr>
        <w:t>内禁止参与政府采购活动或其他处罚。</w:t>
      </w:r>
    </w:p>
    <w:p w14:paraId="6D0339B8">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7.</w:t>
      </w:r>
      <w:r>
        <w:rPr>
          <w:rFonts w:hint="eastAsia" w:ascii="宋体" w:hAnsi="宋体" w:eastAsia="宋体"/>
          <w:color w:val="000000" w:themeColor="text1"/>
          <w14:textFill>
            <w14:solidFill>
              <w14:schemeClr w14:val="tx1"/>
            </w14:solidFill>
          </w14:textFill>
        </w:rPr>
        <w:t>我单位不存在“单位负责人为同一人或者存在直接控股、管理关系的不同供应商，参加同一合同项下的政府采购活动”的情形；不存在不同投标供应商法定代表人、主要经营负责人、投标授权代表人、项目负责人、主要技术人员、投标文件编制人员为同一人、属同一单位或者在同一单位缴纳社会保险的情形。</w:t>
      </w:r>
    </w:p>
    <w:p w14:paraId="275321F3">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8</w:t>
      </w:r>
      <w:r>
        <w:rPr>
          <w:rFonts w:ascii="宋体" w:hAnsi="宋体" w:eastAsia="宋体"/>
          <w:color w:val="000000" w:themeColor="text1"/>
          <w14:textFill>
            <w14:solidFill>
              <w14:schemeClr w14:val="tx1"/>
            </w14:solidFill>
          </w14:textFill>
        </w:rPr>
        <w:t>.我单位如果中标，做到守信，不偷工减料，依</w:t>
      </w:r>
      <w:r>
        <w:rPr>
          <w:rFonts w:hint="eastAsia" w:ascii="宋体" w:hAnsi="宋体" w:eastAsia="宋体"/>
          <w:color w:val="000000" w:themeColor="text1"/>
          <w14:textFill>
            <w14:solidFill>
              <w14:schemeClr w14:val="tx1"/>
            </w14:solidFill>
          </w14:textFill>
        </w:rPr>
        <w:t>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4A58E169">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9</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我单位清楚，若以</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报价太低而无法履约</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为理由放弃本项目中标资格时，愿意接受主管部门的处理处罚。若我单位中标本项目，我单位的报价明显低于其他通过符合性审查投标人的报价时，我单位清楚，本项目将成为重点监管、重点验收项目，我单位将按时保质保量完成，并全力配合有关监管、验收工作；若我单位未按上述要求履约，我单位愿意接受主管部门的处理处罚。</w:t>
      </w:r>
    </w:p>
    <w:p w14:paraId="1233B83C">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10.</w:t>
      </w:r>
      <w:r>
        <w:rPr>
          <w:rFonts w:hint="eastAsia" w:ascii="宋体" w:hAnsi="宋体" w:eastAsia="宋体"/>
          <w:color w:val="000000" w:themeColor="text1"/>
          <w14:textFill>
            <w14:solidFill>
              <w14:schemeClr w14:val="tx1"/>
            </w14:solidFill>
          </w14:textFill>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770F52E6">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1</w:t>
      </w:r>
      <w:r>
        <w:rPr>
          <w:rFonts w:hint="eastAsia" w:ascii="宋体" w:hAnsi="宋体" w:eastAsia="宋体"/>
          <w:color w:val="000000" w:themeColor="text1"/>
          <w14:textFill>
            <w14:solidFill>
              <w14:schemeClr w14:val="tx1"/>
            </w14:solidFill>
          </w14:textFill>
        </w:rPr>
        <w:t>.我单位承诺中标后项目不转包，未经采购人同意不进行分包。</w:t>
      </w:r>
    </w:p>
    <w:p w14:paraId="0CC580AF">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7FF9B7E0">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13.</w:t>
      </w:r>
      <w:r>
        <w:rPr>
          <w:rFonts w:hint="eastAsia" w:ascii="宋体" w:hAnsi="宋体" w:eastAsia="宋体"/>
          <w:color w:val="000000" w:themeColor="text1"/>
          <w14:textFill>
            <w14:solidFill>
              <w14:schemeClr w14:val="tx1"/>
            </w14:solidFill>
          </w14:textFill>
        </w:rPr>
        <w:t>我单位保证，若所投货物涉及</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财政部生态环境部关于印发节能产品政府采购品目清单的通知》（财库〔20</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号）列明的政府采购强制产品，则所投该产品符合节能产品的认证要求。</w:t>
      </w:r>
    </w:p>
    <w:p w14:paraId="4E06B327">
      <w:pPr>
        <w:pStyle w:val="6"/>
        <w:rPr>
          <w:rFonts w:ascii="宋体" w:hAnsi="宋体" w:eastAsia="宋体" w:cs="宋体"/>
          <w:color w:val="000000" w:themeColor="text1"/>
          <w:szCs w:val="24"/>
          <w14:textFill>
            <w14:solidFill>
              <w14:schemeClr w14:val="tx1"/>
            </w14:solidFill>
          </w14:textFill>
        </w:rPr>
      </w:pPr>
      <w:r>
        <w:rPr>
          <w:rFonts w:hint="eastAsia" w:ascii="宋体" w:hAnsi="宋体" w:eastAsia="宋体"/>
          <w:szCs w:val="24"/>
        </w:rPr>
        <w:t>1</w:t>
      </w:r>
      <w:r>
        <w:rPr>
          <w:rFonts w:ascii="宋体" w:hAnsi="宋体" w:eastAsia="宋体"/>
          <w:szCs w:val="24"/>
        </w:rPr>
        <w:t>4.</w:t>
      </w:r>
      <w:r>
        <w:rPr>
          <w:rFonts w:hint="eastAsia" w:ascii="宋体" w:hAnsi="宋体" w:eastAsia="宋体" w:cs="宋体"/>
          <w:color w:val="000000" w:themeColor="text1"/>
          <w:szCs w:val="24"/>
          <w14:textFill>
            <w14:solidFill>
              <w14:schemeClr w14:val="tx1"/>
            </w14:solidFill>
          </w14:textFill>
        </w:rPr>
        <w:t xml:space="preserve"> 我单位承诺未为本项目提供整体设计、规范编制或者管理、监理、检测等服务。</w:t>
      </w:r>
    </w:p>
    <w:p w14:paraId="25927638">
      <w:pPr>
        <w:pStyle w:val="6"/>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5.</w:t>
      </w:r>
      <w:r>
        <w:rPr>
          <w:rFonts w:hint="eastAsia" w:ascii="宋体" w:hAnsi="宋体" w:eastAsia="宋体" w:cs="宋体"/>
          <w:color w:val="000000" w:themeColor="text1"/>
          <w:szCs w:val="24"/>
          <w14:textFill>
            <w14:solidFill>
              <w14:schemeClr w14:val="tx1"/>
            </w14:solidFill>
          </w14:textFill>
        </w:rPr>
        <w:t>我单位承诺，参与本项目投标前三年内，未受过环境监测行政主管部门行政处罚或未有被政府相关部门（如质检部门等）、媒体通报弄虚作假等情形。</w:t>
      </w:r>
    </w:p>
    <w:p w14:paraId="086B5F2B">
      <w:pPr>
        <w:pStyle w:val="6"/>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 xml:space="preserve">16.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 </w:t>
      </w:r>
    </w:p>
    <w:p w14:paraId="5CE7959E">
      <w:pPr>
        <w:pStyle w:val="6"/>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17.我单位承诺，不同投标供应商不存在直接控股、管理关系的情形。</w:t>
      </w:r>
    </w:p>
    <w:p w14:paraId="7AF9D984">
      <w:pPr>
        <w:pStyle w:val="6"/>
        <w:rPr>
          <w:rFonts w:hint="eastAsia"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18.我单位承诺，能提供履行合同所必需的设备和专业技术能力</w:t>
      </w:r>
      <w:r>
        <w:rPr>
          <w:rFonts w:hint="eastAsia" w:ascii="宋体" w:hAnsi="宋体" w:eastAsia="宋体"/>
          <w:szCs w:val="21"/>
          <w:lang w:eastAsia="zh-CN"/>
        </w:rPr>
        <w:t>。</w:t>
      </w:r>
    </w:p>
    <w:p w14:paraId="286BD3F5">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以上承诺，如有违反，愿依照国家相关法律法规处理，并承担由此给采购人带来的损失。</w:t>
      </w:r>
    </w:p>
    <w:p w14:paraId="5A27900B">
      <w:pPr>
        <w:spacing w:before="60" w:beforeLines="25" w:after="60" w:afterLines="25"/>
        <w:ind w:firstLine="6240" w:firstLineChars="2600"/>
        <w:rPr>
          <w:rFonts w:ascii="宋体" w:hAnsi="宋体" w:eastAsia="宋体"/>
          <w:szCs w:val="21"/>
        </w:rPr>
      </w:pPr>
    </w:p>
    <w:p w14:paraId="730B4B7A">
      <w:pPr>
        <w:spacing w:before="60" w:beforeLines="25" w:after="60" w:afterLines="25"/>
        <w:jc w:val="right"/>
        <w:rPr>
          <w:rFonts w:ascii="宋体" w:hAnsi="宋体" w:eastAsia="宋体"/>
          <w:color w:val="FF0000"/>
        </w:rPr>
      </w:pPr>
      <w:r>
        <w:rPr>
          <w:rFonts w:hint="eastAsia" w:ascii="宋体" w:hAnsi="宋体" w:eastAsia="宋体"/>
          <w:color w:val="FF0000"/>
          <w:szCs w:val="21"/>
        </w:rPr>
        <w:t>投标人：</w:t>
      </w:r>
      <w:r>
        <w:rPr>
          <w:rFonts w:hint="eastAsia" w:ascii="宋体" w:hAnsi="宋体" w:eastAsia="宋体"/>
          <w:color w:val="FF0000"/>
          <w:szCs w:val="21"/>
          <w:u w:val="single"/>
        </w:rPr>
        <w:tab/>
      </w:r>
      <w:r>
        <w:rPr>
          <w:rFonts w:hint="eastAsia" w:ascii="宋体" w:hAnsi="宋体" w:eastAsia="宋体"/>
          <w:color w:val="FF0000"/>
          <w:szCs w:val="21"/>
          <w:u w:val="single"/>
        </w:rPr>
        <w:tab/>
      </w:r>
      <w:r>
        <w:rPr>
          <w:rFonts w:hint="eastAsia" w:ascii="宋体" w:hAnsi="宋体" w:eastAsia="宋体"/>
          <w:color w:val="FF0000"/>
          <w:szCs w:val="21"/>
          <w:u w:val="single"/>
        </w:rPr>
        <w:tab/>
      </w:r>
      <w:r>
        <w:rPr>
          <w:rFonts w:hint="eastAsia" w:ascii="宋体" w:hAnsi="宋体" w:eastAsia="宋体"/>
          <w:color w:val="FF0000"/>
          <w:szCs w:val="21"/>
          <w:u w:val="single"/>
        </w:rPr>
        <w:tab/>
      </w:r>
      <w:r>
        <w:rPr>
          <w:rFonts w:hint="eastAsia" w:ascii="宋体" w:hAnsi="宋体" w:eastAsia="宋体"/>
          <w:color w:val="FF0000"/>
          <w:szCs w:val="21"/>
          <w:u w:val="single"/>
        </w:rPr>
        <w:tab/>
      </w:r>
      <w:r>
        <w:rPr>
          <w:rFonts w:hint="eastAsia" w:ascii="宋体" w:hAnsi="宋体" w:eastAsia="宋体"/>
          <w:color w:val="FF0000"/>
          <w:szCs w:val="21"/>
          <w:u w:val="single"/>
        </w:rPr>
        <w:tab/>
      </w:r>
    </w:p>
    <w:p w14:paraId="7A213D4F">
      <w:pPr>
        <w:ind w:firstLine="645"/>
        <w:rPr>
          <w:rFonts w:ascii="宋体" w:hAnsi="宋体" w:eastAsia="宋体"/>
          <w:color w:val="FF0000"/>
          <w:szCs w:val="21"/>
        </w:rPr>
      </w:pPr>
      <w:r>
        <w:rPr>
          <w:rFonts w:hint="eastAsia" w:ascii="宋体" w:hAnsi="宋体" w:eastAsia="宋体"/>
          <w:color w:val="FF0000"/>
          <w:szCs w:val="21"/>
        </w:rPr>
        <w:t xml:space="preserve">                      日期：</w:t>
      </w:r>
      <w:r>
        <w:rPr>
          <w:rFonts w:hint="eastAsia" w:ascii="宋体" w:hAnsi="宋体" w:eastAsia="宋体"/>
          <w:color w:val="FF0000"/>
          <w:szCs w:val="21"/>
          <w:u w:val="single"/>
        </w:rPr>
        <w:tab/>
      </w:r>
      <w:r>
        <w:rPr>
          <w:rFonts w:hint="eastAsia" w:ascii="宋体" w:hAnsi="宋体" w:eastAsia="宋体"/>
          <w:color w:val="FF0000"/>
          <w:szCs w:val="21"/>
          <w:u w:val="single"/>
        </w:rPr>
        <w:tab/>
      </w:r>
      <w:r>
        <w:rPr>
          <w:rFonts w:hint="eastAsia" w:ascii="宋体" w:hAnsi="宋体" w:eastAsia="宋体"/>
          <w:color w:val="FF0000"/>
          <w:szCs w:val="21"/>
        </w:rPr>
        <w:t>年</w:t>
      </w:r>
      <w:r>
        <w:rPr>
          <w:rFonts w:hint="eastAsia" w:ascii="宋体" w:hAnsi="宋体" w:eastAsia="宋体"/>
          <w:color w:val="FF0000"/>
          <w:szCs w:val="21"/>
          <w:u w:val="single"/>
        </w:rPr>
        <w:tab/>
      </w:r>
      <w:r>
        <w:rPr>
          <w:rFonts w:hint="eastAsia" w:ascii="宋体" w:hAnsi="宋体" w:eastAsia="宋体"/>
          <w:color w:val="FF0000"/>
          <w:szCs w:val="21"/>
          <w:u w:val="single"/>
        </w:rPr>
        <w:tab/>
      </w:r>
      <w:r>
        <w:rPr>
          <w:rFonts w:hint="eastAsia" w:ascii="宋体" w:hAnsi="宋体" w:eastAsia="宋体"/>
          <w:color w:val="FF0000"/>
          <w:szCs w:val="21"/>
        </w:rPr>
        <w:t>月</w:t>
      </w:r>
      <w:r>
        <w:rPr>
          <w:rFonts w:hint="eastAsia" w:ascii="宋体" w:hAnsi="宋体" w:eastAsia="宋体"/>
          <w:color w:val="FF0000"/>
          <w:szCs w:val="21"/>
          <w:u w:val="single"/>
        </w:rPr>
        <w:tab/>
      </w:r>
      <w:r>
        <w:rPr>
          <w:rFonts w:hint="eastAsia" w:ascii="宋体" w:hAnsi="宋体" w:eastAsia="宋体"/>
          <w:color w:val="FF0000"/>
          <w:szCs w:val="21"/>
          <w:u w:val="single"/>
        </w:rPr>
        <w:tab/>
      </w:r>
      <w:r>
        <w:rPr>
          <w:rFonts w:hint="eastAsia" w:ascii="宋体" w:hAnsi="宋体" w:eastAsia="宋体"/>
          <w:color w:val="FF0000"/>
          <w:szCs w:val="21"/>
        </w:rPr>
        <w:t>日</w:t>
      </w:r>
    </w:p>
    <w:bookmarkEnd w:id="56"/>
    <w:p w14:paraId="53246C9B">
      <w:pPr>
        <w:rPr>
          <w:rFonts w:ascii="宋体" w:hAnsi="宋体" w:eastAsia="宋体"/>
          <w:b/>
          <w:szCs w:val="21"/>
        </w:rPr>
      </w:pPr>
    </w:p>
    <w:p w14:paraId="3E7A43A4">
      <w:pPr>
        <w:ind w:firstLine="482" w:firstLineChars="200"/>
        <w:jc w:val="center"/>
        <w:rPr>
          <w:rFonts w:ascii="宋体" w:hAnsi="宋体" w:eastAsia="宋体"/>
          <w:b/>
          <w:bCs/>
        </w:rPr>
      </w:pPr>
    </w:p>
    <w:p w14:paraId="662D1DF4">
      <w:r>
        <w:rPr>
          <w:rFonts w:hint="eastAsia"/>
        </w:rPr>
        <w:br w:type="page"/>
      </w:r>
    </w:p>
    <w:p w14:paraId="6ADC7A6C">
      <w:pPr>
        <w:pStyle w:val="3"/>
        <w:jc w:val="center"/>
        <w:rPr>
          <w:b w:val="0"/>
          <w:sz w:val="24"/>
          <w:szCs w:val="24"/>
        </w:rPr>
      </w:pPr>
      <w:r>
        <w:rPr>
          <w:rFonts w:hint="eastAsia"/>
          <w:b w:val="0"/>
          <w:sz w:val="24"/>
          <w:szCs w:val="24"/>
        </w:rPr>
        <w:t>三、投标人情况及资格证明文件</w:t>
      </w:r>
    </w:p>
    <w:p w14:paraId="2C88F2F0">
      <w:pPr>
        <w:rPr>
          <w:rFonts w:ascii="宋体" w:hAnsi="宋体" w:eastAsia="宋体"/>
          <w:b/>
          <w:bCs/>
        </w:rPr>
      </w:pPr>
    </w:p>
    <w:p w14:paraId="050721CF">
      <w:pPr>
        <w:ind w:firstLine="480" w:firstLineChars="200"/>
        <w:outlineLvl w:val="3"/>
        <w:rPr>
          <w:rFonts w:ascii="宋体" w:hAnsi="宋体" w:eastAsia="宋体"/>
          <w:bCs/>
          <w:szCs w:val="32"/>
        </w:rPr>
      </w:pPr>
      <w:bookmarkStart w:id="57" w:name="_Hlk72257590"/>
      <w:r>
        <w:rPr>
          <w:rFonts w:hint="eastAsia" w:ascii="宋体" w:hAnsi="宋体" w:eastAsia="宋体"/>
          <w:bCs/>
          <w:szCs w:val="32"/>
        </w:rPr>
        <w:t>（一）投标人资格证明文件</w:t>
      </w:r>
    </w:p>
    <w:p w14:paraId="3E9EF006">
      <w:pPr>
        <w:spacing w:before="120" w:beforeLines="50"/>
        <w:ind w:firstLine="482" w:firstLineChars="200"/>
        <w:rPr>
          <w:rFonts w:ascii="宋体" w:hAnsi="宋体" w:eastAsia="宋体"/>
          <w:b/>
          <w:bCs/>
          <w:color w:val="FF0000"/>
        </w:rPr>
      </w:pPr>
      <w:r>
        <w:rPr>
          <w:rFonts w:hint="eastAsia" w:ascii="宋体" w:hAnsi="宋体" w:eastAsia="宋体"/>
          <w:b/>
          <w:bCs/>
          <w:color w:val="FF0000"/>
        </w:rPr>
        <w:t>（特别提示：投标人须按本招标文件第一册第一章招标公告 “申请人的资格要求”（即投标人资格要求）提供相关的资格证明资料，未提供或提供不完整、不符合要求的，将作投标无效处理。）</w:t>
      </w:r>
    </w:p>
    <w:p w14:paraId="3AA1581E">
      <w:pPr>
        <w:rPr>
          <w:rFonts w:ascii="宋体" w:hAnsi="宋体" w:eastAsia="宋体"/>
          <w:b/>
          <w:bCs/>
          <w:color w:val="FF0000"/>
        </w:rPr>
      </w:pPr>
    </w:p>
    <w:p w14:paraId="2F0528A3">
      <w:pPr>
        <w:ind w:firstLine="480" w:firstLineChars="200"/>
        <w:outlineLvl w:val="3"/>
        <w:rPr>
          <w:rFonts w:ascii="宋体" w:hAnsi="宋体" w:eastAsia="宋体"/>
          <w:bCs/>
          <w:szCs w:val="32"/>
        </w:rPr>
      </w:pPr>
      <w:r>
        <w:rPr>
          <w:rFonts w:hint="eastAsia" w:ascii="宋体" w:hAnsi="宋体" w:eastAsia="宋体"/>
          <w:bCs/>
          <w:szCs w:val="32"/>
        </w:rPr>
        <w:t>（二）招标文件要求提供的证明材料等</w:t>
      </w:r>
    </w:p>
    <w:p w14:paraId="1B8B992D">
      <w:pPr>
        <w:pStyle w:val="25"/>
        <w:ind w:firstLine="0" w:firstLineChars="0"/>
      </w:pPr>
    </w:p>
    <w:p w14:paraId="72B28E8D">
      <w:pPr>
        <w:pStyle w:val="25"/>
        <w:ind w:firstLine="0" w:firstLineChars="0"/>
      </w:pPr>
    </w:p>
    <w:p w14:paraId="18F481E9">
      <w:pPr>
        <w:ind w:firstLine="480" w:firstLineChars="200"/>
        <w:outlineLvl w:val="3"/>
        <w:rPr>
          <w:rFonts w:ascii="宋体" w:hAnsi="宋体" w:eastAsia="宋体"/>
          <w:bCs/>
          <w:szCs w:val="32"/>
        </w:rPr>
      </w:pPr>
      <w:r>
        <w:rPr>
          <w:rFonts w:hint="eastAsia" w:ascii="宋体" w:hAnsi="宋体" w:eastAsia="宋体"/>
          <w:bCs/>
          <w:szCs w:val="32"/>
        </w:rPr>
        <w:t>（</w:t>
      </w:r>
      <w:r>
        <w:rPr>
          <w:rFonts w:hint="eastAsia" w:ascii="宋体" w:hAnsi="宋体" w:eastAsia="宋体"/>
          <w:bCs/>
          <w:szCs w:val="32"/>
          <w:lang w:eastAsia="zh-CN"/>
        </w:rPr>
        <w:t>三</w:t>
      </w:r>
      <w:r>
        <w:rPr>
          <w:rFonts w:hint="eastAsia" w:ascii="宋体" w:hAnsi="宋体" w:eastAsia="宋体"/>
          <w:bCs/>
          <w:szCs w:val="32"/>
        </w:rPr>
        <w:t>）</w:t>
      </w:r>
      <w:bookmarkStart w:id="58" w:name="_Hlk72257908"/>
      <w:r>
        <w:rPr>
          <w:rFonts w:hint="eastAsia" w:ascii="宋体" w:hAnsi="宋体" w:eastAsia="宋体"/>
          <w:bCs/>
          <w:szCs w:val="32"/>
        </w:rPr>
        <w:t>中小企业声明函、残疾人福利性单位声明函及监狱企业声明函</w:t>
      </w:r>
    </w:p>
    <w:bookmarkEnd w:id="57"/>
    <w:p w14:paraId="63B9417F">
      <w:pPr>
        <w:jc w:val="center"/>
        <w:rPr>
          <w:rFonts w:ascii="宋体" w:hAnsi="宋体" w:eastAsia="宋体"/>
          <w:b/>
        </w:rPr>
      </w:pPr>
    </w:p>
    <w:p w14:paraId="384DCA2B">
      <w:pPr>
        <w:spacing w:before="120" w:beforeLines="50"/>
        <w:ind w:firstLine="482" w:firstLineChars="200"/>
        <w:rPr>
          <w:rFonts w:ascii="宋体" w:hAnsi="宋体" w:eastAsia="宋体"/>
          <w:b/>
          <w:bCs/>
          <w:color w:val="FF0000"/>
        </w:rPr>
      </w:pPr>
      <w:r>
        <w:rPr>
          <w:rFonts w:hint="eastAsia" w:ascii="宋体" w:hAnsi="宋体" w:eastAsia="宋体"/>
          <w:b/>
          <w:bCs/>
          <w:color w:val="FF0000"/>
        </w:rPr>
        <w:t>注：采购人、采购代理机构、评标委员会（评审小组）在依法进行资格审查、评审过程中，发现《中小企业声明函》存在明显笔误或者含义不明确的，按照政府采购相关规定要求供应商进行澄清、说明或补正。澄清、说明或补正后符合中小企业条件的供应商，可以享受中小企业扶持政策。（参照《广东省政府采购促进中小企业发展实施细则》第十八条精神）</w:t>
      </w:r>
    </w:p>
    <w:p w14:paraId="1C8577C3">
      <w:pPr>
        <w:jc w:val="center"/>
        <w:rPr>
          <w:rFonts w:ascii="宋体" w:hAnsi="宋体" w:eastAsia="宋体"/>
          <w:b/>
        </w:rPr>
      </w:pPr>
    </w:p>
    <w:p w14:paraId="37A88E14">
      <w:pPr>
        <w:jc w:val="center"/>
        <w:rPr>
          <w:rFonts w:ascii="宋体" w:hAnsi="宋体" w:eastAsia="宋体"/>
          <w:b/>
        </w:rPr>
      </w:pPr>
      <w:r>
        <w:rPr>
          <w:rFonts w:hint="eastAsia" w:ascii="宋体" w:hAnsi="宋体" w:eastAsia="宋体"/>
          <w:b/>
        </w:rPr>
        <w:t>1、</w:t>
      </w:r>
      <w:r>
        <w:rPr>
          <w:rFonts w:ascii="宋体" w:hAnsi="宋体" w:eastAsia="宋体"/>
          <w:b/>
        </w:rPr>
        <w:t xml:space="preserve">中小企业声明函（货物） </w:t>
      </w:r>
    </w:p>
    <w:p w14:paraId="218510BD">
      <w:pPr>
        <w:ind w:firstLine="480" w:firstLineChars="200"/>
        <w:rPr>
          <w:rFonts w:ascii="宋体" w:hAnsi="宋体" w:eastAsia="宋体"/>
          <w:szCs w:val="21"/>
        </w:rPr>
      </w:pPr>
      <w:r>
        <w:rPr>
          <w:rFonts w:ascii="宋体" w:hAnsi="宋体" w:eastAsia="宋体"/>
          <w:szCs w:val="21"/>
        </w:rPr>
        <w:t>本</w:t>
      </w:r>
      <w:r>
        <w:rPr>
          <w:rFonts w:hint="eastAsia" w:ascii="宋体" w:hAnsi="宋体" w:eastAsia="宋体"/>
          <w:szCs w:val="21"/>
        </w:rPr>
        <w:t>投标人</w:t>
      </w:r>
      <w:r>
        <w:rPr>
          <w:rFonts w:ascii="宋体" w:hAnsi="宋体" w:eastAsia="宋体"/>
          <w:szCs w:val="21"/>
        </w:rPr>
        <w:t>郑重声明，根据《政府采购促进中小企业发展管理办法》（财库</w:t>
      </w:r>
      <w:r>
        <w:rPr>
          <w:rFonts w:hint="eastAsia" w:ascii="宋体" w:hAnsi="宋体" w:eastAsia="宋体" w:cs="微软雅黑"/>
          <w:szCs w:val="21"/>
        </w:rPr>
        <w:t>﹝</w:t>
      </w:r>
      <w:r>
        <w:rPr>
          <w:rFonts w:ascii="宋体" w:hAnsi="宋体" w:eastAsia="宋体"/>
          <w:szCs w:val="21"/>
        </w:rPr>
        <w:t>2020</w:t>
      </w:r>
      <w:r>
        <w:rPr>
          <w:rFonts w:hint="eastAsia" w:ascii="宋体" w:hAnsi="宋体" w:eastAsia="宋体" w:cs="微软雅黑"/>
          <w:szCs w:val="21"/>
        </w:rPr>
        <w:t>﹞</w:t>
      </w:r>
      <w:r>
        <w:rPr>
          <w:rFonts w:ascii="宋体" w:hAnsi="宋体" w:eastAsia="宋体"/>
          <w:szCs w:val="21"/>
        </w:rPr>
        <w:t>46 号）的规定，本</w:t>
      </w:r>
      <w:r>
        <w:rPr>
          <w:rFonts w:hint="eastAsia" w:ascii="宋体" w:hAnsi="宋体" w:eastAsia="宋体"/>
          <w:szCs w:val="21"/>
        </w:rPr>
        <w:t>投标人</w:t>
      </w:r>
      <w:r>
        <w:rPr>
          <w:rFonts w:ascii="宋体" w:hAnsi="宋体" w:eastAsia="宋体"/>
          <w:szCs w:val="21"/>
        </w:rPr>
        <w:t>参加</w:t>
      </w:r>
      <w:r>
        <w:rPr>
          <w:rFonts w:ascii="宋体" w:hAnsi="宋体" w:eastAsia="宋体"/>
          <w:b/>
          <w:bCs/>
          <w:szCs w:val="21"/>
          <w:u w:val="single"/>
        </w:rPr>
        <w:t>（</w:t>
      </w:r>
      <w:r>
        <w:rPr>
          <w:rFonts w:hint="eastAsia" w:ascii="宋体" w:hAnsi="宋体" w:eastAsia="宋体"/>
          <w:b/>
          <w:bCs/>
          <w:szCs w:val="21"/>
          <w:u w:val="single"/>
        </w:rPr>
        <w:t>采购人</w:t>
      </w:r>
      <w:r>
        <w:rPr>
          <w:rFonts w:ascii="宋体" w:hAnsi="宋体" w:eastAsia="宋体"/>
          <w:b/>
          <w:bCs/>
          <w:szCs w:val="21"/>
          <w:u w:val="single"/>
        </w:rPr>
        <w:t>名称）</w:t>
      </w:r>
      <w:r>
        <w:rPr>
          <w:rFonts w:ascii="宋体" w:hAnsi="宋体" w:eastAsia="宋体"/>
          <w:szCs w:val="21"/>
        </w:rPr>
        <w:t>的</w:t>
      </w:r>
      <w:r>
        <w:rPr>
          <w:rFonts w:ascii="宋体" w:hAnsi="宋体" w:eastAsia="宋体"/>
          <w:b/>
          <w:bCs/>
          <w:szCs w:val="21"/>
          <w:u w:val="single"/>
        </w:rPr>
        <w:t>（</w:t>
      </w:r>
      <w:r>
        <w:rPr>
          <w:rFonts w:hint="eastAsia" w:ascii="宋体" w:hAnsi="宋体" w:eastAsia="宋体"/>
          <w:b/>
          <w:bCs/>
          <w:szCs w:val="21"/>
          <w:u w:val="single"/>
        </w:rPr>
        <w:t>ROV及附属配套</w:t>
      </w:r>
      <w:r>
        <w:rPr>
          <w:rFonts w:ascii="宋体" w:hAnsi="宋体" w:eastAsia="宋体"/>
          <w:b/>
          <w:bCs/>
          <w:szCs w:val="21"/>
          <w:u w:val="single"/>
        </w:rPr>
        <w:t>）</w:t>
      </w:r>
      <w:r>
        <w:rPr>
          <w:rFonts w:ascii="宋体" w:hAnsi="宋体" w:eastAsia="宋体"/>
          <w:szCs w:val="21"/>
        </w:rPr>
        <w:t>采购活动，提供的货物全部由符合政策要求的中小企业制造。相关企业的具体情况如下：</w:t>
      </w:r>
    </w:p>
    <w:p w14:paraId="1A2C5441">
      <w:pPr>
        <w:ind w:firstLine="480" w:firstLineChars="200"/>
        <w:rPr>
          <w:rFonts w:ascii="宋体" w:hAnsi="宋体" w:eastAsia="宋体"/>
          <w:szCs w:val="21"/>
        </w:rPr>
      </w:pPr>
      <w:r>
        <w:rPr>
          <w:rFonts w:ascii="宋体" w:hAnsi="宋体" w:eastAsia="宋体"/>
          <w:szCs w:val="21"/>
        </w:rPr>
        <w:t>1.</w:t>
      </w:r>
      <w:r>
        <w:rPr>
          <w:rFonts w:ascii="宋体" w:hAnsi="宋体" w:eastAsia="宋体"/>
          <w:b/>
          <w:bCs/>
          <w:szCs w:val="21"/>
          <w:u w:val="single"/>
        </w:rPr>
        <w:t xml:space="preserve"> （</w:t>
      </w:r>
      <w:r>
        <w:rPr>
          <w:rFonts w:hint="eastAsia" w:ascii="宋体" w:hAnsi="宋体" w:eastAsia="宋体"/>
          <w:b/>
          <w:bCs/>
          <w:szCs w:val="21"/>
          <w:u w:val="single"/>
        </w:rPr>
        <w:t>千米级深海ROV主体</w:t>
      </w:r>
      <w:r>
        <w:rPr>
          <w:rFonts w:ascii="宋体" w:hAnsi="宋体" w:eastAsia="宋体"/>
          <w:b/>
          <w:bCs/>
          <w:szCs w:val="21"/>
          <w:u w:val="single"/>
        </w:rPr>
        <w:t>）</w:t>
      </w:r>
      <w:r>
        <w:rPr>
          <w:rFonts w:ascii="宋体" w:hAnsi="宋体" w:eastAsia="宋体"/>
          <w:szCs w:val="21"/>
        </w:rPr>
        <w:t xml:space="preserve"> ，属于</w:t>
      </w:r>
      <w:r>
        <w:rPr>
          <w:rFonts w:hint="eastAsia" w:ascii="宋体" w:hAnsi="宋体" w:eastAsia="宋体"/>
          <w:b/>
          <w:bCs/>
          <w:szCs w:val="21"/>
          <w:u w:val="single"/>
          <w:lang w:val="en-US" w:eastAsia="zh-CN"/>
        </w:rPr>
        <w:t>工业</w:t>
      </w:r>
      <w:r>
        <w:rPr>
          <w:rFonts w:ascii="宋体" w:hAnsi="宋体" w:eastAsia="宋体"/>
          <w:b/>
          <w:bCs/>
          <w:szCs w:val="21"/>
          <w:u w:val="single"/>
        </w:rPr>
        <w:t xml:space="preserve"> </w:t>
      </w:r>
      <w:r>
        <w:rPr>
          <w:rFonts w:ascii="宋体" w:hAnsi="宋体" w:eastAsia="宋体"/>
          <w:szCs w:val="21"/>
        </w:rPr>
        <w:t>；制造商为</w:t>
      </w:r>
      <w:r>
        <w:rPr>
          <w:rFonts w:ascii="宋体" w:hAnsi="宋体" w:eastAsia="宋体"/>
          <w:b/>
          <w:bCs/>
          <w:szCs w:val="21"/>
          <w:u w:val="single"/>
        </w:rPr>
        <w:t>（企业名称）</w:t>
      </w:r>
      <w:r>
        <w:rPr>
          <w:rFonts w:ascii="宋体" w:hAnsi="宋体" w:eastAsia="宋体"/>
          <w:szCs w:val="21"/>
        </w:rPr>
        <w:t>，从业人员</w:t>
      </w:r>
      <w:r>
        <w:rPr>
          <w:rFonts w:hint="eastAsia" w:ascii="宋体" w:hAnsi="宋体" w:eastAsia="宋体"/>
          <w:szCs w:val="21"/>
          <w:u w:val="single"/>
        </w:rPr>
        <w:t xml:space="preserve">   </w:t>
      </w:r>
      <w:r>
        <w:rPr>
          <w:rFonts w:ascii="宋体" w:hAnsi="宋体" w:eastAsia="宋体"/>
          <w:szCs w:val="21"/>
        </w:rPr>
        <w:t>人，营业收入为</w:t>
      </w:r>
      <w:r>
        <w:rPr>
          <w:rFonts w:hint="eastAsia" w:ascii="宋体" w:hAnsi="宋体" w:eastAsia="宋体"/>
          <w:szCs w:val="21"/>
          <w:u w:val="single"/>
        </w:rPr>
        <w:t xml:space="preserve">   </w:t>
      </w:r>
      <w:r>
        <w:rPr>
          <w:rFonts w:ascii="宋体" w:hAnsi="宋体" w:eastAsia="宋体"/>
          <w:szCs w:val="21"/>
        </w:rPr>
        <w:t>万元，资产总额为</w:t>
      </w:r>
      <w:r>
        <w:rPr>
          <w:rFonts w:hint="eastAsia" w:ascii="宋体" w:hAnsi="宋体" w:eastAsia="宋体"/>
          <w:szCs w:val="21"/>
          <w:u w:val="single"/>
        </w:rPr>
        <w:t xml:space="preserve">   </w:t>
      </w:r>
      <w:r>
        <w:rPr>
          <w:rFonts w:ascii="宋体" w:hAnsi="宋体" w:eastAsia="宋体"/>
          <w:szCs w:val="21"/>
        </w:rPr>
        <w:t>万元 ，属于</w:t>
      </w:r>
      <w:r>
        <w:rPr>
          <w:rFonts w:ascii="宋体" w:hAnsi="宋体" w:eastAsia="宋体"/>
          <w:b/>
          <w:bCs/>
          <w:szCs w:val="21"/>
          <w:u w:val="single"/>
        </w:rPr>
        <w:t>（中型企业、小型企业、微型企业）</w:t>
      </w:r>
      <w:r>
        <w:rPr>
          <w:rFonts w:ascii="宋体" w:hAnsi="宋体" w:eastAsia="宋体"/>
          <w:szCs w:val="21"/>
        </w:rPr>
        <w:t xml:space="preserve">； </w:t>
      </w:r>
    </w:p>
    <w:p w14:paraId="031013C6">
      <w:pPr>
        <w:ind w:firstLine="480" w:firstLineChars="200"/>
        <w:rPr>
          <w:rFonts w:ascii="宋体" w:hAnsi="宋体" w:eastAsia="宋体"/>
          <w:szCs w:val="21"/>
          <w:u w:val="single"/>
        </w:rPr>
      </w:pPr>
      <w:r>
        <w:rPr>
          <w:rFonts w:ascii="宋体" w:hAnsi="宋体" w:eastAsia="宋体"/>
          <w:szCs w:val="21"/>
        </w:rPr>
        <w:t>2.</w:t>
      </w:r>
      <w:r>
        <w:rPr>
          <w:rFonts w:ascii="宋体" w:hAnsi="宋体" w:eastAsia="宋体"/>
          <w:b/>
          <w:bCs/>
          <w:szCs w:val="21"/>
          <w:u w:val="single"/>
        </w:rPr>
        <w:t xml:space="preserve"> （</w:t>
      </w:r>
      <w:r>
        <w:rPr>
          <w:rFonts w:hint="eastAsia" w:ascii="宋体" w:hAnsi="宋体" w:eastAsia="宋体"/>
          <w:b/>
          <w:bCs/>
          <w:szCs w:val="21"/>
          <w:u w:val="single"/>
        </w:rPr>
        <w:t>深海多功能机械臂</w:t>
      </w:r>
      <w:r>
        <w:rPr>
          <w:rFonts w:ascii="宋体" w:hAnsi="宋体" w:eastAsia="宋体"/>
          <w:b/>
          <w:bCs/>
          <w:szCs w:val="21"/>
          <w:u w:val="single"/>
        </w:rPr>
        <w:t>）</w:t>
      </w:r>
      <w:r>
        <w:rPr>
          <w:rFonts w:ascii="宋体" w:hAnsi="宋体" w:eastAsia="宋体"/>
          <w:szCs w:val="21"/>
        </w:rPr>
        <w:t xml:space="preserve"> ，属于</w:t>
      </w:r>
      <w:r>
        <w:rPr>
          <w:rFonts w:hint="eastAsia" w:ascii="宋体" w:hAnsi="宋体" w:eastAsia="宋体"/>
          <w:b/>
          <w:bCs/>
          <w:szCs w:val="21"/>
          <w:u w:val="single"/>
          <w:lang w:val="en-US" w:eastAsia="zh-CN"/>
        </w:rPr>
        <w:t>工业</w:t>
      </w:r>
      <w:r>
        <w:rPr>
          <w:rFonts w:ascii="宋体" w:hAnsi="宋体" w:eastAsia="宋体"/>
          <w:szCs w:val="21"/>
        </w:rPr>
        <w:t>；制造商为</w:t>
      </w:r>
      <w:r>
        <w:rPr>
          <w:rFonts w:ascii="宋体" w:hAnsi="宋体" w:eastAsia="宋体"/>
          <w:b/>
          <w:bCs/>
          <w:szCs w:val="21"/>
          <w:u w:val="single"/>
        </w:rPr>
        <w:t>（企业名称）</w:t>
      </w:r>
      <w:r>
        <w:rPr>
          <w:rFonts w:ascii="宋体" w:hAnsi="宋体" w:eastAsia="宋体"/>
          <w:szCs w:val="21"/>
        </w:rPr>
        <w:t>，从业人员</w:t>
      </w:r>
      <w:r>
        <w:rPr>
          <w:rFonts w:hint="eastAsia" w:ascii="宋体" w:hAnsi="宋体" w:eastAsia="宋体"/>
          <w:szCs w:val="21"/>
          <w:u w:val="single"/>
        </w:rPr>
        <w:t xml:space="preserve">   </w:t>
      </w:r>
      <w:r>
        <w:rPr>
          <w:rFonts w:ascii="宋体" w:hAnsi="宋体" w:eastAsia="宋体"/>
          <w:szCs w:val="21"/>
        </w:rPr>
        <w:t>人，营业收入为</w:t>
      </w:r>
      <w:r>
        <w:rPr>
          <w:rFonts w:hint="eastAsia" w:ascii="宋体" w:hAnsi="宋体" w:eastAsia="宋体"/>
          <w:szCs w:val="21"/>
          <w:u w:val="single"/>
        </w:rPr>
        <w:t xml:space="preserve">   </w:t>
      </w:r>
      <w:r>
        <w:rPr>
          <w:rFonts w:ascii="宋体" w:hAnsi="宋体" w:eastAsia="宋体"/>
          <w:szCs w:val="21"/>
        </w:rPr>
        <w:t>万元，资产总额为</w:t>
      </w:r>
      <w:r>
        <w:rPr>
          <w:rFonts w:hint="eastAsia" w:ascii="宋体" w:hAnsi="宋体" w:eastAsia="宋体"/>
          <w:szCs w:val="21"/>
          <w:u w:val="single"/>
        </w:rPr>
        <w:t xml:space="preserve">   </w:t>
      </w:r>
      <w:r>
        <w:rPr>
          <w:rFonts w:ascii="宋体" w:hAnsi="宋体" w:eastAsia="宋体"/>
          <w:szCs w:val="21"/>
        </w:rPr>
        <w:t>万元 ，属于</w:t>
      </w:r>
      <w:r>
        <w:rPr>
          <w:rFonts w:ascii="宋体" w:hAnsi="宋体" w:eastAsia="宋体"/>
          <w:b/>
          <w:bCs/>
          <w:szCs w:val="21"/>
          <w:u w:val="single"/>
        </w:rPr>
        <w:t>（中型企业、小型企业、微型企业）</w:t>
      </w:r>
      <w:r>
        <w:rPr>
          <w:rFonts w:hint="eastAsia" w:ascii="宋体" w:hAnsi="宋体" w:eastAsia="宋体"/>
          <w:szCs w:val="21"/>
        </w:rPr>
        <w:t>；</w:t>
      </w:r>
    </w:p>
    <w:p w14:paraId="2DA9A6FC">
      <w:pPr>
        <w:ind w:firstLine="480" w:firstLineChars="200"/>
        <w:rPr>
          <w:rFonts w:ascii="宋体" w:hAnsi="宋体" w:eastAsia="宋体"/>
          <w:szCs w:val="21"/>
          <w:u w:val="single"/>
        </w:rPr>
      </w:pPr>
      <w:r>
        <w:rPr>
          <w:rFonts w:hint="eastAsia" w:ascii="宋体" w:hAnsi="宋体" w:eastAsia="宋体"/>
          <w:szCs w:val="21"/>
          <w:lang w:val="en-US" w:eastAsia="zh-CN"/>
        </w:rPr>
        <w:t>3</w:t>
      </w:r>
      <w:r>
        <w:rPr>
          <w:rFonts w:ascii="宋体" w:hAnsi="宋体" w:eastAsia="宋体"/>
          <w:szCs w:val="21"/>
        </w:rPr>
        <w:t>.</w:t>
      </w:r>
      <w:r>
        <w:rPr>
          <w:rFonts w:ascii="宋体" w:hAnsi="宋体" w:eastAsia="宋体"/>
          <w:b/>
          <w:bCs/>
          <w:szCs w:val="21"/>
          <w:u w:val="single"/>
        </w:rPr>
        <w:t xml:space="preserve"> （</w:t>
      </w:r>
      <w:r>
        <w:rPr>
          <w:rFonts w:hint="eastAsia" w:ascii="宋体" w:hAnsi="宋体" w:eastAsia="宋体"/>
          <w:b/>
          <w:bCs/>
          <w:szCs w:val="21"/>
          <w:u w:val="single"/>
        </w:rPr>
        <w:t>控制系统</w:t>
      </w:r>
      <w:r>
        <w:rPr>
          <w:rFonts w:ascii="宋体" w:hAnsi="宋体" w:eastAsia="宋体"/>
          <w:b/>
          <w:bCs/>
          <w:szCs w:val="21"/>
          <w:u w:val="single"/>
        </w:rPr>
        <w:t>）</w:t>
      </w:r>
      <w:r>
        <w:rPr>
          <w:rFonts w:ascii="宋体" w:hAnsi="宋体" w:eastAsia="宋体"/>
          <w:szCs w:val="21"/>
        </w:rPr>
        <w:t xml:space="preserve"> ，属于</w:t>
      </w:r>
      <w:r>
        <w:rPr>
          <w:rFonts w:hint="eastAsia" w:ascii="宋体" w:hAnsi="宋体" w:eastAsia="宋体"/>
          <w:b/>
          <w:bCs/>
          <w:szCs w:val="21"/>
          <w:u w:val="single"/>
          <w:lang w:val="en-US" w:eastAsia="zh-CN"/>
        </w:rPr>
        <w:t>工业</w:t>
      </w:r>
      <w:r>
        <w:rPr>
          <w:rFonts w:ascii="宋体" w:hAnsi="宋体" w:eastAsia="宋体"/>
          <w:szCs w:val="21"/>
        </w:rPr>
        <w:t>；制造商为</w:t>
      </w:r>
      <w:r>
        <w:rPr>
          <w:rFonts w:ascii="宋体" w:hAnsi="宋体" w:eastAsia="宋体"/>
          <w:b/>
          <w:bCs/>
          <w:szCs w:val="21"/>
          <w:u w:val="single"/>
        </w:rPr>
        <w:t>（企业名称）</w:t>
      </w:r>
      <w:r>
        <w:rPr>
          <w:rFonts w:ascii="宋体" w:hAnsi="宋体" w:eastAsia="宋体"/>
          <w:szCs w:val="21"/>
        </w:rPr>
        <w:t>，从业人员</w:t>
      </w:r>
      <w:r>
        <w:rPr>
          <w:rFonts w:hint="eastAsia" w:ascii="宋体" w:hAnsi="宋体" w:eastAsia="宋体"/>
          <w:szCs w:val="21"/>
          <w:u w:val="single"/>
        </w:rPr>
        <w:t xml:space="preserve">   </w:t>
      </w:r>
      <w:r>
        <w:rPr>
          <w:rFonts w:ascii="宋体" w:hAnsi="宋体" w:eastAsia="宋体"/>
          <w:szCs w:val="21"/>
        </w:rPr>
        <w:t>人，营业收入为</w:t>
      </w:r>
      <w:r>
        <w:rPr>
          <w:rFonts w:hint="eastAsia" w:ascii="宋体" w:hAnsi="宋体" w:eastAsia="宋体"/>
          <w:szCs w:val="21"/>
          <w:u w:val="single"/>
        </w:rPr>
        <w:t xml:space="preserve">   </w:t>
      </w:r>
      <w:r>
        <w:rPr>
          <w:rFonts w:ascii="宋体" w:hAnsi="宋体" w:eastAsia="宋体"/>
          <w:szCs w:val="21"/>
        </w:rPr>
        <w:t>万元，资产总额为</w:t>
      </w:r>
      <w:r>
        <w:rPr>
          <w:rFonts w:hint="eastAsia" w:ascii="宋体" w:hAnsi="宋体" w:eastAsia="宋体"/>
          <w:szCs w:val="21"/>
          <w:u w:val="single"/>
        </w:rPr>
        <w:t xml:space="preserve">   </w:t>
      </w:r>
      <w:r>
        <w:rPr>
          <w:rFonts w:ascii="宋体" w:hAnsi="宋体" w:eastAsia="宋体"/>
          <w:szCs w:val="21"/>
        </w:rPr>
        <w:t>万元 ，属于</w:t>
      </w:r>
      <w:r>
        <w:rPr>
          <w:rFonts w:ascii="宋体" w:hAnsi="宋体" w:eastAsia="宋体"/>
          <w:b/>
          <w:bCs/>
          <w:szCs w:val="21"/>
          <w:u w:val="single"/>
        </w:rPr>
        <w:t>（中型企业、小型企业、微型企业）</w:t>
      </w:r>
      <w:r>
        <w:rPr>
          <w:rFonts w:hint="eastAsia" w:ascii="宋体" w:hAnsi="宋体" w:eastAsia="宋体"/>
          <w:szCs w:val="21"/>
        </w:rPr>
        <w:t>；</w:t>
      </w:r>
    </w:p>
    <w:p w14:paraId="36FDF1A8">
      <w:pPr>
        <w:ind w:firstLine="480" w:firstLineChars="200"/>
        <w:rPr>
          <w:rFonts w:ascii="宋体" w:hAnsi="宋体" w:eastAsia="宋体"/>
          <w:szCs w:val="21"/>
          <w:u w:val="single"/>
        </w:rPr>
      </w:pPr>
      <w:r>
        <w:rPr>
          <w:rFonts w:hint="eastAsia" w:ascii="宋体" w:hAnsi="宋体" w:eastAsia="宋体"/>
          <w:szCs w:val="21"/>
          <w:lang w:val="en-US" w:eastAsia="zh-CN"/>
        </w:rPr>
        <w:t>4</w:t>
      </w:r>
      <w:r>
        <w:rPr>
          <w:rFonts w:ascii="宋体" w:hAnsi="宋体" w:eastAsia="宋体"/>
          <w:szCs w:val="21"/>
        </w:rPr>
        <w:t>.</w:t>
      </w:r>
      <w:r>
        <w:rPr>
          <w:rFonts w:ascii="宋体" w:hAnsi="宋体" w:eastAsia="宋体"/>
          <w:b/>
          <w:bCs/>
          <w:szCs w:val="21"/>
          <w:u w:val="single"/>
        </w:rPr>
        <w:t xml:space="preserve"> （</w:t>
      </w:r>
      <w:r>
        <w:rPr>
          <w:rFonts w:hint="eastAsia" w:ascii="宋体" w:hAnsi="宋体" w:eastAsia="宋体"/>
          <w:b/>
          <w:bCs/>
          <w:szCs w:val="21"/>
          <w:u w:val="single"/>
        </w:rPr>
        <w:t>1000米柔性缆</w:t>
      </w:r>
      <w:r>
        <w:rPr>
          <w:rFonts w:ascii="宋体" w:hAnsi="宋体" w:eastAsia="宋体"/>
          <w:b/>
          <w:bCs/>
          <w:szCs w:val="21"/>
          <w:u w:val="single"/>
        </w:rPr>
        <w:t>）</w:t>
      </w:r>
      <w:r>
        <w:rPr>
          <w:rFonts w:ascii="宋体" w:hAnsi="宋体" w:eastAsia="宋体"/>
          <w:szCs w:val="21"/>
        </w:rPr>
        <w:t xml:space="preserve"> ，属于</w:t>
      </w:r>
      <w:r>
        <w:rPr>
          <w:rFonts w:hint="eastAsia" w:ascii="宋体" w:hAnsi="宋体" w:eastAsia="宋体"/>
          <w:b/>
          <w:bCs/>
          <w:szCs w:val="21"/>
          <w:u w:val="single"/>
          <w:lang w:val="en-US" w:eastAsia="zh-CN"/>
        </w:rPr>
        <w:t>工业</w:t>
      </w:r>
      <w:r>
        <w:rPr>
          <w:rFonts w:ascii="宋体" w:hAnsi="宋体" w:eastAsia="宋体"/>
          <w:szCs w:val="21"/>
        </w:rPr>
        <w:t>；制造商为</w:t>
      </w:r>
      <w:r>
        <w:rPr>
          <w:rFonts w:ascii="宋体" w:hAnsi="宋体" w:eastAsia="宋体"/>
          <w:b/>
          <w:bCs/>
          <w:szCs w:val="21"/>
          <w:u w:val="single"/>
        </w:rPr>
        <w:t>（企业名称）</w:t>
      </w:r>
      <w:r>
        <w:rPr>
          <w:rFonts w:ascii="宋体" w:hAnsi="宋体" w:eastAsia="宋体"/>
          <w:szCs w:val="21"/>
        </w:rPr>
        <w:t>，从业人员</w:t>
      </w:r>
      <w:r>
        <w:rPr>
          <w:rFonts w:hint="eastAsia" w:ascii="宋体" w:hAnsi="宋体" w:eastAsia="宋体"/>
          <w:szCs w:val="21"/>
          <w:u w:val="single"/>
        </w:rPr>
        <w:t xml:space="preserve">   </w:t>
      </w:r>
      <w:r>
        <w:rPr>
          <w:rFonts w:ascii="宋体" w:hAnsi="宋体" w:eastAsia="宋体"/>
          <w:szCs w:val="21"/>
        </w:rPr>
        <w:t>人，营业收入为</w:t>
      </w:r>
      <w:r>
        <w:rPr>
          <w:rFonts w:hint="eastAsia" w:ascii="宋体" w:hAnsi="宋体" w:eastAsia="宋体"/>
          <w:szCs w:val="21"/>
          <w:u w:val="single"/>
        </w:rPr>
        <w:t xml:space="preserve">   </w:t>
      </w:r>
      <w:r>
        <w:rPr>
          <w:rFonts w:ascii="宋体" w:hAnsi="宋体" w:eastAsia="宋体"/>
          <w:szCs w:val="21"/>
        </w:rPr>
        <w:t>万元，资产总额为</w:t>
      </w:r>
      <w:r>
        <w:rPr>
          <w:rFonts w:hint="eastAsia" w:ascii="宋体" w:hAnsi="宋体" w:eastAsia="宋体"/>
          <w:szCs w:val="21"/>
          <w:u w:val="single"/>
        </w:rPr>
        <w:t xml:space="preserve">   </w:t>
      </w:r>
      <w:r>
        <w:rPr>
          <w:rFonts w:ascii="宋体" w:hAnsi="宋体" w:eastAsia="宋体"/>
          <w:szCs w:val="21"/>
        </w:rPr>
        <w:t>万元 ，属于</w:t>
      </w:r>
      <w:r>
        <w:rPr>
          <w:rFonts w:ascii="宋体" w:hAnsi="宋体" w:eastAsia="宋体"/>
          <w:b/>
          <w:bCs/>
          <w:szCs w:val="21"/>
          <w:u w:val="single"/>
        </w:rPr>
        <w:t>（中型企业、小型企业、微型企业）</w:t>
      </w:r>
      <w:r>
        <w:rPr>
          <w:rFonts w:hint="eastAsia" w:ascii="宋体" w:hAnsi="宋体" w:eastAsia="宋体"/>
          <w:szCs w:val="21"/>
        </w:rPr>
        <w:t>；</w:t>
      </w:r>
    </w:p>
    <w:p w14:paraId="2FA661FA">
      <w:pPr>
        <w:ind w:firstLine="480" w:firstLineChars="200"/>
        <w:rPr>
          <w:rFonts w:ascii="宋体" w:hAnsi="宋体" w:eastAsia="宋体"/>
          <w:szCs w:val="21"/>
          <w:u w:val="single"/>
        </w:rPr>
      </w:pPr>
      <w:r>
        <w:rPr>
          <w:rFonts w:hint="eastAsia" w:ascii="宋体" w:hAnsi="宋体" w:eastAsia="宋体"/>
          <w:szCs w:val="21"/>
          <w:lang w:val="en-US" w:eastAsia="zh-CN"/>
        </w:rPr>
        <w:t>5</w:t>
      </w:r>
      <w:r>
        <w:rPr>
          <w:rFonts w:ascii="宋体" w:hAnsi="宋体" w:eastAsia="宋体"/>
          <w:szCs w:val="21"/>
        </w:rPr>
        <w:t>.</w:t>
      </w:r>
      <w:r>
        <w:rPr>
          <w:rFonts w:ascii="宋体" w:hAnsi="宋体" w:eastAsia="宋体"/>
          <w:b/>
          <w:bCs/>
          <w:szCs w:val="21"/>
          <w:u w:val="single"/>
        </w:rPr>
        <w:t xml:space="preserve"> （</w:t>
      </w:r>
      <w:r>
        <w:rPr>
          <w:rFonts w:hint="eastAsia" w:ascii="宋体" w:hAnsi="宋体" w:eastAsia="宋体"/>
          <w:b/>
          <w:bCs/>
          <w:szCs w:val="21"/>
          <w:u w:val="single"/>
        </w:rPr>
        <w:t>缆收放系统</w:t>
      </w:r>
      <w:r>
        <w:rPr>
          <w:rFonts w:ascii="宋体" w:hAnsi="宋体" w:eastAsia="宋体"/>
          <w:b/>
          <w:bCs/>
          <w:szCs w:val="21"/>
          <w:u w:val="single"/>
        </w:rPr>
        <w:t>）</w:t>
      </w:r>
      <w:r>
        <w:rPr>
          <w:rFonts w:ascii="宋体" w:hAnsi="宋体" w:eastAsia="宋体"/>
          <w:szCs w:val="21"/>
        </w:rPr>
        <w:t xml:space="preserve"> ，属于</w:t>
      </w:r>
      <w:r>
        <w:rPr>
          <w:rFonts w:hint="eastAsia" w:ascii="宋体" w:hAnsi="宋体" w:eastAsia="宋体"/>
          <w:b/>
          <w:bCs/>
          <w:szCs w:val="21"/>
          <w:u w:val="single"/>
          <w:lang w:val="en-US" w:eastAsia="zh-CN"/>
        </w:rPr>
        <w:t>工业</w:t>
      </w:r>
      <w:r>
        <w:rPr>
          <w:rFonts w:ascii="宋体" w:hAnsi="宋体" w:eastAsia="宋体"/>
          <w:szCs w:val="21"/>
        </w:rPr>
        <w:t>；制造商为</w:t>
      </w:r>
      <w:r>
        <w:rPr>
          <w:rFonts w:ascii="宋体" w:hAnsi="宋体" w:eastAsia="宋体"/>
          <w:b/>
          <w:bCs/>
          <w:szCs w:val="21"/>
          <w:u w:val="single"/>
        </w:rPr>
        <w:t>（企业名称）</w:t>
      </w:r>
      <w:r>
        <w:rPr>
          <w:rFonts w:ascii="宋体" w:hAnsi="宋体" w:eastAsia="宋体"/>
          <w:szCs w:val="21"/>
        </w:rPr>
        <w:t>，从业人员</w:t>
      </w:r>
      <w:r>
        <w:rPr>
          <w:rFonts w:hint="eastAsia" w:ascii="宋体" w:hAnsi="宋体" w:eastAsia="宋体"/>
          <w:szCs w:val="21"/>
          <w:u w:val="single"/>
        </w:rPr>
        <w:t xml:space="preserve">   </w:t>
      </w:r>
      <w:r>
        <w:rPr>
          <w:rFonts w:ascii="宋体" w:hAnsi="宋体" w:eastAsia="宋体"/>
          <w:szCs w:val="21"/>
        </w:rPr>
        <w:t>人，营业收入为</w:t>
      </w:r>
      <w:r>
        <w:rPr>
          <w:rFonts w:hint="eastAsia" w:ascii="宋体" w:hAnsi="宋体" w:eastAsia="宋体"/>
          <w:szCs w:val="21"/>
          <w:u w:val="single"/>
        </w:rPr>
        <w:t xml:space="preserve">   </w:t>
      </w:r>
      <w:r>
        <w:rPr>
          <w:rFonts w:ascii="宋体" w:hAnsi="宋体" w:eastAsia="宋体"/>
          <w:szCs w:val="21"/>
        </w:rPr>
        <w:t>万元，资产总额为</w:t>
      </w:r>
      <w:r>
        <w:rPr>
          <w:rFonts w:hint="eastAsia" w:ascii="宋体" w:hAnsi="宋体" w:eastAsia="宋体"/>
          <w:szCs w:val="21"/>
          <w:u w:val="single"/>
        </w:rPr>
        <w:t xml:space="preserve">   </w:t>
      </w:r>
      <w:r>
        <w:rPr>
          <w:rFonts w:ascii="宋体" w:hAnsi="宋体" w:eastAsia="宋体"/>
          <w:szCs w:val="21"/>
        </w:rPr>
        <w:t>万元 ，属于</w:t>
      </w:r>
      <w:r>
        <w:rPr>
          <w:rFonts w:ascii="宋体" w:hAnsi="宋体" w:eastAsia="宋体"/>
          <w:b/>
          <w:bCs/>
          <w:szCs w:val="21"/>
          <w:u w:val="single"/>
        </w:rPr>
        <w:t>（中型企业、小型企业、微型企业）</w:t>
      </w:r>
      <w:r>
        <w:rPr>
          <w:rFonts w:hint="eastAsia" w:ascii="宋体" w:hAnsi="宋体" w:eastAsia="宋体"/>
          <w:szCs w:val="21"/>
        </w:rPr>
        <w:t>；</w:t>
      </w:r>
    </w:p>
    <w:p w14:paraId="396A2B70">
      <w:pPr>
        <w:ind w:firstLine="482" w:firstLineChars="200"/>
        <w:rPr>
          <w:rFonts w:ascii="宋体" w:hAnsi="宋体" w:eastAsia="宋体"/>
          <w:b/>
          <w:bCs/>
          <w:color w:val="FF0000"/>
          <w:szCs w:val="21"/>
        </w:rPr>
      </w:pPr>
    </w:p>
    <w:p w14:paraId="1A0BDA87">
      <w:pPr>
        <w:ind w:firstLine="482" w:firstLineChars="200"/>
        <w:rPr>
          <w:rFonts w:ascii="宋体" w:hAnsi="宋体" w:eastAsia="宋体"/>
          <w:b/>
          <w:bCs/>
          <w:color w:val="FF0000"/>
          <w:szCs w:val="21"/>
        </w:rPr>
      </w:pPr>
      <w:r>
        <w:rPr>
          <w:rFonts w:ascii="宋体" w:hAnsi="宋体" w:eastAsia="宋体"/>
          <w:b/>
          <w:bCs/>
          <w:color w:val="FF0000"/>
          <w:szCs w:val="21"/>
        </w:rPr>
        <w:t>以上企业，不属于大企业的分支机构，不存在控股股东为大企业的情形，也不存在与大企业的负责人为同一人的情形。</w:t>
      </w:r>
    </w:p>
    <w:p w14:paraId="2C6B48F4">
      <w:pPr>
        <w:ind w:firstLine="480" w:firstLineChars="200"/>
        <w:rPr>
          <w:rFonts w:ascii="宋体" w:hAnsi="宋体" w:eastAsia="宋体"/>
        </w:rPr>
      </w:pPr>
      <w:bookmarkStart w:id="59" w:name="_Hlk73562203"/>
      <w:r>
        <w:rPr>
          <w:rFonts w:hint="eastAsia" w:ascii="宋体" w:hAnsi="宋体" w:eastAsia="宋体"/>
        </w:rPr>
        <w:t>本</w:t>
      </w:r>
      <w:r>
        <w:rPr>
          <w:rFonts w:ascii="宋体" w:hAnsi="宋体" w:eastAsia="宋体"/>
        </w:rPr>
        <w:t>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w:t>
      </w:r>
      <w:r>
        <w:rPr>
          <w:rFonts w:hint="eastAsia" w:ascii="宋体" w:hAnsi="宋体" w:eastAsia="宋体"/>
        </w:rPr>
        <w:t>投标人</w:t>
      </w:r>
      <w:r>
        <w:rPr>
          <w:rFonts w:ascii="宋体" w:hAnsi="宋体" w:eastAsia="宋体"/>
        </w:rPr>
        <w:t>按照本办法规定提供声明函内容不实的，属于提供虚假材料谋取中标，依照《政府采购法》等政府采购有关法律法规规定追究相应责任</w:t>
      </w:r>
      <w:r>
        <w:rPr>
          <w:rFonts w:hint="eastAsia" w:ascii="宋体" w:hAnsi="宋体" w:eastAsia="宋体"/>
        </w:rPr>
        <w:t>。</w:t>
      </w:r>
      <w:bookmarkEnd w:id="59"/>
    </w:p>
    <w:p w14:paraId="007C306F">
      <w:pPr>
        <w:spacing w:after="60" w:afterLines="25" w:line="300" w:lineRule="auto"/>
        <w:ind w:firstLine="482" w:firstLineChars="200"/>
        <w:rPr>
          <w:rFonts w:ascii="宋体" w:hAnsi="宋体" w:eastAsia="宋体"/>
          <w:b/>
        </w:rPr>
      </w:pPr>
    </w:p>
    <w:p w14:paraId="085EDCE0">
      <w:pPr>
        <w:pStyle w:val="8"/>
      </w:pPr>
    </w:p>
    <w:p w14:paraId="2E5D91E4">
      <w:pPr>
        <w:jc w:val="center"/>
        <w:rPr>
          <w:rFonts w:ascii="宋体" w:hAnsi="宋体" w:eastAsia="宋体"/>
          <w:b/>
        </w:rPr>
      </w:pPr>
      <w:r>
        <w:rPr>
          <w:rFonts w:hint="eastAsia" w:ascii="宋体" w:hAnsi="宋体" w:eastAsia="宋体"/>
          <w:b/>
        </w:rPr>
        <w:t>2、残疾人福利性单位声明函（货物类）</w:t>
      </w:r>
    </w:p>
    <w:p w14:paraId="14472680">
      <w:pPr>
        <w:rPr>
          <w:rFonts w:hAnsi="宋体" w:eastAsia="宋体"/>
          <w:szCs w:val="21"/>
        </w:rPr>
      </w:pPr>
    </w:p>
    <w:p w14:paraId="1F6D89E7">
      <w:pPr>
        <w:ind w:firstLine="480" w:firstLineChars="200"/>
        <w:rPr>
          <w:rFonts w:ascii="宋体" w:hAnsi="宋体" w:eastAsia="宋体"/>
          <w:szCs w:val="21"/>
        </w:rPr>
      </w:pPr>
      <w:r>
        <w:rPr>
          <w:rFonts w:ascii="宋体" w:hAnsi="宋体" w:eastAsia="宋体"/>
          <w:szCs w:val="21"/>
        </w:rPr>
        <w:t>本</w:t>
      </w:r>
      <w:r>
        <w:rPr>
          <w:rFonts w:hint="eastAsia" w:ascii="宋体" w:hAnsi="宋体" w:eastAsia="宋体"/>
          <w:szCs w:val="21"/>
        </w:rPr>
        <w:t>投标人郑重声明，根据《财政部民政部中国残疾人联合会关于促进残疾人就业政府采购政策的通知》（财库〔</w:t>
      </w:r>
      <w:r>
        <w:rPr>
          <w:rFonts w:ascii="宋体" w:hAnsi="宋体" w:eastAsia="宋体"/>
          <w:szCs w:val="21"/>
        </w:rPr>
        <w:t>2017</w:t>
      </w:r>
      <w:r>
        <w:rPr>
          <w:rFonts w:hint="eastAsia" w:ascii="宋体" w:hAnsi="宋体" w:eastAsia="宋体"/>
          <w:szCs w:val="21"/>
        </w:rPr>
        <w:t>〕</w:t>
      </w:r>
      <w:r>
        <w:rPr>
          <w:rFonts w:ascii="宋体" w:hAnsi="宋体" w:eastAsia="宋体"/>
          <w:szCs w:val="21"/>
        </w:rPr>
        <w:t xml:space="preserve">141 </w:t>
      </w:r>
      <w:r>
        <w:rPr>
          <w:rFonts w:hint="eastAsia" w:ascii="宋体" w:hAnsi="宋体" w:eastAsia="宋体"/>
          <w:szCs w:val="21"/>
        </w:rPr>
        <w:t>号）的规定，本投标人</w:t>
      </w:r>
      <w:r>
        <w:rPr>
          <w:rFonts w:ascii="宋体" w:hAnsi="宋体" w:eastAsia="宋体"/>
          <w:szCs w:val="21"/>
        </w:rPr>
        <w:t>参加</w:t>
      </w:r>
      <w:r>
        <w:rPr>
          <w:rFonts w:ascii="宋体" w:hAnsi="宋体" w:eastAsia="宋体"/>
          <w:b/>
          <w:bCs/>
          <w:szCs w:val="21"/>
          <w:u w:val="single"/>
        </w:rPr>
        <w:t>（</w:t>
      </w:r>
      <w:r>
        <w:rPr>
          <w:rFonts w:hint="eastAsia" w:ascii="宋体" w:hAnsi="宋体" w:eastAsia="宋体"/>
          <w:b/>
          <w:bCs/>
          <w:szCs w:val="21"/>
          <w:u w:val="single"/>
        </w:rPr>
        <w:t>采购人</w:t>
      </w:r>
      <w:r>
        <w:rPr>
          <w:rFonts w:ascii="宋体" w:hAnsi="宋体" w:eastAsia="宋体"/>
          <w:b/>
          <w:bCs/>
          <w:szCs w:val="21"/>
          <w:u w:val="single"/>
        </w:rPr>
        <w:t>名称）</w:t>
      </w:r>
      <w:r>
        <w:rPr>
          <w:rFonts w:ascii="宋体" w:hAnsi="宋体" w:eastAsia="宋体"/>
          <w:szCs w:val="21"/>
        </w:rPr>
        <w:t>的</w:t>
      </w:r>
      <w:r>
        <w:rPr>
          <w:rFonts w:ascii="宋体" w:hAnsi="宋体" w:eastAsia="宋体"/>
          <w:b/>
          <w:bCs/>
          <w:szCs w:val="21"/>
          <w:u w:val="single"/>
        </w:rPr>
        <w:t>（项目名称）</w:t>
      </w:r>
      <w:r>
        <w:rPr>
          <w:rFonts w:ascii="宋体" w:hAnsi="宋体" w:eastAsia="宋体"/>
          <w:szCs w:val="21"/>
        </w:rPr>
        <w:t>采购活动，提供的货物全部由符合政策要求的</w:t>
      </w:r>
      <w:r>
        <w:rPr>
          <w:rFonts w:hint="eastAsia" w:ascii="宋体" w:hAnsi="宋体" w:eastAsia="宋体"/>
          <w:szCs w:val="21"/>
        </w:rPr>
        <w:t>残疾人福利性单位</w:t>
      </w:r>
      <w:r>
        <w:rPr>
          <w:rFonts w:ascii="宋体" w:hAnsi="宋体" w:eastAsia="宋体"/>
          <w:szCs w:val="21"/>
        </w:rPr>
        <w:t>制造。相关</w:t>
      </w:r>
      <w:r>
        <w:rPr>
          <w:rFonts w:hint="eastAsia" w:ascii="宋体" w:hAnsi="宋体" w:eastAsia="宋体"/>
          <w:szCs w:val="21"/>
        </w:rPr>
        <w:t>残疾人福利性单位</w:t>
      </w:r>
      <w:r>
        <w:rPr>
          <w:rFonts w:ascii="宋体" w:hAnsi="宋体" w:eastAsia="宋体"/>
          <w:szCs w:val="21"/>
        </w:rPr>
        <w:t>的具体情况如下：</w:t>
      </w:r>
    </w:p>
    <w:p w14:paraId="0A44FFCD">
      <w:pPr>
        <w:ind w:firstLine="480" w:firstLineChars="200"/>
        <w:rPr>
          <w:rFonts w:ascii="宋体" w:hAnsi="宋体" w:eastAsia="宋体"/>
          <w:szCs w:val="21"/>
        </w:rPr>
      </w:pPr>
      <w:r>
        <w:rPr>
          <w:rFonts w:ascii="宋体" w:hAnsi="宋体" w:eastAsia="宋体"/>
          <w:szCs w:val="21"/>
        </w:rPr>
        <w:t>1.</w:t>
      </w:r>
      <w:r>
        <w:rPr>
          <w:rFonts w:ascii="宋体" w:hAnsi="宋体" w:eastAsia="宋体"/>
          <w:b/>
          <w:bCs/>
          <w:szCs w:val="21"/>
          <w:u w:val="single"/>
        </w:rPr>
        <w:t xml:space="preserve"> （标的名称）</w:t>
      </w:r>
      <w:r>
        <w:rPr>
          <w:rFonts w:hint="eastAsia" w:ascii="宋体" w:hAnsi="宋体" w:eastAsia="宋体"/>
          <w:szCs w:val="21"/>
        </w:rPr>
        <w:t>，</w:t>
      </w:r>
      <w:r>
        <w:rPr>
          <w:rFonts w:ascii="宋体" w:hAnsi="宋体" w:eastAsia="宋体"/>
          <w:szCs w:val="21"/>
        </w:rPr>
        <w:t>制造商为</w:t>
      </w:r>
      <w:r>
        <w:rPr>
          <w:rFonts w:ascii="宋体" w:hAnsi="宋体" w:eastAsia="宋体"/>
          <w:b/>
          <w:bCs/>
          <w:szCs w:val="21"/>
          <w:u w:val="single"/>
        </w:rPr>
        <w:t>（</w:t>
      </w:r>
      <w:r>
        <w:rPr>
          <w:rFonts w:hint="eastAsia" w:ascii="宋体" w:hAnsi="宋体" w:eastAsia="宋体"/>
          <w:b/>
          <w:bCs/>
          <w:szCs w:val="21"/>
          <w:u w:val="single"/>
        </w:rPr>
        <w:t>单位</w:t>
      </w:r>
      <w:r>
        <w:rPr>
          <w:rFonts w:ascii="宋体" w:hAnsi="宋体" w:eastAsia="宋体"/>
          <w:b/>
          <w:bCs/>
          <w:szCs w:val="21"/>
          <w:u w:val="single"/>
        </w:rPr>
        <w:t>名称）</w:t>
      </w:r>
      <w:r>
        <w:rPr>
          <w:rFonts w:ascii="宋体" w:hAnsi="宋体" w:eastAsia="宋体"/>
          <w:szCs w:val="21"/>
        </w:rPr>
        <w:t>，属于</w:t>
      </w:r>
      <w:r>
        <w:rPr>
          <w:rFonts w:hint="eastAsia" w:ascii="宋体" w:hAnsi="宋体" w:eastAsia="宋体"/>
          <w:b/>
          <w:bCs/>
          <w:szCs w:val="21"/>
          <w:u w:val="single"/>
        </w:rPr>
        <w:t>残疾人福利性单位</w:t>
      </w:r>
      <w:r>
        <w:rPr>
          <w:rFonts w:ascii="宋体" w:hAnsi="宋体" w:eastAsia="宋体"/>
          <w:szCs w:val="21"/>
        </w:rPr>
        <w:t>；</w:t>
      </w:r>
    </w:p>
    <w:p w14:paraId="475AE680">
      <w:pPr>
        <w:ind w:firstLine="480" w:firstLineChars="200"/>
        <w:rPr>
          <w:rFonts w:ascii="宋体" w:hAnsi="宋体" w:eastAsia="宋体"/>
          <w:szCs w:val="21"/>
        </w:rPr>
      </w:pPr>
      <w:r>
        <w:rPr>
          <w:rFonts w:ascii="宋体" w:hAnsi="宋体" w:eastAsia="宋体"/>
          <w:szCs w:val="21"/>
        </w:rPr>
        <w:t>2.</w:t>
      </w:r>
      <w:r>
        <w:rPr>
          <w:rFonts w:ascii="宋体" w:hAnsi="宋体" w:eastAsia="宋体"/>
          <w:b/>
          <w:bCs/>
          <w:szCs w:val="21"/>
          <w:u w:val="single"/>
        </w:rPr>
        <w:t xml:space="preserve"> （标的名称）</w:t>
      </w:r>
      <w:r>
        <w:rPr>
          <w:rFonts w:hint="eastAsia" w:ascii="宋体" w:hAnsi="宋体" w:eastAsia="宋体"/>
          <w:szCs w:val="21"/>
        </w:rPr>
        <w:t>，</w:t>
      </w:r>
      <w:r>
        <w:rPr>
          <w:rFonts w:ascii="宋体" w:hAnsi="宋体" w:eastAsia="宋体"/>
          <w:szCs w:val="21"/>
        </w:rPr>
        <w:t>制造商为</w:t>
      </w:r>
      <w:r>
        <w:rPr>
          <w:rFonts w:ascii="宋体" w:hAnsi="宋体" w:eastAsia="宋体"/>
          <w:b/>
          <w:bCs/>
          <w:szCs w:val="21"/>
          <w:u w:val="single"/>
        </w:rPr>
        <w:t>（</w:t>
      </w:r>
      <w:r>
        <w:rPr>
          <w:rFonts w:hint="eastAsia" w:ascii="宋体" w:hAnsi="宋体" w:eastAsia="宋体"/>
          <w:b/>
          <w:bCs/>
          <w:szCs w:val="21"/>
          <w:u w:val="single"/>
        </w:rPr>
        <w:t>单位</w:t>
      </w:r>
      <w:r>
        <w:rPr>
          <w:rFonts w:ascii="宋体" w:hAnsi="宋体" w:eastAsia="宋体"/>
          <w:b/>
          <w:bCs/>
          <w:szCs w:val="21"/>
          <w:u w:val="single"/>
        </w:rPr>
        <w:t>名称）</w:t>
      </w:r>
      <w:r>
        <w:rPr>
          <w:rFonts w:ascii="宋体" w:hAnsi="宋体" w:eastAsia="宋体"/>
          <w:szCs w:val="21"/>
        </w:rPr>
        <w:t>，属于</w:t>
      </w:r>
      <w:r>
        <w:rPr>
          <w:rFonts w:hint="eastAsia" w:ascii="宋体" w:hAnsi="宋体" w:eastAsia="宋体"/>
          <w:b/>
          <w:bCs/>
          <w:szCs w:val="21"/>
          <w:u w:val="single"/>
        </w:rPr>
        <w:t>残疾人福利性单位</w:t>
      </w:r>
      <w:r>
        <w:rPr>
          <w:rFonts w:hint="eastAsia" w:ascii="宋体" w:hAnsi="宋体" w:eastAsia="宋体"/>
          <w:szCs w:val="21"/>
        </w:rPr>
        <w:t>。</w:t>
      </w:r>
    </w:p>
    <w:p w14:paraId="6755E4BB">
      <w:pPr>
        <w:ind w:firstLine="480" w:firstLineChars="200"/>
        <w:rPr>
          <w:rFonts w:ascii="宋体" w:hAnsi="宋体" w:eastAsia="宋体"/>
          <w:szCs w:val="21"/>
        </w:rPr>
      </w:pPr>
      <w:r>
        <w:rPr>
          <w:rFonts w:ascii="宋体" w:hAnsi="宋体" w:eastAsia="宋体"/>
          <w:szCs w:val="21"/>
        </w:rPr>
        <w:t xml:space="preserve">…… </w:t>
      </w:r>
    </w:p>
    <w:p w14:paraId="61826874">
      <w:pPr>
        <w:ind w:firstLine="480" w:firstLineChars="200"/>
        <w:rPr>
          <w:rFonts w:ascii="宋体" w:hAnsi="宋体" w:eastAsia="宋体"/>
          <w:szCs w:val="21"/>
        </w:rPr>
      </w:pPr>
      <w:bookmarkStart w:id="60" w:name="_Hlk73562331"/>
      <w:bookmarkStart w:id="61" w:name="_Hlk73562245"/>
      <w:r>
        <w:rPr>
          <w:rFonts w:hint="eastAsia" w:ascii="宋体" w:hAnsi="宋体" w:eastAsia="宋体"/>
        </w:rPr>
        <w:t>本</w:t>
      </w:r>
      <w:r>
        <w:rPr>
          <w:rFonts w:ascii="宋体" w:hAnsi="宋体" w:eastAsia="宋体"/>
        </w:rPr>
        <w:t>投标人</w:t>
      </w:r>
      <w:r>
        <w:rPr>
          <w:rFonts w:hint="eastAsia" w:ascii="宋体" w:hAnsi="宋体" w:eastAsia="宋体"/>
        </w:rPr>
        <w:t>已</w:t>
      </w:r>
      <w:r>
        <w:rPr>
          <w:rFonts w:ascii="宋体" w:hAnsi="宋体" w:eastAsia="宋体"/>
        </w:rPr>
        <w:t>知悉</w:t>
      </w:r>
      <w:r>
        <w:rPr>
          <w:rFonts w:hint="eastAsia" w:ascii="宋体" w:hAnsi="宋体" w:eastAsia="宋体"/>
        </w:rPr>
        <w:t>《财政部民政部中国残疾人联合会关于促进残疾人就业政府采购政策的通知》（财库〔2017〕141 号）</w:t>
      </w:r>
      <w:r>
        <w:rPr>
          <w:rFonts w:ascii="宋体" w:hAnsi="宋体" w:eastAsia="宋体"/>
        </w:rPr>
        <w:t>的规定，承诺提供的声明函内容是真实的，如提供声明函内容不实，则依法追究相关法律责任</w:t>
      </w:r>
      <w:r>
        <w:rPr>
          <w:rFonts w:hint="eastAsia" w:ascii="宋体" w:hAnsi="宋体" w:eastAsia="宋体"/>
        </w:rPr>
        <w:t>。</w:t>
      </w:r>
      <w:bookmarkEnd w:id="60"/>
    </w:p>
    <w:bookmarkEnd w:id="61"/>
    <w:p w14:paraId="6BD33735">
      <w:pPr>
        <w:ind w:firstLine="480" w:firstLineChars="200"/>
        <w:rPr>
          <w:rFonts w:ascii="宋体" w:hAnsi="宋体" w:eastAsia="宋体"/>
          <w:szCs w:val="21"/>
        </w:rPr>
      </w:pPr>
    </w:p>
    <w:p w14:paraId="775FD7FB">
      <w:pPr>
        <w:jc w:val="center"/>
        <w:rPr>
          <w:rFonts w:ascii="宋体" w:hAnsi="宋体" w:eastAsia="宋体"/>
          <w:b/>
        </w:rPr>
      </w:pPr>
      <w:r>
        <w:rPr>
          <w:rFonts w:hint="eastAsia" w:ascii="宋体" w:hAnsi="宋体" w:eastAsia="宋体"/>
          <w:b/>
        </w:rPr>
        <w:t>3、监狱企业声明函【货物类，提供监狱企业货物的供应商如需享受优惠政策，还须另行提供省级以上监狱管理局、戒毒管理局（含新疆生产建设兵团）出具的监狱企业证明文件】</w:t>
      </w:r>
    </w:p>
    <w:p w14:paraId="552EAA83">
      <w:pPr>
        <w:ind w:firstLine="480" w:firstLineChars="200"/>
        <w:rPr>
          <w:rFonts w:ascii="宋体" w:hAnsi="宋体" w:eastAsia="宋体"/>
          <w:szCs w:val="21"/>
        </w:rPr>
      </w:pPr>
    </w:p>
    <w:p w14:paraId="69473199">
      <w:pPr>
        <w:ind w:firstLine="480" w:firstLineChars="200"/>
        <w:rPr>
          <w:rFonts w:ascii="宋体" w:hAnsi="宋体" w:eastAsia="宋体"/>
          <w:szCs w:val="21"/>
        </w:rPr>
      </w:pPr>
      <w:r>
        <w:rPr>
          <w:rFonts w:hint="eastAsia" w:ascii="宋体" w:hAnsi="宋体" w:eastAsia="宋体"/>
          <w:szCs w:val="21"/>
        </w:rPr>
        <w:t>本投标人郑重声明，根据《财政部司法部关于政府采购支持监狱企业发展有关问题的通知》（财库〔</w:t>
      </w:r>
      <w:r>
        <w:rPr>
          <w:rFonts w:ascii="宋体" w:hAnsi="宋体" w:eastAsia="宋体"/>
          <w:szCs w:val="21"/>
        </w:rPr>
        <w:t>2014</w:t>
      </w:r>
      <w:r>
        <w:rPr>
          <w:rFonts w:hint="eastAsia" w:ascii="宋体" w:hAnsi="宋体" w:eastAsia="宋体"/>
          <w:szCs w:val="21"/>
        </w:rPr>
        <w:t>〕</w:t>
      </w:r>
      <w:r>
        <w:rPr>
          <w:rFonts w:ascii="宋体" w:hAnsi="宋体" w:eastAsia="宋体"/>
          <w:szCs w:val="21"/>
        </w:rPr>
        <w:t>68</w:t>
      </w:r>
      <w:r>
        <w:rPr>
          <w:rFonts w:hint="eastAsia" w:ascii="宋体" w:hAnsi="宋体" w:eastAsia="宋体"/>
          <w:szCs w:val="21"/>
        </w:rPr>
        <w:t>号）的规定，本投标人</w:t>
      </w:r>
      <w:r>
        <w:rPr>
          <w:rFonts w:ascii="宋体" w:hAnsi="宋体" w:eastAsia="宋体"/>
          <w:szCs w:val="21"/>
        </w:rPr>
        <w:t>参加</w:t>
      </w:r>
      <w:r>
        <w:rPr>
          <w:rFonts w:ascii="宋体" w:hAnsi="宋体" w:eastAsia="宋体"/>
          <w:b/>
          <w:bCs/>
          <w:szCs w:val="21"/>
          <w:u w:val="single"/>
        </w:rPr>
        <w:t>（</w:t>
      </w:r>
      <w:r>
        <w:rPr>
          <w:rFonts w:hint="eastAsia" w:ascii="宋体" w:hAnsi="宋体" w:eastAsia="宋体"/>
          <w:b/>
          <w:bCs/>
          <w:szCs w:val="21"/>
          <w:u w:val="single"/>
        </w:rPr>
        <w:t>采购人</w:t>
      </w:r>
      <w:r>
        <w:rPr>
          <w:rFonts w:ascii="宋体" w:hAnsi="宋体" w:eastAsia="宋体"/>
          <w:b/>
          <w:bCs/>
          <w:szCs w:val="21"/>
          <w:u w:val="single"/>
        </w:rPr>
        <w:t>名称）</w:t>
      </w:r>
      <w:r>
        <w:rPr>
          <w:rFonts w:ascii="宋体" w:hAnsi="宋体" w:eastAsia="宋体"/>
          <w:szCs w:val="21"/>
        </w:rPr>
        <w:t>的</w:t>
      </w:r>
      <w:r>
        <w:rPr>
          <w:rFonts w:ascii="宋体" w:hAnsi="宋体" w:eastAsia="宋体"/>
          <w:b/>
          <w:bCs/>
          <w:szCs w:val="21"/>
          <w:u w:val="single"/>
        </w:rPr>
        <w:t>（项目名称）</w:t>
      </w:r>
      <w:r>
        <w:rPr>
          <w:rFonts w:ascii="宋体" w:hAnsi="宋体" w:eastAsia="宋体"/>
          <w:szCs w:val="21"/>
        </w:rPr>
        <w:t>采购活动，提供的货物全部由符合政策要求的</w:t>
      </w:r>
      <w:r>
        <w:rPr>
          <w:rFonts w:hint="eastAsia" w:ascii="宋体" w:hAnsi="宋体" w:eastAsia="宋体"/>
          <w:szCs w:val="21"/>
        </w:rPr>
        <w:t>监狱企业</w:t>
      </w:r>
      <w:r>
        <w:rPr>
          <w:rFonts w:ascii="宋体" w:hAnsi="宋体" w:eastAsia="宋体"/>
          <w:szCs w:val="21"/>
        </w:rPr>
        <w:t>制造。相关</w:t>
      </w:r>
      <w:r>
        <w:rPr>
          <w:rFonts w:hint="eastAsia" w:ascii="宋体" w:hAnsi="宋体" w:eastAsia="宋体"/>
          <w:szCs w:val="21"/>
        </w:rPr>
        <w:t>监狱企业</w:t>
      </w:r>
      <w:r>
        <w:rPr>
          <w:rFonts w:ascii="宋体" w:hAnsi="宋体" w:eastAsia="宋体"/>
          <w:szCs w:val="21"/>
        </w:rPr>
        <w:t>的具体情况如下：</w:t>
      </w:r>
    </w:p>
    <w:p w14:paraId="68F2A93A">
      <w:pPr>
        <w:ind w:firstLine="480" w:firstLineChars="200"/>
        <w:rPr>
          <w:rFonts w:ascii="宋体" w:hAnsi="宋体" w:eastAsia="宋体"/>
          <w:szCs w:val="21"/>
        </w:rPr>
      </w:pPr>
      <w:r>
        <w:rPr>
          <w:rFonts w:ascii="宋体" w:hAnsi="宋体" w:eastAsia="宋体"/>
          <w:szCs w:val="21"/>
        </w:rPr>
        <w:t>1.</w:t>
      </w:r>
      <w:r>
        <w:rPr>
          <w:rFonts w:ascii="宋体" w:hAnsi="宋体" w:eastAsia="宋体"/>
          <w:b/>
          <w:bCs/>
          <w:szCs w:val="21"/>
          <w:u w:val="single"/>
        </w:rPr>
        <w:t xml:space="preserve"> （标的名称）</w:t>
      </w:r>
      <w:r>
        <w:rPr>
          <w:rFonts w:hint="eastAsia" w:ascii="宋体" w:hAnsi="宋体" w:eastAsia="宋体"/>
          <w:szCs w:val="21"/>
        </w:rPr>
        <w:t>，</w:t>
      </w:r>
      <w:r>
        <w:rPr>
          <w:rFonts w:ascii="宋体" w:hAnsi="宋体" w:eastAsia="宋体"/>
          <w:szCs w:val="21"/>
        </w:rPr>
        <w:t>制造商为</w:t>
      </w:r>
      <w:r>
        <w:rPr>
          <w:rFonts w:ascii="宋体" w:hAnsi="宋体" w:eastAsia="宋体"/>
          <w:b/>
          <w:bCs/>
          <w:szCs w:val="21"/>
          <w:u w:val="single"/>
        </w:rPr>
        <w:t>（</w:t>
      </w:r>
      <w:r>
        <w:rPr>
          <w:rFonts w:hint="eastAsia" w:ascii="宋体" w:hAnsi="宋体" w:eastAsia="宋体"/>
          <w:b/>
          <w:bCs/>
          <w:szCs w:val="21"/>
          <w:u w:val="single"/>
        </w:rPr>
        <w:t>企业</w:t>
      </w:r>
      <w:r>
        <w:rPr>
          <w:rFonts w:ascii="宋体" w:hAnsi="宋体" w:eastAsia="宋体"/>
          <w:b/>
          <w:bCs/>
          <w:szCs w:val="21"/>
          <w:u w:val="single"/>
        </w:rPr>
        <w:t>名称）</w:t>
      </w:r>
      <w:r>
        <w:rPr>
          <w:rFonts w:ascii="宋体" w:hAnsi="宋体" w:eastAsia="宋体"/>
          <w:szCs w:val="21"/>
        </w:rPr>
        <w:t>，属于</w:t>
      </w:r>
      <w:r>
        <w:rPr>
          <w:rFonts w:hint="eastAsia" w:ascii="宋体" w:hAnsi="宋体" w:eastAsia="宋体"/>
          <w:b/>
          <w:bCs/>
          <w:szCs w:val="21"/>
          <w:u w:val="single"/>
        </w:rPr>
        <w:t>监狱企业</w:t>
      </w:r>
      <w:r>
        <w:rPr>
          <w:rFonts w:ascii="宋体" w:hAnsi="宋体" w:eastAsia="宋体"/>
          <w:szCs w:val="21"/>
        </w:rPr>
        <w:t>；</w:t>
      </w:r>
    </w:p>
    <w:p w14:paraId="5EE75AC6">
      <w:pPr>
        <w:ind w:firstLine="480" w:firstLineChars="200"/>
        <w:rPr>
          <w:rFonts w:ascii="宋体" w:hAnsi="宋体" w:eastAsia="宋体"/>
          <w:szCs w:val="21"/>
        </w:rPr>
      </w:pPr>
      <w:r>
        <w:rPr>
          <w:rFonts w:ascii="宋体" w:hAnsi="宋体" w:eastAsia="宋体"/>
          <w:szCs w:val="21"/>
        </w:rPr>
        <w:t>2.</w:t>
      </w:r>
      <w:r>
        <w:rPr>
          <w:rFonts w:ascii="宋体" w:hAnsi="宋体" w:eastAsia="宋体"/>
          <w:b/>
          <w:bCs/>
          <w:szCs w:val="21"/>
          <w:u w:val="single"/>
        </w:rPr>
        <w:t xml:space="preserve"> （标的名称）</w:t>
      </w:r>
      <w:r>
        <w:rPr>
          <w:rFonts w:hint="eastAsia" w:ascii="宋体" w:hAnsi="宋体" w:eastAsia="宋体"/>
          <w:szCs w:val="21"/>
        </w:rPr>
        <w:t>，</w:t>
      </w:r>
      <w:r>
        <w:rPr>
          <w:rFonts w:ascii="宋体" w:hAnsi="宋体" w:eastAsia="宋体"/>
          <w:szCs w:val="21"/>
        </w:rPr>
        <w:t>制造商为</w:t>
      </w:r>
      <w:r>
        <w:rPr>
          <w:rFonts w:ascii="宋体" w:hAnsi="宋体" w:eastAsia="宋体"/>
          <w:b/>
          <w:bCs/>
          <w:szCs w:val="21"/>
          <w:u w:val="single"/>
        </w:rPr>
        <w:t>（</w:t>
      </w:r>
      <w:r>
        <w:rPr>
          <w:rFonts w:hint="eastAsia" w:ascii="宋体" w:hAnsi="宋体" w:eastAsia="宋体"/>
          <w:b/>
          <w:bCs/>
          <w:szCs w:val="21"/>
          <w:u w:val="single"/>
        </w:rPr>
        <w:t>企业</w:t>
      </w:r>
      <w:r>
        <w:rPr>
          <w:rFonts w:ascii="宋体" w:hAnsi="宋体" w:eastAsia="宋体"/>
          <w:b/>
          <w:bCs/>
          <w:szCs w:val="21"/>
          <w:u w:val="single"/>
        </w:rPr>
        <w:t>名称）</w:t>
      </w:r>
      <w:r>
        <w:rPr>
          <w:rFonts w:ascii="宋体" w:hAnsi="宋体" w:eastAsia="宋体"/>
          <w:szCs w:val="21"/>
        </w:rPr>
        <w:t>，属于</w:t>
      </w:r>
      <w:r>
        <w:rPr>
          <w:rFonts w:hint="eastAsia" w:ascii="宋体" w:hAnsi="宋体" w:eastAsia="宋体"/>
          <w:b/>
          <w:bCs/>
          <w:szCs w:val="21"/>
          <w:u w:val="single"/>
        </w:rPr>
        <w:t>监狱企业</w:t>
      </w:r>
      <w:r>
        <w:rPr>
          <w:rFonts w:hint="eastAsia" w:ascii="宋体" w:hAnsi="宋体" w:eastAsia="宋体"/>
          <w:szCs w:val="21"/>
        </w:rPr>
        <w:t>。</w:t>
      </w:r>
    </w:p>
    <w:p w14:paraId="2E0DBCAD">
      <w:pPr>
        <w:ind w:firstLine="480" w:firstLineChars="200"/>
        <w:rPr>
          <w:rFonts w:ascii="宋体" w:hAnsi="宋体" w:eastAsia="宋体"/>
          <w:szCs w:val="21"/>
        </w:rPr>
      </w:pPr>
      <w:r>
        <w:rPr>
          <w:rFonts w:ascii="宋体" w:hAnsi="宋体" w:eastAsia="宋体"/>
          <w:szCs w:val="21"/>
        </w:rPr>
        <w:t xml:space="preserve">…… </w:t>
      </w:r>
    </w:p>
    <w:p w14:paraId="6BE841D7">
      <w:pPr>
        <w:ind w:firstLine="480" w:firstLineChars="200"/>
        <w:rPr>
          <w:rFonts w:ascii="宋体" w:hAnsi="宋体" w:eastAsia="宋体"/>
          <w:szCs w:val="21"/>
        </w:rPr>
      </w:pPr>
      <w:r>
        <w:rPr>
          <w:rFonts w:ascii="宋体" w:hAnsi="宋体" w:eastAsia="宋体"/>
          <w:szCs w:val="21"/>
        </w:rPr>
        <w:t>本</w:t>
      </w:r>
      <w:r>
        <w:rPr>
          <w:rFonts w:hint="eastAsia" w:ascii="宋体" w:hAnsi="宋体" w:eastAsia="宋体"/>
          <w:szCs w:val="21"/>
        </w:rPr>
        <w:t>投标人</w:t>
      </w:r>
      <w:r>
        <w:rPr>
          <w:rFonts w:ascii="宋体" w:hAnsi="宋体" w:eastAsia="宋体"/>
          <w:szCs w:val="21"/>
        </w:rPr>
        <w:t>对上述声明内容的真实性负责。如有虚假，将依法承担相应责任。</w:t>
      </w:r>
    </w:p>
    <w:p w14:paraId="365B5CA4">
      <w:pPr>
        <w:ind w:firstLine="480" w:firstLineChars="200"/>
        <w:rPr>
          <w:rFonts w:ascii="宋体" w:hAnsi="宋体" w:eastAsia="宋体"/>
          <w:szCs w:val="21"/>
        </w:rPr>
      </w:pPr>
      <w:r>
        <w:rPr>
          <w:rFonts w:hint="eastAsia" w:ascii="宋体" w:hAnsi="宋体" w:eastAsia="宋体"/>
          <w:szCs w:val="21"/>
        </w:rPr>
        <w:t>附：省级以上监狱管理局、戒毒管理局（含新疆生产建设兵团）出具的监狱企业证明文件。</w:t>
      </w:r>
    </w:p>
    <w:bookmarkEnd w:id="58"/>
    <w:p w14:paraId="021D8B14">
      <w:pPr>
        <w:rPr>
          <w:rFonts w:ascii="宋体" w:hAnsi="宋体" w:eastAsia="宋体"/>
          <w:b/>
          <w:bCs/>
          <w:color w:val="FF0000"/>
        </w:rPr>
      </w:pPr>
    </w:p>
    <w:p w14:paraId="0B227468">
      <w:pPr>
        <w:rPr>
          <w:rFonts w:ascii="宋体" w:hAnsi="宋体" w:eastAsia="宋体"/>
          <w:b/>
          <w:bCs/>
          <w:szCs w:val="21"/>
        </w:rPr>
      </w:pPr>
      <w:r>
        <w:rPr>
          <w:rFonts w:hint="eastAsia" w:ascii="宋体" w:hAnsi="宋体" w:eastAsia="宋体"/>
          <w:b/>
          <w:bCs/>
          <w:szCs w:val="21"/>
        </w:rPr>
        <w:t>附件1.统计上大中小微型企业划分标准</w:t>
      </w:r>
    </w:p>
    <w:p w14:paraId="03C689CE">
      <w:pPr>
        <w:rPr>
          <w:rFonts w:ascii="宋体" w:hAnsi="宋体" w:eastAsia="宋体"/>
          <w:sz w:val="18"/>
          <w:szCs w:val="15"/>
        </w:rPr>
      </w:pPr>
      <w:r>
        <w:rPr>
          <w:rFonts w:hint="eastAsia" w:ascii="宋体" w:hAnsi="宋体" w:eastAsia="宋体"/>
          <w:sz w:val="18"/>
          <w:szCs w:val="15"/>
        </w:rPr>
        <w:t>来源：国家统计局关于印发《统计上大中小微型企业划分办法（2017）》的通知（国统字〔2017〕213 号）</w:t>
      </w:r>
      <w:r>
        <w:fldChar w:fldCharType="begin"/>
      </w:r>
      <w:r>
        <w:instrText xml:space="preserve"> HYPERLINK "https://www.stats.gov.cn/xxgk/tjbz/gjtjbz/202008/t20200811_1782335.html" </w:instrText>
      </w:r>
      <w:r>
        <w:fldChar w:fldCharType="separate"/>
      </w:r>
      <w:r>
        <w:rPr>
          <w:rFonts w:hint="eastAsia" w:ascii="宋体" w:hAnsi="宋体" w:eastAsia="宋体"/>
          <w:sz w:val="18"/>
          <w:szCs w:val="15"/>
        </w:rPr>
        <w:t>https://www.stats.gov.cn/xxgk/tjbz/gjtjbz/202008/t20200811_1782335.html</w:t>
      </w:r>
      <w:r>
        <w:rPr>
          <w:rFonts w:hint="eastAsia" w:ascii="宋体" w:hAnsi="宋体" w:eastAsia="宋体"/>
          <w:sz w:val="18"/>
          <w:szCs w:val="15"/>
        </w:rPr>
        <w:fldChar w:fldCharType="end"/>
      </w:r>
    </w:p>
    <w:tbl>
      <w:tblPr>
        <w:tblStyle w:val="18"/>
        <w:tblW w:w="4998" w:type="pct"/>
        <w:jc w:val="center"/>
        <w:tblLayout w:type="autofit"/>
        <w:tblCellMar>
          <w:top w:w="0" w:type="dxa"/>
          <w:left w:w="108" w:type="dxa"/>
          <w:bottom w:w="0" w:type="dxa"/>
          <w:right w:w="108" w:type="dxa"/>
        </w:tblCellMar>
      </w:tblPr>
      <w:tblGrid>
        <w:gridCol w:w="1908"/>
        <w:gridCol w:w="1236"/>
        <w:gridCol w:w="639"/>
        <w:gridCol w:w="1016"/>
        <w:gridCol w:w="1536"/>
        <w:gridCol w:w="1288"/>
        <w:gridCol w:w="896"/>
      </w:tblGrid>
      <w:tr w14:paraId="2767ADD0">
        <w:tblPrEx>
          <w:tblCellMar>
            <w:top w:w="0" w:type="dxa"/>
            <w:left w:w="108" w:type="dxa"/>
            <w:bottom w:w="0" w:type="dxa"/>
            <w:right w:w="108" w:type="dxa"/>
          </w:tblCellMar>
        </w:tblPrEx>
        <w:trPr>
          <w:trHeight w:val="622" w:hRule="exact"/>
          <w:jc w:val="center"/>
        </w:trPr>
        <w:tc>
          <w:tcPr>
            <w:tcW w:w="1119" w:type="pct"/>
            <w:tcBorders>
              <w:top w:val="single" w:color="auto" w:sz="4" w:space="0"/>
              <w:left w:val="nil"/>
              <w:bottom w:val="single" w:color="auto" w:sz="4" w:space="0"/>
              <w:right w:val="single" w:color="auto" w:sz="4" w:space="0"/>
            </w:tcBorders>
            <w:shd w:val="clear" w:color="auto" w:fill="auto"/>
            <w:vAlign w:val="center"/>
          </w:tcPr>
          <w:p w14:paraId="76B3C900">
            <w:pPr>
              <w:spacing w:line="240" w:lineRule="exact"/>
              <w:jc w:val="center"/>
              <w:rPr>
                <w:rFonts w:ascii="宋体" w:hAnsi="宋体" w:cs="宋体"/>
                <w:b/>
                <w:bCs/>
                <w:color w:val="000000"/>
                <w:sz w:val="18"/>
                <w:szCs w:val="21"/>
              </w:rPr>
            </w:pPr>
            <w:r>
              <w:rPr>
                <w:rFonts w:hint="eastAsia" w:ascii="宋体" w:hAnsi="宋体" w:cs="宋体"/>
                <w:b/>
                <w:bCs/>
                <w:color w:val="000000"/>
                <w:sz w:val="18"/>
                <w:szCs w:val="21"/>
              </w:rPr>
              <w:t>行业名称</w:t>
            </w:r>
          </w:p>
        </w:tc>
        <w:tc>
          <w:tcPr>
            <w:tcW w:w="725" w:type="pct"/>
            <w:tcBorders>
              <w:top w:val="single" w:color="auto" w:sz="4" w:space="0"/>
              <w:left w:val="nil"/>
              <w:bottom w:val="single" w:color="auto" w:sz="4" w:space="0"/>
              <w:right w:val="single" w:color="auto" w:sz="4" w:space="0"/>
            </w:tcBorders>
            <w:shd w:val="clear" w:color="auto" w:fill="auto"/>
            <w:vAlign w:val="center"/>
          </w:tcPr>
          <w:p w14:paraId="363619D0">
            <w:pPr>
              <w:jc w:val="center"/>
              <w:rPr>
                <w:rFonts w:ascii="宋体" w:hAnsi="宋体" w:cs="宋体"/>
                <w:b/>
                <w:bCs/>
                <w:color w:val="000000"/>
                <w:sz w:val="18"/>
                <w:szCs w:val="18"/>
              </w:rPr>
            </w:pPr>
            <w:r>
              <w:rPr>
                <w:rFonts w:hint="eastAsia" w:ascii="宋体" w:hAnsi="宋体" w:cs="宋体"/>
                <w:b/>
                <w:bCs/>
                <w:color w:val="000000"/>
                <w:sz w:val="18"/>
                <w:szCs w:val="18"/>
              </w:rPr>
              <w:t>指标名称</w:t>
            </w:r>
          </w:p>
        </w:tc>
        <w:tc>
          <w:tcPr>
            <w:tcW w:w="375" w:type="pct"/>
            <w:tcBorders>
              <w:top w:val="single" w:color="auto" w:sz="4" w:space="0"/>
              <w:left w:val="nil"/>
              <w:bottom w:val="single" w:color="auto" w:sz="4" w:space="0"/>
              <w:right w:val="single" w:color="auto" w:sz="4" w:space="0"/>
            </w:tcBorders>
            <w:shd w:val="clear" w:color="auto" w:fill="auto"/>
            <w:vAlign w:val="center"/>
          </w:tcPr>
          <w:p w14:paraId="2D792FD8">
            <w:pPr>
              <w:jc w:val="center"/>
              <w:rPr>
                <w:rFonts w:ascii="宋体" w:hAnsi="宋体" w:cs="宋体"/>
                <w:b/>
                <w:bCs/>
                <w:color w:val="000000"/>
                <w:sz w:val="18"/>
                <w:szCs w:val="18"/>
              </w:rPr>
            </w:pPr>
            <w:r>
              <w:rPr>
                <w:rFonts w:hint="eastAsia" w:ascii="宋体" w:hAnsi="宋体" w:cs="宋体"/>
                <w:b/>
                <w:bCs/>
                <w:color w:val="000000"/>
                <w:sz w:val="18"/>
                <w:szCs w:val="18"/>
              </w:rPr>
              <w:t>计量</w:t>
            </w:r>
            <w:r>
              <w:rPr>
                <w:rFonts w:hint="eastAsia" w:ascii="宋体" w:hAnsi="宋体" w:cs="宋体"/>
                <w:b/>
                <w:bCs/>
                <w:color w:val="000000"/>
                <w:sz w:val="18"/>
                <w:szCs w:val="18"/>
              </w:rPr>
              <w:br w:type="textWrapping"/>
            </w:r>
            <w:r>
              <w:rPr>
                <w:rFonts w:hint="eastAsia" w:ascii="宋体" w:hAnsi="宋体" w:cs="宋体"/>
                <w:b/>
                <w:bCs/>
                <w:color w:val="000000"/>
                <w:sz w:val="18"/>
                <w:szCs w:val="18"/>
              </w:rPr>
              <w:t>单位</w:t>
            </w:r>
          </w:p>
        </w:tc>
        <w:tc>
          <w:tcPr>
            <w:tcW w:w="596" w:type="pct"/>
            <w:tcBorders>
              <w:top w:val="single" w:color="auto" w:sz="4" w:space="0"/>
              <w:left w:val="nil"/>
              <w:bottom w:val="single" w:color="auto" w:sz="4" w:space="0"/>
              <w:right w:val="single" w:color="auto" w:sz="4" w:space="0"/>
            </w:tcBorders>
            <w:shd w:val="clear" w:color="auto" w:fill="auto"/>
            <w:vAlign w:val="center"/>
          </w:tcPr>
          <w:p w14:paraId="7F08D2F5">
            <w:pPr>
              <w:jc w:val="center"/>
              <w:rPr>
                <w:rFonts w:ascii="宋体" w:hAnsi="宋体" w:cs="宋体"/>
                <w:b/>
                <w:bCs/>
                <w:color w:val="000000"/>
                <w:sz w:val="18"/>
                <w:szCs w:val="18"/>
              </w:rPr>
            </w:pPr>
            <w:r>
              <w:rPr>
                <w:rFonts w:hint="eastAsia" w:ascii="宋体" w:hAnsi="宋体" w:cs="宋体"/>
                <w:b/>
                <w:bCs/>
                <w:color w:val="000000"/>
                <w:sz w:val="18"/>
                <w:szCs w:val="18"/>
              </w:rPr>
              <w:t>大型</w:t>
            </w:r>
          </w:p>
        </w:tc>
        <w:tc>
          <w:tcPr>
            <w:tcW w:w="901" w:type="pct"/>
            <w:tcBorders>
              <w:top w:val="single" w:color="auto" w:sz="4" w:space="0"/>
              <w:left w:val="nil"/>
              <w:bottom w:val="single" w:color="auto" w:sz="4" w:space="0"/>
              <w:right w:val="single" w:color="auto" w:sz="4" w:space="0"/>
            </w:tcBorders>
            <w:shd w:val="clear" w:color="auto" w:fill="auto"/>
            <w:vAlign w:val="center"/>
          </w:tcPr>
          <w:p w14:paraId="7B929E8F">
            <w:pPr>
              <w:jc w:val="center"/>
              <w:rPr>
                <w:rFonts w:ascii="宋体" w:hAnsi="宋体" w:cs="宋体"/>
                <w:b/>
                <w:bCs/>
                <w:color w:val="000000"/>
                <w:sz w:val="18"/>
                <w:szCs w:val="18"/>
              </w:rPr>
            </w:pPr>
            <w:r>
              <w:rPr>
                <w:rFonts w:hint="eastAsia" w:ascii="宋体" w:hAnsi="宋体" w:cs="宋体"/>
                <w:b/>
                <w:bCs/>
                <w:color w:val="000000"/>
                <w:sz w:val="18"/>
                <w:szCs w:val="18"/>
              </w:rPr>
              <w:t>中型</w:t>
            </w:r>
          </w:p>
        </w:tc>
        <w:tc>
          <w:tcPr>
            <w:tcW w:w="755" w:type="pct"/>
            <w:tcBorders>
              <w:top w:val="single" w:color="auto" w:sz="4" w:space="0"/>
              <w:left w:val="nil"/>
              <w:bottom w:val="single" w:color="auto" w:sz="4" w:space="0"/>
              <w:right w:val="single" w:color="auto" w:sz="4" w:space="0"/>
            </w:tcBorders>
            <w:shd w:val="clear" w:color="auto" w:fill="auto"/>
            <w:vAlign w:val="center"/>
          </w:tcPr>
          <w:p w14:paraId="54E0E34A">
            <w:pPr>
              <w:jc w:val="center"/>
              <w:rPr>
                <w:rFonts w:ascii="宋体" w:hAnsi="宋体" w:cs="宋体"/>
                <w:b/>
                <w:bCs/>
                <w:color w:val="000000"/>
                <w:sz w:val="18"/>
                <w:szCs w:val="18"/>
              </w:rPr>
            </w:pPr>
            <w:r>
              <w:rPr>
                <w:rFonts w:hint="eastAsia" w:ascii="宋体" w:hAnsi="宋体" w:cs="宋体"/>
                <w:b/>
                <w:bCs/>
                <w:color w:val="000000"/>
                <w:sz w:val="18"/>
                <w:szCs w:val="18"/>
              </w:rPr>
              <w:t>小型</w:t>
            </w:r>
          </w:p>
        </w:tc>
        <w:tc>
          <w:tcPr>
            <w:tcW w:w="525" w:type="pct"/>
            <w:tcBorders>
              <w:top w:val="single" w:color="auto" w:sz="4" w:space="0"/>
              <w:left w:val="nil"/>
              <w:bottom w:val="single" w:color="auto" w:sz="4" w:space="0"/>
              <w:right w:val="nil"/>
            </w:tcBorders>
            <w:shd w:val="clear" w:color="auto" w:fill="auto"/>
            <w:vAlign w:val="center"/>
          </w:tcPr>
          <w:p w14:paraId="49A590F5">
            <w:pPr>
              <w:jc w:val="center"/>
              <w:rPr>
                <w:rFonts w:ascii="宋体" w:hAnsi="宋体" w:cs="宋体"/>
                <w:b/>
                <w:bCs/>
                <w:color w:val="000000"/>
                <w:sz w:val="18"/>
                <w:szCs w:val="18"/>
              </w:rPr>
            </w:pPr>
            <w:r>
              <w:rPr>
                <w:rFonts w:hint="eastAsia" w:ascii="宋体" w:hAnsi="宋体" w:cs="宋体"/>
                <w:b/>
                <w:bCs/>
                <w:color w:val="000000"/>
                <w:sz w:val="18"/>
                <w:szCs w:val="18"/>
              </w:rPr>
              <w:t>微型</w:t>
            </w:r>
          </w:p>
        </w:tc>
      </w:tr>
      <w:tr w14:paraId="06E67DC5">
        <w:tblPrEx>
          <w:tblCellMar>
            <w:top w:w="0" w:type="dxa"/>
            <w:left w:w="108" w:type="dxa"/>
            <w:bottom w:w="0" w:type="dxa"/>
            <w:right w:w="108" w:type="dxa"/>
          </w:tblCellMar>
        </w:tblPrEx>
        <w:trPr>
          <w:trHeight w:val="397" w:hRule="exact"/>
          <w:jc w:val="center"/>
        </w:trPr>
        <w:tc>
          <w:tcPr>
            <w:tcW w:w="1119" w:type="pct"/>
            <w:tcBorders>
              <w:top w:val="nil"/>
              <w:left w:val="nil"/>
              <w:bottom w:val="single" w:color="auto" w:sz="4" w:space="0"/>
              <w:right w:val="single" w:color="auto" w:sz="4" w:space="0"/>
            </w:tcBorders>
            <w:shd w:val="clear" w:color="auto" w:fill="auto"/>
            <w:vAlign w:val="center"/>
          </w:tcPr>
          <w:p w14:paraId="1E4A9504">
            <w:pPr>
              <w:spacing w:line="240" w:lineRule="exact"/>
              <w:rPr>
                <w:rFonts w:ascii="宋体" w:hAnsi="宋体" w:cs="宋体"/>
                <w:color w:val="000000"/>
                <w:sz w:val="18"/>
                <w:szCs w:val="18"/>
              </w:rPr>
            </w:pPr>
            <w:r>
              <w:rPr>
                <w:rFonts w:hint="eastAsia" w:ascii="宋体" w:hAnsi="宋体" w:cs="宋体"/>
                <w:color w:val="000000"/>
                <w:sz w:val="18"/>
                <w:szCs w:val="18"/>
              </w:rPr>
              <w:t>农、林、牧、渔业</w:t>
            </w:r>
          </w:p>
        </w:tc>
        <w:tc>
          <w:tcPr>
            <w:tcW w:w="725" w:type="pct"/>
            <w:tcBorders>
              <w:top w:val="nil"/>
              <w:left w:val="nil"/>
              <w:bottom w:val="single" w:color="auto" w:sz="4" w:space="0"/>
              <w:right w:val="single" w:color="auto" w:sz="4" w:space="0"/>
            </w:tcBorders>
            <w:shd w:val="clear" w:color="auto" w:fill="auto"/>
            <w:vAlign w:val="center"/>
          </w:tcPr>
          <w:p w14:paraId="58655A90">
            <w:pPr>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3F106CD8">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1746A320">
            <w:pPr>
              <w:jc w:val="center"/>
              <w:rPr>
                <w:rFonts w:ascii="宋体" w:hAnsi="宋体" w:cs="宋体"/>
                <w:color w:val="000000"/>
                <w:sz w:val="18"/>
                <w:szCs w:val="18"/>
              </w:rPr>
            </w:pPr>
            <w:r>
              <w:rPr>
                <w:rFonts w:hint="eastAsia" w:ascii="宋体" w:hAnsi="宋体" w:cs="宋体"/>
                <w:color w:val="000000"/>
                <w:sz w:val="18"/>
                <w:szCs w:val="18"/>
              </w:rPr>
              <w:t>Y≥20000</w:t>
            </w:r>
          </w:p>
        </w:tc>
        <w:tc>
          <w:tcPr>
            <w:tcW w:w="901" w:type="pct"/>
            <w:tcBorders>
              <w:top w:val="nil"/>
              <w:left w:val="nil"/>
              <w:bottom w:val="single" w:color="auto" w:sz="4" w:space="0"/>
              <w:right w:val="single" w:color="auto" w:sz="4" w:space="0"/>
            </w:tcBorders>
            <w:shd w:val="clear" w:color="auto" w:fill="auto"/>
            <w:vAlign w:val="center"/>
          </w:tcPr>
          <w:p w14:paraId="49DAE89B">
            <w:pPr>
              <w:jc w:val="center"/>
              <w:rPr>
                <w:rFonts w:ascii="宋体" w:hAnsi="宋体" w:cs="宋体"/>
                <w:color w:val="000000"/>
                <w:sz w:val="18"/>
                <w:szCs w:val="18"/>
              </w:rPr>
            </w:pPr>
            <w:r>
              <w:rPr>
                <w:rFonts w:hint="eastAsia" w:ascii="宋体" w:hAnsi="宋体" w:cs="宋体"/>
                <w:color w:val="000000"/>
                <w:sz w:val="18"/>
                <w:szCs w:val="18"/>
              </w:rPr>
              <w:t xml:space="preserve"> 500≤Y＜20000</w:t>
            </w:r>
          </w:p>
        </w:tc>
        <w:tc>
          <w:tcPr>
            <w:tcW w:w="755" w:type="pct"/>
            <w:tcBorders>
              <w:top w:val="nil"/>
              <w:left w:val="nil"/>
              <w:bottom w:val="single" w:color="auto" w:sz="4" w:space="0"/>
              <w:right w:val="single" w:color="auto" w:sz="4" w:space="0"/>
            </w:tcBorders>
            <w:shd w:val="clear" w:color="auto" w:fill="auto"/>
            <w:vAlign w:val="center"/>
          </w:tcPr>
          <w:p w14:paraId="06C20ACB">
            <w:pPr>
              <w:jc w:val="center"/>
              <w:rPr>
                <w:rFonts w:ascii="宋体" w:hAnsi="宋体" w:cs="宋体"/>
                <w:color w:val="000000"/>
                <w:sz w:val="18"/>
                <w:szCs w:val="18"/>
              </w:rPr>
            </w:pPr>
            <w:r>
              <w:rPr>
                <w:rFonts w:hint="eastAsia" w:ascii="宋体" w:hAnsi="宋体" w:cs="宋体"/>
                <w:color w:val="000000"/>
                <w:sz w:val="18"/>
                <w:szCs w:val="18"/>
              </w:rPr>
              <w:t xml:space="preserve"> 50≤Y＜500</w:t>
            </w:r>
          </w:p>
        </w:tc>
        <w:tc>
          <w:tcPr>
            <w:tcW w:w="525" w:type="pct"/>
            <w:tcBorders>
              <w:top w:val="nil"/>
              <w:left w:val="nil"/>
              <w:bottom w:val="single" w:color="auto" w:sz="4" w:space="0"/>
              <w:right w:val="nil"/>
            </w:tcBorders>
            <w:shd w:val="clear" w:color="auto" w:fill="auto"/>
            <w:vAlign w:val="center"/>
          </w:tcPr>
          <w:p w14:paraId="4A581E97">
            <w:pPr>
              <w:jc w:val="center"/>
              <w:rPr>
                <w:rFonts w:ascii="宋体" w:hAnsi="宋体" w:cs="宋体"/>
                <w:color w:val="000000"/>
                <w:sz w:val="18"/>
                <w:szCs w:val="18"/>
              </w:rPr>
            </w:pPr>
            <w:r>
              <w:rPr>
                <w:rFonts w:hint="eastAsia" w:ascii="宋体" w:hAnsi="宋体" w:cs="宋体"/>
                <w:color w:val="000000"/>
                <w:sz w:val="18"/>
                <w:szCs w:val="18"/>
              </w:rPr>
              <w:t>Y＜50</w:t>
            </w:r>
          </w:p>
        </w:tc>
      </w:tr>
      <w:tr w14:paraId="37584D36">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1146CCC8">
            <w:pPr>
              <w:spacing w:line="240" w:lineRule="exact"/>
              <w:rPr>
                <w:rFonts w:ascii="宋体" w:hAnsi="宋体" w:cs="宋体"/>
                <w:color w:val="000000"/>
                <w:sz w:val="18"/>
                <w:szCs w:val="18"/>
              </w:rPr>
            </w:pPr>
            <w:r>
              <w:rPr>
                <w:rFonts w:hint="eastAsia" w:ascii="宋体" w:hAnsi="宋体" w:cs="宋体"/>
                <w:color w:val="000000"/>
                <w:sz w:val="18"/>
                <w:szCs w:val="18"/>
              </w:rPr>
              <w:t>工业 *</w:t>
            </w:r>
          </w:p>
        </w:tc>
        <w:tc>
          <w:tcPr>
            <w:tcW w:w="725" w:type="pct"/>
            <w:tcBorders>
              <w:top w:val="nil"/>
              <w:left w:val="nil"/>
              <w:bottom w:val="nil"/>
              <w:right w:val="single" w:color="auto" w:sz="4" w:space="0"/>
            </w:tcBorders>
            <w:shd w:val="clear" w:color="auto" w:fill="auto"/>
            <w:vAlign w:val="center"/>
          </w:tcPr>
          <w:p w14:paraId="35C3A263">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2E2F64DE">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7ADC0BFF">
            <w:pPr>
              <w:jc w:val="center"/>
              <w:rPr>
                <w:rFonts w:ascii="宋体" w:hAnsi="宋体" w:cs="宋体"/>
                <w:color w:val="000000"/>
                <w:sz w:val="18"/>
                <w:szCs w:val="18"/>
              </w:rPr>
            </w:pPr>
            <w:r>
              <w:rPr>
                <w:rFonts w:hint="eastAsia" w:ascii="宋体" w:hAnsi="宋体" w:cs="宋体"/>
                <w:color w:val="000000"/>
                <w:sz w:val="18"/>
                <w:szCs w:val="18"/>
              </w:rPr>
              <w:t>X≥1000</w:t>
            </w:r>
          </w:p>
        </w:tc>
        <w:tc>
          <w:tcPr>
            <w:tcW w:w="901" w:type="pct"/>
            <w:tcBorders>
              <w:top w:val="nil"/>
              <w:left w:val="nil"/>
              <w:bottom w:val="nil"/>
              <w:right w:val="single" w:color="auto" w:sz="4" w:space="0"/>
            </w:tcBorders>
            <w:shd w:val="clear" w:color="auto" w:fill="auto"/>
            <w:vAlign w:val="center"/>
          </w:tcPr>
          <w:p w14:paraId="52D20569">
            <w:pPr>
              <w:jc w:val="center"/>
              <w:rPr>
                <w:rFonts w:ascii="宋体" w:hAnsi="宋体" w:cs="宋体"/>
                <w:color w:val="000000"/>
                <w:sz w:val="18"/>
                <w:szCs w:val="18"/>
              </w:rPr>
            </w:pPr>
            <w:r>
              <w:rPr>
                <w:rFonts w:hint="eastAsia" w:ascii="宋体" w:hAnsi="宋体" w:cs="宋体"/>
                <w:color w:val="000000"/>
                <w:sz w:val="18"/>
                <w:szCs w:val="18"/>
              </w:rPr>
              <w:t>300≤X＜1000</w:t>
            </w:r>
          </w:p>
        </w:tc>
        <w:tc>
          <w:tcPr>
            <w:tcW w:w="755" w:type="pct"/>
            <w:tcBorders>
              <w:top w:val="nil"/>
              <w:left w:val="nil"/>
              <w:bottom w:val="nil"/>
              <w:right w:val="single" w:color="auto" w:sz="4" w:space="0"/>
            </w:tcBorders>
            <w:shd w:val="clear" w:color="auto" w:fill="auto"/>
            <w:vAlign w:val="center"/>
          </w:tcPr>
          <w:p w14:paraId="6C341320">
            <w:pPr>
              <w:jc w:val="center"/>
              <w:rPr>
                <w:rFonts w:ascii="宋体" w:hAnsi="宋体" w:cs="宋体"/>
                <w:color w:val="000000"/>
                <w:sz w:val="18"/>
                <w:szCs w:val="18"/>
              </w:rPr>
            </w:pPr>
            <w:r>
              <w:rPr>
                <w:rFonts w:hint="eastAsia" w:ascii="宋体" w:hAnsi="宋体" w:cs="宋体"/>
                <w:color w:val="000000"/>
                <w:sz w:val="18"/>
                <w:szCs w:val="18"/>
              </w:rPr>
              <w:t xml:space="preserve"> 20≤X＜300</w:t>
            </w:r>
          </w:p>
        </w:tc>
        <w:tc>
          <w:tcPr>
            <w:tcW w:w="525" w:type="pct"/>
            <w:tcBorders>
              <w:top w:val="nil"/>
              <w:left w:val="nil"/>
              <w:bottom w:val="nil"/>
              <w:right w:val="nil"/>
            </w:tcBorders>
            <w:shd w:val="clear" w:color="auto" w:fill="auto"/>
            <w:vAlign w:val="center"/>
          </w:tcPr>
          <w:p w14:paraId="0462CE62">
            <w:pPr>
              <w:jc w:val="center"/>
              <w:rPr>
                <w:rFonts w:ascii="宋体" w:hAnsi="宋体" w:cs="宋体"/>
                <w:color w:val="000000"/>
                <w:sz w:val="18"/>
                <w:szCs w:val="18"/>
              </w:rPr>
            </w:pPr>
            <w:r>
              <w:rPr>
                <w:rFonts w:hint="eastAsia" w:ascii="宋体" w:hAnsi="宋体" w:cs="宋体"/>
                <w:color w:val="000000"/>
                <w:sz w:val="18"/>
                <w:szCs w:val="18"/>
              </w:rPr>
              <w:t>X＜20</w:t>
            </w:r>
          </w:p>
        </w:tc>
      </w:tr>
      <w:tr w14:paraId="3D51708A">
        <w:tblPrEx>
          <w:tblCellMar>
            <w:top w:w="0" w:type="dxa"/>
            <w:left w:w="108" w:type="dxa"/>
            <w:bottom w:w="0" w:type="dxa"/>
            <w:right w:w="108" w:type="dxa"/>
          </w:tblCellMar>
        </w:tblPrEx>
        <w:trPr>
          <w:trHeight w:val="513" w:hRule="exact"/>
          <w:jc w:val="center"/>
        </w:trPr>
        <w:tc>
          <w:tcPr>
            <w:tcW w:w="1119" w:type="pct"/>
            <w:vMerge w:val="continue"/>
            <w:tcBorders>
              <w:top w:val="nil"/>
              <w:left w:val="nil"/>
              <w:bottom w:val="single" w:color="auto" w:sz="4" w:space="0"/>
              <w:right w:val="single" w:color="auto" w:sz="4" w:space="0"/>
            </w:tcBorders>
            <w:vAlign w:val="center"/>
          </w:tcPr>
          <w:p w14:paraId="2225C670">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73F00572">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17EEF3E8">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5634F7F1">
            <w:pPr>
              <w:jc w:val="center"/>
              <w:rPr>
                <w:rFonts w:ascii="宋体" w:hAnsi="宋体" w:cs="宋体"/>
                <w:color w:val="000000"/>
                <w:sz w:val="18"/>
                <w:szCs w:val="18"/>
              </w:rPr>
            </w:pPr>
            <w:r>
              <w:rPr>
                <w:rFonts w:hint="eastAsia" w:ascii="宋体" w:hAnsi="宋体" w:cs="宋体"/>
                <w:color w:val="000000"/>
                <w:sz w:val="18"/>
                <w:szCs w:val="18"/>
              </w:rPr>
              <w:t>Y≥40000</w:t>
            </w:r>
          </w:p>
        </w:tc>
        <w:tc>
          <w:tcPr>
            <w:tcW w:w="901" w:type="pct"/>
            <w:tcBorders>
              <w:top w:val="nil"/>
              <w:left w:val="nil"/>
              <w:bottom w:val="single" w:color="auto" w:sz="4" w:space="0"/>
              <w:right w:val="single" w:color="auto" w:sz="4" w:space="0"/>
            </w:tcBorders>
            <w:shd w:val="clear" w:color="auto" w:fill="auto"/>
            <w:vAlign w:val="center"/>
          </w:tcPr>
          <w:p w14:paraId="72A1DCB8">
            <w:pPr>
              <w:jc w:val="center"/>
              <w:rPr>
                <w:rFonts w:ascii="宋体" w:hAnsi="宋体" w:cs="宋体"/>
                <w:color w:val="000000"/>
                <w:sz w:val="18"/>
                <w:szCs w:val="18"/>
              </w:rPr>
            </w:pPr>
            <w:r>
              <w:rPr>
                <w:rFonts w:hint="eastAsia" w:ascii="宋体" w:hAnsi="宋体" w:cs="宋体"/>
                <w:color w:val="000000"/>
                <w:sz w:val="18"/>
                <w:szCs w:val="18"/>
              </w:rPr>
              <w:t>2000≤Y＜40000</w:t>
            </w:r>
          </w:p>
        </w:tc>
        <w:tc>
          <w:tcPr>
            <w:tcW w:w="755" w:type="pct"/>
            <w:tcBorders>
              <w:top w:val="nil"/>
              <w:left w:val="nil"/>
              <w:bottom w:val="single" w:color="auto" w:sz="4" w:space="0"/>
              <w:right w:val="single" w:color="auto" w:sz="4" w:space="0"/>
            </w:tcBorders>
            <w:shd w:val="clear" w:color="auto" w:fill="auto"/>
            <w:vAlign w:val="center"/>
          </w:tcPr>
          <w:p w14:paraId="31E39DA1">
            <w:pPr>
              <w:jc w:val="center"/>
              <w:rPr>
                <w:rFonts w:ascii="宋体" w:hAnsi="宋体" w:cs="宋体"/>
                <w:color w:val="000000"/>
                <w:sz w:val="18"/>
                <w:szCs w:val="18"/>
              </w:rPr>
            </w:pPr>
            <w:r>
              <w:rPr>
                <w:rFonts w:hint="eastAsia" w:ascii="宋体" w:hAnsi="宋体" w:cs="宋体"/>
                <w:color w:val="000000"/>
                <w:sz w:val="18"/>
                <w:szCs w:val="18"/>
              </w:rPr>
              <w:t xml:space="preserve"> 300≤Y＜2000</w:t>
            </w:r>
          </w:p>
        </w:tc>
        <w:tc>
          <w:tcPr>
            <w:tcW w:w="525" w:type="pct"/>
            <w:tcBorders>
              <w:top w:val="nil"/>
              <w:left w:val="nil"/>
              <w:bottom w:val="single" w:color="auto" w:sz="4" w:space="0"/>
              <w:right w:val="nil"/>
            </w:tcBorders>
            <w:shd w:val="clear" w:color="auto" w:fill="auto"/>
            <w:vAlign w:val="center"/>
          </w:tcPr>
          <w:p w14:paraId="2654F2C9">
            <w:pPr>
              <w:jc w:val="center"/>
              <w:rPr>
                <w:rFonts w:ascii="宋体" w:hAnsi="宋体" w:cs="宋体"/>
                <w:color w:val="000000"/>
                <w:sz w:val="18"/>
                <w:szCs w:val="18"/>
              </w:rPr>
            </w:pPr>
            <w:r>
              <w:rPr>
                <w:rFonts w:hint="eastAsia" w:ascii="宋体" w:hAnsi="宋体" w:cs="宋体"/>
                <w:color w:val="000000"/>
                <w:sz w:val="18"/>
                <w:szCs w:val="18"/>
              </w:rPr>
              <w:t>Y＜300</w:t>
            </w:r>
          </w:p>
        </w:tc>
      </w:tr>
      <w:tr w14:paraId="620FC4F5">
        <w:tblPrEx>
          <w:tblCellMar>
            <w:top w:w="0" w:type="dxa"/>
            <w:left w:w="108" w:type="dxa"/>
            <w:bottom w:w="0" w:type="dxa"/>
            <w:right w:w="108" w:type="dxa"/>
          </w:tblCellMar>
        </w:tblPrEx>
        <w:trPr>
          <w:trHeight w:val="465"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5A40ACF3">
            <w:pPr>
              <w:spacing w:line="240" w:lineRule="exact"/>
              <w:rPr>
                <w:rFonts w:ascii="宋体" w:hAnsi="宋体" w:cs="宋体"/>
                <w:color w:val="000000"/>
                <w:sz w:val="18"/>
                <w:szCs w:val="18"/>
              </w:rPr>
            </w:pPr>
            <w:r>
              <w:rPr>
                <w:rFonts w:hint="eastAsia" w:ascii="宋体" w:hAnsi="宋体" w:cs="宋体"/>
                <w:color w:val="000000"/>
                <w:sz w:val="18"/>
                <w:szCs w:val="18"/>
              </w:rPr>
              <w:t>建筑业</w:t>
            </w:r>
          </w:p>
        </w:tc>
        <w:tc>
          <w:tcPr>
            <w:tcW w:w="725" w:type="pct"/>
            <w:tcBorders>
              <w:top w:val="nil"/>
              <w:left w:val="nil"/>
              <w:bottom w:val="nil"/>
              <w:right w:val="single" w:color="auto" w:sz="4" w:space="0"/>
            </w:tcBorders>
            <w:shd w:val="clear" w:color="auto" w:fill="auto"/>
            <w:vAlign w:val="center"/>
          </w:tcPr>
          <w:p w14:paraId="22C2432A">
            <w:pPr>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nil"/>
              <w:right w:val="single" w:color="auto" w:sz="4" w:space="0"/>
            </w:tcBorders>
            <w:shd w:val="clear" w:color="auto" w:fill="auto"/>
            <w:vAlign w:val="center"/>
          </w:tcPr>
          <w:p w14:paraId="36388E88">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nil"/>
              <w:right w:val="single" w:color="auto" w:sz="4" w:space="0"/>
            </w:tcBorders>
            <w:shd w:val="clear" w:color="auto" w:fill="auto"/>
            <w:vAlign w:val="center"/>
          </w:tcPr>
          <w:p w14:paraId="41EBCFBB">
            <w:pPr>
              <w:jc w:val="center"/>
              <w:rPr>
                <w:rFonts w:ascii="宋体" w:hAnsi="宋体" w:cs="宋体"/>
                <w:color w:val="000000"/>
                <w:sz w:val="18"/>
                <w:szCs w:val="18"/>
              </w:rPr>
            </w:pPr>
            <w:r>
              <w:rPr>
                <w:rFonts w:hint="eastAsia" w:ascii="宋体" w:hAnsi="宋体" w:cs="宋体"/>
                <w:color w:val="000000"/>
                <w:sz w:val="18"/>
                <w:szCs w:val="18"/>
              </w:rPr>
              <w:t>Y≥80000</w:t>
            </w:r>
          </w:p>
        </w:tc>
        <w:tc>
          <w:tcPr>
            <w:tcW w:w="901" w:type="pct"/>
            <w:tcBorders>
              <w:top w:val="nil"/>
              <w:left w:val="nil"/>
              <w:bottom w:val="nil"/>
              <w:right w:val="single" w:color="auto" w:sz="4" w:space="0"/>
            </w:tcBorders>
            <w:shd w:val="clear" w:color="auto" w:fill="auto"/>
            <w:vAlign w:val="center"/>
          </w:tcPr>
          <w:p w14:paraId="3013AC38">
            <w:pPr>
              <w:jc w:val="center"/>
              <w:rPr>
                <w:rFonts w:ascii="宋体" w:hAnsi="宋体" w:cs="宋体"/>
                <w:color w:val="000000"/>
                <w:sz w:val="18"/>
                <w:szCs w:val="18"/>
              </w:rPr>
            </w:pPr>
            <w:r>
              <w:rPr>
                <w:rFonts w:hint="eastAsia" w:ascii="宋体" w:hAnsi="宋体" w:cs="宋体"/>
                <w:color w:val="000000"/>
                <w:sz w:val="18"/>
                <w:szCs w:val="18"/>
              </w:rPr>
              <w:t>6000≤Y＜80000</w:t>
            </w:r>
          </w:p>
        </w:tc>
        <w:tc>
          <w:tcPr>
            <w:tcW w:w="755" w:type="pct"/>
            <w:tcBorders>
              <w:top w:val="nil"/>
              <w:left w:val="nil"/>
              <w:bottom w:val="nil"/>
              <w:right w:val="single" w:color="auto" w:sz="4" w:space="0"/>
            </w:tcBorders>
            <w:shd w:val="clear" w:color="auto" w:fill="auto"/>
            <w:vAlign w:val="center"/>
          </w:tcPr>
          <w:p w14:paraId="293566D6">
            <w:pPr>
              <w:jc w:val="center"/>
              <w:rPr>
                <w:rFonts w:ascii="宋体" w:hAnsi="宋体" w:cs="宋体"/>
                <w:color w:val="000000"/>
                <w:sz w:val="18"/>
                <w:szCs w:val="18"/>
              </w:rPr>
            </w:pPr>
            <w:r>
              <w:rPr>
                <w:rFonts w:hint="eastAsia" w:ascii="宋体" w:hAnsi="宋体" w:cs="宋体"/>
                <w:color w:val="000000"/>
                <w:sz w:val="18"/>
                <w:szCs w:val="18"/>
              </w:rPr>
              <w:t xml:space="preserve"> 300≤Y＜6000</w:t>
            </w:r>
          </w:p>
        </w:tc>
        <w:tc>
          <w:tcPr>
            <w:tcW w:w="525" w:type="pct"/>
            <w:tcBorders>
              <w:top w:val="nil"/>
              <w:left w:val="nil"/>
              <w:bottom w:val="nil"/>
              <w:right w:val="nil"/>
            </w:tcBorders>
            <w:shd w:val="clear" w:color="auto" w:fill="auto"/>
            <w:vAlign w:val="center"/>
          </w:tcPr>
          <w:p w14:paraId="0FD6207F">
            <w:pPr>
              <w:jc w:val="center"/>
              <w:rPr>
                <w:rFonts w:ascii="宋体" w:hAnsi="宋体" w:cs="宋体"/>
                <w:color w:val="000000"/>
                <w:sz w:val="18"/>
                <w:szCs w:val="18"/>
              </w:rPr>
            </w:pPr>
            <w:r>
              <w:rPr>
                <w:rFonts w:hint="eastAsia" w:ascii="宋体" w:hAnsi="宋体" w:cs="宋体"/>
                <w:color w:val="000000"/>
                <w:sz w:val="18"/>
                <w:szCs w:val="18"/>
              </w:rPr>
              <w:t>Y＜300</w:t>
            </w:r>
          </w:p>
        </w:tc>
      </w:tr>
      <w:tr w14:paraId="26DD693E">
        <w:tblPrEx>
          <w:tblCellMar>
            <w:top w:w="0" w:type="dxa"/>
            <w:left w:w="108" w:type="dxa"/>
            <w:bottom w:w="0" w:type="dxa"/>
            <w:right w:w="108" w:type="dxa"/>
          </w:tblCellMar>
        </w:tblPrEx>
        <w:trPr>
          <w:trHeight w:val="483" w:hRule="exact"/>
          <w:jc w:val="center"/>
        </w:trPr>
        <w:tc>
          <w:tcPr>
            <w:tcW w:w="1119" w:type="pct"/>
            <w:vMerge w:val="continue"/>
            <w:tcBorders>
              <w:top w:val="nil"/>
              <w:left w:val="nil"/>
              <w:bottom w:val="single" w:color="auto" w:sz="4" w:space="0"/>
              <w:right w:val="single" w:color="auto" w:sz="4" w:space="0"/>
            </w:tcBorders>
            <w:vAlign w:val="center"/>
          </w:tcPr>
          <w:p w14:paraId="0A93CBF2">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6115F845">
            <w:pPr>
              <w:spacing w:line="240" w:lineRule="exact"/>
              <w:jc w:val="center"/>
              <w:rPr>
                <w:rFonts w:ascii="宋体" w:hAnsi="宋体" w:cs="宋体"/>
                <w:color w:val="000000"/>
                <w:sz w:val="18"/>
                <w:szCs w:val="18"/>
              </w:rPr>
            </w:pPr>
            <w:r>
              <w:rPr>
                <w:rFonts w:hint="eastAsia" w:ascii="宋体" w:hAnsi="宋体" w:cs="宋体"/>
                <w:color w:val="000000"/>
                <w:sz w:val="18"/>
                <w:szCs w:val="18"/>
              </w:rPr>
              <w:t>资产总额(Z)</w:t>
            </w:r>
          </w:p>
        </w:tc>
        <w:tc>
          <w:tcPr>
            <w:tcW w:w="375" w:type="pct"/>
            <w:tcBorders>
              <w:top w:val="nil"/>
              <w:left w:val="nil"/>
              <w:bottom w:val="single" w:color="auto" w:sz="4" w:space="0"/>
              <w:right w:val="single" w:color="auto" w:sz="4" w:space="0"/>
            </w:tcBorders>
            <w:shd w:val="clear" w:color="auto" w:fill="auto"/>
            <w:vAlign w:val="center"/>
          </w:tcPr>
          <w:p w14:paraId="3186C9EA">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3636EFCC">
            <w:pPr>
              <w:jc w:val="center"/>
              <w:rPr>
                <w:rFonts w:ascii="宋体" w:hAnsi="宋体" w:cs="宋体"/>
                <w:color w:val="000000"/>
                <w:sz w:val="18"/>
                <w:szCs w:val="18"/>
              </w:rPr>
            </w:pPr>
            <w:r>
              <w:rPr>
                <w:rFonts w:hint="eastAsia" w:ascii="宋体" w:hAnsi="宋体" w:cs="宋体"/>
                <w:color w:val="000000"/>
                <w:sz w:val="18"/>
                <w:szCs w:val="18"/>
              </w:rPr>
              <w:t>Z≥80000</w:t>
            </w:r>
          </w:p>
        </w:tc>
        <w:tc>
          <w:tcPr>
            <w:tcW w:w="901" w:type="pct"/>
            <w:tcBorders>
              <w:top w:val="nil"/>
              <w:left w:val="nil"/>
              <w:bottom w:val="single" w:color="auto" w:sz="4" w:space="0"/>
              <w:right w:val="single" w:color="auto" w:sz="4" w:space="0"/>
            </w:tcBorders>
            <w:shd w:val="clear" w:color="auto" w:fill="auto"/>
            <w:vAlign w:val="center"/>
          </w:tcPr>
          <w:p w14:paraId="40159843">
            <w:pPr>
              <w:jc w:val="center"/>
              <w:rPr>
                <w:rFonts w:ascii="宋体" w:hAnsi="宋体" w:cs="宋体"/>
                <w:color w:val="000000"/>
                <w:sz w:val="18"/>
                <w:szCs w:val="18"/>
              </w:rPr>
            </w:pPr>
            <w:r>
              <w:rPr>
                <w:rFonts w:hint="eastAsia" w:ascii="宋体" w:hAnsi="宋体" w:cs="宋体"/>
                <w:color w:val="000000"/>
                <w:sz w:val="18"/>
                <w:szCs w:val="18"/>
              </w:rPr>
              <w:t>5000≤Z＜80000</w:t>
            </w:r>
          </w:p>
        </w:tc>
        <w:tc>
          <w:tcPr>
            <w:tcW w:w="755" w:type="pct"/>
            <w:tcBorders>
              <w:top w:val="nil"/>
              <w:left w:val="nil"/>
              <w:bottom w:val="single" w:color="auto" w:sz="4" w:space="0"/>
              <w:right w:val="single" w:color="auto" w:sz="4" w:space="0"/>
            </w:tcBorders>
            <w:shd w:val="clear" w:color="auto" w:fill="auto"/>
            <w:vAlign w:val="center"/>
          </w:tcPr>
          <w:p w14:paraId="0CE7EB12">
            <w:pPr>
              <w:jc w:val="center"/>
              <w:rPr>
                <w:rFonts w:ascii="宋体" w:hAnsi="宋体" w:cs="宋体"/>
                <w:color w:val="000000"/>
                <w:sz w:val="18"/>
                <w:szCs w:val="18"/>
              </w:rPr>
            </w:pPr>
            <w:r>
              <w:rPr>
                <w:rFonts w:hint="eastAsia" w:ascii="宋体" w:hAnsi="宋体" w:cs="宋体"/>
                <w:color w:val="000000"/>
                <w:sz w:val="18"/>
                <w:szCs w:val="18"/>
              </w:rPr>
              <w:t xml:space="preserve"> 300≤Z＜5000</w:t>
            </w:r>
          </w:p>
        </w:tc>
        <w:tc>
          <w:tcPr>
            <w:tcW w:w="525" w:type="pct"/>
            <w:tcBorders>
              <w:top w:val="nil"/>
              <w:left w:val="nil"/>
              <w:bottom w:val="single" w:color="auto" w:sz="4" w:space="0"/>
              <w:right w:val="nil"/>
            </w:tcBorders>
            <w:shd w:val="clear" w:color="auto" w:fill="auto"/>
            <w:vAlign w:val="center"/>
          </w:tcPr>
          <w:p w14:paraId="405E6DA8">
            <w:pPr>
              <w:jc w:val="center"/>
              <w:rPr>
                <w:rFonts w:ascii="宋体" w:hAnsi="宋体" w:cs="宋体"/>
                <w:color w:val="000000"/>
                <w:sz w:val="18"/>
                <w:szCs w:val="18"/>
              </w:rPr>
            </w:pPr>
            <w:r>
              <w:rPr>
                <w:rFonts w:hint="eastAsia" w:ascii="宋体" w:hAnsi="宋体" w:cs="宋体"/>
                <w:color w:val="000000"/>
                <w:sz w:val="18"/>
                <w:szCs w:val="18"/>
              </w:rPr>
              <w:t>Z＜300</w:t>
            </w:r>
          </w:p>
        </w:tc>
      </w:tr>
      <w:tr w14:paraId="290EEEC2">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0D85AEEC">
            <w:pPr>
              <w:spacing w:line="240" w:lineRule="exact"/>
              <w:rPr>
                <w:rFonts w:ascii="宋体" w:hAnsi="宋体" w:cs="宋体"/>
                <w:color w:val="000000"/>
                <w:sz w:val="18"/>
                <w:szCs w:val="18"/>
              </w:rPr>
            </w:pPr>
            <w:r>
              <w:rPr>
                <w:rFonts w:hint="eastAsia" w:ascii="宋体" w:hAnsi="宋体" w:cs="宋体"/>
                <w:color w:val="000000"/>
                <w:sz w:val="18"/>
                <w:szCs w:val="18"/>
              </w:rPr>
              <w:t>批发业</w:t>
            </w:r>
          </w:p>
        </w:tc>
        <w:tc>
          <w:tcPr>
            <w:tcW w:w="725" w:type="pct"/>
            <w:tcBorders>
              <w:top w:val="nil"/>
              <w:left w:val="nil"/>
              <w:bottom w:val="nil"/>
              <w:right w:val="single" w:color="auto" w:sz="4" w:space="0"/>
            </w:tcBorders>
            <w:shd w:val="clear" w:color="auto" w:fill="auto"/>
            <w:vAlign w:val="center"/>
          </w:tcPr>
          <w:p w14:paraId="1E12E71F">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6ECFAC31">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037176DC">
            <w:pPr>
              <w:jc w:val="center"/>
              <w:rPr>
                <w:rFonts w:ascii="宋体" w:hAnsi="宋体" w:cs="宋体"/>
                <w:color w:val="000000"/>
                <w:sz w:val="18"/>
                <w:szCs w:val="18"/>
              </w:rPr>
            </w:pPr>
            <w:r>
              <w:rPr>
                <w:rFonts w:hint="eastAsia" w:ascii="宋体" w:hAnsi="宋体" w:cs="宋体"/>
                <w:color w:val="000000"/>
                <w:sz w:val="18"/>
                <w:szCs w:val="18"/>
              </w:rPr>
              <w:t>X≥200</w:t>
            </w:r>
          </w:p>
        </w:tc>
        <w:tc>
          <w:tcPr>
            <w:tcW w:w="901" w:type="pct"/>
            <w:tcBorders>
              <w:top w:val="nil"/>
              <w:left w:val="nil"/>
              <w:bottom w:val="nil"/>
              <w:right w:val="single" w:color="auto" w:sz="4" w:space="0"/>
            </w:tcBorders>
            <w:shd w:val="clear" w:color="auto" w:fill="auto"/>
            <w:vAlign w:val="center"/>
          </w:tcPr>
          <w:p w14:paraId="42828F5C">
            <w:pPr>
              <w:jc w:val="center"/>
              <w:rPr>
                <w:rFonts w:ascii="宋体" w:hAnsi="宋体" w:cs="宋体"/>
                <w:color w:val="000000"/>
                <w:sz w:val="18"/>
                <w:szCs w:val="18"/>
              </w:rPr>
            </w:pPr>
            <w:r>
              <w:rPr>
                <w:rFonts w:hint="eastAsia" w:ascii="宋体" w:hAnsi="宋体" w:cs="宋体"/>
                <w:color w:val="000000"/>
                <w:sz w:val="18"/>
                <w:szCs w:val="18"/>
              </w:rPr>
              <w:t>20≤X＜200</w:t>
            </w:r>
          </w:p>
        </w:tc>
        <w:tc>
          <w:tcPr>
            <w:tcW w:w="755" w:type="pct"/>
            <w:tcBorders>
              <w:top w:val="nil"/>
              <w:left w:val="nil"/>
              <w:bottom w:val="nil"/>
              <w:right w:val="single" w:color="auto" w:sz="4" w:space="0"/>
            </w:tcBorders>
            <w:shd w:val="clear" w:color="auto" w:fill="auto"/>
            <w:vAlign w:val="center"/>
          </w:tcPr>
          <w:p w14:paraId="7465D584">
            <w:pPr>
              <w:jc w:val="center"/>
              <w:rPr>
                <w:rFonts w:ascii="宋体" w:hAnsi="宋体" w:cs="宋体"/>
                <w:color w:val="000000"/>
                <w:sz w:val="18"/>
                <w:szCs w:val="18"/>
              </w:rPr>
            </w:pPr>
            <w:r>
              <w:rPr>
                <w:rFonts w:hint="eastAsia" w:ascii="宋体" w:hAnsi="宋体" w:cs="宋体"/>
                <w:color w:val="000000"/>
                <w:sz w:val="18"/>
                <w:szCs w:val="18"/>
              </w:rPr>
              <w:t xml:space="preserve"> 5≤X＜20</w:t>
            </w:r>
          </w:p>
        </w:tc>
        <w:tc>
          <w:tcPr>
            <w:tcW w:w="525" w:type="pct"/>
            <w:tcBorders>
              <w:top w:val="nil"/>
              <w:left w:val="nil"/>
              <w:bottom w:val="nil"/>
              <w:right w:val="nil"/>
            </w:tcBorders>
            <w:shd w:val="clear" w:color="auto" w:fill="auto"/>
            <w:vAlign w:val="center"/>
          </w:tcPr>
          <w:p w14:paraId="1881E089">
            <w:pPr>
              <w:jc w:val="center"/>
              <w:rPr>
                <w:rFonts w:ascii="宋体" w:hAnsi="宋体" w:cs="宋体"/>
                <w:color w:val="000000"/>
                <w:sz w:val="18"/>
                <w:szCs w:val="18"/>
              </w:rPr>
            </w:pPr>
            <w:r>
              <w:rPr>
                <w:rFonts w:hint="eastAsia" w:ascii="宋体" w:hAnsi="宋体" w:cs="宋体"/>
                <w:color w:val="000000"/>
                <w:sz w:val="18"/>
                <w:szCs w:val="18"/>
              </w:rPr>
              <w:t>X＜5</w:t>
            </w:r>
          </w:p>
        </w:tc>
      </w:tr>
      <w:tr w14:paraId="76A794D2">
        <w:tblPrEx>
          <w:tblCellMar>
            <w:top w:w="0" w:type="dxa"/>
            <w:left w:w="108" w:type="dxa"/>
            <w:bottom w:w="0" w:type="dxa"/>
            <w:right w:w="108" w:type="dxa"/>
          </w:tblCellMar>
        </w:tblPrEx>
        <w:trPr>
          <w:trHeight w:val="578" w:hRule="exact"/>
          <w:jc w:val="center"/>
        </w:trPr>
        <w:tc>
          <w:tcPr>
            <w:tcW w:w="1119" w:type="pct"/>
            <w:vMerge w:val="continue"/>
            <w:tcBorders>
              <w:top w:val="nil"/>
              <w:left w:val="nil"/>
              <w:bottom w:val="single" w:color="auto" w:sz="4" w:space="0"/>
              <w:right w:val="single" w:color="auto" w:sz="4" w:space="0"/>
            </w:tcBorders>
            <w:vAlign w:val="center"/>
          </w:tcPr>
          <w:p w14:paraId="6D57115B">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2AAFF7C7">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78323389">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5D177DE6">
            <w:pPr>
              <w:jc w:val="center"/>
              <w:rPr>
                <w:rFonts w:ascii="宋体" w:hAnsi="宋体" w:cs="宋体"/>
                <w:color w:val="000000"/>
                <w:sz w:val="18"/>
                <w:szCs w:val="18"/>
              </w:rPr>
            </w:pPr>
            <w:r>
              <w:rPr>
                <w:rFonts w:hint="eastAsia" w:ascii="宋体" w:hAnsi="宋体" w:cs="宋体"/>
                <w:color w:val="000000"/>
                <w:sz w:val="18"/>
                <w:szCs w:val="18"/>
              </w:rPr>
              <w:t>Y≥40000</w:t>
            </w:r>
          </w:p>
        </w:tc>
        <w:tc>
          <w:tcPr>
            <w:tcW w:w="901" w:type="pct"/>
            <w:tcBorders>
              <w:top w:val="nil"/>
              <w:left w:val="nil"/>
              <w:bottom w:val="single" w:color="auto" w:sz="4" w:space="0"/>
              <w:right w:val="single" w:color="auto" w:sz="4" w:space="0"/>
            </w:tcBorders>
            <w:shd w:val="clear" w:color="auto" w:fill="auto"/>
            <w:vAlign w:val="center"/>
          </w:tcPr>
          <w:p w14:paraId="62206B42">
            <w:pPr>
              <w:jc w:val="center"/>
              <w:rPr>
                <w:rFonts w:ascii="宋体" w:hAnsi="宋体" w:cs="宋体"/>
                <w:color w:val="000000"/>
                <w:sz w:val="18"/>
                <w:szCs w:val="18"/>
              </w:rPr>
            </w:pPr>
            <w:r>
              <w:rPr>
                <w:rFonts w:hint="eastAsia" w:ascii="宋体" w:hAnsi="宋体" w:cs="宋体"/>
                <w:color w:val="000000"/>
                <w:sz w:val="18"/>
                <w:szCs w:val="18"/>
              </w:rPr>
              <w:t>5000≤Y＜40000</w:t>
            </w:r>
          </w:p>
        </w:tc>
        <w:tc>
          <w:tcPr>
            <w:tcW w:w="755" w:type="pct"/>
            <w:tcBorders>
              <w:top w:val="nil"/>
              <w:left w:val="nil"/>
              <w:bottom w:val="single" w:color="auto" w:sz="4" w:space="0"/>
              <w:right w:val="single" w:color="auto" w:sz="4" w:space="0"/>
            </w:tcBorders>
            <w:shd w:val="clear" w:color="auto" w:fill="auto"/>
            <w:vAlign w:val="center"/>
          </w:tcPr>
          <w:p w14:paraId="742BD7B1">
            <w:pPr>
              <w:ind w:left="-1" w:leftChars="-1" w:hanging="1"/>
              <w:jc w:val="center"/>
              <w:rPr>
                <w:rFonts w:ascii="宋体" w:hAnsi="宋体" w:cs="宋体"/>
                <w:color w:val="000000"/>
                <w:sz w:val="18"/>
                <w:szCs w:val="18"/>
              </w:rPr>
            </w:pPr>
            <w:r>
              <w:rPr>
                <w:rFonts w:hint="eastAsia" w:ascii="宋体" w:hAnsi="宋体" w:cs="宋体"/>
                <w:color w:val="000000"/>
                <w:sz w:val="18"/>
                <w:szCs w:val="18"/>
              </w:rPr>
              <w:t>1000≤Y＜5000</w:t>
            </w:r>
          </w:p>
        </w:tc>
        <w:tc>
          <w:tcPr>
            <w:tcW w:w="525" w:type="pct"/>
            <w:tcBorders>
              <w:top w:val="nil"/>
              <w:left w:val="nil"/>
              <w:bottom w:val="single" w:color="auto" w:sz="4" w:space="0"/>
              <w:right w:val="nil"/>
            </w:tcBorders>
            <w:shd w:val="clear" w:color="auto" w:fill="auto"/>
            <w:vAlign w:val="center"/>
          </w:tcPr>
          <w:p w14:paraId="745B092A">
            <w:pPr>
              <w:jc w:val="center"/>
              <w:rPr>
                <w:rFonts w:ascii="宋体" w:hAnsi="宋体" w:cs="宋体"/>
                <w:color w:val="000000"/>
                <w:sz w:val="18"/>
                <w:szCs w:val="18"/>
              </w:rPr>
            </w:pPr>
            <w:r>
              <w:rPr>
                <w:rFonts w:hint="eastAsia" w:ascii="宋体" w:hAnsi="宋体" w:cs="宋体"/>
                <w:color w:val="000000"/>
                <w:sz w:val="18"/>
                <w:szCs w:val="18"/>
              </w:rPr>
              <w:t>Y＜1000</w:t>
            </w:r>
          </w:p>
        </w:tc>
      </w:tr>
      <w:tr w14:paraId="33337038">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4AC9CBDF">
            <w:pPr>
              <w:spacing w:line="240" w:lineRule="exact"/>
              <w:rPr>
                <w:rFonts w:ascii="宋体" w:hAnsi="宋体" w:cs="宋体"/>
                <w:color w:val="000000"/>
                <w:sz w:val="18"/>
                <w:szCs w:val="18"/>
              </w:rPr>
            </w:pPr>
            <w:r>
              <w:rPr>
                <w:rFonts w:hint="eastAsia" w:ascii="宋体" w:hAnsi="宋体" w:cs="宋体"/>
                <w:color w:val="000000"/>
                <w:sz w:val="18"/>
                <w:szCs w:val="18"/>
              </w:rPr>
              <w:t>零售业</w:t>
            </w:r>
          </w:p>
        </w:tc>
        <w:tc>
          <w:tcPr>
            <w:tcW w:w="725" w:type="pct"/>
            <w:tcBorders>
              <w:top w:val="nil"/>
              <w:left w:val="nil"/>
              <w:bottom w:val="nil"/>
              <w:right w:val="single" w:color="auto" w:sz="4" w:space="0"/>
            </w:tcBorders>
            <w:shd w:val="clear" w:color="auto" w:fill="auto"/>
            <w:vAlign w:val="center"/>
          </w:tcPr>
          <w:p w14:paraId="3B913805">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43362D40">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02C8F6F7">
            <w:pPr>
              <w:jc w:val="center"/>
              <w:rPr>
                <w:rFonts w:ascii="宋体" w:hAnsi="宋体" w:cs="宋体"/>
                <w:color w:val="000000"/>
                <w:sz w:val="18"/>
                <w:szCs w:val="18"/>
              </w:rPr>
            </w:pPr>
            <w:r>
              <w:rPr>
                <w:rFonts w:hint="eastAsia" w:ascii="宋体" w:hAnsi="宋体" w:cs="宋体"/>
                <w:color w:val="000000"/>
                <w:sz w:val="18"/>
                <w:szCs w:val="18"/>
              </w:rPr>
              <w:t>X≥300</w:t>
            </w:r>
          </w:p>
        </w:tc>
        <w:tc>
          <w:tcPr>
            <w:tcW w:w="901" w:type="pct"/>
            <w:tcBorders>
              <w:top w:val="nil"/>
              <w:left w:val="nil"/>
              <w:bottom w:val="nil"/>
              <w:right w:val="single" w:color="auto" w:sz="4" w:space="0"/>
            </w:tcBorders>
            <w:shd w:val="clear" w:color="auto" w:fill="auto"/>
            <w:vAlign w:val="center"/>
          </w:tcPr>
          <w:p w14:paraId="7B6599CC">
            <w:pPr>
              <w:jc w:val="center"/>
              <w:rPr>
                <w:rFonts w:ascii="宋体" w:hAnsi="宋体" w:cs="宋体"/>
                <w:color w:val="000000"/>
                <w:sz w:val="18"/>
                <w:szCs w:val="18"/>
              </w:rPr>
            </w:pPr>
            <w:r>
              <w:rPr>
                <w:rFonts w:hint="eastAsia" w:ascii="宋体" w:hAnsi="宋体" w:cs="宋体"/>
                <w:color w:val="000000"/>
                <w:sz w:val="18"/>
                <w:szCs w:val="18"/>
              </w:rPr>
              <w:t>50≤X＜300</w:t>
            </w:r>
          </w:p>
        </w:tc>
        <w:tc>
          <w:tcPr>
            <w:tcW w:w="755" w:type="pct"/>
            <w:tcBorders>
              <w:top w:val="nil"/>
              <w:left w:val="nil"/>
              <w:bottom w:val="nil"/>
              <w:right w:val="single" w:color="auto" w:sz="4" w:space="0"/>
            </w:tcBorders>
            <w:shd w:val="clear" w:color="auto" w:fill="auto"/>
            <w:vAlign w:val="center"/>
          </w:tcPr>
          <w:p w14:paraId="1BF265D8">
            <w:pPr>
              <w:ind w:left="-1" w:leftChars="-1" w:hanging="1"/>
              <w:jc w:val="center"/>
              <w:rPr>
                <w:rFonts w:ascii="宋体" w:hAnsi="宋体" w:cs="宋体"/>
                <w:color w:val="000000"/>
                <w:sz w:val="18"/>
                <w:szCs w:val="18"/>
              </w:rPr>
            </w:pPr>
            <w:r>
              <w:rPr>
                <w:rFonts w:hint="eastAsia" w:ascii="宋体" w:hAnsi="宋体" w:cs="宋体"/>
                <w:color w:val="000000"/>
                <w:sz w:val="18"/>
                <w:szCs w:val="18"/>
              </w:rPr>
              <w:t xml:space="preserve">10≤X＜50 </w:t>
            </w:r>
          </w:p>
        </w:tc>
        <w:tc>
          <w:tcPr>
            <w:tcW w:w="525" w:type="pct"/>
            <w:tcBorders>
              <w:top w:val="nil"/>
              <w:left w:val="nil"/>
              <w:bottom w:val="nil"/>
              <w:right w:val="nil"/>
            </w:tcBorders>
            <w:shd w:val="clear" w:color="auto" w:fill="auto"/>
            <w:vAlign w:val="center"/>
          </w:tcPr>
          <w:p w14:paraId="5520E240">
            <w:pPr>
              <w:jc w:val="center"/>
              <w:rPr>
                <w:rFonts w:ascii="宋体" w:hAnsi="宋体" w:cs="宋体"/>
                <w:color w:val="000000"/>
                <w:sz w:val="18"/>
                <w:szCs w:val="18"/>
              </w:rPr>
            </w:pPr>
            <w:r>
              <w:rPr>
                <w:rFonts w:hint="eastAsia" w:ascii="宋体" w:hAnsi="宋体" w:cs="宋体"/>
                <w:color w:val="000000"/>
                <w:sz w:val="18"/>
                <w:szCs w:val="18"/>
              </w:rPr>
              <w:t>X＜10</w:t>
            </w:r>
          </w:p>
        </w:tc>
      </w:tr>
      <w:tr w14:paraId="4511B9C1">
        <w:tblPrEx>
          <w:tblCellMar>
            <w:top w:w="0" w:type="dxa"/>
            <w:left w:w="108" w:type="dxa"/>
            <w:bottom w:w="0" w:type="dxa"/>
            <w:right w:w="108" w:type="dxa"/>
          </w:tblCellMar>
        </w:tblPrEx>
        <w:trPr>
          <w:trHeight w:val="397" w:hRule="exact"/>
          <w:jc w:val="center"/>
        </w:trPr>
        <w:tc>
          <w:tcPr>
            <w:tcW w:w="1119" w:type="pct"/>
            <w:vMerge w:val="continue"/>
            <w:tcBorders>
              <w:top w:val="nil"/>
              <w:left w:val="nil"/>
              <w:bottom w:val="single" w:color="auto" w:sz="4" w:space="0"/>
              <w:right w:val="single" w:color="auto" w:sz="4" w:space="0"/>
            </w:tcBorders>
            <w:vAlign w:val="center"/>
          </w:tcPr>
          <w:p w14:paraId="060058A5">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2C10FEEE">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2ABA93A7">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32386385">
            <w:pPr>
              <w:jc w:val="center"/>
              <w:rPr>
                <w:rFonts w:ascii="宋体" w:hAnsi="宋体" w:cs="宋体"/>
                <w:color w:val="000000"/>
                <w:sz w:val="18"/>
                <w:szCs w:val="18"/>
              </w:rPr>
            </w:pPr>
            <w:r>
              <w:rPr>
                <w:rFonts w:hint="eastAsia" w:ascii="宋体" w:hAnsi="宋体" w:cs="宋体"/>
                <w:color w:val="000000"/>
                <w:sz w:val="18"/>
                <w:szCs w:val="18"/>
              </w:rPr>
              <w:t>Y≥20000</w:t>
            </w:r>
          </w:p>
        </w:tc>
        <w:tc>
          <w:tcPr>
            <w:tcW w:w="901" w:type="pct"/>
            <w:tcBorders>
              <w:top w:val="nil"/>
              <w:left w:val="nil"/>
              <w:bottom w:val="single" w:color="auto" w:sz="4" w:space="0"/>
              <w:right w:val="single" w:color="auto" w:sz="4" w:space="0"/>
            </w:tcBorders>
            <w:shd w:val="clear" w:color="auto" w:fill="auto"/>
            <w:vAlign w:val="center"/>
          </w:tcPr>
          <w:p w14:paraId="1BB0E913">
            <w:pPr>
              <w:jc w:val="center"/>
              <w:rPr>
                <w:rFonts w:ascii="宋体" w:hAnsi="宋体" w:cs="宋体"/>
                <w:color w:val="000000"/>
                <w:sz w:val="18"/>
                <w:szCs w:val="18"/>
              </w:rPr>
            </w:pPr>
            <w:r>
              <w:rPr>
                <w:rFonts w:hint="eastAsia" w:ascii="宋体" w:hAnsi="宋体" w:cs="宋体"/>
                <w:color w:val="000000"/>
                <w:sz w:val="18"/>
                <w:szCs w:val="18"/>
              </w:rPr>
              <w:t xml:space="preserve"> 500≤Y＜20000</w:t>
            </w:r>
          </w:p>
        </w:tc>
        <w:tc>
          <w:tcPr>
            <w:tcW w:w="755" w:type="pct"/>
            <w:tcBorders>
              <w:top w:val="nil"/>
              <w:left w:val="nil"/>
              <w:bottom w:val="single" w:color="auto" w:sz="4" w:space="0"/>
              <w:right w:val="single" w:color="auto" w:sz="4" w:space="0"/>
            </w:tcBorders>
            <w:shd w:val="clear" w:color="auto" w:fill="auto"/>
            <w:vAlign w:val="center"/>
          </w:tcPr>
          <w:p w14:paraId="313C9A45">
            <w:pPr>
              <w:ind w:left="-1" w:leftChars="-1" w:hanging="1"/>
              <w:jc w:val="center"/>
              <w:rPr>
                <w:rFonts w:ascii="宋体" w:hAnsi="宋体" w:cs="宋体"/>
                <w:color w:val="000000"/>
                <w:sz w:val="18"/>
                <w:szCs w:val="18"/>
              </w:rPr>
            </w:pPr>
            <w:r>
              <w:rPr>
                <w:rFonts w:hint="eastAsia" w:ascii="宋体" w:hAnsi="宋体" w:cs="宋体"/>
                <w:color w:val="000000"/>
                <w:sz w:val="18"/>
                <w:szCs w:val="18"/>
              </w:rPr>
              <w:t xml:space="preserve">100≤Y＜500 </w:t>
            </w:r>
          </w:p>
        </w:tc>
        <w:tc>
          <w:tcPr>
            <w:tcW w:w="525" w:type="pct"/>
            <w:tcBorders>
              <w:top w:val="nil"/>
              <w:left w:val="nil"/>
              <w:bottom w:val="single" w:color="auto" w:sz="4" w:space="0"/>
              <w:right w:val="nil"/>
            </w:tcBorders>
            <w:shd w:val="clear" w:color="auto" w:fill="auto"/>
            <w:vAlign w:val="center"/>
          </w:tcPr>
          <w:p w14:paraId="37400ECE">
            <w:pPr>
              <w:jc w:val="center"/>
              <w:rPr>
                <w:rFonts w:ascii="宋体" w:hAnsi="宋体" w:cs="宋体"/>
                <w:color w:val="000000"/>
                <w:sz w:val="18"/>
                <w:szCs w:val="18"/>
              </w:rPr>
            </w:pPr>
            <w:r>
              <w:rPr>
                <w:rFonts w:hint="eastAsia" w:ascii="宋体" w:hAnsi="宋体" w:cs="宋体"/>
                <w:color w:val="000000"/>
                <w:sz w:val="18"/>
                <w:szCs w:val="18"/>
              </w:rPr>
              <w:t>Y＜100</w:t>
            </w:r>
          </w:p>
        </w:tc>
      </w:tr>
      <w:tr w14:paraId="6F159EC1">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70E4F0C8">
            <w:pPr>
              <w:spacing w:line="240" w:lineRule="exact"/>
              <w:rPr>
                <w:rFonts w:ascii="宋体" w:hAnsi="宋体" w:cs="宋体"/>
                <w:color w:val="000000"/>
                <w:sz w:val="18"/>
                <w:szCs w:val="18"/>
              </w:rPr>
            </w:pPr>
            <w:r>
              <w:rPr>
                <w:rFonts w:hint="eastAsia" w:ascii="宋体" w:hAnsi="宋体" w:cs="宋体"/>
                <w:color w:val="000000"/>
                <w:sz w:val="18"/>
                <w:szCs w:val="18"/>
              </w:rPr>
              <w:t>交通运输业 *</w:t>
            </w:r>
          </w:p>
        </w:tc>
        <w:tc>
          <w:tcPr>
            <w:tcW w:w="725" w:type="pct"/>
            <w:tcBorders>
              <w:top w:val="nil"/>
              <w:left w:val="nil"/>
              <w:bottom w:val="nil"/>
              <w:right w:val="single" w:color="auto" w:sz="4" w:space="0"/>
            </w:tcBorders>
            <w:shd w:val="clear" w:color="auto" w:fill="auto"/>
            <w:vAlign w:val="center"/>
          </w:tcPr>
          <w:p w14:paraId="51F5DCC7">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36A86115">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4E3CFC02">
            <w:pPr>
              <w:jc w:val="center"/>
              <w:rPr>
                <w:rFonts w:ascii="宋体" w:hAnsi="宋体" w:cs="宋体"/>
                <w:color w:val="000000"/>
                <w:sz w:val="18"/>
                <w:szCs w:val="18"/>
              </w:rPr>
            </w:pPr>
            <w:r>
              <w:rPr>
                <w:rFonts w:hint="eastAsia" w:ascii="宋体" w:hAnsi="宋体" w:cs="宋体"/>
                <w:color w:val="000000"/>
                <w:sz w:val="18"/>
                <w:szCs w:val="18"/>
              </w:rPr>
              <w:t>X≥1000</w:t>
            </w:r>
          </w:p>
        </w:tc>
        <w:tc>
          <w:tcPr>
            <w:tcW w:w="901" w:type="pct"/>
            <w:tcBorders>
              <w:top w:val="nil"/>
              <w:left w:val="nil"/>
              <w:bottom w:val="nil"/>
              <w:right w:val="single" w:color="auto" w:sz="4" w:space="0"/>
            </w:tcBorders>
            <w:shd w:val="clear" w:color="auto" w:fill="auto"/>
            <w:vAlign w:val="center"/>
          </w:tcPr>
          <w:p w14:paraId="14104858">
            <w:pPr>
              <w:jc w:val="center"/>
              <w:rPr>
                <w:rFonts w:ascii="宋体" w:hAnsi="宋体" w:cs="宋体"/>
                <w:color w:val="000000"/>
                <w:sz w:val="18"/>
                <w:szCs w:val="18"/>
              </w:rPr>
            </w:pPr>
            <w:r>
              <w:rPr>
                <w:rFonts w:hint="eastAsia" w:ascii="宋体" w:hAnsi="宋体" w:cs="宋体"/>
                <w:color w:val="000000"/>
                <w:sz w:val="18"/>
                <w:szCs w:val="18"/>
              </w:rPr>
              <w:t>300≤X＜1000</w:t>
            </w:r>
          </w:p>
        </w:tc>
        <w:tc>
          <w:tcPr>
            <w:tcW w:w="755" w:type="pct"/>
            <w:tcBorders>
              <w:top w:val="nil"/>
              <w:left w:val="nil"/>
              <w:bottom w:val="nil"/>
              <w:right w:val="single" w:color="auto" w:sz="4" w:space="0"/>
            </w:tcBorders>
            <w:shd w:val="clear" w:color="auto" w:fill="auto"/>
            <w:vAlign w:val="center"/>
          </w:tcPr>
          <w:p w14:paraId="7B8D0C83">
            <w:pPr>
              <w:jc w:val="center"/>
              <w:rPr>
                <w:rFonts w:ascii="宋体" w:hAnsi="宋体" w:cs="宋体"/>
                <w:color w:val="000000"/>
                <w:sz w:val="18"/>
                <w:szCs w:val="18"/>
              </w:rPr>
            </w:pPr>
            <w:r>
              <w:rPr>
                <w:rFonts w:hint="eastAsia" w:ascii="宋体" w:hAnsi="宋体" w:cs="宋体"/>
                <w:color w:val="000000"/>
                <w:sz w:val="18"/>
                <w:szCs w:val="18"/>
              </w:rPr>
              <w:t xml:space="preserve"> 20≤X＜300</w:t>
            </w:r>
          </w:p>
        </w:tc>
        <w:tc>
          <w:tcPr>
            <w:tcW w:w="525" w:type="pct"/>
            <w:tcBorders>
              <w:top w:val="nil"/>
              <w:left w:val="nil"/>
              <w:bottom w:val="nil"/>
              <w:right w:val="nil"/>
            </w:tcBorders>
            <w:shd w:val="clear" w:color="auto" w:fill="auto"/>
            <w:vAlign w:val="center"/>
          </w:tcPr>
          <w:p w14:paraId="2420F858">
            <w:pPr>
              <w:jc w:val="center"/>
              <w:rPr>
                <w:rFonts w:ascii="宋体" w:hAnsi="宋体" w:cs="宋体"/>
                <w:color w:val="000000"/>
                <w:sz w:val="18"/>
                <w:szCs w:val="18"/>
              </w:rPr>
            </w:pPr>
            <w:r>
              <w:rPr>
                <w:rFonts w:hint="eastAsia" w:ascii="宋体" w:hAnsi="宋体" w:cs="宋体"/>
                <w:color w:val="000000"/>
                <w:sz w:val="18"/>
                <w:szCs w:val="18"/>
              </w:rPr>
              <w:t>X＜20</w:t>
            </w:r>
          </w:p>
        </w:tc>
      </w:tr>
      <w:tr w14:paraId="1791983B">
        <w:tblPrEx>
          <w:tblCellMar>
            <w:top w:w="0" w:type="dxa"/>
            <w:left w:w="108" w:type="dxa"/>
            <w:bottom w:w="0" w:type="dxa"/>
            <w:right w:w="108" w:type="dxa"/>
          </w:tblCellMar>
        </w:tblPrEx>
        <w:trPr>
          <w:trHeight w:val="482" w:hRule="exact"/>
          <w:jc w:val="center"/>
        </w:trPr>
        <w:tc>
          <w:tcPr>
            <w:tcW w:w="1119" w:type="pct"/>
            <w:vMerge w:val="continue"/>
            <w:tcBorders>
              <w:top w:val="nil"/>
              <w:left w:val="nil"/>
              <w:bottom w:val="single" w:color="auto" w:sz="4" w:space="0"/>
              <w:right w:val="single" w:color="auto" w:sz="4" w:space="0"/>
            </w:tcBorders>
            <w:vAlign w:val="center"/>
          </w:tcPr>
          <w:p w14:paraId="7477D18D">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5B10CF71">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6343E839">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3C0472E3">
            <w:pPr>
              <w:jc w:val="center"/>
              <w:rPr>
                <w:rFonts w:ascii="宋体" w:hAnsi="宋体" w:cs="宋体"/>
                <w:color w:val="000000"/>
                <w:sz w:val="18"/>
                <w:szCs w:val="18"/>
              </w:rPr>
            </w:pPr>
            <w:r>
              <w:rPr>
                <w:rFonts w:hint="eastAsia" w:ascii="宋体" w:hAnsi="宋体" w:cs="宋体"/>
                <w:color w:val="000000"/>
                <w:sz w:val="18"/>
                <w:szCs w:val="18"/>
              </w:rPr>
              <w:t>Y≥30000</w:t>
            </w:r>
          </w:p>
        </w:tc>
        <w:tc>
          <w:tcPr>
            <w:tcW w:w="901" w:type="pct"/>
            <w:tcBorders>
              <w:top w:val="nil"/>
              <w:left w:val="nil"/>
              <w:bottom w:val="single" w:color="auto" w:sz="4" w:space="0"/>
              <w:right w:val="single" w:color="auto" w:sz="4" w:space="0"/>
            </w:tcBorders>
            <w:shd w:val="clear" w:color="auto" w:fill="auto"/>
            <w:vAlign w:val="center"/>
          </w:tcPr>
          <w:p w14:paraId="517AA370">
            <w:pPr>
              <w:jc w:val="center"/>
              <w:rPr>
                <w:rFonts w:ascii="宋体" w:hAnsi="宋体" w:cs="宋体"/>
                <w:color w:val="000000"/>
                <w:sz w:val="18"/>
                <w:szCs w:val="18"/>
              </w:rPr>
            </w:pPr>
            <w:r>
              <w:rPr>
                <w:rFonts w:hint="eastAsia" w:ascii="宋体" w:hAnsi="宋体" w:cs="宋体"/>
                <w:color w:val="000000"/>
                <w:sz w:val="18"/>
                <w:szCs w:val="18"/>
              </w:rPr>
              <w:t>3000≤Y＜30000</w:t>
            </w:r>
          </w:p>
        </w:tc>
        <w:tc>
          <w:tcPr>
            <w:tcW w:w="755" w:type="pct"/>
            <w:tcBorders>
              <w:top w:val="nil"/>
              <w:left w:val="nil"/>
              <w:bottom w:val="single" w:color="auto" w:sz="4" w:space="0"/>
              <w:right w:val="single" w:color="auto" w:sz="4" w:space="0"/>
            </w:tcBorders>
            <w:shd w:val="clear" w:color="auto" w:fill="auto"/>
            <w:vAlign w:val="center"/>
          </w:tcPr>
          <w:p w14:paraId="2C3F1D50">
            <w:pPr>
              <w:jc w:val="center"/>
              <w:rPr>
                <w:rFonts w:ascii="宋体" w:hAnsi="宋体" w:cs="宋体"/>
                <w:color w:val="000000"/>
                <w:sz w:val="18"/>
                <w:szCs w:val="18"/>
              </w:rPr>
            </w:pPr>
            <w:r>
              <w:rPr>
                <w:rFonts w:hint="eastAsia" w:ascii="宋体" w:hAnsi="宋体" w:cs="宋体"/>
                <w:color w:val="000000"/>
                <w:sz w:val="18"/>
                <w:szCs w:val="18"/>
              </w:rPr>
              <w:t xml:space="preserve"> 200≤Y＜3000</w:t>
            </w:r>
          </w:p>
        </w:tc>
        <w:tc>
          <w:tcPr>
            <w:tcW w:w="525" w:type="pct"/>
            <w:tcBorders>
              <w:top w:val="nil"/>
              <w:left w:val="nil"/>
              <w:bottom w:val="single" w:color="auto" w:sz="4" w:space="0"/>
              <w:right w:val="nil"/>
            </w:tcBorders>
            <w:shd w:val="clear" w:color="auto" w:fill="auto"/>
            <w:vAlign w:val="center"/>
          </w:tcPr>
          <w:p w14:paraId="33073411">
            <w:pPr>
              <w:jc w:val="center"/>
              <w:rPr>
                <w:rFonts w:ascii="宋体" w:hAnsi="宋体" w:cs="宋体"/>
                <w:color w:val="000000"/>
                <w:sz w:val="18"/>
                <w:szCs w:val="18"/>
              </w:rPr>
            </w:pPr>
            <w:r>
              <w:rPr>
                <w:rFonts w:hint="eastAsia" w:ascii="宋体" w:hAnsi="宋体" w:cs="宋体"/>
                <w:color w:val="000000"/>
                <w:sz w:val="18"/>
                <w:szCs w:val="18"/>
              </w:rPr>
              <w:t>Y＜200</w:t>
            </w:r>
          </w:p>
        </w:tc>
      </w:tr>
      <w:tr w14:paraId="7324CA13">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28D27621">
            <w:pPr>
              <w:spacing w:line="240" w:lineRule="exact"/>
              <w:rPr>
                <w:rFonts w:ascii="宋体" w:hAnsi="宋体" w:cs="宋体"/>
                <w:color w:val="000000"/>
                <w:sz w:val="18"/>
                <w:szCs w:val="18"/>
              </w:rPr>
            </w:pPr>
            <w:r>
              <w:rPr>
                <w:rFonts w:hint="eastAsia" w:ascii="宋体" w:hAnsi="宋体" w:cs="宋体"/>
                <w:color w:val="000000"/>
                <w:sz w:val="18"/>
                <w:szCs w:val="18"/>
              </w:rPr>
              <w:t>仓储业*</w:t>
            </w:r>
          </w:p>
        </w:tc>
        <w:tc>
          <w:tcPr>
            <w:tcW w:w="725" w:type="pct"/>
            <w:tcBorders>
              <w:top w:val="nil"/>
              <w:left w:val="nil"/>
              <w:bottom w:val="nil"/>
              <w:right w:val="single" w:color="auto" w:sz="4" w:space="0"/>
            </w:tcBorders>
            <w:shd w:val="clear" w:color="auto" w:fill="auto"/>
            <w:vAlign w:val="center"/>
          </w:tcPr>
          <w:p w14:paraId="02B3C990">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56D87801">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2C297907">
            <w:pPr>
              <w:jc w:val="center"/>
              <w:rPr>
                <w:rFonts w:ascii="宋体" w:hAnsi="宋体" w:cs="宋体"/>
                <w:color w:val="000000"/>
                <w:sz w:val="18"/>
                <w:szCs w:val="18"/>
              </w:rPr>
            </w:pPr>
            <w:r>
              <w:rPr>
                <w:rFonts w:hint="eastAsia" w:ascii="宋体" w:hAnsi="宋体" w:cs="宋体"/>
                <w:color w:val="000000"/>
                <w:sz w:val="18"/>
                <w:szCs w:val="18"/>
              </w:rPr>
              <w:t>X≥200</w:t>
            </w:r>
          </w:p>
        </w:tc>
        <w:tc>
          <w:tcPr>
            <w:tcW w:w="901" w:type="pct"/>
            <w:tcBorders>
              <w:top w:val="nil"/>
              <w:left w:val="nil"/>
              <w:bottom w:val="nil"/>
              <w:right w:val="single" w:color="auto" w:sz="4" w:space="0"/>
            </w:tcBorders>
            <w:shd w:val="clear" w:color="auto" w:fill="auto"/>
            <w:vAlign w:val="center"/>
          </w:tcPr>
          <w:p w14:paraId="0B4BE9FA">
            <w:pPr>
              <w:ind w:left="-14" w:leftChars="-51" w:hanging="108" w:hangingChars="60"/>
              <w:jc w:val="center"/>
              <w:rPr>
                <w:rFonts w:ascii="宋体" w:hAnsi="宋体" w:cs="宋体"/>
                <w:color w:val="000000"/>
                <w:sz w:val="18"/>
                <w:szCs w:val="18"/>
              </w:rPr>
            </w:pPr>
            <w:r>
              <w:rPr>
                <w:rFonts w:hint="eastAsia" w:ascii="宋体" w:hAnsi="宋体" w:cs="宋体"/>
                <w:color w:val="000000"/>
                <w:sz w:val="18"/>
                <w:szCs w:val="18"/>
              </w:rPr>
              <w:t>100≤X＜200</w:t>
            </w:r>
          </w:p>
        </w:tc>
        <w:tc>
          <w:tcPr>
            <w:tcW w:w="755" w:type="pct"/>
            <w:tcBorders>
              <w:top w:val="nil"/>
              <w:left w:val="nil"/>
              <w:bottom w:val="nil"/>
              <w:right w:val="single" w:color="auto" w:sz="4" w:space="0"/>
            </w:tcBorders>
            <w:shd w:val="clear" w:color="auto" w:fill="auto"/>
            <w:vAlign w:val="center"/>
          </w:tcPr>
          <w:p w14:paraId="666BCFA1">
            <w:pPr>
              <w:jc w:val="center"/>
              <w:rPr>
                <w:rFonts w:ascii="宋体" w:hAnsi="宋体" w:cs="宋体"/>
                <w:color w:val="000000"/>
                <w:sz w:val="18"/>
                <w:szCs w:val="18"/>
              </w:rPr>
            </w:pPr>
            <w:r>
              <w:rPr>
                <w:rFonts w:hint="eastAsia" w:ascii="宋体" w:hAnsi="宋体" w:cs="宋体"/>
                <w:color w:val="000000"/>
                <w:sz w:val="18"/>
                <w:szCs w:val="18"/>
              </w:rPr>
              <w:t xml:space="preserve"> 20≤X＜100</w:t>
            </w:r>
          </w:p>
        </w:tc>
        <w:tc>
          <w:tcPr>
            <w:tcW w:w="525" w:type="pct"/>
            <w:tcBorders>
              <w:top w:val="nil"/>
              <w:left w:val="nil"/>
              <w:bottom w:val="nil"/>
              <w:right w:val="nil"/>
            </w:tcBorders>
            <w:shd w:val="clear" w:color="auto" w:fill="auto"/>
            <w:vAlign w:val="center"/>
          </w:tcPr>
          <w:p w14:paraId="7597B975">
            <w:pPr>
              <w:jc w:val="center"/>
              <w:rPr>
                <w:rFonts w:ascii="宋体" w:hAnsi="宋体" w:cs="宋体"/>
                <w:color w:val="000000"/>
                <w:sz w:val="18"/>
                <w:szCs w:val="18"/>
              </w:rPr>
            </w:pPr>
            <w:r>
              <w:rPr>
                <w:rFonts w:hint="eastAsia" w:ascii="宋体" w:hAnsi="宋体" w:cs="宋体"/>
                <w:color w:val="000000"/>
                <w:sz w:val="18"/>
                <w:szCs w:val="18"/>
              </w:rPr>
              <w:t>X＜20</w:t>
            </w:r>
          </w:p>
        </w:tc>
      </w:tr>
      <w:tr w14:paraId="3D0D7CD7">
        <w:tblPrEx>
          <w:tblCellMar>
            <w:top w:w="0" w:type="dxa"/>
            <w:left w:w="108" w:type="dxa"/>
            <w:bottom w:w="0" w:type="dxa"/>
            <w:right w:w="108" w:type="dxa"/>
          </w:tblCellMar>
        </w:tblPrEx>
        <w:trPr>
          <w:trHeight w:val="551" w:hRule="exact"/>
          <w:jc w:val="center"/>
        </w:trPr>
        <w:tc>
          <w:tcPr>
            <w:tcW w:w="1119" w:type="pct"/>
            <w:vMerge w:val="continue"/>
            <w:tcBorders>
              <w:top w:val="nil"/>
              <w:left w:val="nil"/>
              <w:bottom w:val="single" w:color="auto" w:sz="4" w:space="0"/>
              <w:right w:val="single" w:color="auto" w:sz="4" w:space="0"/>
            </w:tcBorders>
            <w:vAlign w:val="center"/>
          </w:tcPr>
          <w:p w14:paraId="73446885">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13C32015">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628C6A53">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4261EDA3">
            <w:pPr>
              <w:jc w:val="center"/>
              <w:rPr>
                <w:rFonts w:ascii="宋体" w:hAnsi="宋体" w:cs="宋体"/>
                <w:color w:val="000000"/>
                <w:sz w:val="18"/>
                <w:szCs w:val="18"/>
              </w:rPr>
            </w:pPr>
            <w:r>
              <w:rPr>
                <w:rFonts w:hint="eastAsia" w:ascii="宋体" w:hAnsi="宋体" w:cs="宋体"/>
                <w:color w:val="000000"/>
                <w:sz w:val="18"/>
                <w:szCs w:val="18"/>
              </w:rPr>
              <w:t>Y≥30000</w:t>
            </w:r>
          </w:p>
        </w:tc>
        <w:tc>
          <w:tcPr>
            <w:tcW w:w="901" w:type="pct"/>
            <w:tcBorders>
              <w:top w:val="nil"/>
              <w:left w:val="nil"/>
              <w:bottom w:val="single" w:color="auto" w:sz="4" w:space="0"/>
              <w:right w:val="single" w:color="auto" w:sz="4" w:space="0"/>
            </w:tcBorders>
            <w:shd w:val="clear" w:color="auto" w:fill="auto"/>
            <w:vAlign w:val="center"/>
          </w:tcPr>
          <w:p w14:paraId="428400A4">
            <w:pPr>
              <w:jc w:val="center"/>
              <w:rPr>
                <w:rFonts w:ascii="宋体" w:hAnsi="宋体" w:cs="宋体"/>
                <w:color w:val="000000"/>
                <w:sz w:val="18"/>
                <w:szCs w:val="18"/>
              </w:rPr>
            </w:pPr>
            <w:r>
              <w:rPr>
                <w:rFonts w:hint="eastAsia" w:ascii="宋体" w:hAnsi="宋体" w:cs="宋体"/>
                <w:color w:val="000000"/>
                <w:sz w:val="18"/>
                <w:szCs w:val="18"/>
              </w:rPr>
              <w:t>1000≤Y＜30000</w:t>
            </w:r>
          </w:p>
        </w:tc>
        <w:tc>
          <w:tcPr>
            <w:tcW w:w="755" w:type="pct"/>
            <w:tcBorders>
              <w:top w:val="nil"/>
              <w:left w:val="nil"/>
              <w:bottom w:val="single" w:color="auto" w:sz="4" w:space="0"/>
              <w:right w:val="single" w:color="auto" w:sz="4" w:space="0"/>
            </w:tcBorders>
            <w:shd w:val="clear" w:color="auto" w:fill="auto"/>
            <w:vAlign w:val="center"/>
          </w:tcPr>
          <w:p w14:paraId="6420DF1D">
            <w:pPr>
              <w:jc w:val="center"/>
              <w:rPr>
                <w:rFonts w:ascii="宋体" w:hAnsi="宋体" w:cs="宋体"/>
                <w:color w:val="000000"/>
                <w:sz w:val="18"/>
                <w:szCs w:val="18"/>
              </w:rPr>
            </w:pPr>
            <w:r>
              <w:rPr>
                <w:rFonts w:hint="eastAsia" w:ascii="宋体" w:hAnsi="宋体" w:cs="宋体"/>
                <w:color w:val="000000"/>
                <w:sz w:val="18"/>
                <w:szCs w:val="18"/>
              </w:rPr>
              <w:t xml:space="preserve"> 100≤Y＜1000</w:t>
            </w:r>
          </w:p>
        </w:tc>
        <w:tc>
          <w:tcPr>
            <w:tcW w:w="525" w:type="pct"/>
            <w:tcBorders>
              <w:top w:val="nil"/>
              <w:left w:val="nil"/>
              <w:bottom w:val="single" w:color="auto" w:sz="4" w:space="0"/>
              <w:right w:val="nil"/>
            </w:tcBorders>
            <w:shd w:val="clear" w:color="auto" w:fill="auto"/>
            <w:vAlign w:val="center"/>
          </w:tcPr>
          <w:p w14:paraId="709E9C28">
            <w:pPr>
              <w:jc w:val="center"/>
              <w:rPr>
                <w:rFonts w:ascii="宋体" w:hAnsi="宋体" w:cs="宋体"/>
                <w:color w:val="000000"/>
                <w:sz w:val="18"/>
                <w:szCs w:val="18"/>
              </w:rPr>
            </w:pPr>
            <w:r>
              <w:rPr>
                <w:rFonts w:hint="eastAsia" w:ascii="宋体" w:hAnsi="宋体" w:cs="宋体"/>
                <w:color w:val="000000"/>
                <w:sz w:val="18"/>
                <w:szCs w:val="18"/>
              </w:rPr>
              <w:t>Y＜100</w:t>
            </w:r>
          </w:p>
        </w:tc>
      </w:tr>
      <w:tr w14:paraId="5CCAEF01">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7EE42844">
            <w:pPr>
              <w:spacing w:line="240" w:lineRule="exact"/>
              <w:rPr>
                <w:rFonts w:ascii="宋体" w:hAnsi="宋体" w:cs="宋体"/>
                <w:color w:val="000000"/>
                <w:sz w:val="18"/>
                <w:szCs w:val="18"/>
              </w:rPr>
            </w:pPr>
            <w:r>
              <w:rPr>
                <w:rFonts w:hint="eastAsia" w:ascii="宋体" w:hAnsi="宋体" w:cs="宋体"/>
                <w:color w:val="000000"/>
                <w:sz w:val="18"/>
                <w:szCs w:val="18"/>
              </w:rPr>
              <w:t>邮政业</w:t>
            </w:r>
          </w:p>
        </w:tc>
        <w:tc>
          <w:tcPr>
            <w:tcW w:w="725" w:type="pct"/>
            <w:tcBorders>
              <w:top w:val="nil"/>
              <w:left w:val="nil"/>
              <w:bottom w:val="nil"/>
              <w:right w:val="single" w:color="auto" w:sz="4" w:space="0"/>
            </w:tcBorders>
            <w:shd w:val="clear" w:color="auto" w:fill="auto"/>
            <w:vAlign w:val="center"/>
          </w:tcPr>
          <w:p w14:paraId="4C1DBF0B">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032A06F8">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40DF5203">
            <w:pPr>
              <w:jc w:val="center"/>
              <w:rPr>
                <w:rFonts w:ascii="宋体" w:hAnsi="宋体" w:cs="宋体"/>
                <w:color w:val="000000"/>
                <w:sz w:val="18"/>
                <w:szCs w:val="18"/>
              </w:rPr>
            </w:pPr>
            <w:r>
              <w:rPr>
                <w:rFonts w:hint="eastAsia" w:ascii="宋体" w:hAnsi="宋体" w:cs="宋体"/>
                <w:color w:val="000000"/>
                <w:sz w:val="18"/>
                <w:szCs w:val="18"/>
              </w:rPr>
              <w:t>X≥1000</w:t>
            </w:r>
          </w:p>
        </w:tc>
        <w:tc>
          <w:tcPr>
            <w:tcW w:w="901" w:type="pct"/>
            <w:tcBorders>
              <w:top w:val="nil"/>
              <w:left w:val="nil"/>
              <w:bottom w:val="nil"/>
              <w:right w:val="single" w:color="auto" w:sz="4" w:space="0"/>
            </w:tcBorders>
            <w:shd w:val="clear" w:color="auto" w:fill="auto"/>
            <w:vAlign w:val="center"/>
          </w:tcPr>
          <w:p w14:paraId="5D9AE6A2">
            <w:pPr>
              <w:jc w:val="center"/>
              <w:rPr>
                <w:rFonts w:ascii="宋体" w:hAnsi="宋体" w:cs="宋体"/>
                <w:color w:val="000000"/>
                <w:sz w:val="18"/>
                <w:szCs w:val="18"/>
              </w:rPr>
            </w:pPr>
            <w:r>
              <w:rPr>
                <w:rFonts w:hint="eastAsia" w:ascii="宋体" w:hAnsi="宋体" w:cs="宋体"/>
                <w:color w:val="000000"/>
                <w:sz w:val="18"/>
                <w:szCs w:val="18"/>
              </w:rPr>
              <w:t>300≤X＜1000</w:t>
            </w:r>
          </w:p>
        </w:tc>
        <w:tc>
          <w:tcPr>
            <w:tcW w:w="755" w:type="pct"/>
            <w:tcBorders>
              <w:top w:val="nil"/>
              <w:left w:val="nil"/>
              <w:bottom w:val="nil"/>
              <w:right w:val="single" w:color="auto" w:sz="4" w:space="0"/>
            </w:tcBorders>
            <w:shd w:val="clear" w:color="auto" w:fill="auto"/>
            <w:vAlign w:val="center"/>
          </w:tcPr>
          <w:p w14:paraId="40994DFC">
            <w:pPr>
              <w:jc w:val="center"/>
              <w:rPr>
                <w:rFonts w:ascii="宋体" w:hAnsi="宋体" w:cs="宋体"/>
                <w:color w:val="000000"/>
                <w:sz w:val="18"/>
                <w:szCs w:val="18"/>
              </w:rPr>
            </w:pPr>
            <w:r>
              <w:rPr>
                <w:rFonts w:hint="eastAsia" w:ascii="宋体" w:hAnsi="宋体" w:cs="宋体"/>
                <w:color w:val="000000"/>
                <w:sz w:val="18"/>
                <w:szCs w:val="18"/>
              </w:rPr>
              <w:t xml:space="preserve"> 20≤X＜300</w:t>
            </w:r>
          </w:p>
        </w:tc>
        <w:tc>
          <w:tcPr>
            <w:tcW w:w="525" w:type="pct"/>
            <w:tcBorders>
              <w:top w:val="nil"/>
              <w:left w:val="nil"/>
              <w:bottom w:val="nil"/>
              <w:right w:val="nil"/>
            </w:tcBorders>
            <w:shd w:val="clear" w:color="auto" w:fill="auto"/>
            <w:vAlign w:val="center"/>
          </w:tcPr>
          <w:p w14:paraId="3BE341CB">
            <w:pPr>
              <w:jc w:val="center"/>
              <w:rPr>
                <w:rFonts w:ascii="宋体" w:hAnsi="宋体" w:cs="宋体"/>
                <w:color w:val="000000"/>
                <w:sz w:val="18"/>
                <w:szCs w:val="18"/>
              </w:rPr>
            </w:pPr>
            <w:r>
              <w:rPr>
                <w:rFonts w:hint="eastAsia" w:ascii="宋体" w:hAnsi="宋体" w:cs="宋体"/>
                <w:color w:val="000000"/>
                <w:sz w:val="18"/>
                <w:szCs w:val="18"/>
              </w:rPr>
              <w:t>X＜20</w:t>
            </w:r>
          </w:p>
        </w:tc>
      </w:tr>
      <w:tr w14:paraId="20D8A9BA">
        <w:tblPrEx>
          <w:tblCellMar>
            <w:top w:w="0" w:type="dxa"/>
            <w:left w:w="108" w:type="dxa"/>
            <w:bottom w:w="0" w:type="dxa"/>
            <w:right w:w="108" w:type="dxa"/>
          </w:tblCellMar>
        </w:tblPrEx>
        <w:trPr>
          <w:trHeight w:val="592" w:hRule="exact"/>
          <w:jc w:val="center"/>
        </w:trPr>
        <w:tc>
          <w:tcPr>
            <w:tcW w:w="1119" w:type="pct"/>
            <w:vMerge w:val="continue"/>
            <w:tcBorders>
              <w:top w:val="nil"/>
              <w:left w:val="nil"/>
              <w:bottom w:val="single" w:color="auto" w:sz="4" w:space="0"/>
              <w:right w:val="single" w:color="auto" w:sz="4" w:space="0"/>
            </w:tcBorders>
            <w:vAlign w:val="center"/>
          </w:tcPr>
          <w:p w14:paraId="3C63DDD2">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4D682616">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78B35CC4">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1E92DD3D">
            <w:pPr>
              <w:jc w:val="center"/>
              <w:rPr>
                <w:rFonts w:ascii="宋体" w:hAnsi="宋体" w:cs="宋体"/>
                <w:color w:val="000000"/>
                <w:sz w:val="18"/>
                <w:szCs w:val="18"/>
              </w:rPr>
            </w:pPr>
            <w:r>
              <w:rPr>
                <w:rFonts w:hint="eastAsia" w:ascii="宋体" w:hAnsi="宋体" w:cs="宋体"/>
                <w:color w:val="000000"/>
                <w:sz w:val="18"/>
                <w:szCs w:val="18"/>
              </w:rPr>
              <w:t>Y≥30000</w:t>
            </w:r>
          </w:p>
        </w:tc>
        <w:tc>
          <w:tcPr>
            <w:tcW w:w="901" w:type="pct"/>
            <w:tcBorders>
              <w:top w:val="nil"/>
              <w:left w:val="nil"/>
              <w:bottom w:val="single" w:color="auto" w:sz="4" w:space="0"/>
              <w:right w:val="single" w:color="auto" w:sz="4" w:space="0"/>
            </w:tcBorders>
            <w:shd w:val="clear" w:color="auto" w:fill="auto"/>
            <w:vAlign w:val="center"/>
          </w:tcPr>
          <w:p w14:paraId="11ECCF76">
            <w:pPr>
              <w:jc w:val="center"/>
              <w:rPr>
                <w:rFonts w:ascii="宋体" w:hAnsi="宋体" w:cs="宋体"/>
                <w:color w:val="000000"/>
                <w:sz w:val="18"/>
                <w:szCs w:val="18"/>
              </w:rPr>
            </w:pPr>
            <w:r>
              <w:rPr>
                <w:rFonts w:hint="eastAsia" w:ascii="宋体" w:hAnsi="宋体" w:cs="宋体"/>
                <w:color w:val="000000"/>
                <w:sz w:val="18"/>
                <w:szCs w:val="18"/>
              </w:rPr>
              <w:t>2000≤Y＜30000</w:t>
            </w:r>
          </w:p>
        </w:tc>
        <w:tc>
          <w:tcPr>
            <w:tcW w:w="755" w:type="pct"/>
            <w:tcBorders>
              <w:top w:val="nil"/>
              <w:left w:val="nil"/>
              <w:bottom w:val="single" w:color="auto" w:sz="4" w:space="0"/>
              <w:right w:val="single" w:color="auto" w:sz="4" w:space="0"/>
            </w:tcBorders>
            <w:shd w:val="clear" w:color="auto" w:fill="auto"/>
            <w:vAlign w:val="center"/>
          </w:tcPr>
          <w:p w14:paraId="18E8C66F">
            <w:pPr>
              <w:jc w:val="center"/>
              <w:rPr>
                <w:rFonts w:ascii="宋体" w:hAnsi="宋体" w:cs="宋体"/>
                <w:color w:val="000000"/>
                <w:sz w:val="18"/>
                <w:szCs w:val="18"/>
              </w:rPr>
            </w:pPr>
            <w:r>
              <w:rPr>
                <w:rFonts w:hint="eastAsia" w:ascii="宋体" w:hAnsi="宋体" w:cs="宋体"/>
                <w:color w:val="000000"/>
                <w:sz w:val="18"/>
                <w:szCs w:val="18"/>
              </w:rPr>
              <w:t xml:space="preserve"> 100≤Y＜2000</w:t>
            </w:r>
          </w:p>
        </w:tc>
        <w:tc>
          <w:tcPr>
            <w:tcW w:w="525" w:type="pct"/>
            <w:tcBorders>
              <w:top w:val="nil"/>
              <w:left w:val="nil"/>
              <w:bottom w:val="single" w:color="auto" w:sz="4" w:space="0"/>
              <w:right w:val="nil"/>
            </w:tcBorders>
            <w:shd w:val="clear" w:color="auto" w:fill="auto"/>
            <w:vAlign w:val="center"/>
          </w:tcPr>
          <w:p w14:paraId="1F1D51B1">
            <w:pPr>
              <w:jc w:val="center"/>
              <w:rPr>
                <w:rFonts w:ascii="宋体" w:hAnsi="宋体" w:cs="宋体"/>
                <w:color w:val="000000"/>
                <w:sz w:val="18"/>
                <w:szCs w:val="18"/>
              </w:rPr>
            </w:pPr>
            <w:r>
              <w:rPr>
                <w:rFonts w:hint="eastAsia" w:ascii="宋体" w:hAnsi="宋体" w:cs="宋体"/>
                <w:color w:val="000000"/>
                <w:sz w:val="18"/>
                <w:szCs w:val="18"/>
              </w:rPr>
              <w:t>Y＜100</w:t>
            </w:r>
          </w:p>
        </w:tc>
      </w:tr>
      <w:tr w14:paraId="3200705D">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698BA488">
            <w:pPr>
              <w:spacing w:line="240" w:lineRule="exact"/>
              <w:rPr>
                <w:rFonts w:ascii="宋体" w:hAnsi="宋体" w:cs="宋体"/>
                <w:color w:val="000000"/>
                <w:sz w:val="18"/>
                <w:szCs w:val="18"/>
              </w:rPr>
            </w:pPr>
            <w:r>
              <w:rPr>
                <w:rFonts w:hint="eastAsia" w:ascii="宋体" w:hAnsi="宋体" w:cs="宋体"/>
                <w:color w:val="000000"/>
                <w:sz w:val="18"/>
                <w:szCs w:val="18"/>
              </w:rPr>
              <w:t>住宿业</w:t>
            </w:r>
          </w:p>
        </w:tc>
        <w:tc>
          <w:tcPr>
            <w:tcW w:w="725" w:type="pct"/>
            <w:tcBorders>
              <w:top w:val="nil"/>
              <w:left w:val="nil"/>
              <w:bottom w:val="nil"/>
              <w:right w:val="single" w:color="auto" w:sz="4" w:space="0"/>
            </w:tcBorders>
            <w:shd w:val="clear" w:color="auto" w:fill="auto"/>
            <w:vAlign w:val="center"/>
          </w:tcPr>
          <w:p w14:paraId="5C6EF858">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4079B1EB">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5BE7FA8D">
            <w:pPr>
              <w:jc w:val="center"/>
              <w:rPr>
                <w:rFonts w:ascii="宋体" w:hAnsi="宋体" w:cs="宋体"/>
                <w:color w:val="000000"/>
                <w:sz w:val="18"/>
                <w:szCs w:val="18"/>
              </w:rPr>
            </w:pPr>
            <w:r>
              <w:rPr>
                <w:rFonts w:hint="eastAsia" w:ascii="宋体" w:hAnsi="宋体" w:cs="宋体"/>
                <w:color w:val="000000"/>
                <w:sz w:val="18"/>
                <w:szCs w:val="18"/>
              </w:rPr>
              <w:t>X≥300</w:t>
            </w:r>
          </w:p>
        </w:tc>
        <w:tc>
          <w:tcPr>
            <w:tcW w:w="901" w:type="pct"/>
            <w:tcBorders>
              <w:top w:val="nil"/>
              <w:left w:val="nil"/>
              <w:bottom w:val="nil"/>
              <w:right w:val="single" w:color="auto" w:sz="4" w:space="0"/>
            </w:tcBorders>
            <w:shd w:val="clear" w:color="auto" w:fill="auto"/>
            <w:vAlign w:val="center"/>
          </w:tcPr>
          <w:p w14:paraId="6887D398">
            <w:pPr>
              <w:ind w:left="-14" w:leftChars="-51" w:hanging="108" w:hangingChars="60"/>
              <w:jc w:val="center"/>
              <w:rPr>
                <w:rFonts w:ascii="宋体" w:hAnsi="宋体" w:cs="宋体"/>
                <w:color w:val="000000"/>
                <w:sz w:val="18"/>
                <w:szCs w:val="18"/>
              </w:rPr>
            </w:pPr>
            <w:r>
              <w:rPr>
                <w:rFonts w:hint="eastAsia" w:ascii="宋体" w:hAnsi="宋体" w:cs="宋体"/>
                <w:color w:val="000000"/>
                <w:sz w:val="18"/>
                <w:szCs w:val="18"/>
              </w:rPr>
              <w:t xml:space="preserve">100≤X＜300 </w:t>
            </w:r>
          </w:p>
        </w:tc>
        <w:tc>
          <w:tcPr>
            <w:tcW w:w="755" w:type="pct"/>
            <w:tcBorders>
              <w:top w:val="nil"/>
              <w:left w:val="nil"/>
              <w:bottom w:val="nil"/>
              <w:right w:val="single" w:color="auto" w:sz="4" w:space="0"/>
            </w:tcBorders>
            <w:shd w:val="clear" w:color="auto" w:fill="auto"/>
            <w:vAlign w:val="center"/>
          </w:tcPr>
          <w:p w14:paraId="6CDEC9FD">
            <w:pPr>
              <w:jc w:val="center"/>
              <w:rPr>
                <w:rFonts w:ascii="宋体" w:hAnsi="宋体" w:cs="宋体"/>
                <w:color w:val="000000"/>
                <w:sz w:val="18"/>
                <w:szCs w:val="18"/>
              </w:rPr>
            </w:pPr>
            <w:r>
              <w:rPr>
                <w:rFonts w:hint="eastAsia" w:ascii="宋体" w:hAnsi="宋体" w:cs="宋体"/>
                <w:color w:val="000000"/>
                <w:sz w:val="18"/>
                <w:szCs w:val="18"/>
              </w:rPr>
              <w:t xml:space="preserve"> 10≤X＜100</w:t>
            </w:r>
          </w:p>
        </w:tc>
        <w:tc>
          <w:tcPr>
            <w:tcW w:w="525" w:type="pct"/>
            <w:tcBorders>
              <w:top w:val="nil"/>
              <w:left w:val="nil"/>
              <w:bottom w:val="nil"/>
              <w:right w:val="nil"/>
            </w:tcBorders>
            <w:shd w:val="clear" w:color="auto" w:fill="auto"/>
            <w:vAlign w:val="center"/>
          </w:tcPr>
          <w:p w14:paraId="19DA3F95">
            <w:pPr>
              <w:jc w:val="center"/>
              <w:rPr>
                <w:rFonts w:ascii="宋体" w:hAnsi="宋体" w:cs="宋体"/>
                <w:color w:val="000000"/>
                <w:sz w:val="18"/>
                <w:szCs w:val="18"/>
              </w:rPr>
            </w:pPr>
            <w:r>
              <w:rPr>
                <w:rFonts w:hint="eastAsia" w:ascii="宋体" w:hAnsi="宋体" w:cs="宋体"/>
                <w:color w:val="000000"/>
                <w:sz w:val="18"/>
                <w:szCs w:val="18"/>
              </w:rPr>
              <w:t>X＜10</w:t>
            </w:r>
          </w:p>
        </w:tc>
      </w:tr>
      <w:tr w14:paraId="04394227">
        <w:tblPrEx>
          <w:tblCellMar>
            <w:top w:w="0" w:type="dxa"/>
            <w:left w:w="108" w:type="dxa"/>
            <w:bottom w:w="0" w:type="dxa"/>
            <w:right w:w="108" w:type="dxa"/>
          </w:tblCellMar>
        </w:tblPrEx>
        <w:trPr>
          <w:trHeight w:val="524" w:hRule="exact"/>
          <w:jc w:val="center"/>
        </w:trPr>
        <w:tc>
          <w:tcPr>
            <w:tcW w:w="1119" w:type="pct"/>
            <w:vMerge w:val="continue"/>
            <w:tcBorders>
              <w:top w:val="nil"/>
              <w:left w:val="nil"/>
              <w:bottom w:val="single" w:color="auto" w:sz="4" w:space="0"/>
              <w:right w:val="single" w:color="auto" w:sz="4" w:space="0"/>
            </w:tcBorders>
            <w:vAlign w:val="center"/>
          </w:tcPr>
          <w:p w14:paraId="255F1EC9">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62C4C645">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2CCCB754">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4EF32161">
            <w:pPr>
              <w:jc w:val="center"/>
              <w:rPr>
                <w:rFonts w:ascii="宋体" w:hAnsi="宋体" w:cs="宋体"/>
                <w:color w:val="000000"/>
                <w:sz w:val="18"/>
                <w:szCs w:val="18"/>
              </w:rPr>
            </w:pPr>
            <w:r>
              <w:rPr>
                <w:rFonts w:hint="eastAsia" w:ascii="宋体" w:hAnsi="宋体" w:cs="宋体"/>
                <w:color w:val="000000"/>
                <w:sz w:val="18"/>
                <w:szCs w:val="18"/>
              </w:rPr>
              <w:t>Y≥10000</w:t>
            </w:r>
          </w:p>
        </w:tc>
        <w:tc>
          <w:tcPr>
            <w:tcW w:w="901" w:type="pct"/>
            <w:tcBorders>
              <w:top w:val="nil"/>
              <w:left w:val="nil"/>
              <w:bottom w:val="single" w:color="auto" w:sz="4" w:space="0"/>
              <w:right w:val="single" w:color="auto" w:sz="4" w:space="0"/>
            </w:tcBorders>
            <w:shd w:val="clear" w:color="auto" w:fill="auto"/>
            <w:vAlign w:val="center"/>
          </w:tcPr>
          <w:p w14:paraId="3424A8F0">
            <w:pPr>
              <w:jc w:val="center"/>
              <w:rPr>
                <w:rFonts w:ascii="宋体" w:hAnsi="宋体" w:cs="宋体"/>
                <w:color w:val="000000"/>
                <w:sz w:val="18"/>
                <w:szCs w:val="18"/>
              </w:rPr>
            </w:pPr>
            <w:r>
              <w:rPr>
                <w:rFonts w:hint="eastAsia" w:ascii="宋体" w:hAnsi="宋体" w:cs="宋体"/>
                <w:color w:val="000000"/>
                <w:sz w:val="18"/>
                <w:szCs w:val="18"/>
              </w:rPr>
              <w:t>2000≤Y＜10000</w:t>
            </w:r>
          </w:p>
        </w:tc>
        <w:tc>
          <w:tcPr>
            <w:tcW w:w="755" w:type="pct"/>
            <w:tcBorders>
              <w:top w:val="nil"/>
              <w:left w:val="nil"/>
              <w:bottom w:val="single" w:color="auto" w:sz="4" w:space="0"/>
              <w:right w:val="single" w:color="auto" w:sz="4" w:space="0"/>
            </w:tcBorders>
            <w:shd w:val="clear" w:color="auto" w:fill="auto"/>
            <w:vAlign w:val="center"/>
          </w:tcPr>
          <w:p w14:paraId="7B547346">
            <w:pPr>
              <w:jc w:val="center"/>
              <w:rPr>
                <w:rFonts w:ascii="宋体" w:hAnsi="宋体" w:cs="宋体"/>
                <w:color w:val="000000"/>
                <w:sz w:val="18"/>
                <w:szCs w:val="18"/>
              </w:rPr>
            </w:pPr>
            <w:r>
              <w:rPr>
                <w:rFonts w:hint="eastAsia" w:ascii="宋体" w:hAnsi="宋体" w:cs="宋体"/>
                <w:color w:val="000000"/>
                <w:sz w:val="18"/>
                <w:szCs w:val="18"/>
              </w:rPr>
              <w:t xml:space="preserve"> 100≤Y＜2000</w:t>
            </w:r>
          </w:p>
        </w:tc>
        <w:tc>
          <w:tcPr>
            <w:tcW w:w="525" w:type="pct"/>
            <w:tcBorders>
              <w:top w:val="nil"/>
              <w:left w:val="nil"/>
              <w:bottom w:val="single" w:color="auto" w:sz="4" w:space="0"/>
              <w:right w:val="nil"/>
            </w:tcBorders>
            <w:shd w:val="clear" w:color="auto" w:fill="auto"/>
            <w:vAlign w:val="center"/>
          </w:tcPr>
          <w:p w14:paraId="14F0D4C6">
            <w:pPr>
              <w:jc w:val="center"/>
              <w:rPr>
                <w:rFonts w:ascii="宋体" w:hAnsi="宋体" w:cs="宋体"/>
                <w:color w:val="000000"/>
                <w:sz w:val="18"/>
                <w:szCs w:val="18"/>
              </w:rPr>
            </w:pPr>
            <w:r>
              <w:rPr>
                <w:rFonts w:hint="eastAsia" w:ascii="宋体" w:hAnsi="宋体" w:cs="宋体"/>
                <w:color w:val="000000"/>
                <w:sz w:val="18"/>
                <w:szCs w:val="18"/>
              </w:rPr>
              <w:t>Y＜100</w:t>
            </w:r>
          </w:p>
        </w:tc>
      </w:tr>
      <w:tr w14:paraId="290E8FBC">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0F165C71">
            <w:pPr>
              <w:spacing w:line="240" w:lineRule="exact"/>
              <w:rPr>
                <w:rFonts w:ascii="宋体" w:hAnsi="宋体" w:cs="宋体"/>
                <w:color w:val="000000"/>
                <w:sz w:val="18"/>
                <w:szCs w:val="18"/>
              </w:rPr>
            </w:pPr>
            <w:r>
              <w:rPr>
                <w:rFonts w:hint="eastAsia" w:ascii="宋体" w:hAnsi="宋体" w:cs="宋体"/>
                <w:color w:val="000000"/>
                <w:sz w:val="18"/>
                <w:szCs w:val="18"/>
              </w:rPr>
              <w:t>餐饮业</w:t>
            </w:r>
          </w:p>
        </w:tc>
        <w:tc>
          <w:tcPr>
            <w:tcW w:w="725" w:type="pct"/>
            <w:tcBorders>
              <w:top w:val="nil"/>
              <w:left w:val="nil"/>
              <w:bottom w:val="nil"/>
              <w:right w:val="single" w:color="auto" w:sz="4" w:space="0"/>
            </w:tcBorders>
            <w:shd w:val="clear" w:color="auto" w:fill="auto"/>
            <w:vAlign w:val="center"/>
          </w:tcPr>
          <w:p w14:paraId="66655994">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28D30E5E">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563F27FC">
            <w:pPr>
              <w:jc w:val="center"/>
              <w:rPr>
                <w:rFonts w:ascii="宋体" w:hAnsi="宋体" w:cs="宋体"/>
                <w:color w:val="000000"/>
                <w:sz w:val="18"/>
                <w:szCs w:val="18"/>
              </w:rPr>
            </w:pPr>
            <w:r>
              <w:rPr>
                <w:rFonts w:hint="eastAsia" w:ascii="宋体" w:hAnsi="宋体" w:cs="宋体"/>
                <w:color w:val="000000"/>
                <w:sz w:val="18"/>
                <w:szCs w:val="18"/>
              </w:rPr>
              <w:t>X≥300</w:t>
            </w:r>
          </w:p>
        </w:tc>
        <w:tc>
          <w:tcPr>
            <w:tcW w:w="901" w:type="pct"/>
            <w:tcBorders>
              <w:top w:val="nil"/>
              <w:left w:val="nil"/>
              <w:bottom w:val="nil"/>
              <w:right w:val="single" w:color="auto" w:sz="4" w:space="0"/>
            </w:tcBorders>
            <w:shd w:val="clear" w:color="auto" w:fill="auto"/>
            <w:vAlign w:val="center"/>
          </w:tcPr>
          <w:p w14:paraId="523F73F8">
            <w:pPr>
              <w:ind w:left="-14" w:leftChars="-51" w:hanging="108" w:hangingChars="60"/>
              <w:jc w:val="center"/>
              <w:rPr>
                <w:rFonts w:ascii="宋体" w:hAnsi="宋体" w:cs="宋体"/>
                <w:color w:val="000000"/>
                <w:sz w:val="18"/>
                <w:szCs w:val="18"/>
              </w:rPr>
            </w:pPr>
            <w:r>
              <w:rPr>
                <w:rFonts w:hint="eastAsia" w:ascii="宋体" w:hAnsi="宋体" w:cs="宋体"/>
                <w:color w:val="000000"/>
                <w:sz w:val="18"/>
                <w:szCs w:val="18"/>
              </w:rPr>
              <w:t xml:space="preserve">100≤X＜300 </w:t>
            </w:r>
          </w:p>
        </w:tc>
        <w:tc>
          <w:tcPr>
            <w:tcW w:w="755" w:type="pct"/>
            <w:tcBorders>
              <w:top w:val="nil"/>
              <w:left w:val="nil"/>
              <w:bottom w:val="nil"/>
              <w:right w:val="single" w:color="auto" w:sz="4" w:space="0"/>
            </w:tcBorders>
            <w:shd w:val="clear" w:color="auto" w:fill="auto"/>
            <w:vAlign w:val="center"/>
          </w:tcPr>
          <w:p w14:paraId="170A3D48">
            <w:pPr>
              <w:jc w:val="center"/>
              <w:rPr>
                <w:rFonts w:ascii="宋体" w:hAnsi="宋体" w:cs="宋体"/>
                <w:color w:val="000000"/>
                <w:sz w:val="18"/>
                <w:szCs w:val="18"/>
              </w:rPr>
            </w:pPr>
            <w:r>
              <w:rPr>
                <w:rFonts w:hint="eastAsia" w:ascii="宋体" w:hAnsi="宋体" w:cs="宋体"/>
                <w:color w:val="000000"/>
                <w:sz w:val="18"/>
                <w:szCs w:val="18"/>
              </w:rPr>
              <w:t xml:space="preserve"> 10≤X＜100</w:t>
            </w:r>
          </w:p>
        </w:tc>
        <w:tc>
          <w:tcPr>
            <w:tcW w:w="525" w:type="pct"/>
            <w:tcBorders>
              <w:top w:val="nil"/>
              <w:left w:val="nil"/>
              <w:bottom w:val="nil"/>
              <w:right w:val="nil"/>
            </w:tcBorders>
            <w:shd w:val="clear" w:color="auto" w:fill="auto"/>
            <w:vAlign w:val="center"/>
          </w:tcPr>
          <w:p w14:paraId="73046A2A">
            <w:pPr>
              <w:jc w:val="center"/>
              <w:rPr>
                <w:rFonts w:ascii="宋体" w:hAnsi="宋体" w:cs="宋体"/>
                <w:color w:val="000000"/>
                <w:sz w:val="18"/>
                <w:szCs w:val="18"/>
              </w:rPr>
            </w:pPr>
            <w:r>
              <w:rPr>
                <w:rFonts w:hint="eastAsia" w:ascii="宋体" w:hAnsi="宋体" w:cs="宋体"/>
                <w:color w:val="000000"/>
                <w:sz w:val="18"/>
                <w:szCs w:val="18"/>
              </w:rPr>
              <w:t>X＜10</w:t>
            </w:r>
          </w:p>
        </w:tc>
      </w:tr>
      <w:tr w14:paraId="0E3EB01F">
        <w:tblPrEx>
          <w:tblCellMar>
            <w:top w:w="0" w:type="dxa"/>
            <w:left w:w="108" w:type="dxa"/>
            <w:bottom w:w="0" w:type="dxa"/>
            <w:right w:w="108" w:type="dxa"/>
          </w:tblCellMar>
        </w:tblPrEx>
        <w:trPr>
          <w:trHeight w:val="578" w:hRule="exact"/>
          <w:jc w:val="center"/>
        </w:trPr>
        <w:tc>
          <w:tcPr>
            <w:tcW w:w="1119" w:type="pct"/>
            <w:vMerge w:val="continue"/>
            <w:tcBorders>
              <w:top w:val="nil"/>
              <w:left w:val="nil"/>
              <w:bottom w:val="single" w:color="auto" w:sz="4" w:space="0"/>
              <w:right w:val="single" w:color="auto" w:sz="4" w:space="0"/>
            </w:tcBorders>
            <w:vAlign w:val="center"/>
          </w:tcPr>
          <w:p w14:paraId="031C078B">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2284BD0F">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4DD96CA9">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1D59FA4B">
            <w:pPr>
              <w:jc w:val="center"/>
              <w:rPr>
                <w:rFonts w:ascii="宋体" w:hAnsi="宋体" w:cs="宋体"/>
                <w:color w:val="000000"/>
                <w:sz w:val="18"/>
                <w:szCs w:val="18"/>
              </w:rPr>
            </w:pPr>
            <w:r>
              <w:rPr>
                <w:rFonts w:hint="eastAsia" w:ascii="宋体" w:hAnsi="宋体" w:cs="宋体"/>
                <w:color w:val="000000"/>
                <w:sz w:val="18"/>
                <w:szCs w:val="18"/>
              </w:rPr>
              <w:t>Y≥10000</w:t>
            </w:r>
          </w:p>
        </w:tc>
        <w:tc>
          <w:tcPr>
            <w:tcW w:w="901" w:type="pct"/>
            <w:tcBorders>
              <w:top w:val="nil"/>
              <w:left w:val="nil"/>
              <w:bottom w:val="single" w:color="auto" w:sz="4" w:space="0"/>
              <w:right w:val="single" w:color="auto" w:sz="4" w:space="0"/>
            </w:tcBorders>
            <w:shd w:val="clear" w:color="auto" w:fill="auto"/>
            <w:vAlign w:val="center"/>
          </w:tcPr>
          <w:p w14:paraId="22525643">
            <w:pPr>
              <w:jc w:val="center"/>
              <w:rPr>
                <w:rFonts w:ascii="宋体" w:hAnsi="宋体" w:cs="宋体"/>
                <w:color w:val="000000"/>
                <w:sz w:val="18"/>
                <w:szCs w:val="18"/>
              </w:rPr>
            </w:pPr>
            <w:r>
              <w:rPr>
                <w:rFonts w:hint="eastAsia" w:ascii="宋体" w:hAnsi="宋体" w:cs="宋体"/>
                <w:color w:val="000000"/>
                <w:sz w:val="18"/>
                <w:szCs w:val="18"/>
              </w:rPr>
              <w:t>2000≤Y＜10000</w:t>
            </w:r>
          </w:p>
        </w:tc>
        <w:tc>
          <w:tcPr>
            <w:tcW w:w="755" w:type="pct"/>
            <w:tcBorders>
              <w:top w:val="nil"/>
              <w:left w:val="nil"/>
              <w:bottom w:val="single" w:color="auto" w:sz="4" w:space="0"/>
              <w:right w:val="single" w:color="auto" w:sz="4" w:space="0"/>
            </w:tcBorders>
            <w:shd w:val="clear" w:color="auto" w:fill="auto"/>
            <w:vAlign w:val="center"/>
          </w:tcPr>
          <w:p w14:paraId="4C7950FB">
            <w:pPr>
              <w:jc w:val="center"/>
              <w:rPr>
                <w:rFonts w:ascii="宋体" w:hAnsi="宋体" w:cs="宋体"/>
                <w:color w:val="000000"/>
                <w:sz w:val="18"/>
                <w:szCs w:val="18"/>
              </w:rPr>
            </w:pPr>
            <w:r>
              <w:rPr>
                <w:rFonts w:hint="eastAsia" w:ascii="宋体" w:hAnsi="宋体" w:cs="宋体"/>
                <w:color w:val="000000"/>
                <w:sz w:val="18"/>
                <w:szCs w:val="18"/>
              </w:rPr>
              <w:t xml:space="preserve"> 100≤Y＜2000</w:t>
            </w:r>
          </w:p>
        </w:tc>
        <w:tc>
          <w:tcPr>
            <w:tcW w:w="525" w:type="pct"/>
            <w:tcBorders>
              <w:top w:val="nil"/>
              <w:left w:val="nil"/>
              <w:bottom w:val="single" w:color="auto" w:sz="4" w:space="0"/>
              <w:right w:val="nil"/>
            </w:tcBorders>
            <w:shd w:val="clear" w:color="auto" w:fill="auto"/>
            <w:vAlign w:val="center"/>
          </w:tcPr>
          <w:p w14:paraId="5C28BE29">
            <w:pPr>
              <w:jc w:val="center"/>
              <w:rPr>
                <w:rFonts w:ascii="宋体" w:hAnsi="宋体" w:cs="宋体"/>
                <w:color w:val="000000"/>
                <w:sz w:val="18"/>
                <w:szCs w:val="18"/>
              </w:rPr>
            </w:pPr>
            <w:r>
              <w:rPr>
                <w:rFonts w:hint="eastAsia" w:ascii="宋体" w:hAnsi="宋体" w:cs="宋体"/>
                <w:color w:val="000000"/>
                <w:sz w:val="18"/>
                <w:szCs w:val="18"/>
              </w:rPr>
              <w:t>Y＜100</w:t>
            </w:r>
          </w:p>
        </w:tc>
      </w:tr>
      <w:tr w14:paraId="7575276C">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6226AA49">
            <w:pPr>
              <w:spacing w:line="240" w:lineRule="exact"/>
              <w:rPr>
                <w:rFonts w:ascii="宋体" w:hAnsi="宋体" w:cs="宋体"/>
                <w:color w:val="000000"/>
                <w:sz w:val="18"/>
                <w:szCs w:val="18"/>
              </w:rPr>
            </w:pPr>
            <w:r>
              <w:rPr>
                <w:rFonts w:hint="eastAsia" w:ascii="宋体" w:hAnsi="宋体" w:cs="宋体"/>
                <w:color w:val="000000"/>
                <w:sz w:val="18"/>
                <w:szCs w:val="18"/>
              </w:rPr>
              <w:t>信息传输业 *</w:t>
            </w:r>
          </w:p>
        </w:tc>
        <w:tc>
          <w:tcPr>
            <w:tcW w:w="725" w:type="pct"/>
            <w:tcBorders>
              <w:top w:val="nil"/>
              <w:left w:val="nil"/>
              <w:bottom w:val="nil"/>
              <w:right w:val="single" w:color="auto" w:sz="4" w:space="0"/>
            </w:tcBorders>
            <w:shd w:val="clear" w:color="auto" w:fill="auto"/>
            <w:vAlign w:val="center"/>
          </w:tcPr>
          <w:p w14:paraId="25E2BA67">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6ED43367">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00AB5C4D">
            <w:pPr>
              <w:jc w:val="center"/>
              <w:rPr>
                <w:rFonts w:ascii="宋体" w:hAnsi="宋体" w:cs="宋体"/>
                <w:color w:val="000000"/>
                <w:sz w:val="18"/>
                <w:szCs w:val="18"/>
              </w:rPr>
            </w:pPr>
            <w:r>
              <w:rPr>
                <w:rFonts w:hint="eastAsia" w:ascii="宋体" w:hAnsi="宋体" w:cs="宋体"/>
                <w:color w:val="000000"/>
                <w:sz w:val="18"/>
                <w:szCs w:val="18"/>
              </w:rPr>
              <w:t>X≥2000</w:t>
            </w:r>
          </w:p>
        </w:tc>
        <w:tc>
          <w:tcPr>
            <w:tcW w:w="901" w:type="pct"/>
            <w:tcBorders>
              <w:top w:val="nil"/>
              <w:left w:val="nil"/>
              <w:bottom w:val="nil"/>
              <w:right w:val="single" w:color="auto" w:sz="4" w:space="0"/>
            </w:tcBorders>
            <w:shd w:val="clear" w:color="auto" w:fill="auto"/>
            <w:vAlign w:val="center"/>
          </w:tcPr>
          <w:p w14:paraId="197F2CE6">
            <w:pPr>
              <w:jc w:val="center"/>
              <w:rPr>
                <w:rFonts w:ascii="宋体" w:hAnsi="宋体" w:cs="宋体"/>
                <w:color w:val="000000"/>
                <w:sz w:val="18"/>
                <w:szCs w:val="18"/>
              </w:rPr>
            </w:pPr>
            <w:r>
              <w:rPr>
                <w:rFonts w:hint="eastAsia" w:ascii="宋体" w:hAnsi="宋体" w:cs="宋体"/>
                <w:color w:val="000000"/>
                <w:sz w:val="18"/>
                <w:szCs w:val="18"/>
              </w:rPr>
              <w:t>100≤X＜2000</w:t>
            </w:r>
          </w:p>
        </w:tc>
        <w:tc>
          <w:tcPr>
            <w:tcW w:w="755" w:type="pct"/>
            <w:tcBorders>
              <w:top w:val="nil"/>
              <w:left w:val="nil"/>
              <w:bottom w:val="nil"/>
              <w:right w:val="single" w:color="auto" w:sz="4" w:space="0"/>
            </w:tcBorders>
            <w:shd w:val="clear" w:color="auto" w:fill="auto"/>
            <w:vAlign w:val="center"/>
          </w:tcPr>
          <w:p w14:paraId="5F082A7A">
            <w:pPr>
              <w:jc w:val="center"/>
              <w:rPr>
                <w:rFonts w:ascii="宋体" w:hAnsi="宋体" w:cs="宋体"/>
                <w:color w:val="000000"/>
                <w:sz w:val="18"/>
                <w:szCs w:val="18"/>
              </w:rPr>
            </w:pPr>
            <w:r>
              <w:rPr>
                <w:rFonts w:hint="eastAsia" w:ascii="宋体" w:hAnsi="宋体" w:cs="宋体"/>
                <w:color w:val="000000"/>
                <w:sz w:val="18"/>
                <w:szCs w:val="18"/>
              </w:rPr>
              <w:t xml:space="preserve"> 10≤X＜100</w:t>
            </w:r>
          </w:p>
        </w:tc>
        <w:tc>
          <w:tcPr>
            <w:tcW w:w="525" w:type="pct"/>
            <w:tcBorders>
              <w:top w:val="nil"/>
              <w:left w:val="nil"/>
              <w:bottom w:val="nil"/>
              <w:right w:val="nil"/>
            </w:tcBorders>
            <w:shd w:val="clear" w:color="auto" w:fill="auto"/>
            <w:vAlign w:val="center"/>
          </w:tcPr>
          <w:p w14:paraId="35549423">
            <w:pPr>
              <w:jc w:val="center"/>
              <w:rPr>
                <w:rFonts w:ascii="宋体" w:hAnsi="宋体" w:cs="宋体"/>
                <w:color w:val="000000"/>
                <w:sz w:val="18"/>
                <w:szCs w:val="18"/>
              </w:rPr>
            </w:pPr>
            <w:r>
              <w:rPr>
                <w:rFonts w:hint="eastAsia" w:ascii="宋体" w:hAnsi="宋体" w:cs="宋体"/>
                <w:color w:val="000000"/>
                <w:sz w:val="18"/>
                <w:szCs w:val="18"/>
              </w:rPr>
              <w:t>X＜10</w:t>
            </w:r>
          </w:p>
        </w:tc>
      </w:tr>
      <w:tr w14:paraId="6E0BA73F">
        <w:tblPrEx>
          <w:tblCellMar>
            <w:top w:w="0" w:type="dxa"/>
            <w:left w:w="108" w:type="dxa"/>
            <w:bottom w:w="0" w:type="dxa"/>
            <w:right w:w="108" w:type="dxa"/>
          </w:tblCellMar>
        </w:tblPrEx>
        <w:trPr>
          <w:trHeight w:val="523" w:hRule="exact"/>
          <w:jc w:val="center"/>
        </w:trPr>
        <w:tc>
          <w:tcPr>
            <w:tcW w:w="1119" w:type="pct"/>
            <w:vMerge w:val="continue"/>
            <w:tcBorders>
              <w:top w:val="nil"/>
              <w:left w:val="nil"/>
              <w:bottom w:val="single" w:color="auto" w:sz="4" w:space="0"/>
              <w:right w:val="single" w:color="auto" w:sz="4" w:space="0"/>
            </w:tcBorders>
            <w:vAlign w:val="center"/>
          </w:tcPr>
          <w:p w14:paraId="628CFDAB">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4698AF91">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1382F9D5">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6BE5A430">
            <w:pPr>
              <w:jc w:val="center"/>
              <w:rPr>
                <w:rFonts w:ascii="宋体" w:hAnsi="宋体" w:cs="宋体"/>
                <w:color w:val="000000"/>
                <w:sz w:val="18"/>
                <w:szCs w:val="18"/>
              </w:rPr>
            </w:pPr>
            <w:r>
              <w:rPr>
                <w:rFonts w:hint="eastAsia" w:ascii="宋体" w:hAnsi="宋体" w:cs="宋体"/>
                <w:color w:val="000000"/>
                <w:sz w:val="18"/>
                <w:szCs w:val="18"/>
              </w:rPr>
              <w:t>Y≥100000</w:t>
            </w:r>
          </w:p>
        </w:tc>
        <w:tc>
          <w:tcPr>
            <w:tcW w:w="901" w:type="pct"/>
            <w:tcBorders>
              <w:top w:val="nil"/>
              <w:left w:val="nil"/>
              <w:bottom w:val="single" w:color="auto" w:sz="4" w:space="0"/>
              <w:right w:val="single" w:color="auto" w:sz="4" w:space="0"/>
            </w:tcBorders>
            <w:shd w:val="clear" w:color="auto" w:fill="auto"/>
            <w:vAlign w:val="center"/>
          </w:tcPr>
          <w:p w14:paraId="3317A588">
            <w:pPr>
              <w:jc w:val="center"/>
              <w:rPr>
                <w:rFonts w:ascii="宋体" w:hAnsi="宋体" w:cs="宋体"/>
                <w:color w:val="000000"/>
                <w:sz w:val="18"/>
                <w:szCs w:val="18"/>
              </w:rPr>
            </w:pPr>
            <w:r>
              <w:rPr>
                <w:rFonts w:hint="eastAsia" w:ascii="宋体" w:hAnsi="宋体" w:cs="宋体"/>
                <w:color w:val="000000"/>
                <w:sz w:val="18"/>
                <w:szCs w:val="18"/>
              </w:rPr>
              <w:t xml:space="preserve"> 1000≤Y＜100000</w:t>
            </w:r>
          </w:p>
        </w:tc>
        <w:tc>
          <w:tcPr>
            <w:tcW w:w="755" w:type="pct"/>
            <w:tcBorders>
              <w:top w:val="nil"/>
              <w:left w:val="nil"/>
              <w:bottom w:val="single" w:color="auto" w:sz="4" w:space="0"/>
              <w:right w:val="single" w:color="auto" w:sz="4" w:space="0"/>
            </w:tcBorders>
            <w:shd w:val="clear" w:color="auto" w:fill="auto"/>
            <w:vAlign w:val="center"/>
          </w:tcPr>
          <w:p w14:paraId="0F1A4FC8">
            <w:pPr>
              <w:jc w:val="center"/>
              <w:rPr>
                <w:rFonts w:ascii="宋体" w:hAnsi="宋体" w:cs="宋体"/>
                <w:color w:val="000000"/>
                <w:sz w:val="18"/>
                <w:szCs w:val="18"/>
              </w:rPr>
            </w:pPr>
            <w:r>
              <w:rPr>
                <w:rFonts w:hint="eastAsia" w:ascii="宋体" w:hAnsi="宋体" w:cs="宋体"/>
                <w:color w:val="000000"/>
                <w:sz w:val="18"/>
                <w:szCs w:val="18"/>
              </w:rPr>
              <w:t xml:space="preserve"> 100≤Y＜1000</w:t>
            </w:r>
          </w:p>
        </w:tc>
        <w:tc>
          <w:tcPr>
            <w:tcW w:w="525" w:type="pct"/>
            <w:tcBorders>
              <w:top w:val="nil"/>
              <w:left w:val="nil"/>
              <w:bottom w:val="single" w:color="auto" w:sz="4" w:space="0"/>
              <w:right w:val="nil"/>
            </w:tcBorders>
            <w:shd w:val="clear" w:color="auto" w:fill="auto"/>
            <w:vAlign w:val="center"/>
          </w:tcPr>
          <w:p w14:paraId="7F5996BD">
            <w:pPr>
              <w:jc w:val="center"/>
              <w:rPr>
                <w:rFonts w:ascii="宋体" w:hAnsi="宋体" w:cs="宋体"/>
                <w:color w:val="000000"/>
                <w:sz w:val="18"/>
                <w:szCs w:val="18"/>
              </w:rPr>
            </w:pPr>
            <w:r>
              <w:rPr>
                <w:rFonts w:hint="eastAsia" w:ascii="宋体" w:hAnsi="宋体" w:cs="宋体"/>
                <w:color w:val="000000"/>
                <w:sz w:val="18"/>
                <w:szCs w:val="18"/>
              </w:rPr>
              <w:t>Y＜100</w:t>
            </w:r>
          </w:p>
        </w:tc>
      </w:tr>
      <w:tr w14:paraId="77210C39">
        <w:tblPrEx>
          <w:tblCellMar>
            <w:top w:w="0" w:type="dxa"/>
            <w:left w:w="108" w:type="dxa"/>
            <w:bottom w:w="0" w:type="dxa"/>
            <w:right w:w="108" w:type="dxa"/>
          </w:tblCellMar>
        </w:tblPrEx>
        <w:trPr>
          <w:trHeight w:val="340" w:hRule="exact"/>
          <w:jc w:val="center"/>
        </w:trPr>
        <w:tc>
          <w:tcPr>
            <w:tcW w:w="1119" w:type="pct"/>
            <w:vMerge w:val="restart"/>
            <w:tcBorders>
              <w:top w:val="single" w:color="auto" w:sz="4" w:space="0"/>
              <w:left w:val="nil"/>
              <w:bottom w:val="single" w:color="auto" w:sz="4" w:space="0"/>
              <w:right w:val="single" w:color="auto" w:sz="4" w:space="0"/>
            </w:tcBorders>
            <w:shd w:val="clear" w:color="auto" w:fill="auto"/>
            <w:vAlign w:val="center"/>
          </w:tcPr>
          <w:p w14:paraId="45B417F5">
            <w:pPr>
              <w:spacing w:line="240" w:lineRule="exact"/>
              <w:rPr>
                <w:rFonts w:ascii="宋体" w:hAnsi="宋体" w:cs="宋体"/>
                <w:color w:val="000000"/>
                <w:spacing w:val="-12"/>
                <w:sz w:val="18"/>
                <w:szCs w:val="18"/>
              </w:rPr>
            </w:pPr>
            <w:r>
              <w:rPr>
                <w:rFonts w:hint="eastAsia" w:ascii="宋体" w:hAnsi="宋体" w:cs="宋体"/>
                <w:color w:val="000000"/>
                <w:spacing w:val="-12"/>
                <w:sz w:val="18"/>
                <w:szCs w:val="18"/>
              </w:rPr>
              <w:t>软件和信息技术服</w:t>
            </w:r>
            <w:r>
              <w:rPr>
                <w:rFonts w:hint="eastAsia" w:ascii="宋体" w:hAnsi="宋体" w:cs="宋体"/>
                <w:color w:val="000000"/>
                <w:sz w:val="18"/>
                <w:szCs w:val="18"/>
              </w:rPr>
              <w:t>务业</w:t>
            </w:r>
          </w:p>
        </w:tc>
        <w:tc>
          <w:tcPr>
            <w:tcW w:w="725" w:type="pct"/>
            <w:tcBorders>
              <w:top w:val="nil"/>
              <w:left w:val="nil"/>
              <w:bottom w:val="nil"/>
              <w:right w:val="single" w:color="auto" w:sz="4" w:space="0"/>
            </w:tcBorders>
            <w:shd w:val="clear" w:color="auto" w:fill="auto"/>
            <w:vAlign w:val="center"/>
          </w:tcPr>
          <w:p w14:paraId="2D4225BB">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697ADFEE">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0B1BCBEC">
            <w:pPr>
              <w:jc w:val="center"/>
              <w:rPr>
                <w:rFonts w:ascii="宋体" w:hAnsi="宋体" w:cs="宋体"/>
                <w:color w:val="000000"/>
                <w:sz w:val="18"/>
                <w:szCs w:val="18"/>
              </w:rPr>
            </w:pPr>
            <w:r>
              <w:rPr>
                <w:rFonts w:hint="eastAsia" w:ascii="宋体" w:hAnsi="宋体" w:cs="宋体"/>
                <w:color w:val="000000"/>
                <w:sz w:val="18"/>
                <w:szCs w:val="18"/>
              </w:rPr>
              <w:t>X≥300</w:t>
            </w:r>
          </w:p>
        </w:tc>
        <w:tc>
          <w:tcPr>
            <w:tcW w:w="901" w:type="pct"/>
            <w:tcBorders>
              <w:top w:val="nil"/>
              <w:left w:val="nil"/>
              <w:bottom w:val="nil"/>
              <w:right w:val="single" w:color="auto" w:sz="4" w:space="0"/>
            </w:tcBorders>
            <w:shd w:val="clear" w:color="auto" w:fill="auto"/>
            <w:vAlign w:val="center"/>
          </w:tcPr>
          <w:p w14:paraId="51D17C8C">
            <w:pPr>
              <w:ind w:left="-14" w:leftChars="-51" w:hanging="108" w:hangingChars="60"/>
              <w:jc w:val="center"/>
              <w:rPr>
                <w:rFonts w:ascii="宋体" w:hAnsi="宋体" w:cs="宋体"/>
                <w:color w:val="000000"/>
                <w:sz w:val="18"/>
                <w:szCs w:val="18"/>
              </w:rPr>
            </w:pPr>
            <w:r>
              <w:rPr>
                <w:rFonts w:hint="eastAsia" w:ascii="宋体" w:hAnsi="宋体" w:cs="宋体"/>
                <w:color w:val="000000"/>
                <w:sz w:val="18"/>
                <w:szCs w:val="18"/>
              </w:rPr>
              <w:t xml:space="preserve">100≤X＜300 </w:t>
            </w:r>
          </w:p>
        </w:tc>
        <w:tc>
          <w:tcPr>
            <w:tcW w:w="755" w:type="pct"/>
            <w:tcBorders>
              <w:top w:val="nil"/>
              <w:left w:val="nil"/>
              <w:bottom w:val="nil"/>
              <w:right w:val="single" w:color="auto" w:sz="4" w:space="0"/>
            </w:tcBorders>
            <w:shd w:val="clear" w:color="auto" w:fill="auto"/>
            <w:vAlign w:val="center"/>
          </w:tcPr>
          <w:p w14:paraId="02891EDB">
            <w:pPr>
              <w:jc w:val="center"/>
              <w:rPr>
                <w:rFonts w:ascii="宋体" w:hAnsi="宋体" w:cs="宋体"/>
                <w:color w:val="000000"/>
                <w:sz w:val="18"/>
                <w:szCs w:val="18"/>
              </w:rPr>
            </w:pPr>
            <w:r>
              <w:rPr>
                <w:rFonts w:hint="eastAsia" w:ascii="宋体" w:hAnsi="宋体" w:cs="宋体"/>
                <w:color w:val="000000"/>
                <w:sz w:val="18"/>
                <w:szCs w:val="18"/>
              </w:rPr>
              <w:t xml:space="preserve"> 10≤X＜100</w:t>
            </w:r>
          </w:p>
        </w:tc>
        <w:tc>
          <w:tcPr>
            <w:tcW w:w="525" w:type="pct"/>
            <w:tcBorders>
              <w:top w:val="nil"/>
              <w:left w:val="nil"/>
              <w:bottom w:val="nil"/>
              <w:right w:val="nil"/>
            </w:tcBorders>
            <w:shd w:val="clear" w:color="auto" w:fill="auto"/>
            <w:vAlign w:val="center"/>
          </w:tcPr>
          <w:p w14:paraId="0E558612">
            <w:pPr>
              <w:jc w:val="center"/>
              <w:rPr>
                <w:rFonts w:ascii="宋体" w:hAnsi="宋体" w:cs="宋体"/>
                <w:color w:val="000000"/>
                <w:sz w:val="18"/>
                <w:szCs w:val="18"/>
              </w:rPr>
            </w:pPr>
            <w:r>
              <w:rPr>
                <w:rFonts w:hint="eastAsia" w:ascii="宋体" w:hAnsi="宋体" w:cs="宋体"/>
                <w:color w:val="000000"/>
                <w:sz w:val="18"/>
                <w:szCs w:val="18"/>
              </w:rPr>
              <w:t>X＜10</w:t>
            </w:r>
          </w:p>
        </w:tc>
      </w:tr>
      <w:tr w14:paraId="384D51DB">
        <w:tblPrEx>
          <w:tblCellMar>
            <w:top w:w="0" w:type="dxa"/>
            <w:left w:w="108" w:type="dxa"/>
            <w:bottom w:w="0" w:type="dxa"/>
            <w:right w:w="108" w:type="dxa"/>
          </w:tblCellMar>
        </w:tblPrEx>
        <w:trPr>
          <w:trHeight w:val="507" w:hRule="exact"/>
          <w:jc w:val="center"/>
        </w:trPr>
        <w:tc>
          <w:tcPr>
            <w:tcW w:w="1119" w:type="pct"/>
            <w:vMerge w:val="continue"/>
            <w:tcBorders>
              <w:top w:val="single" w:color="auto" w:sz="4" w:space="0"/>
              <w:left w:val="nil"/>
              <w:bottom w:val="single" w:color="auto" w:sz="4" w:space="0"/>
              <w:right w:val="single" w:color="auto" w:sz="4" w:space="0"/>
            </w:tcBorders>
            <w:vAlign w:val="center"/>
          </w:tcPr>
          <w:p w14:paraId="61B7FD76">
            <w:pPr>
              <w:rPr>
                <w:rFonts w:ascii="宋体" w:hAnsi="宋体" w:cs="宋体"/>
                <w:color w:val="000000"/>
                <w:spacing w:val="-12"/>
                <w:sz w:val="18"/>
                <w:szCs w:val="18"/>
              </w:rPr>
            </w:pPr>
          </w:p>
        </w:tc>
        <w:tc>
          <w:tcPr>
            <w:tcW w:w="725" w:type="pct"/>
            <w:tcBorders>
              <w:top w:val="nil"/>
              <w:left w:val="nil"/>
              <w:bottom w:val="single" w:color="auto" w:sz="4" w:space="0"/>
              <w:right w:val="single" w:color="auto" w:sz="4" w:space="0"/>
            </w:tcBorders>
            <w:shd w:val="clear" w:color="auto" w:fill="auto"/>
            <w:vAlign w:val="center"/>
          </w:tcPr>
          <w:p w14:paraId="48F14E65">
            <w:pPr>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46C8D6CC">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620E34CF">
            <w:pPr>
              <w:jc w:val="center"/>
              <w:rPr>
                <w:rFonts w:ascii="宋体" w:hAnsi="宋体" w:cs="宋体"/>
                <w:color w:val="000000"/>
                <w:sz w:val="18"/>
                <w:szCs w:val="18"/>
              </w:rPr>
            </w:pPr>
            <w:r>
              <w:rPr>
                <w:rFonts w:hint="eastAsia" w:ascii="宋体" w:hAnsi="宋体" w:cs="宋体"/>
                <w:color w:val="000000"/>
                <w:sz w:val="18"/>
                <w:szCs w:val="18"/>
              </w:rPr>
              <w:t>Y≥10000</w:t>
            </w:r>
          </w:p>
        </w:tc>
        <w:tc>
          <w:tcPr>
            <w:tcW w:w="901" w:type="pct"/>
            <w:tcBorders>
              <w:top w:val="nil"/>
              <w:left w:val="nil"/>
              <w:bottom w:val="single" w:color="auto" w:sz="4" w:space="0"/>
              <w:right w:val="single" w:color="auto" w:sz="4" w:space="0"/>
            </w:tcBorders>
            <w:shd w:val="clear" w:color="auto" w:fill="auto"/>
            <w:vAlign w:val="center"/>
          </w:tcPr>
          <w:p w14:paraId="29C41C52">
            <w:pPr>
              <w:jc w:val="center"/>
              <w:rPr>
                <w:rFonts w:ascii="宋体" w:hAnsi="宋体" w:cs="宋体"/>
                <w:color w:val="000000"/>
                <w:sz w:val="18"/>
                <w:szCs w:val="18"/>
              </w:rPr>
            </w:pPr>
            <w:r>
              <w:rPr>
                <w:rFonts w:hint="eastAsia" w:ascii="宋体" w:hAnsi="宋体" w:cs="宋体"/>
                <w:color w:val="000000"/>
                <w:sz w:val="18"/>
                <w:szCs w:val="18"/>
              </w:rPr>
              <w:t>1000≤Y＜10000</w:t>
            </w:r>
          </w:p>
        </w:tc>
        <w:tc>
          <w:tcPr>
            <w:tcW w:w="755" w:type="pct"/>
            <w:tcBorders>
              <w:top w:val="nil"/>
              <w:left w:val="nil"/>
              <w:bottom w:val="single" w:color="auto" w:sz="4" w:space="0"/>
              <w:right w:val="single" w:color="auto" w:sz="4" w:space="0"/>
            </w:tcBorders>
            <w:shd w:val="clear" w:color="auto" w:fill="auto"/>
            <w:vAlign w:val="center"/>
          </w:tcPr>
          <w:p w14:paraId="30D5967E">
            <w:pPr>
              <w:jc w:val="center"/>
              <w:rPr>
                <w:rFonts w:ascii="宋体" w:hAnsi="宋体" w:cs="宋体"/>
                <w:color w:val="000000"/>
                <w:sz w:val="18"/>
                <w:szCs w:val="18"/>
              </w:rPr>
            </w:pPr>
            <w:r>
              <w:rPr>
                <w:rFonts w:hint="eastAsia" w:ascii="宋体" w:hAnsi="宋体" w:cs="宋体"/>
                <w:color w:val="000000"/>
                <w:sz w:val="18"/>
                <w:szCs w:val="18"/>
              </w:rPr>
              <w:t xml:space="preserve">  50≤Y＜1000</w:t>
            </w:r>
          </w:p>
        </w:tc>
        <w:tc>
          <w:tcPr>
            <w:tcW w:w="525" w:type="pct"/>
            <w:tcBorders>
              <w:top w:val="nil"/>
              <w:left w:val="nil"/>
              <w:bottom w:val="single" w:color="auto" w:sz="4" w:space="0"/>
              <w:right w:val="nil"/>
            </w:tcBorders>
            <w:shd w:val="clear" w:color="auto" w:fill="auto"/>
            <w:vAlign w:val="center"/>
          </w:tcPr>
          <w:p w14:paraId="3AD7B855">
            <w:pPr>
              <w:jc w:val="center"/>
              <w:rPr>
                <w:rFonts w:ascii="宋体" w:hAnsi="宋体" w:cs="宋体"/>
                <w:color w:val="000000"/>
                <w:sz w:val="18"/>
                <w:szCs w:val="18"/>
              </w:rPr>
            </w:pPr>
            <w:r>
              <w:rPr>
                <w:rFonts w:hint="eastAsia" w:ascii="宋体" w:hAnsi="宋体" w:cs="宋体"/>
                <w:color w:val="000000"/>
                <w:sz w:val="18"/>
                <w:szCs w:val="18"/>
              </w:rPr>
              <w:t>Y＜50</w:t>
            </w:r>
          </w:p>
        </w:tc>
      </w:tr>
      <w:tr w14:paraId="602EC54F">
        <w:tblPrEx>
          <w:tblCellMar>
            <w:top w:w="0" w:type="dxa"/>
            <w:left w:w="108" w:type="dxa"/>
            <w:bottom w:w="0" w:type="dxa"/>
            <w:right w:w="108" w:type="dxa"/>
          </w:tblCellMar>
        </w:tblPrEx>
        <w:trPr>
          <w:trHeight w:val="47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481C872B">
            <w:pPr>
              <w:spacing w:line="240" w:lineRule="exact"/>
              <w:rPr>
                <w:rFonts w:ascii="宋体" w:hAnsi="宋体" w:cs="宋体"/>
                <w:color w:val="000000"/>
                <w:sz w:val="18"/>
                <w:szCs w:val="18"/>
              </w:rPr>
            </w:pPr>
            <w:r>
              <w:rPr>
                <w:rFonts w:hint="eastAsia" w:ascii="宋体" w:hAnsi="宋体" w:cs="宋体"/>
                <w:color w:val="000000"/>
                <w:sz w:val="18"/>
                <w:szCs w:val="18"/>
              </w:rPr>
              <w:t>房地产开发经营</w:t>
            </w:r>
          </w:p>
        </w:tc>
        <w:tc>
          <w:tcPr>
            <w:tcW w:w="725" w:type="pct"/>
            <w:tcBorders>
              <w:top w:val="nil"/>
              <w:left w:val="nil"/>
              <w:bottom w:val="nil"/>
              <w:right w:val="single" w:color="auto" w:sz="4" w:space="0"/>
            </w:tcBorders>
            <w:shd w:val="clear" w:color="auto" w:fill="auto"/>
            <w:vAlign w:val="center"/>
          </w:tcPr>
          <w:p w14:paraId="45CCA4E3">
            <w:pPr>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nil"/>
              <w:right w:val="single" w:color="auto" w:sz="4" w:space="0"/>
            </w:tcBorders>
            <w:shd w:val="clear" w:color="auto" w:fill="auto"/>
            <w:vAlign w:val="center"/>
          </w:tcPr>
          <w:p w14:paraId="57584D38">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nil"/>
              <w:right w:val="single" w:color="auto" w:sz="4" w:space="0"/>
            </w:tcBorders>
            <w:shd w:val="clear" w:color="auto" w:fill="auto"/>
            <w:vAlign w:val="center"/>
          </w:tcPr>
          <w:p w14:paraId="22560B06">
            <w:pPr>
              <w:jc w:val="center"/>
              <w:rPr>
                <w:rFonts w:ascii="宋体" w:hAnsi="宋体" w:cs="宋体"/>
                <w:color w:val="000000"/>
                <w:sz w:val="18"/>
                <w:szCs w:val="18"/>
              </w:rPr>
            </w:pPr>
            <w:r>
              <w:rPr>
                <w:rFonts w:hint="eastAsia" w:ascii="宋体" w:hAnsi="宋体" w:cs="宋体"/>
                <w:color w:val="000000"/>
                <w:sz w:val="18"/>
                <w:szCs w:val="18"/>
              </w:rPr>
              <w:t>Y≥200000</w:t>
            </w:r>
          </w:p>
        </w:tc>
        <w:tc>
          <w:tcPr>
            <w:tcW w:w="901" w:type="pct"/>
            <w:tcBorders>
              <w:top w:val="nil"/>
              <w:left w:val="nil"/>
              <w:bottom w:val="nil"/>
              <w:right w:val="single" w:color="auto" w:sz="4" w:space="0"/>
            </w:tcBorders>
            <w:shd w:val="clear" w:color="auto" w:fill="auto"/>
            <w:vAlign w:val="center"/>
          </w:tcPr>
          <w:p w14:paraId="1CF8A84A">
            <w:pPr>
              <w:jc w:val="center"/>
              <w:rPr>
                <w:rFonts w:ascii="宋体" w:hAnsi="宋体" w:cs="宋体"/>
                <w:color w:val="000000"/>
                <w:sz w:val="18"/>
                <w:szCs w:val="18"/>
              </w:rPr>
            </w:pPr>
            <w:r>
              <w:rPr>
                <w:rFonts w:hint="eastAsia" w:ascii="宋体" w:hAnsi="宋体" w:cs="宋体"/>
                <w:color w:val="000000"/>
                <w:sz w:val="18"/>
                <w:szCs w:val="18"/>
              </w:rPr>
              <w:t xml:space="preserve"> 1000≤Y＜200000</w:t>
            </w:r>
          </w:p>
        </w:tc>
        <w:tc>
          <w:tcPr>
            <w:tcW w:w="755" w:type="pct"/>
            <w:tcBorders>
              <w:top w:val="nil"/>
              <w:left w:val="nil"/>
              <w:bottom w:val="nil"/>
              <w:right w:val="single" w:color="auto" w:sz="4" w:space="0"/>
            </w:tcBorders>
            <w:shd w:val="clear" w:color="auto" w:fill="auto"/>
            <w:vAlign w:val="center"/>
          </w:tcPr>
          <w:p w14:paraId="110E5735">
            <w:pPr>
              <w:jc w:val="center"/>
              <w:rPr>
                <w:rFonts w:ascii="宋体" w:hAnsi="宋体" w:cs="宋体"/>
                <w:color w:val="000000"/>
                <w:sz w:val="18"/>
                <w:szCs w:val="18"/>
              </w:rPr>
            </w:pPr>
            <w:r>
              <w:rPr>
                <w:rFonts w:hint="eastAsia" w:ascii="宋体" w:hAnsi="宋体" w:cs="宋体"/>
                <w:color w:val="000000"/>
                <w:sz w:val="18"/>
                <w:szCs w:val="18"/>
              </w:rPr>
              <w:t xml:space="preserve"> 100≤Y＜1000</w:t>
            </w:r>
          </w:p>
        </w:tc>
        <w:tc>
          <w:tcPr>
            <w:tcW w:w="525" w:type="pct"/>
            <w:tcBorders>
              <w:top w:val="nil"/>
              <w:left w:val="nil"/>
              <w:bottom w:val="nil"/>
              <w:right w:val="nil"/>
            </w:tcBorders>
            <w:shd w:val="clear" w:color="auto" w:fill="auto"/>
            <w:vAlign w:val="center"/>
          </w:tcPr>
          <w:p w14:paraId="775C6027">
            <w:pPr>
              <w:jc w:val="center"/>
              <w:rPr>
                <w:rFonts w:ascii="宋体" w:hAnsi="宋体" w:cs="宋体"/>
                <w:color w:val="000000"/>
                <w:sz w:val="18"/>
                <w:szCs w:val="18"/>
              </w:rPr>
            </w:pPr>
            <w:r>
              <w:rPr>
                <w:rFonts w:hint="eastAsia" w:ascii="宋体" w:hAnsi="宋体" w:cs="宋体"/>
                <w:color w:val="000000"/>
                <w:sz w:val="18"/>
                <w:szCs w:val="18"/>
              </w:rPr>
              <w:t>Y＜100</w:t>
            </w:r>
          </w:p>
        </w:tc>
      </w:tr>
      <w:tr w14:paraId="30A1D483">
        <w:tblPrEx>
          <w:tblCellMar>
            <w:top w:w="0" w:type="dxa"/>
            <w:left w:w="108" w:type="dxa"/>
            <w:bottom w:w="0" w:type="dxa"/>
            <w:right w:w="108" w:type="dxa"/>
          </w:tblCellMar>
        </w:tblPrEx>
        <w:trPr>
          <w:trHeight w:val="507" w:hRule="exact"/>
          <w:jc w:val="center"/>
        </w:trPr>
        <w:tc>
          <w:tcPr>
            <w:tcW w:w="1119" w:type="pct"/>
            <w:vMerge w:val="continue"/>
            <w:tcBorders>
              <w:top w:val="nil"/>
              <w:left w:val="nil"/>
              <w:bottom w:val="single" w:color="auto" w:sz="4" w:space="0"/>
              <w:right w:val="single" w:color="auto" w:sz="4" w:space="0"/>
            </w:tcBorders>
            <w:vAlign w:val="center"/>
          </w:tcPr>
          <w:p w14:paraId="7318124B">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05C63367">
            <w:pPr>
              <w:spacing w:line="240" w:lineRule="exact"/>
              <w:jc w:val="center"/>
              <w:rPr>
                <w:rFonts w:ascii="宋体" w:hAnsi="宋体" w:cs="宋体"/>
                <w:color w:val="000000"/>
                <w:sz w:val="18"/>
                <w:szCs w:val="18"/>
              </w:rPr>
            </w:pPr>
            <w:r>
              <w:rPr>
                <w:rFonts w:hint="eastAsia" w:ascii="宋体" w:hAnsi="宋体" w:cs="宋体"/>
                <w:color w:val="000000"/>
                <w:sz w:val="18"/>
                <w:szCs w:val="18"/>
              </w:rPr>
              <w:t>资产总额(Z)</w:t>
            </w:r>
          </w:p>
        </w:tc>
        <w:tc>
          <w:tcPr>
            <w:tcW w:w="375" w:type="pct"/>
            <w:tcBorders>
              <w:top w:val="nil"/>
              <w:left w:val="nil"/>
              <w:bottom w:val="single" w:color="auto" w:sz="4" w:space="0"/>
              <w:right w:val="single" w:color="auto" w:sz="4" w:space="0"/>
            </w:tcBorders>
            <w:shd w:val="clear" w:color="auto" w:fill="auto"/>
            <w:vAlign w:val="center"/>
          </w:tcPr>
          <w:p w14:paraId="4036377D">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7F8A5B46">
            <w:pPr>
              <w:jc w:val="center"/>
              <w:rPr>
                <w:rFonts w:ascii="宋体" w:hAnsi="宋体" w:cs="宋体"/>
                <w:color w:val="000000"/>
                <w:sz w:val="18"/>
                <w:szCs w:val="18"/>
              </w:rPr>
            </w:pPr>
            <w:r>
              <w:rPr>
                <w:rFonts w:hint="eastAsia" w:ascii="宋体" w:hAnsi="宋体" w:cs="宋体"/>
                <w:color w:val="000000"/>
                <w:sz w:val="18"/>
                <w:szCs w:val="18"/>
              </w:rPr>
              <w:t>Z≥10000</w:t>
            </w:r>
          </w:p>
        </w:tc>
        <w:tc>
          <w:tcPr>
            <w:tcW w:w="901" w:type="pct"/>
            <w:tcBorders>
              <w:top w:val="nil"/>
              <w:left w:val="nil"/>
              <w:bottom w:val="single" w:color="auto" w:sz="4" w:space="0"/>
              <w:right w:val="single" w:color="auto" w:sz="4" w:space="0"/>
            </w:tcBorders>
            <w:shd w:val="clear" w:color="auto" w:fill="auto"/>
            <w:vAlign w:val="center"/>
          </w:tcPr>
          <w:p w14:paraId="33E1CA9A">
            <w:pPr>
              <w:jc w:val="center"/>
              <w:rPr>
                <w:rFonts w:ascii="宋体" w:hAnsi="宋体" w:cs="宋体"/>
                <w:color w:val="000000"/>
                <w:sz w:val="18"/>
                <w:szCs w:val="18"/>
              </w:rPr>
            </w:pPr>
            <w:r>
              <w:rPr>
                <w:rFonts w:hint="eastAsia" w:ascii="宋体" w:hAnsi="宋体" w:cs="宋体"/>
                <w:color w:val="000000"/>
                <w:sz w:val="18"/>
                <w:szCs w:val="18"/>
              </w:rPr>
              <w:t>5000≤Z＜10000</w:t>
            </w:r>
          </w:p>
        </w:tc>
        <w:tc>
          <w:tcPr>
            <w:tcW w:w="755" w:type="pct"/>
            <w:tcBorders>
              <w:top w:val="nil"/>
              <w:left w:val="nil"/>
              <w:bottom w:val="single" w:color="auto" w:sz="4" w:space="0"/>
              <w:right w:val="single" w:color="auto" w:sz="4" w:space="0"/>
            </w:tcBorders>
            <w:shd w:val="clear" w:color="auto" w:fill="auto"/>
            <w:vAlign w:val="center"/>
          </w:tcPr>
          <w:p w14:paraId="6E2F9233">
            <w:pPr>
              <w:jc w:val="center"/>
              <w:rPr>
                <w:rFonts w:ascii="宋体" w:hAnsi="宋体" w:cs="宋体"/>
                <w:color w:val="000000"/>
                <w:sz w:val="18"/>
                <w:szCs w:val="18"/>
              </w:rPr>
            </w:pPr>
            <w:r>
              <w:rPr>
                <w:rFonts w:hint="eastAsia" w:ascii="宋体" w:hAnsi="宋体" w:cs="宋体"/>
                <w:color w:val="000000"/>
                <w:sz w:val="18"/>
                <w:szCs w:val="18"/>
              </w:rPr>
              <w:t>2000≤Z＜5000</w:t>
            </w:r>
          </w:p>
        </w:tc>
        <w:tc>
          <w:tcPr>
            <w:tcW w:w="525" w:type="pct"/>
            <w:tcBorders>
              <w:top w:val="nil"/>
              <w:left w:val="nil"/>
              <w:bottom w:val="single" w:color="auto" w:sz="4" w:space="0"/>
              <w:right w:val="nil"/>
            </w:tcBorders>
            <w:shd w:val="clear" w:color="auto" w:fill="auto"/>
            <w:vAlign w:val="center"/>
          </w:tcPr>
          <w:p w14:paraId="0AA13F77">
            <w:pPr>
              <w:jc w:val="center"/>
              <w:rPr>
                <w:rFonts w:ascii="宋体" w:hAnsi="宋体" w:cs="宋体"/>
                <w:color w:val="000000"/>
                <w:sz w:val="18"/>
                <w:szCs w:val="18"/>
              </w:rPr>
            </w:pPr>
            <w:r>
              <w:rPr>
                <w:rFonts w:hint="eastAsia" w:ascii="宋体" w:hAnsi="宋体" w:cs="宋体"/>
                <w:color w:val="000000"/>
                <w:sz w:val="18"/>
                <w:szCs w:val="18"/>
              </w:rPr>
              <w:t>Z＜2000</w:t>
            </w:r>
          </w:p>
        </w:tc>
      </w:tr>
      <w:tr w14:paraId="52DD8552">
        <w:tblPrEx>
          <w:tblCellMar>
            <w:top w:w="0" w:type="dxa"/>
            <w:left w:w="108" w:type="dxa"/>
            <w:bottom w:w="0" w:type="dxa"/>
            <w:right w:w="108" w:type="dxa"/>
          </w:tblCellMar>
        </w:tblPrEx>
        <w:trPr>
          <w:trHeight w:val="340"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04FE9FA7">
            <w:pPr>
              <w:spacing w:line="240" w:lineRule="exact"/>
              <w:rPr>
                <w:rFonts w:ascii="宋体" w:hAnsi="宋体" w:cs="宋体"/>
                <w:color w:val="000000"/>
                <w:sz w:val="18"/>
                <w:szCs w:val="18"/>
              </w:rPr>
            </w:pPr>
            <w:r>
              <w:rPr>
                <w:rFonts w:hint="eastAsia" w:ascii="宋体" w:hAnsi="宋体" w:cs="宋体"/>
                <w:color w:val="000000"/>
                <w:sz w:val="18"/>
                <w:szCs w:val="18"/>
              </w:rPr>
              <w:t>物业管理</w:t>
            </w:r>
          </w:p>
        </w:tc>
        <w:tc>
          <w:tcPr>
            <w:tcW w:w="725" w:type="pct"/>
            <w:tcBorders>
              <w:top w:val="nil"/>
              <w:left w:val="nil"/>
              <w:bottom w:val="nil"/>
              <w:right w:val="single" w:color="auto" w:sz="4" w:space="0"/>
            </w:tcBorders>
            <w:shd w:val="clear" w:color="auto" w:fill="auto"/>
            <w:vAlign w:val="center"/>
          </w:tcPr>
          <w:p w14:paraId="76300608">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539C3CA1">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0910EF2D">
            <w:pPr>
              <w:jc w:val="center"/>
              <w:rPr>
                <w:rFonts w:ascii="宋体" w:hAnsi="宋体" w:cs="宋体"/>
                <w:color w:val="000000"/>
                <w:sz w:val="18"/>
                <w:szCs w:val="18"/>
              </w:rPr>
            </w:pPr>
            <w:r>
              <w:rPr>
                <w:rFonts w:hint="eastAsia" w:ascii="宋体" w:hAnsi="宋体" w:cs="宋体"/>
                <w:color w:val="000000"/>
                <w:sz w:val="18"/>
                <w:szCs w:val="18"/>
              </w:rPr>
              <w:t>X≥1000</w:t>
            </w:r>
          </w:p>
        </w:tc>
        <w:tc>
          <w:tcPr>
            <w:tcW w:w="901" w:type="pct"/>
            <w:tcBorders>
              <w:top w:val="nil"/>
              <w:left w:val="nil"/>
              <w:bottom w:val="nil"/>
              <w:right w:val="single" w:color="auto" w:sz="4" w:space="0"/>
            </w:tcBorders>
            <w:shd w:val="clear" w:color="auto" w:fill="auto"/>
            <w:vAlign w:val="center"/>
          </w:tcPr>
          <w:p w14:paraId="4FC6582E">
            <w:pPr>
              <w:jc w:val="center"/>
              <w:rPr>
                <w:rFonts w:ascii="宋体" w:hAnsi="宋体" w:cs="宋体"/>
                <w:color w:val="000000"/>
                <w:sz w:val="18"/>
                <w:szCs w:val="18"/>
              </w:rPr>
            </w:pPr>
            <w:r>
              <w:rPr>
                <w:rFonts w:hint="eastAsia" w:ascii="宋体" w:hAnsi="宋体" w:cs="宋体"/>
                <w:color w:val="000000"/>
                <w:sz w:val="18"/>
                <w:szCs w:val="18"/>
              </w:rPr>
              <w:t>300≤X＜1000</w:t>
            </w:r>
          </w:p>
        </w:tc>
        <w:tc>
          <w:tcPr>
            <w:tcW w:w="755" w:type="pct"/>
            <w:tcBorders>
              <w:top w:val="nil"/>
              <w:left w:val="nil"/>
              <w:bottom w:val="nil"/>
              <w:right w:val="single" w:color="auto" w:sz="4" w:space="0"/>
            </w:tcBorders>
            <w:shd w:val="clear" w:color="auto" w:fill="auto"/>
            <w:vAlign w:val="center"/>
          </w:tcPr>
          <w:p w14:paraId="727C2942">
            <w:pPr>
              <w:jc w:val="center"/>
              <w:rPr>
                <w:rFonts w:ascii="宋体" w:hAnsi="宋体" w:cs="宋体"/>
                <w:color w:val="000000"/>
                <w:sz w:val="18"/>
                <w:szCs w:val="18"/>
              </w:rPr>
            </w:pPr>
            <w:r>
              <w:rPr>
                <w:rFonts w:hint="eastAsia" w:ascii="宋体" w:hAnsi="宋体" w:cs="宋体"/>
                <w:color w:val="000000"/>
                <w:sz w:val="18"/>
                <w:szCs w:val="18"/>
              </w:rPr>
              <w:t xml:space="preserve">100≤X＜300 </w:t>
            </w:r>
          </w:p>
        </w:tc>
        <w:tc>
          <w:tcPr>
            <w:tcW w:w="525" w:type="pct"/>
            <w:tcBorders>
              <w:top w:val="nil"/>
              <w:left w:val="nil"/>
              <w:bottom w:val="nil"/>
              <w:right w:val="nil"/>
            </w:tcBorders>
            <w:shd w:val="clear" w:color="auto" w:fill="auto"/>
            <w:vAlign w:val="center"/>
          </w:tcPr>
          <w:p w14:paraId="14AE39AC">
            <w:pPr>
              <w:jc w:val="center"/>
              <w:rPr>
                <w:rFonts w:ascii="宋体" w:hAnsi="宋体" w:cs="宋体"/>
                <w:color w:val="000000"/>
                <w:sz w:val="18"/>
                <w:szCs w:val="18"/>
              </w:rPr>
            </w:pPr>
            <w:r>
              <w:rPr>
                <w:rFonts w:hint="eastAsia" w:ascii="宋体" w:hAnsi="宋体" w:cs="宋体"/>
                <w:color w:val="000000"/>
                <w:sz w:val="18"/>
                <w:szCs w:val="18"/>
              </w:rPr>
              <w:t>X＜100</w:t>
            </w:r>
          </w:p>
        </w:tc>
      </w:tr>
      <w:tr w14:paraId="13B76433">
        <w:tblPrEx>
          <w:tblCellMar>
            <w:top w:w="0" w:type="dxa"/>
            <w:left w:w="108" w:type="dxa"/>
            <w:bottom w:w="0" w:type="dxa"/>
            <w:right w:w="108" w:type="dxa"/>
          </w:tblCellMar>
        </w:tblPrEx>
        <w:trPr>
          <w:trHeight w:val="507" w:hRule="exact"/>
          <w:jc w:val="center"/>
        </w:trPr>
        <w:tc>
          <w:tcPr>
            <w:tcW w:w="1119" w:type="pct"/>
            <w:vMerge w:val="continue"/>
            <w:tcBorders>
              <w:top w:val="nil"/>
              <w:left w:val="nil"/>
              <w:bottom w:val="single" w:color="auto" w:sz="4" w:space="0"/>
              <w:right w:val="single" w:color="auto" w:sz="4" w:space="0"/>
            </w:tcBorders>
            <w:vAlign w:val="center"/>
          </w:tcPr>
          <w:p w14:paraId="1A68BC5E">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16BA7C3E">
            <w:pPr>
              <w:spacing w:line="240" w:lineRule="exact"/>
              <w:jc w:val="center"/>
              <w:rPr>
                <w:rFonts w:ascii="宋体" w:hAnsi="宋体" w:cs="宋体"/>
                <w:color w:val="000000"/>
                <w:sz w:val="18"/>
                <w:szCs w:val="18"/>
              </w:rPr>
            </w:pPr>
            <w:r>
              <w:rPr>
                <w:rFonts w:hint="eastAsia" w:ascii="宋体" w:hAnsi="宋体" w:cs="宋体"/>
                <w:color w:val="000000"/>
                <w:sz w:val="18"/>
                <w:szCs w:val="18"/>
              </w:rPr>
              <w:t>营业收入(Y)</w:t>
            </w:r>
          </w:p>
        </w:tc>
        <w:tc>
          <w:tcPr>
            <w:tcW w:w="375" w:type="pct"/>
            <w:tcBorders>
              <w:top w:val="nil"/>
              <w:left w:val="nil"/>
              <w:bottom w:val="single" w:color="auto" w:sz="4" w:space="0"/>
              <w:right w:val="single" w:color="auto" w:sz="4" w:space="0"/>
            </w:tcBorders>
            <w:shd w:val="clear" w:color="auto" w:fill="auto"/>
            <w:vAlign w:val="center"/>
          </w:tcPr>
          <w:p w14:paraId="51610F99">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799D96ED">
            <w:pPr>
              <w:jc w:val="center"/>
              <w:rPr>
                <w:rFonts w:ascii="宋体" w:hAnsi="宋体" w:cs="宋体"/>
                <w:color w:val="000000"/>
                <w:sz w:val="18"/>
                <w:szCs w:val="18"/>
              </w:rPr>
            </w:pPr>
            <w:r>
              <w:rPr>
                <w:rFonts w:hint="eastAsia" w:ascii="宋体" w:hAnsi="宋体" w:cs="宋体"/>
                <w:color w:val="000000"/>
                <w:sz w:val="18"/>
                <w:szCs w:val="18"/>
              </w:rPr>
              <w:t>Y≥5000</w:t>
            </w:r>
          </w:p>
        </w:tc>
        <w:tc>
          <w:tcPr>
            <w:tcW w:w="901" w:type="pct"/>
            <w:tcBorders>
              <w:top w:val="nil"/>
              <w:left w:val="nil"/>
              <w:bottom w:val="single" w:color="auto" w:sz="4" w:space="0"/>
              <w:right w:val="single" w:color="auto" w:sz="4" w:space="0"/>
            </w:tcBorders>
            <w:shd w:val="clear" w:color="auto" w:fill="auto"/>
            <w:vAlign w:val="center"/>
          </w:tcPr>
          <w:p w14:paraId="37E7E745">
            <w:pPr>
              <w:ind w:left="-14" w:leftChars="-51" w:hanging="108" w:hangingChars="60"/>
              <w:jc w:val="center"/>
              <w:rPr>
                <w:rFonts w:ascii="宋体" w:hAnsi="宋体" w:cs="宋体"/>
                <w:color w:val="000000"/>
                <w:sz w:val="18"/>
                <w:szCs w:val="18"/>
              </w:rPr>
            </w:pPr>
            <w:r>
              <w:rPr>
                <w:rFonts w:hint="eastAsia" w:ascii="宋体" w:hAnsi="宋体" w:cs="宋体"/>
                <w:color w:val="000000"/>
                <w:sz w:val="18"/>
                <w:szCs w:val="18"/>
              </w:rPr>
              <w:t xml:space="preserve">1000≤Y＜5000 </w:t>
            </w:r>
          </w:p>
        </w:tc>
        <w:tc>
          <w:tcPr>
            <w:tcW w:w="755" w:type="pct"/>
            <w:tcBorders>
              <w:top w:val="nil"/>
              <w:left w:val="nil"/>
              <w:bottom w:val="single" w:color="auto" w:sz="4" w:space="0"/>
              <w:right w:val="single" w:color="auto" w:sz="4" w:space="0"/>
            </w:tcBorders>
            <w:shd w:val="clear" w:color="auto" w:fill="auto"/>
            <w:vAlign w:val="center"/>
          </w:tcPr>
          <w:p w14:paraId="4731D9D1">
            <w:pPr>
              <w:jc w:val="center"/>
              <w:rPr>
                <w:rFonts w:ascii="宋体" w:hAnsi="宋体" w:cs="宋体"/>
                <w:color w:val="000000"/>
                <w:sz w:val="18"/>
                <w:szCs w:val="18"/>
              </w:rPr>
            </w:pPr>
            <w:r>
              <w:rPr>
                <w:rFonts w:hint="eastAsia" w:ascii="宋体" w:hAnsi="宋体" w:cs="宋体"/>
                <w:color w:val="000000"/>
                <w:sz w:val="18"/>
                <w:szCs w:val="18"/>
              </w:rPr>
              <w:t xml:space="preserve"> 500≤Y＜1000</w:t>
            </w:r>
          </w:p>
        </w:tc>
        <w:tc>
          <w:tcPr>
            <w:tcW w:w="525" w:type="pct"/>
            <w:tcBorders>
              <w:top w:val="nil"/>
              <w:left w:val="nil"/>
              <w:bottom w:val="single" w:color="auto" w:sz="4" w:space="0"/>
              <w:right w:val="nil"/>
            </w:tcBorders>
            <w:shd w:val="clear" w:color="auto" w:fill="auto"/>
            <w:vAlign w:val="center"/>
          </w:tcPr>
          <w:p w14:paraId="29AC6199">
            <w:pPr>
              <w:jc w:val="center"/>
              <w:rPr>
                <w:rFonts w:ascii="宋体" w:hAnsi="宋体" w:cs="宋体"/>
                <w:color w:val="000000"/>
                <w:sz w:val="18"/>
                <w:szCs w:val="18"/>
              </w:rPr>
            </w:pPr>
            <w:r>
              <w:rPr>
                <w:rFonts w:hint="eastAsia" w:ascii="宋体" w:hAnsi="宋体" w:cs="宋体"/>
                <w:color w:val="000000"/>
                <w:sz w:val="18"/>
                <w:szCs w:val="18"/>
              </w:rPr>
              <w:t>Y＜500</w:t>
            </w:r>
          </w:p>
        </w:tc>
      </w:tr>
      <w:tr w14:paraId="3BA7E760">
        <w:tblPrEx>
          <w:tblCellMar>
            <w:top w:w="0" w:type="dxa"/>
            <w:left w:w="108" w:type="dxa"/>
            <w:bottom w:w="0" w:type="dxa"/>
            <w:right w:w="108" w:type="dxa"/>
          </w:tblCellMar>
        </w:tblPrEx>
        <w:trPr>
          <w:trHeight w:val="340"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27199F9B">
            <w:pPr>
              <w:spacing w:line="240" w:lineRule="exact"/>
              <w:rPr>
                <w:rFonts w:ascii="宋体" w:hAnsi="宋体" w:cs="宋体"/>
                <w:color w:val="000000"/>
                <w:sz w:val="18"/>
                <w:szCs w:val="18"/>
              </w:rPr>
            </w:pPr>
            <w:r>
              <w:rPr>
                <w:rFonts w:hint="eastAsia" w:ascii="宋体" w:hAnsi="宋体" w:cs="宋体"/>
                <w:color w:val="000000"/>
                <w:sz w:val="18"/>
                <w:szCs w:val="18"/>
              </w:rPr>
              <w:t>租赁和商务服务业</w:t>
            </w:r>
          </w:p>
        </w:tc>
        <w:tc>
          <w:tcPr>
            <w:tcW w:w="725" w:type="pct"/>
            <w:tcBorders>
              <w:top w:val="nil"/>
              <w:left w:val="nil"/>
              <w:bottom w:val="nil"/>
              <w:right w:val="single" w:color="auto" w:sz="4" w:space="0"/>
            </w:tcBorders>
            <w:shd w:val="clear" w:color="auto" w:fill="auto"/>
            <w:vAlign w:val="center"/>
          </w:tcPr>
          <w:p w14:paraId="463D482E">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nil"/>
              <w:right w:val="single" w:color="auto" w:sz="4" w:space="0"/>
            </w:tcBorders>
            <w:shd w:val="clear" w:color="auto" w:fill="auto"/>
            <w:vAlign w:val="center"/>
          </w:tcPr>
          <w:p w14:paraId="1C35B237">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nil"/>
              <w:right w:val="single" w:color="auto" w:sz="4" w:space="0"/>
            </w:tcBorders>
            <w:shd w:val="clear" w:color="auto" w:fill="auto"/>
            <w:vAlign w:val="center"/>
          </w:tcPr>
          <w:p w14:paraId="2F820C78">
            <w:pPr>
              <w:jc w:val="center"/>
              <w:rPr>
                <w:rFonts w:ascii="宋体" w:hAnsi="宋体" w:cs="宋体"/>
                <w:color w:val="000000"/>
                <w:sz w:val="18"/>
                <w:szCs w:val="18"/>
              </w:rPr>
            </w:pPr>
            <w:r>
              <w:rPr>
                <w:rFonts w:hint="eastAsia" w:ascii="宋体" w:hAnsi="宋体" w:cs="宋体"/>
                <w:color w:val="000000"/>
                <w:sz w:val="18"/>
                <w:szCs w:val="18"/>
              </w:rPr>
              <w:t>X≥300</w:t>
            </w:r>
          </w:p>
        </w:tc>
        <w:tc>
          <w:tcPr>
            <w:tcW w:w="901" w:type="pct"/>
            <w:tcBorders>
              <w:top w:val="nil"/>
              <w:left w:val="nil"/>
              <w:bottom w:val="nil"/>
              <w:right w:val="single" w:color="auto" w:sz="4" w:space="0"/>
            </w:tcBorders>
            <w:shd w:val="clear" w:color="auto" w:fill="auto"/>
            <w:vAlign w:val="center"/>
          </w:tcPr>
          <w:p w14:paraId="32D65003">
            <w:pPr>
              <w:ind w:left="-14" w:leftChars="-51" w:hanging="108" w:hangingChars="60"/>
              <w:jc w:val="center"/>
              <w:rPr>
                <w:rFonts w:ascii="宋体" w:hAnsi="宋体" w:cs="宋体"/>
                <w:color w:val="000000"/>
                <w:sz w:val="18"/>
                <w:szCs w:val="18"/>
              </w:rPr>
            </w:pPr>
            <w:r>
              <w:rPr>
                <w:rFonts w:hint="eastAsia" w:ascii="宋体" w:hAnsi="宋体" w:cs="宋体"/>
                <w:color w:val="000000"/>
                <w:sz w:val="18"/>
                <w:szCs w:val="18"/>
              </w:rPr>
              <w:t xml:space="preserve">100≤X＜300 </w:t>
            </w:r>
          </w:p>
        </w:tc>
        <w:tc>
          <w:tcPr>
            <w:tcW w:w="755" w:type="pct"/>
            <w:tcBorders>
              <w:top w:val="nil"/>
              <w:left w:val="nil"/>
              <w:bottom w:val="nil"/>
              <w:right w:val="single" w:color="auto" w:sz="4" w:space="0"/>
            </w:tcBorders>
            <w:shd w:val="clear" w:color="auto" w:fill="auto"/>
            <w:vAlign w:val="center"/>
          </w:tcPr>
          <w:p w14:paraId="4818E200">
            <w:pPr>
              <w:jc w:val="center"/>
              <w:rPr>
                <w:rFonts w:ascii="宋体" w:hAnsi="宋体" w:cs="宋体"/>
                <w:color w:val="000000"/>
                <w:sz w:val="18"/>
                <w:szCs w:val="18"/>
              </w:rPr>
            </w:pPr>
            <w:r>
              <w:rPr>
                <w:rFonts w:hint="eastAsia" w:ascii="宋体" w:hAnsi="宋体" w:cs="宋体"/>
                <w:color w:val="000000"/>
                <w:sz w:val="18"/>
                <w:szCs w:val="18"/>
              </w:rPr>
              <w:t xml:space="preserve"> 10≤X＜100</w:t>
            </w:r>
          </w:p>
        </w:tc>
        <w:tc>
          <w:tcPr>
            <w:tcW w:w="525" w:type="pct"/>
            <w:tcBorders>
              <w:top w:val="nil"/>
              <w:left w:val="nil"/>
              <w:bottom w:val="nil"/>
              <w:right w:val="nil"/>
            </w:tcBorders>
            <w:shd w:val="clear" w:color="auto" w:fill="auto"/>
            <w:vAlign w:val="center"/>
          </w:tcPr>
          <w:p w14:paraId="643E3680">
            <w:pPr>
              <w:jc w:val="center"/>
              <w:rPr>
                <w:rFonts w:ascii="宋体" w:hAnsi="宋体" w:cs="宋体"/>
                <w:color w:val="000000"/>
                <w:sz w:val="18"/>
                <w:szCs w:val="18"/>
              </w:rPr>
            </w:pPr>
            <w:r>
              <w:rPr>
                <w:rFonts w:hint="eastAsia" w:ascii="宋体" w:hAnsi="宋体" w:cs="宋体"/>
                <w:color w:val="000000"/>
                <w:sz w:val="18"/>
                <w:szCs w:val="18"/>
              </w:rPr>
              <w:t>X＜10</w:t>
            </w:r>
          </w:p>
        </w:tc>
      </w:tr>
      <w:tr w14:paraId="3B226B3D">
        <w:tblPrEx>
          <w:tblCellMar>
            <w:top w:w="0" w:type="dxa"/>
            <w:left w:w="108" w:type="dxa"/>
            <w:bottom w:w="0" w:type="dxa"/>
            <w:right w:w="108" w:type="dxa"/>
          </w:tblCellMar>
        </w:tblPrEx>
        <w:trPr>
          <w:trHeight w:val="494" w:hRule="exact"/>
          <w:jc w:val="center"/>
        </w:trPr>
        <w:tc>
          <w:tcPr>
            <w:tcW w:w="1119" w:type="pct"/>
            <w:vMerge w:val="continue"/>
            <w:tcBorders>
              <w:top w:val="nil"/>
              <w:left w:val="nil"/>
              <w:bottom w:val="single" w:color="auto" w:sz="4" w:space="0"/>
              <w:right w:val="single" w:color="auto" w:sz="4" w:space="0"/>
            </w:tcBorders>
            <w:vAlign w:val="center"/>
          </w:tcPr>
          <w:p w14:paraId="52835203">
            <w:pPr>
              <w:rPr>
                <w:rFonts w:ascii="宋体" w:hAnsi="宋体" w:cs="宋体"/>
                <w:color w:val="000000"/>
                <w:sz w:val="18"/>
                <w:szCs w:val="18"/>
              </w:rPr>
            </w:pPr>
          </w:p>
        </w:tc>
        <w:tc>
          <w:tcPr>
            <w:tcW w:w="725" w:type="pct"/>
            <w:tcBorders>
              <w:top w:val="nil"/>
              <w:left w:val="nil"/>
              <w:bottom w:val="single" w:color="auto" w:sz="4" w:space="0"/>
              <w:right w:val="single" w:color="auto" w:sz="4" w:space="0"/>
            </w:tcBorders>
            <w:shd w:val="clear" w:color="auto" w:fill="auto"/>
            <w:vAlign w:val="center"/>
          </w:tcPr>
          <w:p w14:paraId="21344161">
            <w:pPr>
              <w:spacing w:line="240" w:lineRule="exact"/>
              <w:jc w:val="center"/>
              <w:rPr>
                <w:rFonts w:ascii="宋体" w:hAnsi="宋体" w:cs="宋体"/>
                <w:color w:val="000000"/>
                <w:sz w:val="18"/>
                <w:szCs w:val="18"/>
              </w:rPr>
            </w:pPr>
            <w:r>
              <w:rPr>
                <w:rFonts w:hint="eastAsia" w:ascii="宋体" w:hAnsi="宋体" w:cs="宋体"/>
                <w:color w:val="000000"/>
                <w:sz w:val="18"/>
                <w:szCs w:val="18"/>
              </w:rPr>
              <w:t>资产总额(Z)</w:t>
            </w:r>
          </w:p>
        </w:tc>
        <w:tc>
          <w:tcPr>
            <w:tcW w:w="375" w:type="pct"/>
            <w:tcBorders>
              <w:top w:val="nil"/>
              <w:left w:val="nil"/>
              <w:bottom w:val="single" w:color="auto" w:sz="4" w:space="0"/>
              <w:right w:val="single" w:color="auto" w:sz="4" w:space="0"/>
            </w:tcBorders>
            <w:shd w:val="clear" w:color="auto" w:fill="auto"/>
            <w:vAlign w:val="center"/>
          </w:tcPr>
          <w:p w14:paraId="175AB979">
            <w:pPr>
              <w:jc w:val="center"/>
              <w:rPr>
                <w:rFonts w:ascii="宋体" w:hAnsi="宋体" w:cs="宋体"/>
                <w:color w:val="000000"/>
                <w:sz w:val="18"/>
                <w:szCs w:val="18"/>
              </w:rPr>
            </w:pPr>
            <w:r>
              <w:rPr>
                <w:rFonts w:hint="eastAsia" w:ascii="宋体" w:hAnsi="宋体" w:cs="宋体"/>
                <w:color w:val="000000"/>
                <w:sz w:val="18"/>
                <w:szCs w:val="18"/>
              </w:rPr>
              <w:t>万元</w:t>
            </w:r>
          </w:p>
        </w:tc>
        <w:tc>
          <w:tcPr>
            <w:tcW w:w="596" w:type="pct"/>
            <w:tcBorders>
              <w:top w:val="nil"/>
              <w:left w:val="nil"/>
              <w:bottom w:val="single" w:color="auto" w:sz="4" w:space="0"/>
              <w:right w:val="single" w:color="auto" w:sz="4" w:space="0"/>
            </w:tcBorders>
            <w:shd w:val="clear" w:color="auto" w:fill="auto"/>
            <w:vAlign w:val="center"/>
          </w:tcPr>
          <w:p w14:paraId="6297D50E">
            <w:pPr>
              <w:jc w:val="center"/>
              <w:rPr>
                <w:rFonts w:ascii="宋体" w:hAnsi="宋体" w:cs="宋体"/>
                <w:color w:val="000000"/>
                <w:sz w:val="18"/>
                <w:szCs w:val="18"/>
              </w:rPr>
            </w:pPr>
            <w:r>
              <w:rPr>
                <w:rFonts w:hint="eastAsia" w:ascii="宋体" w:hAnsi="宋体" w:cs="宋体"/>
                <w:color w:val="000000"/>
                <w:sz w:val="18"/>
                <w:szCs w:val="18"/>
              </w:rPr>
              <w:t>Z≥120000</w:t>
            </w:r>
          </w:p>
        </w:tc>
        <w:tc>
          <w:tcPr>
            <w:tcW w:w="901" w:type="pct"/>
            <w:tcBorders>
              <w:top w:val="nil"/>
              <w:left w:val="nil"/>
              <w:bottom w:val="single" w:color="auto" w:sz="4" w:space="0"/>
              <w:right w:val="single" w:color="auto" w:sz="4" w:space="0"/>
            </w:tcBorders>
            <w:shd w:val="clear" w:color="auto" w:fill="auto"/>
            <w:vAlign w:val="center"/>
          </w:tcPr>
          <w:p w14:paraId="3A78E3EC">
            <w:pPr>
              <w:jc w:val="center"/>
              <w:rPr>
                <w:rFonts w:ascii="宋体" w:hAnsi="宋体" w:cs="宋体"/>
                <w:color w:val="000000"/>
                <w:sz w:val="18"/>
                <w:szCs w:val="18"/>
              </w:rPr>
            </w:pPr>
            <w:r>
              <w:rPr>
                <w:rFonts w:hint="eastAsia" w:ascii="宋体" w:hAnsi="宋体" w:cs="宋体"/>
                <w:color w:val="000000"/>
                <w:sz w:val="18"/>
                <w:szCs w:val="18"/>
              </w:rPr>
              <w:t xml:space="preserve"> 8000≤Z＜120000</w:t>
            </w:r>
          </w:p>
        </w:tc>
        <w:tc>
          <w:tcPr>
            <w:tcW w:w="755" w:type="pct"/>
            <w:tcBorders>
              <w:top w:val="nil"/>
              <w:left w:val="nil"/>
              <w:bottom w:val="single" w:color="auto" w:sz="4" w:space="0"/>
              <w:right w:val="single" w:color="auto" w:sz="4" w:space="0"/>
            </w:tcBorders>
            <w:shd w:val="clear" w:color="auto" w:fill="auto"/>
            <w:vAlign w:val="center"/>
          </w:tcPr>
          <w:p w14:paraId="2B6A7140">
            <w:pPr>
              <w:jc w:val="center"/>
              <w:rPr>
                <w:rFonts w:ascii="宋体" w:hAnsi="宋体" w:cs="宋体"/>
                <w:color w:val="000000"/>
                <w:sz w:val="18"/>
                <w:szCs w:val="18"/>
              </w:rPr>
            </w:pPr>
            <w:r>
              <w:rPr>
                <w:rFonts w:hint="eastAsia" w:ascii="宋体" w:hAnsi="宋体" w:cs="宋体"/>
                <w:color w:val="000000"/>
                <w:sz w:val="18"/>
                <w:szCs w:val="18"/>
              </w:rPr>
              <w:t xml:space="preserve"> 100≤Z＜8000</w:t>
            </w:r>
          </w:p>
        </w:tc>
        <w:tc>
          <w:tcPr>
            <w:tcW w:w="525" w:type="pct"/>
            <w:tcBorders>
              <w:top w:val="nil"/>
              <w:left w:val="nil"/>
              <w:bottom w:val="single" w:color="auto" w:sz="4" w:space="0"/>
              <w:right w:val="nil"/>
            </w:tcBorders>
            <w:shd w:val="clear" w:color="auto" w:fill="auto"/>
            <w:vAlign w:val="center"/>
          </w:tcPr>
          <w:p w14:paraId="47A34667">
            <w:pPr>
              <w:jc w:val="center"/>
              <w:rPr>
                <w:rFonts w:ascii="宋体" w:hAnsi="宋体" w:cs="宋体"/>
                <w:color w:val="000000"/>
                <w:sz w:val="18"/>
                <w:szCs w:val="18"/>
              </w:rPr>
            </w:pPr>
            <w:r>
              <w:rPr>
                <w:rFonts w:hint="eastAsia" w:ascii="宋体" w:hAnsi="宋体" w:cs="宋体"/>
                <w:color w:val="000000"/>
                <w:sz w:val="18"/>
                <w:szCs w:val="18"/>
              </w:rPr>
              <w:t>Z＜100</w:t>
            </w:r>
          </w:p>
        </w:tc>
      </w:tr>
      <w:tr w14:paraId="2C1E9CB7">
        <w:tblPrEx>
          <w:tblCellMar>
            <w:top w:w="0" w:type="dxa"/>
            <w:left w:w="108" w:type="dxa"/>
            <w:bottom w:w="0" w:type="dxa"/>
            <w:right w:w="108" w:type="dxa"/>
          </w:tblCellMar>
        </w:tblPrEx>
        <w:trPr>
          <w:trHeight w:val="397" w:hRule="exact"/>
          <w:jc w:val="center"/>
        </w:trPr>
        <w:tc>
          <w:tcPr>
            <w:tcW w:w="1119" w:type="pct"/>
            <w:tcBorders>
              <w:top w:val="nil"/>
              <w:left w:val="nil"/>
              <w:bottom w:val="single" w:color="auto" w:sz="4" w:space="0"/>
              <w:right w:val="single" w:color="auto" w:sz="4" w:space="0"/>
            </w:tcBorders>
            <w:shd w:val="clear" w:color="auto" w:fill="auto"/>
            <w:vAlign w:val="center"/>
          </w:tcPr>
          <w:p w14:paraId="5684BF98">
            <w:pPr>
              <w:spacing w:line="240" w:lineRule="exact"/>
              <w:rPr>
                <w:rFonts w:ascii="宋体" w:hAnsi="宋体" w:cs="宋体"/>
                <w:color w:val="000000"/>
                <w:sz w:val="18"/>
                <w:szCs w:val="18"/>
              </w:rPr>
            </w:pPr>
            <w:r>
              <w:rPr>
                <w:rFonts w:hint="eastAsia" w:ascii="宋体" w:hAnsi="宋体" w:cs="宋体"/>
                <w:color w:val="000000"/>
                <w:sz w:val="18"/>
                <w:szCs w:val="18"/>
              </w:rPr>
              <w:t>其他未列明行业 *</w:t>
            </w:r>
          </w:p>
        </w:tc>
        <w:tc>
          <w:tcPr>
            <w:tcW w:w="725" w:type="pct"/>
            <w:tcBorders>
              <w:top w:val="nil"/>
              <w:left w:val="nil"/>
              <w:bottom w:val="single" w:color="auto" w:sz="4" w:space="0"/>
              <w:right w:val="single" w:color="auto" w:sz="4" w:space="0"/>
            </w:tcBorders>
            <w:shd w:val="clear" w:color="auto" w:fill="auto"/>
            <w:vAlign w:val="center"/>
          </w:tcPr>
          <w:p w14:paraId="2BE19690">
            <w:pPr>
              <w:jc w:val="center"/>
              <w:rPr>
                <w:rFonts w:ascii="宋体" w:hAnsi="宋体" w:cs="宋体"/>
                <w:color w:val="000000"/>
                <w:sz w:val="18"/>
                <w:szCs w:val="18"/>
              </w:rPr>
            </w:pPr>
            <w:r>
              <w:rPr>
                <w:rFonts w:hint="eastAsia" w:ascii="宋体" w:hAnsi="宋体" w:cs="宋体"/>
                <w:color w:val="000000"/>
                <w:sz w:val="18"/>
                <w:szCs w:val="18"/>
              </w:rPr>
              <w:t>从业人员(X)</w:t>
            </w:r>
          </w:p>
        </w:tc>
        <w:tc>
          <w:tcPr>
            <w:tcW w:w="375" w:type="pct"/>
            <w:tcBorders>
              <w:top w:val="nil"/>
              <w:left w:val="nil"/>
              <w:bottom w:val="single" w:color="auto" w:sz="4" w:space="0"/>
              <w:right w:val="single" w:color="auto" w:sz="4" w:space="0"/>
            </w:tcBorders>
            <w:shd w:val="clear" w:color="auto" w:fill="auto"/>
            <w:vAlign w:val="center"/>
          </w:tcPr>
          <w:p w14:paraId="27854EA0">
            <w:pPr>
              <w:jc w:val="center"/>
              <w:rPr>
                <w:rFonts w:ascii="宋体" w:hAnsi="宋体" w:cs="宋体"/>
                <w:color w:val="000000"/>
                <w:sz w:val="18"/>
                <w:szCs w:val="18"/>
              </w:rPr>
            </w:pPr>
            <w:r>
              <w:rPr>
                <w:rFonts w:hint="eastAsia" w:ascii="宋体" w:hAnsi="宋体" w:cs="宋体"/>
                <w:color w:val="000000"/>
                <w:sz w:val="18"/>
                <w:szCs w:val="18"/>
              </w:rPr>
              <w:t>人</w:t>
            </w:r>
          </w:p>
        </w:tc>
        <w:tc>
          <w:tcPr>
            <w:tcW w:w="596" w:type="pct"/>
            <w:tcBorders>
              <w:top w:val="nil"/>
              <w:left w:val="nil"/>
              <w:bottom w:val="single" w:color="auto" w:sz="4" w:space="0"/>
              <w:right w:val="single" w:color="auto" w:sz="4" w:space="0"/>
            </w:tcBorders>
            <w:shd w:val="clear" w:color="auto" w:fill="auto"/>
            <w:vAlign w:val="center"/>
          </w:tcPr>
          <w:p w14:paraId="3D5F8631">
            <w:pPr>
              <w:jc w:val="center"/>
              <w:rPr>
                <w:rFonts w:ascii="宋体" w:hAnsi="宋体" w:cs="宋体"/>
                <w:color w:val="000000"/>
                <w:sz w:val="18"/>
                <w:szCs w:val="18"/>
              </w:rPr>
            </w:pPr>
            <w:r>
              <w:rPr>
                <w:rFonts w:hint="eastAsia" w:ascii="宋体" w:hAnsi="宋体" w:cs="宋体"/>
                <w:color w:val="000000"/>
                <w:sz w:val="18"/>
                <w:szCs w:val="18"/>
              </w:rPr>
              <w:t>X≥300</w:t>
            </w:r>
          </w:p>
        </w:tc>
        <w:tc>
          <w:tcPr>
            <w:tcW w:w="901" w:type="pct"/>
            <w:tcBorders>
              <w:top w:val="nil"/>
              <w:left w:val="nil"/>
              <w:bottom w:val="single" w:color="auto" w:sz="4" w:space="0"/>
              <w:right w:val="single" w:color="auto" w:sz="4" w:space="0"/>
            </w:tcBorders>
            <w:shd w:val="clear" w:color="auto" w:fill="auto"/>
            <w:vAlign w:val="center"/>
          </w:tcPr>
          <w:p w14:paraId="0C1E1D9E">
            <w:pPr>
              <w:ind w:left="-14" w:leftChars="-51" w:hanging="108" w:hangingChars="60"/>
              <w:jc w:val="center"/>
              <w:rPr>
                <w:rFonts w:ascii="宋体" w:hAnsi="宋体" w:cs="宋体"/>
                <w:color w:val="000000"/>
                <w:sz w:val="18"/>
                <w:szCs w:val="18"/>
              </w:rPr>
            </w:pPr>
            <w:r>
              <w:rPr>
                <w:rFonts w:hint="eastAsia" w:ascii="宋体" w:hAnsi="宋体" w:cs="宋体"/>
                <w:color w:val="000000"/>
                <w:sz w:val="18"/>
                <w:szCs w:val="18"/>
              </w:rPr>
              <w:t xml:space="preserve">100≤X＜300 </w:t>
            </w:r>
          </w:p>
        </w:tc>
        <w:tc>
          <w:tcPr>
            <w:tcW w:w="755" w:type="pct"/>
            <w:tcBorders>
              <w:top w:val="nil"/>
              <w:left w:val="nil"/>
              <w:bottom w:val="single" w:color="auto" w:sz="4" w:space="0"/>
              <w:right w:val="single" w:color="auto" w:sz="4" w:space="0"/>
            </w:tcBorders>
            <w:shd w:val="clear" w:color="auto" w:fill="auto"/>
            <w:vAlign w:val="center"/>
          </w:tcPr>
          <w:p w14:paraId="6BCAF469">
            <w:pPr>
              <w:jc w:val="center"/>
              <w:rPr>
                <w:rFonts w:ascii="宋体" w:hAnsi="宋体" w:cs="宋体"/>
                <w:color w:val="000000"/>
                <w:sz w:val="18"/>
                <w:szCs w:val="18"/>
              </w:rPr>
            </w:pPr>
            <w:r>
              <w:rPr>
                <w:rFonts w:hint="eastAsia" w:ascii="宋体" w:hAnsi="宋体" w:cs="宋体"/>
                <w:color w:val="000000"/>
                <w:sz w:val="18"/>
                <w:szCs w:val="18"/>
              </w:rPr>
              <w:t xml:space="preserve"> 10≤X＜100</w:t>
            </w:r>
          </w:p>
        </w:tc>
        <w:tc>
          <w:tcPr>
            <w:tcW w:w="525" w:type="pct"/>
            <w:tcBorders>
              <w:top w:val="nil"/>
              <w:left w:val="nil"/>
              <w:bottom w:val="single" w:color="auto" w:sz="4" w:space="0"/>
              <w:right w:val="nil"/>
            </w:tcBorders>
            <w:shd w:val="clear" w:color="auto" w:fill="auto"/>
            <w:vAlign w:val="center"/>
          </w:tcPr>
          <w:p w14:paraId="10286CB3">
            <w:pPr>
              <w:jc w:val="center"/>
              <w:rPr>
                <w:rFonts w:ascii="宋体" w:hAnsi="宋体" w:cs="宋体"/>
                <w:color w:val="000000"/>
                <w:sz w:val="18"/>
                <w:szCs w:val="18"/>
              </w:rPr>
            </w:pPr>
            <w:r>
              <w:rPr>
                <w:rFonts w:hint="eastAsia" w:ascii="宋体" w:hAnsi="宋体" w:cs="宋体"/>
                <w:color w:val="000000"/>
                <w:sz w:val="18"/>
                <w:szCs w:val="18"/>
              </w:rPr>
              <w:t>X＜10</w:t>
            </w:r>
          </w:p>
        </w:tc>
      </w:tr>
    </w:tbl>
    <w:p w14:paraId="3EA04559">
      <w:pPr>
        <w:spacing w:line="240" w:lineRule="exact"/>
        <w:rPr>
          <w:rFonts w:ascii="宋体" w:hAnsi="宋体" w:cs="宋体"/>
          <w:color w:val="000000"/>
          <w:sz w:val="18"/>
          <w:szCs w:val="18"/>
        </w:rPr>
      </w:pPr>
      <w:r>
        <w:rPr>
          <w:rFonts w:hint="eastAsia" w:ascii="宋体" w:hAnsi="宋体" w:cs="宋体"/>
          <w:color w:val="000000"/>
          <w:sz w:val="18"/>
          <w:szCs w:val="18"/>
        </w:rPr>
        <w:t>说明：</w:t>
      </w:r>
    </w:p>
    <w:p w14:paraId="1466E79E">
      <w:pPr>
        <w:spacing w:line="240" w:lineRule="exact"/>
        <w:ind w:firstLine="360" w:firstLineChars="200"/>
        <w:rPr>
          <w:rFonts w:ascii="宋体" w:hAnsi="宋体" w:cs="宋体"/>
          <w:color w:val="000000"/>
          <w:sz w:val="18"/>
          <w:szCs w:val="18"/>
        </w:rPr>
      </w:pPr>
      <w:r>
        <w:rPr>
          <w:rFonts w:hint="eastAsia" w:ascii="宋体" w:hAnsi="宋体" w:cs="宋体"/>
          <w:color w:val="000000"/>
          <w:sz w:val="18"/>
          <w:szCs w:val="18"/>
        </w:rPr>
        <w:t>1.大型、中型和小型企业须同时满足所列指标的下限，否则下划一档；微型企业只须满足所列指标中的一项即可。</w:t>
      </w:r>
    </w:p>
    <w:p w14:paraId="40C76877">
      <w:pPr>
        <w:spacing w:line="240" w:lineRule="exact"/>
        <w:ind w:firstLine="360" w:firstLineChars="200"/>
        <w:rPr>
          <w:rFonts w:ascii="宋体" w:hAnsi="宋体" w:cs="宋体"/>
          <w:color w:val="000000"/>
          <w:sz w:val="18"/>
          <w:szCs w:val="18"/>
        </w:rPr>
      </w:pPr>
      <w:r>
        <w:rPr>
          <w:rFonts w:hint="eastAsia" w:ascii="宋体" w:hAnsi="宋体" w:cs="宋体"/>
          <w:color w:val="000000"/>
          <w:sz w:val="18"/>
          <w:szCs w:val="18"/>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9BF5C35">
      <w:pPr>
        <w:spacing w:line="240" w:lineRule="exact"/>
        <w:ind w:firstLine="360" w:firstLineChars="200"/>
        <w:rPr>
          <w:rFonts w:ascii="宋体" w:hAnsi="宋体" w:cs="宋体"/>
          <w:color w:val="000000"/>
          <w:sz w:val="18"/>
          <w:szCs w:val="18"/>
        </w:rPr>
      </w:pPr>
      <w:r>
        <w:rPr>
          <w:rFonts w:hint="eastAsia" w:ascii="宋体" w:hAnsi="宋体" w:cs="宋体"/>
          <w:color w:val="000000"/>
          <w:sz w:val="18"/>
          <w:szCs w:val="18"/>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8823A9A">
      <w:pPr>
        <w:rPr>
          <w:rFonts w:ascii="宋体" w:hAnsi="宋体" w:eastAsia="宋体"/>
          <w:b/>
          <w:bCs/>
          <w:color w:val="FF0000"/>
        </w:rPr>
      </w:pPr>
    </w:p>
    <w:p w14:paraId="330D4582">
      <w:pPr>
        <w:rPr>
          <w:rFonts w:ascii="宋体" w:hAnsi="宋体" w:eastAsia="宋体"/>
          <w:b/>
          <w:bCs/>
          <w:szCs w:val="21"/>
        </w:rPr>
      </w:pPr>
      <w:r>
        <w:rPr>
          <w:rFonts w:hint="eastAsia" w:ascii="宋体" w:hAnsi="宋体" w:eastAsia="宋体"/>
          <w:b/>
          <w:bCs/>
          <w:szCs w:val="21"/>
        </w:rPr>
        <w:t>附件2.金融业企业划型标准规定</w:t>
      </w:r>
    </w:p>
    <w:p w14:paraId="52E4687E">
      <w:pPr>
        <w:rPr>
          <w:rFonts w:ascii="宋体" w:hAnsi="宋体" w:cs="宋体"/>
          <w:color w:val="000000" w:themeColor="text1"/>
          <w:sz w:val="18"/>
          <w:szCs w:val="18"/>
          <w14:textFill>
            <w14:solidFill>
              <w14:schemeClr w14:val="tx1"/>
            </w14:solidFill>
          </w14:textFill>
        </w:rPr>
      </w:pPr>
      <w:r>
        <w:rPr>
          <w:rFonts w:hint="eastAsia" w:ascii="宋体" w:hAnsi="宋体" w:eastAsia="宋体"/>
          <w:sz w:val="18"/>
          <w:szCs w:val="15"/>
        </w:rPr>
        <w:t>来源：</w:t>
      </w:r>
      <w:r>
        <w:rPr>
          <w:rFonts w:hint="eastAsia" w:ascii="宋体" w:hAnsi="宋体" w:cs="宋体"/>
          <w:color w:val="000000" w:themeColor="text1"/>
          <w:sz w:val="18"/>
          <w:szCs w:val="18"/>
          <w14:textFill>
            <w14:solidFill>
              <w14:schemeClr w14:val="tx1"/>
            </w14:solidFill>
          </w14:textFill>
        </w:rPr>
        <w:t>《金融业企业划型标准规定》（银发〔2015〕309 号）</w:t>
      </w:r>
    </w:p>
    <w:p w14:paraId="2EE713AF">
      <w:pPr>
        <w:pStyle w:val="35"/>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https://www.stats.gov.cn/sj/tjbz/gjtjbz/202302/P020230213402684274414.pdf</w:t>
      </w:r>
    </w:p>
    <w:p w14:paraId="7EC1CFD8">
      <w:pPr>
        <w:pStyle w:val="35"/>
        <w:rPr>
          <w:rFonts w:ascii="宋体" w:hAnsi="宋体" w:cs="宋体"/>
          <w:color w:val="000000" w:themeColor="text1"/>
          <w:sz w:val="18"/>
          <w:szCs w:val="18"/>
          <w14:textFill>
            <w14:solidFill>
              <w14:schemeClr w14:val="tx1"/>
            </w14:solidFill>
          </w14:textFill>
        </w:rPr>
      </w:pPr>
    </w:p>
    <w:p w14:paraId="70B6B06B">
      <w:pPr>
        <w:pStyle w:val="16"/>
        <w:spacing w:beforeAutospacing="0" w:afterAutospacing="0" w:line="360" w:lineRule="exact"/>
        <w:jc w:val="center"/>
        <w:textAlignment w:val="baseline"/>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金融业企业划型标准</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6"/>
        <w:gridCol w:w="1527"/>
        <w:gridCol w:w="1973"/>
        <w:gridCol w:w="940"/>
        <w:gridCol w:w="2657"/>
      </w:tblGrid>
      <w:tr w14:paraId="0B62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1649" w:type="pct"/>
            <w:gridSpan w:val="2"/>
            <w:vAlign w:val="center"/>
          </w:tcPr>
          <w:p w14:paraId="767C5590">
            <w:pPr>
              <w:jc w:val="center"/>
              <w:rPr>
                <w:rFonts w:ascii="宋体" w:hAnsi="宋体" w:cs="宋体"/>
                <w:color w:val="000000"/>
                <w:sz w:val="18"/>
                <w:szCs w:val="18"/>
              </w:rPr>
            </w:pPr>
            <w:r>
              <w:rPr>
                <w:rFonts w:hint="eastAsia" w:ascii="宋体" w:hAnsi="宋体" w:cs="宋体"/>
                <w:color w:val="000000"/>
                <w:sz w:val="18"/>
                <w:szCs w:val="18"/>
              </w:rPr>
              <w:t>行业</w:t>
            </w:r>
          </w:p>
        </w:tc>
        <w:tc>
          <w:tcPr>
            <w:tcW w:w="1186" w:type="pct"/>
            <w:vAlign w:val="center"/>
          </w:tcPr>
          <w:p w14:paraId="089988C0">
            <w:pPr>
              <w:jc w:val="center"/>
              <w:rPr>
                <w:rFonts w:ascii="宋体" w:hAnsi="宋体" w:cs="宋体"/>
                <w:color w:val="000000"/>
                <w:sz w:val="18"/>
                <w:szCs w:val="18"/>
              </w:rPr>
            </w:pPr>
            <w:r>
              <w:rPr>
                <w:rFonts w:hint="eastAsia" w:ascii="宋体" w:hAnsi="宋体" w:cs="宋体"/>
                <w:color w:val="000000"/>
                <w:sz w:val="18"/>
                <w:szCs w:val="18"/>
              </w:rPr>
              <w:t>类别</w:t>
            </w:r>
          </w:p>
        </w:tc>
        <w:tc>
          <w:tcPr>
            <w:tcW w:w="565" w:type="pct"/>
            <w:vAlign w:val="center"/>
          </w:tcPr>
          <w:p w14:paraId="6C7D6B32">
            <w:pPr>
              <w:jc w:val="center"/>
              <w:rPr>
                <w:rFonts w:ascii="宋体" w:hAnsi="宋体" w:cs="宋体"/>
                <w:color w:val="000000"/>
                <w:sz w:val="18"/>
                <w:szCs w:val="18"/>
              </w:rPr>
            </w:pPr>
            <w:r>
              <w:rPr>
                <w:rFonts w:hint="eastAsia" w:ascii="宋体" w:hAnsi="宋体" w:cs="宋体"/>
                <w:color w:val="000000"/>
                <w:sz w:val="18"/>
                <w:szCs w:val="18"/>
              </w:rPr>
              <w:t>类型</w:t>
            </w:r>
          </w:p>
        </w:tc>
        <w:tc>
          <w:tcPr>
            <w:tcW w:w="1597" w:type="pct"/>
            <w:vAlign w:val="center"/>
          </w:tcPr>
          <w:p w14:paraId="58EE4996">
            <w:pPr>
              <w:jc w:val="center"/>
              <w:rPr>
                <w:rFonts w:ascii="宋体" w:hAnsi="宋体" w:cs="宋体"/>
                <w:color w:val="000000"/>
                <w:sz w:val="18"/>
                <w:szCs w:val="18"/>
              </w:rPr>
            </w:pPr>
            <w:r>
              <w:rPr>
                <w:rFonts w:hint="eastAsia" w:ascii="宋体" w:hAnsi="宋体" w:cs="宋体"/>
                <w:color w:val="000000"/>
                <w:sz w:val="18"/>
                <w:szCs w:val="18"/>
              </w:rPr>
              <w:t>资产总额</w:t>
            </w:r>
          </w:p>
        </w:tc>
      </w:tr>
      <w:tr w14:paraId="1D77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731" w:type="pct"/>
            <w:vMerge w:val="restart"/>
            <w:vAlign w:val="center"/>
          </w:tcPr>
          <w:p w14:paraId="0403EE99">
            <w:pPr>
              <w:jc w:val="center"/>
              <w:rPr>
                <w:rFonts w:ascii="宋体" w:hAnsi="宋体" w:cs="宋体"/>
                <w:color w:val="000000"/>
                <w:sz w:val="18"/>
                <w:szCs w:val="18"/>
              </w:rPr>
            </w:pPr>
            <w:r>
              <w:rPr>
                <w:rFonts w:hint="eastAsia" w:ascii="宋体" w:hAnsi="宋体" w:cs="宋体"/>
                <w:color w:val="000000"/>
                <w:sz w:val="18"/>
                <w:szCs w:val="18"/>
              </w:rPr>
              <w:t>货币金融服务</w:t>
            </w:r>
          </w:p>
        </w:tc>
        <w:tc>
          <w:tcPr>
            <w:tcW w:w="918" w:type="pct"/>
            <w:vMerge w:val="restart"/>
            <w:vAlign w:val="center"/>
          </w:tcPr>
          <w:p w14:paraId="7AFE1C41">
            <w:pPr>
              <w:jc w:val="center"/>
              <w:rPr>
                <w:rFonts w:ascii="宋体" w:hAnsi="宋体" w:cs="宋体"/>
                <w:color w:val="000000"/>
                <w:sz w:val="18"/>
                <w:szCs w:val="18"/>
              </w:rPr>
            </w:pPr>
            <w:r>
              <w:rPr>
                <w:rFonts w:hint="eastAsia" w:ascii="宋体" w:hAnsi="宋体" w:cs="宋体"/>
                <w:color w:val="000000"/>
                <w:sz w:val="18"/>
                <w:szCs w:val="18"/>
              </w:rPr>
              <w:t>货币银行服务</w:t>
            </w:r>
          </w:p>
        </w:tc>
        <w:tc>
          <w:tcPr>
            <w:tcW w:w="1186" w:type="pct"/>
            <w:vMerge w:val="restart"/>
            <w:vAlign w:val="center"/>
          </w:tcPr>
          <w:p w14:paraId="5D429526">
            <w:pPr>
              <w:jc w:val="center"/>
              <w:rPr>
                <w:rFonts w:ascii="宋体" w:hAnsi="宋体" w:cs="宋体"/>
                <w:color w:val="000000"/>
                <w:sz w:val="18"/>
                <w:szCs w:val="18"/>
              </w:rPr>
            </w:pPr>
            <w:r>
              <w:rPr>
                <w:rFonts w:hint="eastAsia" w:ascii="宋体" w:hAnsi="宋体" w:cs="宋体"/>
                <w:color w:val="000000"/>
                <w:sz w:val="18"/>
                <w:szCs w:val="18"/>
              </w:rPr>
              <w:t>银行业存款类金融机构</w:t>
            </w:r>
          </w:p>
        </w:tc>
        <w:tc>
          <w:tcPr>
            <w:tcW w:w="565" w:type="pct"/>
            <w:vAlign w:val="center"/>
          </w:tcPr>
          <w:p w14:paraId="5F8086DA">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65A2ED3E">
            <w:pPr>
              <w:jc w:val="center"/>
              <w:rPr>
                <w:rFonts w:ascii="宋体" w:hAnsi="宋体" w:cs="宋体"/>
                <w:color w:val="000000"/>
                <w:sz w:val="18"/>
                <w:szCs w:val="18"/>
              </w:rPr>
            </w:pPr>
            <w:r>
              <w:rPr>
                <w:rFonts w:hint="eastAsia" w:ascii="宋体" w:hAnsi="宋体" w:cs="宋体"/>
                <w:color w:val="000000"/>
                <w:sz w:val="18"/>
                <w:szCs w:val="18"/>
              </w:rPr>
              <w:t>5000亿元(含)至40000亿元</w:t>
            </w:r>
          </w:p>
        </w:tc>
      </w:tr>
      <w:tr w14:paraId="4085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731" w:type="pct"/>
            <w:vMerge w:val="continue"/>
            <w:vAlign w:val="center"/>
          </w:tcPr>
          <w:p w14:paraId="59750DE3">
            <w:pPr>
              <w:jc w:val="center"/>
              <w:rPr>
                <w:rFonts w:ascii="宋体" w:hAnsi="宋体" w:cs="宋体"/>
                <w:color w:val="000000"/>
                <w:sz w:val="18"/>
                <w:szCs w:val="18"/>
              </w:rPr>
            </w:pPr>
          </w:p>
        </w:tc>
        <w:tc>
          <w:tcPr>
            <w:tcW w:w="918" w:type="pct"/>
            <w:vMerge w:val="continue"/>
            <w:vAlign w:val="center"/>
          </w:tcPr>
          <w:p w14:paraId="79CFB89A">
            <w:pPr>
              <w:jc w:val="center"/>
              <w:rPr>
                <w:rFonts w:ascii="宋体" w:hAnsi="宋体" w:cs="宋体"/>
                <w:color w:val="000000"/>
                <w:sz w:val="18"/>
                <w:szCs w:val="18"/>
              </w:rPr>
            </w:pPr>
          </w:p>
        </w:tc>
        <w:tc>
          <w:tcPr>
            <w:tcW w:w="1186" w:type="pct"/>
            <w:vMerge w:val="continue"/>
            <w:vAlign w:val="center"/>
          </w:tcPr>
          <w:p w14:paraId="2F3FB21F">
            <w:pPr>
              <w:jc w:val="center"/>
              <w:rPr>
                <w:rFonts w:ascii="宋体" w:hAnsi="宋体" w:cs="宋体"/>
                <w:color w:val="000000"/>
                <w:sz w:val="18"/>
                <w:szCs w:val="18"/>
              </w:rPr>
            </w:pPr>
          </w:p>
        </w:tc>
        <w:tc>
          <w:tcPr>
            <w:tcW w:w="565" w:type="pct"/>
            <w:vAlign w:val="center"/>
          </w:tcPr>
          <w:p w14:paraId="43561F4B">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7A466620">
            <w:pPr>
              <w:jc w:val="center"/>
              <w:rPr>
                <w:rFonts w:ascii="宋体" w:hAnsi="宋体" w:cs="宋体"/>
                <w:color w:val="000000"/>
                <w:sz w:val="18"/>
                <w:szCs w:val="18"/>
              </w:rPr>
            </w:pPr>
            <w:r>
              <w:rPr>
                <w:rFonts w:hint="eastAsia" w:ascii="宋体" w:hAnsi="宋体" w:cs="宋体"/>
                <w:color w:val="000000"/>
                <w:sz w:val="18"/>
                <w:szCs w:val="18"/>
              </w:rPr>
              <w:t>50亿元(含)至5000亿元</w:t>
            </w:r>
          </w:p>
        </w:tc>
      </w:tr>
      <w:tr w14:paraId="6901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731" w:type="pct"/>
            <w:vMerge w:val="continue"/>
            <w:vAlign w:val="center"/>
          </w:tcPr>
          <w:p w14:paraId="4A9736A4">
            <w:pPr>
              <w:jc w:val="center"/>
              <w:rPr>
                <w:rFonts w:ascii="宋体" w:hAnsi="宋体" w:cs="宋体"/>
                <w:color w:val="000000"/>
                <w:sz w:val="18"/>
                <w:szCs w:val="18"/>
              </w:rPr>
            </w:pPr>
          </w:p>
        </w:tc>
        <w:tc>
          <w:tcPr>
            <w:tcW w:w="918" w:type="pct"/>
            <w:vMerge w:val="continue"/>
            <w:vAlign w:val="center"/>
          </w:tcPr>
          <w:p w14:paraId="6C3DA607">
            <w:pPr>
              <w:jc w:val="center"/>
              <w:rPr>
                <w:rFonts w:ascii="宋体" w:hAnsi="宋体" w:cs="宋体"/>
                <w:color w:val="000000"/>
                <w:sz w:val="18"/>
                <w:szCs w:val="18"/>
              </w:rPr>
            </w:pPr>
          </w:p>
        </w:tc>
        <w:tc>
          <w:tcPr>
            <w:tcW w:w="1186" w:type="pct"/>
            <w:vMerge w:val="continue"/>
            <w:vAlign w:val="center"/>
          </w:tcPr>
          <w:p w14:paraId="2AA694E7">
            <w:pPr>
              <w:jc w:val="center"/>
              <w:rPr>
                <w:rFonts w:ascii="宋体" w:hAnsi="宋体" w:cs="宋体"/>
                <w:color w:val="000000"/>
                <w:sz w:val="18"/>
                <w:szCs w:val="18"/>
              </w:rPr>
            </w:pPr>
          </w:p>
        </w:tc>
        <w:tc>
          <w:tcPr>
            <w:tcW w:w="565" w:type="pct"/>
            <w:vAlign w:val="center"/>
          </w:tcPr>
          <w:p w14:paraId="76560C15">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773A9BB7">
            <w:pPr>
              <w:jc w:val="center"/>
              <w:rPr>
                <w:rFonts w:ascii="宋体" w:hAnsi="宋体" w:cs="宋体"/>
                <w:color w:val="000000"/>
                <w:sz w:val="18"/>
                <w:szCs w:val="18"/>
              </w:rPr>
            </w:pPr>
            <w:r>
              <w:rPr>
                <w:rFonts w:hint="eastAsia" w:ascii="宋体" w:hAnsi="宋体" w:cs="宋体"/>
                <w:color w:val="000000"/>
                <w:sz w:val="18"/>
                <w:szCs w:val="18"/>
              </w:rPr>
              <w:t>50亿元以下</w:t>
            </w:r>
          </w:p>
        </w:tc>
      </w:tr>
      <w:tr w14:paraId="660C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731" w:type="pct"/>
            <w:vMerge w:val="continue"/>
            <w:vAlign w:val="center"/>
          </w:tcPr>
          <w:p w14:paraId="1EA3340F">
            <w:pPr>
              <w:jc w:val="center"/>
              <w:rPr>
                <w:rFonts w:ascii="宋体" w:hAnsi="宋体" w:cs="宋体"/>
                <w:color w:val="000000"/>
                <w:sz w:val="18"/>
                <w:szCs w:val="18"/>
              </w:rPr>
            </w:pPr>
          </w:p>
        </w:tc>
        <w:tc>
          <w:tcPr>
            <w:tcW w:w="918" w:type="pct"/>
            <w:vMerge w:val="restart"/>
            <w:vAlign w:val="center"/>
          </w:tcPr>
          <w:p w14:paraId="58883392">
            <w:pPr>
              <w:jc w:val="center"/>
              <w:rPr>
                <w:rFonts w:ascii="宋体" w:hAnsi="宋体" w:cs="宋体"/>
                <w:color w:val="000000"/>
                <w:sz w:val="18"/>
                <w:szCs w:val="18"/>
              </w:rPr>
            </w:pPr>
            <w:r>
              <w:rPr>
                <w:rFonts w:hint="eastAsia" w:ascii="宋体" w:hAnsi="宋体" w:cs="宋体"/>
                <w:color w:val="000000"/>
                <w:sz w:val="18"/>
                <w:szCs w:val="18"/>
              </w:rPr>
              <w:t>非货币银行服务</w:t>
            </w:r>
          </w:p>
        </w:tc>
        <w:tc>
          <w:tcPr>
            <w:tcW w:w="1186" w:type="pct"/>
            <w:vMerge w:val="restart"/>
            <w:vAlign w:val="center"/>
          </w:tcPr>
          <w:p w14:paraId="63DBD25C">
            <w:pPr>
              <w:jc w:val="center"/>
              <w:rPr>
                <w:rFonts w:ascii="宋体" w:hAnsi="宋体" w:cs="宋体"/>
                <w:color w:val="000000"/>
                <w:sz w:val="18"/>
                <w:szCs w:val="18"/>
              </w:rPr>
            </w:pPr>
            <w:r>
              <w:rPr>
                <w:rFonts w:hint="eastAsia" w:ascii="宋体" w:hAnsi="宋体" w:cs="宋体"/>
                <w:color w:val="000000"/>
                <w:sz w:val="18"/>
                <w:szCs w:val="18"/>
              </w:rPr>
              <w:t>银行业非存款类金融机构</w:t>
            </w:r>
          </w:p>
        </w:tc>
        <w:tc>
          <w:tcPr>
            <w:tcW w:w="565" w:type="pct"/>
            <w:vAlign w:val="center"/>
          </w:tcPr>
          <w:p w14:paraId="38BBD1C4">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1B840760">
            <w:pPr>
              <w:jc w:val="center"/>
              <w:rPr>
                <w:rFonts w:ascii="宋体" w:hAnsi="宋体" w:cs="宋体"/>
                <w:color w:val="000000"/>
                <w:sz w:val="18"/>
                <w:szCs w:val="18"/>
              </w:rPr>
            </w:pPr>
            <w:r>
              <w:rPr>
                <w:rFonts w:hint="eastAsia" w:ascii="宋体" w:hAnsi="宋体" w:cs="宋体"/>
                <w:color w:val="000000"/>
                <w:sz w:val="18"/>
                <w:szCs w:val="18"/>
              </w:rPr>
              <w:t>200亿元(含)至1000亿元</w:t>
            </w:r>
          </w:p>
        </w:tc>
      </w:tr>
      <w:tr w14:paraId="1897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731" w:type="pct"/>
            <w:vMerge w:val="continue"/>
            <w:vAlign w:val="center"/>
          </w:tcPr>
          <w:p w14:paraId="6A15A087">
            <w:pPr>
              <w:jc w:val="center"/>
              <w:rPr>
                <w:rFonts w:ascii="宋体" w:hAnsi="宋体" w:cs="宋体"/>
                <w:color w:val="000000"/>
                <w:sz w:val="18"/>
                <w:szCs w:val="18"/>
              </w:rPr>
            </w:pPr>
          </w:p>
        </w:tc>
        <w:tc>
          <w:tcPr>
            <w:tcW w:w="918" w:type="pct"/>
            <w:vMerge w:val="continue"/>
            <w:vAlign w:val="center"/>
          </w:tcPr>
          <w:p w14:paraId="747852F1">
            <w:pPr>
              <w:jc w:val="center"/>
              <w:rPr>
                <w:rFonts w:ascii="宋体" w:hAnsi="宋体" w:cs="宋体"/>
                <w:color w:val="000000"/>
                <w:sz w:val="18"/>
                <w:szCs w:val="18"/>
              </w:rPr>
            </w:pPr>
          </w:p>
        </w:tc>
        <w:tc>
          <w:tcPr>
            <w:tcW w:w="1186" w:type="pct"/>
            <w:vMerge w:val="continue"/>
            <w:vAlign w:val="center"/>
          </w:tcPr>
          <w:p w14:paraId="4FE72A08">
            <w:pPr>
              <w:jc w:val="center"/>
              <w:rPr>
                <w:rFonts w:ascii="宋体" w:hAnsi="宋体" w:cs="宋体"/>
                <w:color w:val="000000"/>
                <w:sz w:val="18"/>
                <w:szCs w:val="18"/>
              </w:rPr>
            </w:pPr>
          </w:p>
        </w:tc>
        <w:tc>
          <w:tcPr>
            <w:tcW w:w="565" w:type="pct"/>
            <w:vAlign w:val="center"/>
          </w:tcPr>
          <w:p w14:paraId="05C6016A">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2E40200E">
            <w:pPr>
              <w:jc w:val="center"/>
              <w:rPr>
                <w:rFonts w:ascii="宋体" w:hAnsi="宋体" w:cs="宋体"/>
                <w:color w:val="000000"/>
                <w:sz w:val="18"/>
                <w:szCs w:val="18"/>
              </w:rPr>
            </w:pPr>
            <w:r>
              <w:rPr>
                <w:rFonts w:hint="eastAsia" w:ascii="宋体" w:hAnsi="宋体" w:cs="宋体"/>
                <w:color w:val="000000"/>
                <w:sz w:val="18"/>
                <w:szCs w:val="18"/>
              </w:rPr>
              <w:t>50亿元(含)至200亿元</w:t>
            </w:r>
          </w:p>
        </w:tc>
      </w:tr>
      <w:tr w14:paraId="3002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31" w:type="pct"/>
            <w:vMerge w:val="continue"/>
            <w:vAlign w:val="center"/>
          </w:tcPr>
          <w:p w14:paraId="4C1E4581">
            <w:pPr>
              <w:jc w:val="center"/>
              <w:rPr>
                <w:rFonts w:ascii="宋体" w:hAnsi="宋体" w:cs="宋体"/>
                <w:color w:val="000000"/>
                <w:sz w:val="18"/>
                <w:szCs w:val="18"/>
              </w:rPr>
            </w:pPr>
          </w:p>
        </w:tc>
        <w:tc>
          <w:tcPr>
            <w:tcW w:w="918" w:type="pct"/>
            <w:vMerge w:val="continue"/>
            <w:vAlign w:val="center"/>
          </w:tcPr>
          <w:p w14:paraId="399374AE">
            <w:pPr>
              <w:jc w:val="center"/>
              <w:rPr>
                <w:rFonts w:ascii="宋体" w:hAnsi="宋体" w:cs="宋体"/>
                <w:color w:val="000000"/>
                <w:sz w:val="18"/>
                <w:szCs w:val="18"/>
              </w:rPr>
            </w:pPr>
          </w:p>
        </w:tc>
        <w:tc>
          <w:tcPr>
            <w:tcW w:w="1186" w:type="pct"/>
            <w:vMerge w:val="continue"/>
            <w:vAlign w:val="center"/>
          </w:tcPr>
          <w:p w14:paraId="7E3A8BB6">
            <w:pPr>
              <w:jc w:val="center"/>
              <w:rPr>
                <w:rFonts w:ascii="宋体" w:hAnsi="宋体" w:cs="宋体"/>
                <w:color w:val="000000"/>
                <w:sz w:val="18"/>
                <w:szCs w:val="18"/>
              </w:rPr>
            </w:pPr>
          </w:p>
        </w:tc>
        <w:tc>
          <w:tcPr>
            <w:tcW w:w="565" w:type="pct"/>
            <w:vAlign w:val="center"/>
          </w:tcPr>
          <w:p w14:paraId="6306A88E">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306FAFEE">
            <w:pPr>
              <w:jc w:val="center"/>
              <w:rPr>
                <w:rFonts w:ascii="宋体" w:hAnsi="宋体" w:cs="宋体"/>
                <w:color w:val="000000"/>
                <w:sz w:val="18"/>
                <w:szCs w:val="18"/>
              </w:rPr>
            </w:pPr>
            <w:r>
              <w:rPr>
                <w:rFonts w:hint="eastAsia" w:ascii="宋体" w:hAnsi="宋体" w:cs="宋体"/>
                <w:color w:val="000000"/>
                <w:sz w:val="18"/>
                <w:szCs w:val="18"/>
              </w:rPr>
              <w:t>50亿元以下</w:t>
            </w:r>
          </w:p>
        </w:tc>
      </w:tr>
      <w:tr w14:paraId="582C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731" w:type="pct"/>
            <w:vMerge w:val="continue"/>
            <w:vAlign w:val="center"/>
          </w:tcPr>
          <w:p w14:paraId="0DBC6603">
            <w:pPr>
              <w:jc w:val="center"/>
              <w:rPr>
                <w:rFonts w:ascii="宋体" w:hAnsi="宋体" w:cs="宋体"/>
                <w:color w:val="000000"/>
                <w:sz w:val="18"/>
                <w:szCs w:val="18"/>
              </w:rPr>
            </w:pPr>
          </w:p>
        </w:tc>
        <w:tc>
          <w:tcPr>
            <w:tcW w:w="918" w:type="pct"/>
            <w:vMerge w:val="continue"/>
            <w:vAlign w:val="center"/>
          </w:tcPr>
          <w:p w14:paraId="41C3B3AC">
            <w:pPr>
              <w:jc w:val="center"/>
              <w:rPr>
                <w:rFonts w:ascii="宋体" w:hAnsi="宋体" w:cs="宋体"/>
                <w:color w:val="000000"/>
                <w:sz w:val="18"/>
                <w:szCs w:val="18"/>
              </w:rPr>
            </w:pPr>
          </w:p>
        </w:tc>
        <w:tc>
          <w:tcPr>
            <w:tcW w:w="1186" w:type="pct"/>
            <w:vMerge w:val="restart"/>
            <w:vAlign w:val="center"/>
          </w:tcPr>
          <w:p w14:paraId="01A096D8">
            <w:pPr>
              <w:jc w:val="center"/>
              <w:rPr>
                <w:rFonts w:ascii="宋体" w:hAnsi="宋体" w:cs="宋体"/>
                <w:color w:val="000000"/>
                <w:sz w:val="18"/>
                <w:szCs w:val="18"/>
              </w:rPr>
            </w:pPr>
            <w:r>
              <w:rPr>
                <w:rFonts w:hint="eastAsia" w:ascii="宋体" w:hAnsi="宋体" w:cs="宋体"/>
                <w:color w:val="000000"/>
                <w:sz w:val="18"/>
                <w:szCs w:val="18"/>
              </w:rPr>
              <w:t>贷款公司、小额贷款公司及典当行</w:t>
            </w:r>
          </w:p>
        </w:tc>
        <w:tc>
          <w:tcPr>
            <w:tcW w:w="565" w:type="pct"/>
            <w:vAlign w:val="center"/>
          </w:tcPr>
          <w:p w14:paraId="3D3FEB6B">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1785A37A">
            <w:pPr>
              <w:jc w:val="center"/>
              <w:rPr>
                <w:rFonts w:ascii="宋体" w:hAnsi="宋体" w:cs="宋体"/>
                <w:color w:val="000000"/>
                <w:sz w:val="18"/>
                <w:szCs w:val="18"/>
              </w:rPr>
            </w:pPr>
            <w:r>
              <w:rPr>
                <w:rFonts w:hint="eastAsia" w:ascii="宋体" w:hAnsi="宋体" w:cs="宋体"/>
                <w:color w:val="000000"/>
                <w:sz w:val="18"/>
                <w:szCs w:val="18"/>
              </w:rPr>
              <w:t>200亿元(含)至1000亿元</w:t>
            </w:r>
          </w:p>
        </w:tc>
      </w:tr>
      <w:tr w14:paraId="02F4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731" w:type="pct"/>
            <w:vMerge w:val="continue"/>
            <w:vAlign w:val="center"/>
          </w:tcPr>
          <w:p w14:paraId="102DCAD6">
            <w:pPr>
              <w:jc w:val="center"/>
              <w:rPr>
                <w:rFonts w:ascii="宋体" w:hAnsi="宋体" w:cs="宋体"/>
                <w:color w:val="000000"/>
                <w:sz w:val="18"/>
                <w:szCs w:val="18"/>
              </w:rPr>
            </w:pPr>
          </w:p>
        </w:tc>
        <w:tc>
          <w:tcPr>
            <w:tcW w:w="918" w:type="pct"/>
            <w:vMerge w:val="continue"/>
            <w:vAlign w:val="center"/>
          </w:tcPr>
          <w:p w14:paraId="7BC5A2D9">
            <w:pPr>
              <w:jc w:val="center"/>
              <w:rPr>
                <w:rFonts w:ascii="宋体" w:hAnsi="宋体" w:cs="宋体"/>
                <w:color w:val="000000"/>
                <w:sz w:val="18"/>
                <w:szCs w:val="18"/>
              </w:rPr>
            </w:pPr>
          </w:p>
        </w:tc>
        <w:tc>
          <w:tcPr>
            <w:tcW w:w="1186" w:type="pct"/>
            <w:vMerge w:val="continue"/>
            <w:vAlign w:val="center"/>
          </w:tcPr>
          <w:p w14:paraId="26964D66">
            <w:pPr>
              <w:jc w:val="center"/>
              <w:rPr>
                <w:rFonts w:ascii="宋体" w:hAnsi="宋体" w:cs="宋体"/>
                <w:color w:val="000000"/>
                <w:sz w:val="18"/>
                <w:szCs w:val="18"/>
              </w:rPr>
            </w:pPr>
          </w:p>
        </w:tc>
        <w:tc>
          <w:tcPr>
            <w:tcW w:w="565" w:type="pct"/>
            <w:vAlign w:val="center"/>
          </w:tcPr>
          <w:p w14:paraId="25824B0D">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6B322E25">
            <w:pPr>
              <w:jc w:val="center"/>
              <w:rPr>
                <w:rFonts w:ascii="宋体" w:hAnsi="宋体" w:cs="宋体"/>
                <w:color w:val="000000"/>
                <w:sz w:val="18"/>
                <w:szCs w:val="18"/>
              </w:rPr>
            </w:pPr>
            <w:r>
              <w:rPr>
                <w:rFonts w:hint="eastAsia" w:ascii="宋体" w:hAnsi="宋体" w:cs="宋体"/>
                <w:color w:val="000000"/>
                <w:sz w:val="18"/>
                <w:szCs w:val="18"/>
              </w:rPr>
              <w:t>50亿元(含)至200亿元</w:t>
            </w:r>
          </w:p>
        </w:tc>
      </w:tr>
      <w:tr w14:paraId="6EF1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31" w:type="pct"/>
            <w:vMerge w:val="continue"/>
            <w:vAlign w:val="center"/>
          </w:tcPr>
          <w:p w14:paraId="18C90A22">
            <w:pPr>
              <w:jc w:val="center"/>
              <w:rPr>
                <w:rFonts w:ascii="宋体" w:hAnsi="宋体" w:cs="宋体"/>
                <w:color w:val="000000"/>
                <w:sz w:val="18"/>
                <w:szCs w:val="18"/>
              </w:rPr>
            </w:pPr>
          </w:p>
        </w:tc>
        <w:tc>
          <w:tcPr>
            <w:tcW w:w="918" w:type="pct"/>
            <w:vMerge w:val="continue"/>
            <w:vAlign w:val="center"/>
          </w:tcPr>
          <w:p w14:paraId="18E5B930">
            <w:pPr>
              <w:jc w:val="center"/>
              <w:rPr>
                <w:rFonts w:ascii="宋体" w:hAnsi="宋体" w:cs="宋体"/>
                <w:color w:val="000000"/>
                <w:sz w:val="18"/>
                <w:szCs w:val="18"/>
              </w:rPr>
            </w:pPr>
          </w:p>
        </w:tc>
        <w:tc>
          <w:tcPr>
            <w:tcW w:w="1186" w:type="pct"/>
            <w:vMerge w:val="continue"/>
            <w:vAlign w:val="center"/>
          </w:tcPr>
          <w:p w14:paraId="0EE64E0C">
            <w:pPr>
              <w:jc w:val="center"/>
              <w:rPr>
                <w:rFonts w:ascii="宋体" w:hAnsi="宋体" w:cs="宋体"/>
                <w:color w:val="000000"/>
                <w:sz w:val="18"/>
                <w:szCs w:val="18"/>
              </w:rPr>
            </w:pPr>
          </w:p>
        </w:tc>
        <w:tc>
          <w:tcPr>
            <w:tcW w:w="565" w:type="pct"/>
            <w:vAlign w:val="center"/>
          </w:tcPr>
          <w:p w14:paraId="4BB19AB4">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70C5F4A4">
            <w:pPr>
              <w:jc w:val="center"/>
              <w:rPr>
                <w:rFonts w:ascii="宋体" w:hAnsi="宋体" w:cs="宋体"/>
                <w:color w:val="000000"/>
                <w:sz w:val="18"/>
                <w:szCs w:val="18"/>
              </w:rPr>
            </w:pPr>
            <w:r>
              <w:rPr>
                <w:rFonts w:hint="eastAsia" w:ascii="宋体" w:hAnsi="宋体" w:cs="宋体"/>
                <w:color w:val="000000"/>
                <w:sz w:val="18"/>
                <w:szCs w:val="18"/>
              </w:rPr>
              <w:t>50亿元以下</w:t>
            </w:r>
          </w:p>
        </w:tc>
      </w:tr>
      <w:tr w14:paraId="6DC1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649" w:type="pct"/>
            <w:gridSpan w:val="2"/>
            <w:vMerge w:val="restart"/>
            <w:vAlign w:val="center"/>
          </w:tcPr>
          <w:p w14:paraId="12F4CA8E">
            <w:pPr>
              <w:jc w:val="center"/>
              <w:rPr>
                <w:rFonts w:ascii="宋体" w:hAnsi="宋体" w:cs="宋体"/>
                <w:color w:val="000000"/>
                <w:sz w:val="18"/>
                <w:szCs w:val="18"/>
              </w:rPr>
            </w:pPr>
            <w:r>
              <w:rPr>
                <w:rFonts w:hint="eastAsia" w:ascii="宋体" w:hAnsi="宋体" w:cs="宋体"/>
                <w:color w:val="000000"/>
                <w:sz w:val="18"/>
                <w:szCs w:val="18"/>
              </w:rPr>
              <w:t>资本市场服务</w:t>
            </w:r>
          </w:p>
        </w:tc>
        <w:tc>
          <w:tcPr>
            <w:tcW w:w="1186" w:type="pct"/>
            <w:vMerge w:val="restart"/>
            <w:vAlign w:val="center"/>
          </w:tcPr>
          <w:p w14:paraId="0CDF84A4">
            <w:pPr>
              <w:jc w:val="center"/>
              <w:rPr>
                <w:rFonts w:ascii="宋体" w:hAnsi="宋体" w:cs="宋体"/>
                <w:color w:val="000000"/>
                <w:sz w:val="18"/>
                <w:szCs w:val="18"/>
              </w:rPr>
            </w:pPr>
            <w:r>
              <w:rPr>
                <w:rFonts w:hint="eastAsia" w:ascii="宋体" w:hAnsi="宋体" w:cs="宋体"/>
                <w:color w:val="000000"/>
                <w:sz w:val="18"/>
                <w:szCs w:val="18"/>
              </w:rPr>
              <w:t>证券业金融机构</w:t>
            </w:r>
          </w:p>
        </w:tc>
        <w:tc>
          <w:tcPr>
            <w:tcW w:w="565" w:type="pct"/>
            <w:vAlign w:val="center"/>
          </w:tcPr>
          <w:p w14:paraId="2614A8C6">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1CECF79B">
            <w:pPr>
              <w:jc w:val="center"/>
              <w:rPr>
                <w:rFonts w:ascii="宋体" w:hAnsi="宋体" w:cs="宋体"/>
                <w:color w:val="000000"/>
                <w:sz w:val="18"/>
                <w:szCs w:val="18"/>
              </w:rPr>
            </w:pPr>
            <w:r>
              <w:rPr>
                <w:rFonts w:hint="eastAsia" w:ascii="宋体" w:hAnsi="宋体" w:cs="宋体"/>
                <w:color w:val="000000"/>
                <w:sz w:val="18"/>
                <w:szCs w:val="18"/>
              </w:rPr>
              <w:t>100亿元(含)至1000亿元</w:t>
            </w:r>
          </w:p>
        </w:tc>
      </w:tr>
      <w:tr w14:paraId="67AA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649" w:type="pct"/>
            <w:gridSpan w:val="2"/>
            <w:vMerge w:val="continue"/>
            <w:vAlign w:val="center"/>
          </w:tcPr>
          <w:p w14:paraId="7B16FA5F">
            <w:pPr>
              <w:jc w:val="center"/>
              <w:rPr>
                <w:rFonts w:ascii="宋体" w:hAnsi="宋体" w:cs="宋体"/>
                <w:color w:val="000000"/>
                <w:sz w:val="18"/>
                <w:szCs w:val="18"/>
              </w:rPr>
            </w:pPr>
          </w:p>
        </w:tc>
        <w:tc>
          <w:tcPr>
            <w:tcW w:w="1186" w:type="pct"/>
            <w:vMerge w:val="continue"/>
            <w:vAlign w:val="center"/>
          </w:tcPr>
          <w:p w14:paraId="385AFA0E">
            <w:pPr>
              <w:jc w:val="center"/>
              <w:rPr>
                <w:rFonts w:ascii="宋体" w:hAnsi="宋体" w:cs="宋体"/>
                <w:color w:val="000000"/>
                <w:sz w:val="18"/>
                <w:szCs w:val="18"/>
              </w:rPr>
            </w:pPr>
          </w:p>
        </w:tc>
        <w:tc>
          <w:tcPr>
            <w:tcW w:w="565" w:type="pct"/>
            <w:vAlign w:val="center"/>
          </w:tcPr>
          <w:p w14:paraId="5BAA1DA8">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47751DA2">
            <w:pPr>
              <w:jc w:val="center"/>
              <w:rPr>
                <w:rFonts w:ascii="宋体" w:hAnsi="宋体" w:cs="宋体"/>
                <w:color w:val="000000"/>
                <w:sz w:val="18"/>
                <w:szCs w:val="18"/>
              </w:rPr>
            </w:pPr>
            <w:r>
              <w:rPr>
                <w:rFonts w:hint="eastAsia" w:ascii="宋体" w:hAnsi="宋体" w:cs="宋体"/>
                <w:color w:val="000000"/>
                <w:sz w:val="18"/>
                <w:szCs w:val="18"/>
              </w:rPr>
              <w:t>10亿元(含)至100亿元</w:t>
            </w:r>
          </w:p>
        </w:tc>
      </w:tr>
      <w:tr w14:paraId="7C47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1649" w:type="pct"/>
            <w:gridSpan w:val="2"/>
            <w:vMerge w:val="continue"/>
            <w:vAlign w:val="center"/>
          </w:tcPr>
          <w:p w14:paraId="39B252EB">
            <w:pPr>
              <w:jc w:val="center"/>
              <w:rPr>
                <w:rFonts w:ascii="宋体" w:hAnsi="宋体" w:cs="宋体"/>
                <w:color w:val="000000"/>
                <w:sz w:val="18"/>
                <w:szCs w:val="18"/>
              </w:rPr>
            </w:pPr>
          </w:p>
        </w:tc>
        <w:tc>
          <w:tcPr>
            <w:tcW w:w="1186" w:type="pct"/>
            <w:vMerge w:val="continue"/>
            <w:vAlign w:val="center"/>
          </w:tcPr>
          <w:p w14:paraId="2C875691">
            <w:pPr>
              <w:jc w:val="center"/>
              <w:rPr>
                <w:rFonts w:ascii="宋体" w:hAnsi="宋体" w:cs="宋体"/>
                <w:color w:val="000000"/>
                <w:sz w:val="18"/>
                <w:szCs w:val="18"/>
              </w:rPr>
            </w:pPr>
          </w:p>
        </w:tc>
        <w:tc>
          <w:tcPr>
            <w:tcW w:w="565" w:type="pct"/>
            <w:vAlign w:val="center"/>
          </w:tcPr>
          <w:p w14:paraId="2A2C9B97">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324565C0">
            <w:pPr>
              <w:jc w:val="center"/>
              <w:rPr>
                <w:rFonts w:ascii="宋体" w:hAnsi="宋体" w:cs="宋体"/>
                <w:color w:val="000000"/>
                <w:sz w:val="18"/>
                <w:szCs w:val="18"/>
              </w:rPr>
            </w:pPr>
            <w:r>
              <w:rPr>
                <w:rFonts w:hint="eastAsia" w:ascii="宋体" w:hAnsi="宋体" w:cs="宋体"/>
                <w:color w:val="000000"/>
                <w:sz w:val="18"/>
                <w:szCs w:val="18"/>
              </w:rPr>
              <w:t>10亿元以下</w:t>
            </w:r>
          </w:p>
        </w:tc>
      </w:tr>
      <w:tr w14:paraId="444D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649" w:type="pct"/>
            <w:gridSpan w:val="2"/>
            <w:vMerge w:val="restart"/>
            <w:vAlign w:val="center"/>
          </w:tcPr>
          <w:p w14:paraId="6F461F77">
            <w:pPr>
              <w:jc w:val="center"/>
              <w:rPr>
                <w:rFonts w:ascii="宋体" w:hAnsi="宋体" w:cs="宋体"/>
                <w:color w:val="000000"/>
                <w:sz w:val="18"/>
                <w:szCs w:val="18"/>
              </w:rPr>
            </w:pPr>
            <w:r>
              <w:rPr>
                <w:rFonts w:hint="eastAsia" w:ascii="宋体" w:hAnsi="宋体" w:cs="宋体"/>
                <w:color w:val="000000"/>
                <w:sz w:val="18"/>
                <w:szCs w:val="18"/>
              </w:rPr>
              <w:t>保险业</w:t>
            </w:r>
          </w:p>
        </w:tc>
        <w:tc>
          <w:tcPr>
            <w:tcW w:w="1186" w:type="pct"/>
            <w:vMerge w:val="restart"/>
            <w:vAlign w:val="center"/>
          </w:tcPr>
          <w:p w14:paraId="66FFE943">
            <w:pPr>
              <w:jc w:val="center"/>
              <w:rPr>
                <w:rFonts w:ascii="宋体" w:hAnsi="宋体" w:cs="宋体"/>
                <w:color w:val="000000"/>
                <w:sz w:val="18"/>
                <w:szCs w:val="18"/>
              </w:rPr>
            </w:pPr>
            <w:r>
              <w:rPr>
                <w:rFonts w:hint="eastAsia" w:ascii="宋体" w:hAnsi="宋体" w:cs="宋体"/>
                <w:color w:val="000000"/>
                <w:sz w:val="18"/>
                <w:szCs w:val="18"/>
              </w:rPr>
              <w:t>保险业金融机构</w:t>
            </w:r>
          </w:p>
        </w:tc>
        <w:tc>
          <w:tcPr>
            <w:tcW w:w="565" w:type="pct"/>
            <w:vAlign w:val="center"/>
          </w:tcPr>
          <w:p w14:paraId="37DE9FE6">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24AC82F9">
            <w:pPr>
              <w:jc w:val="center"/>
              <w:rPr>
                <w:rFonts w:ascii="宋体" w:hAnsi="宋体" w:cs="宋体"/>
                <w:color w:val="000000"/>
                <w:sz w:val="18"/>
                <w:szCs w:val="18"/>
              </w:rPr>
            </w:pPr>
            <w:r>
              <w:rPr>
                <w:rFonts w:hint="eastAsia" w:ascii="宋体" w:hAnsi="宋体" w:cs="宋体"/>
                <w:color w:val="000000"/>
                <w:sz w:val="18"/>
                <w:szCs w:val="18"/>
              </w:rPr>
              <w:t>400亿元(含)至5000亿元</w:t>
            </w:r>
          </w:p>
        </w:tc>
      </w:tr>
      <w:tr w14:paraId="7E23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649" w:type="pct"/>
            <w:gridSpan w:val="2"/>
            <w:vMerge w:val="continue"/>
            <w:vAlign w:val="center"/>
          </w:tcPr>
          <w:p w14:paraId="6C0FC77E">
            <w:pPr>
              <w:jc w:val="center"/>
              <w:rPr>
                <w:rFonts w:ascii="宋体" w:hAnsi="宋体" w:cs="宋体"/>
                <w:color w:val="000000"/>
                <w:sz w:val="18"/>
                <w:szCs w:val="18"/>
              </w:rPr>
            </w:pPr>
          </w:p>
        </w:tc>
        <w:tc>
          <w:tcPr>
            <w:tcW w:w="1186" w:type="pct"/>
            <w:vMerge w:val="continue"/>
            <w:vAlign w:val="center"/>
          </w:tcPr>
          <w:p w14:paraId="348CCF17">
            <w:pPr>
              <w:jc w:val="center"/>
              <w:rPr>
                <w:rFonts w:ascii="宋体" w:hAnsi="宋体" w:cs="宋体"/>
                <w:color w:val="000000"/>
                <w:sz w:val="18"/>
                <w:szCs w:val="18"/>
              </w:rPr>
            </w:pPr>
          </w:p>
        </w:tc>
        <w:tc>
          <w:tcPr>
            <w:tcW w:w="565" w:type="pct"/>
            <w:vAlign w:val="center"/>
          </w:tcPr>
          <w:p w14:paraId="5BB8F355">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754981ED">
            <w:pPr>
              <w:jc w:val="center"/>
              <w:rPr>
                <w:rFonts w:ascii="宋体" w:hAnsi="宋体" w:cs="宋体"/>
                <w:color w:val="000000"/>
                <w:sz w:val="18"/>
                <w:szCs w:val="18"/>
              </w:rPr>
            </w:pPr>
            <w:r>
              <w:rPr>
                <w:rFonts w:hint="eastAsia" w:ascii="宋体" w:hAnsi="宋体" w:cs="宋体"/>
                <w:color w:val="000000"/>
                <w:sz w:val="18"/>
                <w:szCs w:val="18"/>
              </w:rPr>
              <w:t>20亿元(含)至400亿元</w:t>
            </w:r>
          </w:p>
        </w:tc>
      </w:tr>
      <w:tr w14:paraId="6A13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1649" w:type="pct"/>
            <w:gridSpan w:val="2"/>
            <w:vMerge w:val="continue"/>
            <w:vAlign w:val="center"/>
          </w:tcPr>
          <w:p w14:paraId="5FAECA9C">
            <w:pPr>
              <w:jc w:val="center"/>
              <w:rPr>
                <w:rFonts w:ascii="宋体" w:hAnsi="宋体" w:cs="宋体"/>
                <w:color w:val="000000"/>
                <w:sz w:val="18"/>
                <w:szCs w:val="18"/>
              </w:rPr>
            </w:pPr>
          </w:p>
        </w:tc>
        <w:tc>
          <w:tcPr>
            <w:tcW w:w="1186" w:type="pct"/>
            <w:vMerge w:val="continue"/>
            <w:vAlign w:val="center"/>
          </w:tcPr>
          <w:p w14:paraId="3C13A4FF">
            <w:pPr>
              <w:jc w:val="center"/>
              <w:rPr>
                <w:rFonts w:ascii="宋体" w:hAnsi="宋体" w:cs="宋体"/>
                <w:color w:val="000000"/>
                <w:sz w:val="18"/>
                <w:szCs w:val="18"/>
              </w:rPr>
            </w:pPr>
          </w:p>
        </w:tc>
        <w:tc>
          <w:tcPr>
            <w:tcW w:w="565" w:type="pct"/>
            <w:vAlign w:val="center"/>
          </w:tcPr>
          <w:p w14:paraId="7C322A58">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673B785B">
            <w:pPr>
              <w:jc w:val="center"/>
              <w:rPr>
                <w:rFonts w:ascii="宋体" w:hAnsi="宋体" w:cs="宋体"/>
                <w:color w:val="000000"/>
                <w:sz w:val="18"/>
                <w:szCs w:val="18"/>
              </w:rPr>
            </w:pPr>
            <w:r>
              <w:rPr>
                <w:rFonts w:hint="eastAsia" w:ascii="宋体" w:hAnsi="宋体" w:cs="宋体"/>
                <w:color w:val="000000"/>
                <w:sz w:val="18"/>
                <w:szCs w:val="18"/>
              </w:rPr>
              <w:t>20亿元以下</w:t>
            </w:r>
          </w:p>
        </w:tc>
      </w:tr>
      <w:tr w14:paraId="0951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731" w:type="pct"/>
            <w:vMerge w:val="restart"/>
            <w:vAlign w:val="center"/>
          </w:tcPr>
          <w:p w14:paraId="6D796E78">
            <w:pPr>
              <w:jc w:val="center"/>
              <w:rPr>
                <w:rFonts w:ascii="宋体" w:hAnsi="宋体" w:cs="宋体"/>
                <w:color w:val="000000"/>
                <w:sz w:val="18"/>
                <w:szCs w:val="18"/>
              </w:rPr>
            </w:pPr>
          </w:p>
          <w:p w14:paraId="238C3431">
            <w:pPr>
              <w:jc w:val="center"/>
              <w:rPr>
                <w:rFonts w:ascii="宋体" w:hAnsi="宋体" w:cs="宋体"/>
                <w:color w:val="000000"/>
                <w:sz w:val="18"/>
                <w:szCs w:val="18"/>
              </w:rPr>
            </w:pPr>
          </w:p>
          <w:p w14:paraId="57B1A2D0">
            <w:pPr>
              <w:jc w:val="center"/>
              <w:rPr>
                <w:rFonts w:ascii="宋体" w:hAnsi="宋体" w:cs="宋体"/>
                <w:color w:val="000000"/>
                <w:sz w:val="18"/>
                <w:szCs w:val="18"/>
              </w:rPr>
            </w:pPr>
          </w:p>
          <w:p w14:paraId="26CA3241">
            <w:pPr>
              <w:jc w:val="center"/>
              <w:rPr>
                <w:rFonts w:ascii="宋体" w:hAnsi="宋体" w:cs="宋体"/>
                <w:color w:val="000000"/>
                <w:sz w:val="18"/>
                <w:szCs w:val="18"/>
              </w:rPr>
            </w:pPr>
          </w:p>
          <w:p w14:paraId="4EF30A27">
            <w:pPr>
              <w:jc w:val="center"/>
              <w:rPr>
                <w:rFonts w:ascii="宋体" w:hAnsi="宋体" w:cs="宋体"/>
                <w:color w:val="000000"/>
                <w:sz w:val="18"/>
                <w:szCs w:val="18"/>
              </w:rPr>
            </w:pPr>
          </w:p>
          <w:p w14:paraId="74A2C6DC">
            <w:pPr>
              <w:jc w:val="center"/>
              <w:rPr>
                <w:rFonts w:ascii="宋体" w:hAnsi="宋体" w:cs="宋体"/>
                <w:color w:val="000000"/>
                <w:sz w:val="18"/>
                <w:szCs w:val="18"/>
              </w:rPr>
            </w:pPr>
          </w:p>
          <w:p w14:paraId="0BBB58D9">
            <w:pPr>
              <w:jc w:val="center"/>
              <w:rPr>
                <w:rFonts w:ascii="宋体" w:hAnsi="宋体" w:cs="宋体"/>
                <w:color w:val="000000"/>
                <w:sz w:val="18"/>
                <w:szCs w:val="18"/>
              </w:rPr>
            </w:pPr>
          </w:p>
          <w:p w14:paraId="7EB9B1D0">
            <w:pPr>
              <w:jc w:val="center"/>
              <w:rPr>
                <w:rFonts w:ascii="宋体" w:hAnsi="宋体" w:cs="宋体"/>
                <w:color w:val="000000"/>
                <w:sz w:val="18"/>
                <w:szCs w:val="18"/>
              </w:rPr>
            </w:pPr>
            <w:r>
              <w:rPr>
                <w:rFonts w:hint="eastAsia" w:ascii="宋体" w:hAnsi="宋体" w:cs="宋体"/>
                <w:color w:val="000000"/>
                <w:sz w:val="18"/>
                <w:szCs w:val="18"/>
              </w:rPr>
              <w:t>其他金融业</w:t>
            </w:r>
          </w:p>
        </w:tc>
        <w:tc>
          <w:tcPr>
            <w:tcW w:w="918" w:type="pct"/>
            <w:vMerge w:val="restart"/>
            <w:vAlign w:val="center"/>
          </w:tcPr>
          <w:p w14:paraId="2F5E05BC">
            <w:pPr>
              <w:jc w:val="center"/>
              <w:rPr>
                <w:rFonts w:ascii="宋体" w:hAnsi="宋体" w:cs="宋体"/>
                <w:color w:val="000000"/>
                <w:sz w:val="18"/>
                <w:szCs w:val="18"/>
              </w:rPr>
            </w:pPr>
          </w:p>
          <w:p w14:paraId="30F30EF3">
            <w:pPr>
              <w:jc w:val="center"/>
              <w:rPr>
                <w:rFonts w:ascii="宋体" w:hAnsi="宋体" w:cs="宋体"/>
                <w:color w:val="000000"/>
                <w:sz w:val="18"/>
                <w:szCs w:val="18"/>
              </w:rPr>
            </w:pPr>
            <w:r>
              <w:rPr>
                <w:rFonts w:hint="eastAsia" w:ascii="宋体" w:hAnsi="宋体" w:cs="宋体"/>
                <w:color w:val="000000"/>
                <w:sz w:val="18"/>
                <w:szCs w:val="18"/>
              </w:rPr>
              <w:t>金融信托与</w:t>
            </w:r>
          </w:p>
          <w:p w14:paraId="1AA7F5F1">
            <w:pPr>
              <w:jc w:val="center"/>
              <w:rPr>
                <w:rFonts w:ascii="宋体" w:hAnsi="宋体" w:cs="宋体"/>
                <w:color w:val="000000"/>
                <w:sz w:val="18"/>
                <w:szCs w:val="18"/>
              </w:rPr>
            </w:pPr>
            <w:r>
              <w:rPr>
                <w:rFonts w:hint="eastAsia" w:ascii="宋体" w:hAnsi="宋体" w:cs="宋体"/>
                <w:color w:val="000000"/>
                <w:sz w:val="18"/>
                <w:szCs w:val="18"/>
              </w:rPr>
              <w:t>管理服务</w:t>
            </w:r>
          </w:p>
        </w:tc>
        <w:tc>
          <w:tcPr>
            <w:tcW w:w="1186" w:type="pct"/>
            <w:vMerge w:val="restart"/>
            <w:vAlign w:val="center"/>
          </w:tcPr>
          <w:p w14:paraId="5CFFEFF3">
            <w:pPr>
              <w:jc w:val="center"/>
              <w:rPr>
                <w:rFonts w:ascii="宋体" w:hAnsi="宋体" w:cs="宋体"/>
                <w:color w:val="000000"/>
                <w:sz w:val="18"/>
                <w:szCs w:val="18"/>
              </w:rPr>
            </w:pPr>
            <w:r>
              <w:rPr>
                <w:rFonts w:hint="eastAsia" w:ascii="宋体" w:hAnsi="宋体" w:cs="宋体"/>
                <w:color w:val="000000"/>
                <w:sz w:val="18"/>
                <w:szCs w:val="18"/>
              </w:rPr>
              <w:t>信托公司</w:t>
            </w:r>
          </w:p>
        </w:tc>
        <w:tc>
          <w:tcPr>
            <w:tcW w:w="565" w:type="pct"/>
            <w:vAlign w:val="center"/>
          </w:tcPr>
          <w:p w14:paraId="77DC519A">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784A1533">
            <w:pPr>
              <w:jc w:val="center"/>
              <w:rPr>
                <w:rFonts w:ascii="宋体" w:hAnsi="宋体" w:cs="宋体"/>
                <w:color w:val="000000"/>
                <w:sz w:val="18"/>
                <w:szCs w:val="18"/>
              </w:rPr>
            </w:pPr>
            <w:r>
              <w:rPr>
                <w:rFonts w:hint="eastAsia" w:ascii="宋体" w:hAnsi="宋体" w:cs="宋体"/>
                <w:color w:val="000000"/>
                <w:sz w:val="18"/>
                <w:szCs w:val="18"/>
              </w:rPr>
              <w:t>400亿元(含)至1000亿元</w:t>
            </w:r>
          </w:p>
        </w:tc>
      </w:tr>
      <w:tr w14:paraId="2DBF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731" w:type="pct"/>
            <w:vMerge w:val="continue"/>
            <w:vAlign w:val="center"/>
          </w:tcPr>
          <w:p w14:paraId="6C203A96">
            <w:pPr>
              <w:jc w:val="center"/>
              <w:rPr>
                <w:rFonts w:ascii="宋体" w:hAnsi="宋体" w:cs="宋体"/>
                <w:color w:val="000000"/>
                <w:sz w:val="18"/>
                <w:szCs w:val="18"/>
              </w:rPr>
            </w:pPr>
          </w:p>
        </w:tc>
        <w:tc>
          <w:tcPr>
            <w:tcW w:w="918" w:type="pct"/>
            <w:vMerge w:val="continue"/>
            <w:vAlign w:val="center"/>
          </w:tcPr>
          <w:p w14:paraId="16573348">
            <w:pPr>
              <w:jc w:val="center"/>
              <w:rPr>
                <w:rFonts w:ascii="宋体" w:hAnsi="宋体" w:cs="宋体"/>
                <w:color w:val="000000"/>
                <w:sz w:val="18"/>
                <w:szCs w:val="18"/>
              </w:rPr>
            </w:pPr>
          </w:p>
        </w:tc>
        <w:tc>
          <w:tcPr>
            <w:tcW w:w="1186" w:type="pct"/>
            <w:vMerge w:val="continue"/>
            <w:vAlign w:val="center"/>
          </w:tcPr>
          <w:p w14:paraId="6C8BDFF3">
            <w:pPr>
              <w:jc w:val="center"/>
              <w:rPr>
                <w:rFonts w:ascii="宋体" w:hAnsi="宋体" w:cs="宋体"/>
                <w:color w:val="000000"/>
                <w:sz w:val="18"/>
                <w:szCs w:val="18"/>
              </w:rPr>
            </w:pPr>
          </w:p>
        </w:tc>
        <w:tc>
          <w:tcPr>
            <w:tcW w:w="565" w:type="pct"/>
            <w:vAlign w:val="center"/>
          </w:tcPr>
          <w:p w14:paraId="52E6FC93">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711EADD8">
            <w:pPr>
              <w:jc w:val="center"/>
              <w:rPr>
                <w:rFonts w:ascii="宋体" w:hAnsi="宋体" w:cs="宋体"/>
                <w:color w:val="000000"/>
                <w:sz w:val="18"/>
                <w:szCs w:val="18"/>
              </w:rPr>
            </w:pPr>
            <w:r>
              <w:rPr>
                <w:rFonts w:hint="eastAsia" w:ascii="宋体" w:hAnsi="宋体" w:cs="宋体"/>
                <w:color w:val="000000"/>
                <w:sz w:val="18"/>
                <w:szCs w:val="18"/>
              </w:rPr>
              <w:t>20亿元(含)至400亿元</w:t>
            </w:r>
          </w:p>
        </w:tc>
      </w:tr>
      <w:tr w14:paraId="6A56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31" w:type="pct"/>
            <w:vMerge w:val="continue"/>
            <w:vAlign w:val="center"/>
          </w:tcPr>
          <w:p w14:paraId="32137948">
            <w:pPr>
              <w:jc w:val="center"/>
              <w:rPr>
                <w:rFonts w:ascii="宋体" w:hAnsi="宋体" w:cs="宋体"/>
                <w:color w:val="000000"/>
                <w:sz w:val="18"/>
                <w:szCs w:val="18"/>
              </w:rPr>
            </w:pPr>
          </w:p>
        </w:tc>
        <w:tc>
          <w:tcPr>
            <w:tcW w:w="918" w:type="pct"/>
            <w:vMerge w:val="continue"/>
            <w:vAlign w:val="center"/>
          </w:tcPr>
          <w:p w14:paraId="352EC88B">
            <w:pPr>
              <w:jc w:val="center"/>
              <w:rPr>
                <w:rFonts w:ascii="宋体" w:hAnsi="宋体" w:cs="宋体"/>
                <w:color w:val="000000"/>
                <w:sz w:val="18"/>
                <w:szCs w:val="18"/>
              </w:rPr>
            </w:pPr>
          </w:p>
        </w:tc>
        <w:tc>
          <w:tcPr>
            <w:tcW w:w="1186" w:type="pct"/>
            <w:vMerge w:val="continue"/>
            <w:vAlign w:val="center"/>
          </w:tcPr>
          <w:p w14:paraId="62F20AAA">
            <w:pPr>
              <w:jc w:val="center"/>
              <w:rPr>
                <w:rFonts w:ascii="宋体" w:hAnsi="宋体" w:cs="宋体"/>
                <w:color w:val="000000"/>
                <w:sz w:val="18"/>
                <w:szCs w:val="18"/>
              </w:rPr>
            </w:pPr>
          </w:p>
        </w:tc>
        <w:tc>
          <w:tcPr>
            <w:tcW w:w="565" w:type="pct"/>
            <w:vAlign w:val="center"/>
          </w:tcPr>
          <w:p w14:paraId="7A161947">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49072CA3">
            <w:pPr>
              <w:jc w:val="center"/>
              <w:rPr>
                <w:rFonts w:ascii="宋体" w:hAnsi="宋体" w:cs="宋体"/>
                <w:color w:val="000000"/>
                <w:sz w:val="18"/>
                <w:szCs w:val="18"/>
              </w:rPr>
            </w:pPr>
            <w:r>
              <w:rPr>
                <w:rFonts w:hint="eastAsia" w:ascii="宋体" w:hAnsi="宋体" w:cs="宋体"/>
                <w:color w:val="000000"/>
                <w:sz w:val="18"/>
                <w:szCs w:val="18"/>
              </w:rPr>
              <w:t>20亿元以下</w:t>
            </w:r>
          </w:p>
        </w:tc>
      </w:tr>
      <w:tr w14:paraId="5D0A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731" w:type="pct"/>
            <w:vMerge w:val="continue"/>
            <w:vAlign w:val="center"/>
          </w:tcPr>
          <w:p w14:paraId="7C623291">
            <w:pPr>
              <w:jc w:val="center"/>
              <w:rPr>
                <w:rFonts w:ascii="宋体" w:hAnsi="宋体" w:cs="宋体"/>
                <w:color w:val="000000"/>
                <w:sz w:val="18"/>
                <w:szCs w:val="18"/>
              </w:rPr>
            </w:pPr>
          </w:p>
        </w:tc>
        <w:tc>
          <w:tcPr>
            <w:tcW w:w="918" w:type="pct"/>
            <w:vMerge w:val="restart"/>
            <w:vAlign w:val="center"/>
          </w:tcPr>
          <w:p w14:paraId="5EAFF345">
            <w:pPr>
              <w:jc w:val="center"/>
              <w:rPr>
                <w:rFonts w:ascii="宋体" w:hAnsi="宋体" w:cs="宋体"/>
                <w:color w:val="000000"/>
                <w:sz w:val="18"/>
                <w:szCs w:val="18"/>
              </w:rPr>
            </w:pPr>
            <w:r>
              <w:rPr>
                <w:rFonts w:hint="eastAsia" w:ascii="宋体" w:hAnsi="宋体" w:cs="宋体"/>
                <w:color w:val="000000"/>
                <w:sz w:val="18"/>
                <w:szCs w:val="18"/>
              </w:rPr>
              <w:t>控股公司服务</w:t>
            </w:r>
          </w:p>
        </w:tc>
        <w:tc>
          <w:tcPr>
            <w:tcW w:w="1186" w:type="pct"/>
            <w:vMerge w:val="restart"/>
            <w:vAlign w:val="center"/>
          </w:tcPr>
          <w:p w14:paraId="2967FEEB">
            <w:pPr>
              <w:jc w:val="center"/>
              <w:rPr>
                <w:rFonts w:ascii="宋体" w:hAnsi="宋体" w:cs="宋体"/>
                <w:color w:val="000000"/>
                <w:sz w:val="18"/>
                <w:szCs w:val="18"/>
              </w:rPr>
            </w:pPr>
            <w:r>
              <w:rPr>
                <w:rFonts w:hint="eastAsia" w:ascii="宋体" w:hAnsi="宋体" w:cs="宋体"/>
                <w:color w:val="000000"/>
                <w:sz w:val="18"/>
                <w:szCs w:val="18"/>
              </w:rPr>
              <w:t>金融控股公司</w:t>
            </w:r>
          </w:p>
        </w:tc>
        <w:tc>
          <w:tcPr>
            <w:tcW w:w="565" w:type="pct"/>
            <w:vAlign w:val="center"/>
          </w:tcPr>
          <w:p w14:paraId="626C406D">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3F66FF2A">
            <w:pPr>
              <w:jc w:val="center"/>
              <w:rPr>
                <w:rFonts w:ascii="宋体" w:hAnsi="宋体" w:cs="宋体"/>
                <w:color w:val="000000"/>
                <w:sz w:val="18"/>
                <w:szCs w:val="18"/>
              </w:rPr>
            </w:pPr>
            <w:r>
              <w:rPr>
                <w:rFonts w:hint="eastAsia" w:ascii="宋体" w:hAnsi="宋体" w:cs="宋体"/>
                <w:color w:val="000000"/>
                <w:sz w:val="18"/>
                <w:szCs w:val="18"/>
              </w:rPr>
              <w:t>5000亿元(含)至40000亿元</w:t>
            </w:r>
          </w:p>
        </w:tc>
      </w:tr>
      <w:tr w14:paraId="1E58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731" w:type="pct"/>
            <w:vMerge w:val="continue"/>
            <w:vAlign w:val="center"/>
          </w:tcPr>
          <w:p w14:paraId="52206763">
            <w:pPr>
              <w:jc w:val="center"/>
              <w:rPr>
                <w:rFonts w:ascii="宋体" w:hAnsi="宋体" w:cs="宋体"/>
                <w:color w:val="000000"/>
                <w:sz w:val="18"/>
                <w:szCs w:val="18"/>
              </w:rPr>
            </w:pPr>
          </w:p>
        </w:tc>
        <w:tc>
          <w:tcPr>
            <w:tcW w:w="918" w:type="pct"/>
            <w:vMerge w:val="continue"/>
            <w:vAlign w:val="center"/>
          </w:tcPr>
          <w:p w14:paraId="5299A7A6">
            <w:pPr>
              <w:jc w:val="center"/>
              <w:rPr>
                <w:rFonts w:ascii="宋体" w:hAnsi="宋体" w:cs="宋体"/>
                <w:color w:val="000000"/>
                <w:sz w:val="18"/>
                <w:szCs w:val="18"/>
              </w:rPr>
            </w:pPr>
          </w:p>
        </w:tc>
        <w:tc>
          <w:tcPr>
            <w:tcW w:w="1186" w:type="pct"/>
            <w:vMerge w:val="continue"/>
            <w:vAlign w:val="center"/>
          </w:tcPr>
          <w:p w14:paraId="16DDF7D4">
            <w:pPr>
              <w:jc w:val="center"/>
              <w:rPr>
                <w:rFonts w:ascii="宋体" w:hAnsi="宋体" w:cs="宋体"/>
                <w:color w:val="000000"/>
                <w:sz w:val="18"/>
                <w:szCs w:val="18"/>
              </w:rPr>
            </w:pPr>
          </w:p>
        </w:tc>
        <w:tc>
          <w:tcPr>
            <w:tcW w:w="565" w:type="pct"/>
            <w:vAlign w:val="center"/>
          </w:tcPr>
          <w:p w14:paraId="2CA8BC80">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58522615">
            <w:pPr>
              <w:jc w:val="center"/>
              <w:rPr>
                <w:rFonts w:ascii="宋体" w:hAnsi="宋体" w:cs="宋体"/>
                <w:color w:val="000000"/>
                <w:sz w:val="18"/>
                <w:szCs w:val="18"/>
              </w:rPr>
            </w:pPr>
            <w:r>
              <w:rPr>
                <w:rFonts w:hint="eastAsia" w:ascii="宋体" w:hAnsi="宋体" w:cs="宋体"/>
                <w:color w:val="000000"/>
                <w:sz w:val="18"/>
                <w:szCs w:val="18"/>
              </w:rPr>
              <w:t>50亿元(含)至5000亿元</w:t>
            </w:r>
          </w:p>
        </w:tc>
      </w:tr>
      <w:tr w14:paraId="5922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31" w:type="pct"/>
            <w:vMerge w:val="continue"/>
            <w:vAlign w:val="center"/>
          </w:tcPr>
          <w:p w14:paraId="76195224">
            <w:pPr>
              <w:jc w:val="center"/>
              <w:rPr>
                <w:rFonts w:ascii="宋体" w:hAnsi="宋体" w:cs="宋体"/>
                <w:color w:val="000000"/>
                <w:sz w:val="18"/>
                <w:szCs w:val="18"/>
              </w:rPr>
            </w:pPr>
          </w:p>
        </w:tc>
        <w:tc>
          <w:tcPr>
            <w:tcW w:w="918" w:type="pct"/>
            <w:vMerge w:val="continue"/>
            <w:vAlign w:val="center"/>
          </w:tcPr>
          <w:p w14:paraId="568A7BD3">
            <w:pPr>
              <w:jc w:val="center"/>
              <w:rPr>
                <w:rFonts w:ascii="宋体" w:hAnsi="宋体" w:cs="宋体"/>
                <w:color w:val="000000"/>
                <w:sz w:val="18"/>
                <w:szCs w:val="18"/>
              </w:rPr>
            </w:pPr>
          </w:p>
        </w:tc>
        <w:tc>
          <w:tcPr>
            <w:tcW w:w="1186" w:type="pct"/>
            <w:vMerge w:val="continue"/>
            <w:vAlign w:val="center"/>
          </w:tcPr>
          <w:p w14:paraId="47CCD9C1">
            <w:pPr>
              <w:jc w:val="center"/>
              <w:rPr>
                <w:rFonts w:ascii="宋体" w:hAnsi="宋体" w:cs="宋体"/>
                <w:color w:val="000000"/>
                <w:sz w:val="18"/>
                <w:szCs w:val="18"/>
              </w:rPr>
            </w:pPr>
          </w:p>
        </w:tc>
        <w:tc>
          <w:tcPr>
            <w:tcW w:w="565" w:type="pct"/>
            <w:vAlign w:val="center"/>
          </w:tcPr>
          <w:p w14:paraId="6C93C201">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3414FEB4">
            <w:pPr>
              <w:jc w:val="center"/>
              <w:rPr>
                <w:rFonts w:ascii="宋体" w:hAnsi="宋体" w:cs="宋体"/>
                <w:color w:val="000000"/>
                <w:sz w:val="18"/>
                <w:szCs w:val="18"/>
              </w:rPr>
            </w:pPr>
            <w:r>
              <w:rPr>
                <w:rFonts w:hint="eastAsia" w:ascii="宋体" w:hAnsi="宋体" w:cs="宋体"/>
                <w:color w:val="000000"/>
                <w:sz w:val="18"/>
                <w:szCs w:val="18"/>
              </w:rPr>
              <w:t>50亿元以下</w:t>
            </w:r>
          </w:p>
        </w:tc>
      </w:tr>
      <w:tr w14:paraId="2814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731" w:type="pct"/>
            <w:vMerge w:val="continue"/>
            <w:vAlign w:val="center"/>
          </w:tcPr>
          <w:p w14:paraId="4BA69A1B">
            <w:pPr>
              <w:jc w:val="center"/>
              <w:rPr>
                <w:rFonts w:ascii="宋体" w:hAnsi="宋体" w:cs="宋体"/>
                <w:color w:val="000000"/>
                <w:sz w:val="18"/>
                <w:szCs w:val="18"/>
              </w:rPr>
            </w:pPr>
          </w:p>
        </w:tc>
        <w:tc>
          <w:tcPr>
            <w:tcW w:w="918" w:type="pct"/>
            <w:vMerge w:val="restart"/>
            <w:vAlign w:val="center"/>
          </w:tcPr>
          <w:p w14:paraId="37719E03">
            <w:pPr>
              <w:jc w:val="center"/>
              <w:rPr>
                <w:rFonts w:ascii="宋体" w:hAnsi="宋体" w:cs="宋体"/>
                <w:color w:val="000000"/>
                <w:sz w:val="18"/>
                <w:szCs w:val="18"/>
              </w:rPr>
            </w:pPr>
          </w:p>
          <w:p w14:paraId="6421D149">
            <w:pPr>
              <w:jc w:val="center"/>
              <w:rPr>
                <w:rFonts w:ascii="宋体" w:hAnsi="宋体" w:cs="宋体"/>
                <w:color w:val="000000"/>
                <w:sz w:val="18"/>
                <w:szCs w:val="18"/>
              </w:rPr>
            </w:pPr>
            <w:r>
              <w:rPr>
                <w:rFonts w:hint="eastAsia" w:ascii="宋体" w:hAnsi="宋体" w:cs="宋体"/>
                <w:color w:val="000000"/>
                <w:sz w:val="18"/>
                <w:szCs w:val="18"/>
              </w:rPr>
              <w:t>其他未包括的金融业</w:t>
            </w:r>
          </w:p>
        </w:tc>
        <w:tc>
          <w:tcPr>
            <w:tcW w:w="1186" w:type="pct"/>
            <w:vMerge w:val="restart"/>
            <w:vAlign w:val="center"/>
          </w:tcPr>
          <w:p w14:paraId="70F23601">
            <w:pPr>
              <w:jc w:val="center"/>
              <w:rPr>
                <w:rFonts w:ascii="宋体" w:hAnsi="宋体" w:cs="宋体"/>
                <w:color w:val="000000"/>
                <w:sz w:val="18"/>
                <w:szCs w:val="18"/>
              </w:rPr>
            </w:pPr>
            <w:r>
              <w:rPr>
                <w:rFonts w:hint="eastAsia" w:ascii="宋体" w:hAnsi="宋体" w:cs="宋体"/>
                <w:color w:val="000000"/>
                <w:sz w:val="18"/>
                <w:szCs w:val="18"/>
              </w:rPr>
              <w:t>除贷款公司、小额贷款公 同、典当行以外的其他金 融机构</w:t>
            </w:r>
          </w:p>
        </w:tc>
        <w:tc>
          <w:tcPr>
            <w:tcW w:w="565" w:type="pct"/>
            <w:vAlign w:val="center"/>
          </w:tcPr>
          <w:p w14:paraId="272CF679">
            <w:pPr>
              <w:jc w:val="center"/>
              <w:rPr>
                <w:rFonts w:ascii="宋体" w:hAnsi="宋体" w:cs="宋体"/>
                <w:color w:val="000000"/>
                <w:sz w:val="18"/>
                <w:szCs w:val="18"/>
              </w:rPr>
            </w:pPr>
            <w:r>
              <w:rPr>
                <w:rFonts w:hint="eastAsia" w:ascii="宋体" w:hAnsi="宋体" w:cs="宋体"/>
                <w:color w:val="000000"/>
                <w:sz w:val="18"/>
                <w:szCs w:val="18"/>
              </w:rPr>
              <w:t>中型</w:t>
            </w:r>
          </w:p>
        </w:tc>
        <w:tc>
          <w:tcPr>
            <w:tcW w:w="1597" w:type="pct"/>
            <w:vAlign w:val="center"/>
          </w:tcPr>
          <w:p w14:paraId="6EFE91C8">
            <w:pPr>
              <w:jc w:val="center"/>
              <w:rPr>
                <w:rFonts w:ascii="宋体" w:hAnsi="宋体" w:cs="宋体"/>
                <w:color w:val="000000"/>
                <w:sz w:val="18"/>
                <w:szCs w:val="18"/>
              </w:rPr>
            </w:pPr>
            <w:r>
              <w:rPr>
                <w:rFonts w:hint="eastAsia" w:ascii="宋体" w:hAnsi="宋体" w:cs="宋体"/>
                <w:color w:val="000000"/>
                <w:sz w:val="18"/>
                <w:szCs w:val="18"/>
              </w:rPr>
              <w:t>200亿元(含)至1000亿元</w:t>
            </w:r>
          </w:p>
        </w:tc>
      </w:tr>
      <w:tr w14:paraId="1896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731" w:type="pct"/>
            <w:vMerge w:val="continue"/>
            <w:vAlign w:val="center"/>
          </w:tcPr>
          <w:p w14:paraId="339029C9">
            <w:pPr>
              <w:jc w:val="center"/>
              <w:rPr>
                <w:rFonts w:ascii="宋体" w:hAnsi="宋体" w:cs="宋体"/>
                <w:color w:val="000000"/>
                <w:sz w:val="18"/>
                <w:szCs w:val="18"/>
              </w:rPr>
            </w:pPr>
          </w:p>
        </w:tc>
        <w:tc>
          <w:tcPr>
            <w:tcW w:w="918" w:type="pct"/>
            <w:vMerge w:val="continue"/>
            <w:vAlign w:val="center"/>
          </w:tcPr>
          <w:p w14:paraId="3A6A4BC4">
            <w:pPr>
              <w:jc w:val="center"/>
              <w:rPr>
                <w:rFonts w:ascii="宋体" w:hAnsi="宋体" w:cs="宋体"/>
                <w:color w:val="000000"/>
                <w:sz w:val="18"/>
                <w:szCs w:val="18"/>
              </w:rPr>
            </w:pPr>
          </w:p>
        </w:tc>
        <w:tc>
          <w:tcPr>
            <w:tcW w:w="1186" w:type="pct"/>
            <w:vMerge w:val="continue"/>
            <w:vAlign w:val="center"/>
          </w:tcPr>
          <w:p w14:paraId="1C756DF2">
            <w:pPr>
              <w:jc w:val="center"/>
              <w:rPr>
                <w:rFonts w:ascii="宋体" w:hAnsi="宋体" w:cs="宋体"/>
                <w:color w:val="000000"/>
                <w:sz w:val="18"/>
                <w:szCs w:val="18"/>
              </w:rPr>
            </w:pPr>
          </w:p>
        </w:tc>
        <w:tc>
          <w:tcPr>
            <w:tcW w:w="565" w:type="pct"/>
            <w:vAlign w:val="center"/>
          </w:tcPr>
          <w:p w14:paraId="4E17CD1B">
            <w:pPr>
              <w:jc w:val="center"/>
              <w:rPr>
                <w:rFonts w:ascii="宋体" w:hAnsi="宋体" w:cs="宋体"/>
                <w:color w:val="000000"/>
                <w:sz w:val="18"/>
                <w:szCs w:val="18"/>
              </w:rPr>
            </w:pPr>
            <w:r>
              <w:rPr>
                <w:rFonts w:hint="eastAsia" w:ascii="宋体" w:hAnsi="宋体" w:cs="宋体"/>
                <w:color w:val="000000"/>
                <w:sz w:val="18"/>
                <w:szCs w:val="18"/>
              </w:rPr>
              <w:t>小型</w:t>
            </w:r>
          </w:p>
        </w:tc>
        <w:tc>
          <w:tcPr>
            <w:tcW w:w="1597" w:type="pct"/>
            <w:vAlign w:val="center"/>
          </w:tcPr>
          <w:p w14:paraId="1F7572C8">
            <w:pPr>
              <w:jc w:val="center"/>
              <w:rPr>
                <w:rFonts w:ascii="宋体" w:hAnsi="宋体" w:cs="宋体"/>
                <w:color w:val="000000"/>
                <w:sz w:val="18"/>
                <w:szCs w:val="18"/>
              </w:rPr>
            </w:pPr>
            <w:r>
              <w:rPr>
                <w:rFonts w:hint="eastAsia" w:ascii="宋体" w:hAnsi="宋体" w:cs="宋体"/>
                <w:color w:val="000000"/>
                <w:sz w:val="18"/>
                <w:szCs w:val="18"/>
              </w:rPr>
              <w:t>50亿元(含)至200亿元</w:t>
            </w:r>
          </w:p>
        </w:tc>
      </w:tr>
      <w:tr w14:paraId="56FB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731" w:type="pct"/>
            <w:vMerge w:val="continue"/>
            <w:vAlign w:val="center"/>
          </w:tcPr>
          <w:p w14:paraId="02CA12B2">
            <w:pPr>
              <w:jc w:val="center"/>
              <w:rPr>
                <w:rFonts w:ascii="宋体" w:hAnsi="宋体" w:cs="宋体"/>
                <w:color w:val="000000"/>
                <w:sz w:val="18"/>
                <w:szCs w:val="18"/>
              </w:rPr>
            </w:pPr>
          </w:p>
        </w:tc>
        <w:tc>
          <w:tcPr>
            <w:tcW w:w="918" w:type="pct"/>
            <w:vMerge w:val="continue"/>
            <w:vAlign w:val="center"/>
          </w:tcPr>
          <w:p w14:paraId="24453A7B">
            <w:pPr>
              <w:jc w:val="center"/>
              <w:rPr>
                <w:rFonts w:ascii="宋体" w:hAnsi="宋体" w:cs="宋体"/>
                <w:color w:val="000000"/>
                <w:sz w:val="18"/>
                <w:szCs w:val="18"/>
              </w:rPr>
            </w:pPr>
          </w:p>
        </w:tc>
        <w:tc>
          <w:tcPr>
            <w:tcW w:w="1186" w:type="pct"/>
            <w:vMerge w:val="continue"/>
            <w:vAlign w:val="center"/>
          </w:tcPr>
          <w:p w14:paraId="088089F9">
            <w:pPr>
              <w:jc w:val="center"/>
              <w:rPr>
                <w:rFonts w:ascii="宋体" w:hAnsi="宋体" w:cs="宋体"/>
                <w:color w:val="000000"/>
                <w:sz w:val="18"/>
                <w:szCs w:val="18"/>
              </w:rPr>
            </w:pPr>
          </w:p>
        </w:tc>
        <w:tc>
          <w:tcPr>
            <w:tcW w:w="565" w:type="pct"/>
            <w:vAlign w:val="center"/>
          </w:tcPr>
          <w:p w14:paraId="6E062881">
            <w:pPr>
              <w:jc w:val="center"/>
              <w:rPr>
                <w:rFonts w:ascii="宋体" w:hAnsi="宋体" w:cs="宋体"/>
                <w:color w:val="000000"/>
                <w:sz w:val="18"/>
                <w:szCs w:val="18"/>
              </w:rPr>
            </w:pPr>
            <w:r>
              <w:rPr>
                <w:rFonts w:hint="eastAsia" w:ascii="宋体" w:hAnsi="宋体" w:cs="宋体"/>
                <w:color w:val="000000"/>
                <w:sz w:val="18"/>
                <w:szCs w:val="18"/>
              </w:rPr>
              <w:t>微型</w:t>
            </w:r>
          </w:p>
        </w:tc>
        <w:tc>
          <w:tcPr>
            <w:tcW w:w="1597" w:type="pct"/>
            <w:vAlign w:val="center"/>
          </w:tcPr>
          <w:p w14:paraId="08FF7686">
            <w:pPr>
              <w:jc w:val="center"/>
              <w:rPr>
                <w:rFonts w:ascii="宋体" w:hAnsi="宋体" w:cs="宋体"/>
                <w:color w:val="000000"/>
                <w:sz w:val="18"/>
                <w:szCs w:val="18"/>
              </w:rPr>
            </w:pPr>
            <w:r>
              <w:rPr>
                <w:rFonts w:hint="eastAsia" w:ascii="宋体" w:hAnsi="宋体" w:cs="宋体"/>
                <w:color w:val="000000"/>
                <w:sz w:val="18"/>
                <w:szCs w:val="18"/>
              </w:rPr>
              <w:t>50亿元以下</w:t>
            </w:r>
          </w:p>
        </w:tc>
      </w:tr>
    </w:tbl>
    <w:p w14:paraId="5FA819F4">
      <w:pPr>
        <w:rPr>
          <w:rFonts w:hint="eastAsia"/>
          <w:b w:val="0"/>
          <w:sz w:val="24"/>
          <w:szCs w:val="24"/>
        </w:rPr>
      </w:pPr>
      <w:bookmarkStart w:id="62" w:name="_Hlk72259976"/>
      <w:r>
        <w:rPr>
          <w:rFonts w:hint="eastAsia"/>
          <w:b w:val="0"/>
          <w:sz w:val="24"/>
          <w:szCs w:val="24"/>
        </w:rPr>
        <w:br w:type="page"/>
      </w:r>
    </w:p>
    <w:p w14:paraId="42FB34E9">
      <w:pPr>
        <w:pStyle w:val="3"/>
        <w:jc w:val="center"/>
        <w:rPr>
          <w:b w:val="0"/>
          <w:sz w:val="24"/>
          <w:szCs w:val="24"/>
        </w:rPr>
      </w:pPr>
      <w:r>
        <w:rPr>
          <w:rFonts w:hint="eastAsia"/>
          <w:b w:val="0"/>
          <w:sz w:val="24"/>
          <w:szCs w:val="24"/>
        </w:rPr>
        <w:t>四、项目详细报价</w:t>
      </w:r>
    </w:p>
    <w:p w14:paraId="67C66809">
      <w:pPr>
        <w:tabs>
          <w:tab w:val="left" w:pos="720"/>
        </w:tabs>
        <w:ind w:firstLine="3132" w:firstLineChars="1300"/>
        <w:rPr>
          <w:rFonts w:ascii="宋体" w:hAnsi="宋体" w:eastAsia="宋体"/>
          <w:b/>
        </w:rPr>
      </w:pPr>
      <w:r>
        <w:rPr>
          <w:rFonts w:hint="eastAsia" w:ascii="宋体" w:hAnsi="宋体" w:eastAsia="宋体"/>
          <w:b/>
        </w:rPr>
        <w:t>（一）分项报价表</w:t>
      </w:r>
    </w:p>
    <w:tbl>
      <w:tblPr>
        <w:tblStyle w:val="18"/>
        <w:tblpPr w:leftFromText="180" w:rightFromText="180" w:vertAnchor="text" w:horzAnchor="margin" w:tblpY="1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345"/>
        <w:gridCol w:w="429"/>
        <w:gridCol w:w="743"/>
        <w:gridCol w:w="601"/>
        <w:gridCol w:w="743"/>
        <w:gridCol w:w="529"/>
        <w:gridCol w:w="529"/>
        <w:gridCol w:w="840"/>
        <w:gridCol w:w="840"/>
        <w:gridCol w:w="1367"/>
      </w:tblGrid>
      <w:tr w14:paraId="5BFD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vAlign w:val="center"/>
          </w:tcPr>
          <w:p w14:paraId="2651C0AB">
            <w:pPr>
              <w:jc w:val="center"/>
              <w:rPr>
                <w:rFonts w:ascii="宋体" w:hAnsi="宋体" w:eastAsia="宋体"/>
                <w:bCs/>
                <w:szCs w:val="21"/>
              </w:rPr>
            </w:pPr>
            <w:r>
              <w:rPr>
                <w:rFonts w:hint="eastAsia" w:ascii="宋体" w:hAnsi="宋体" w:eastAsia="宋体"/>
                <w:bCs/>
                <w:szCs w:val="21"/>
              </w:rPr>
              <w:t>序号</w:t>
            </w:r>
          </w:p>
        </w:tc>
        <w:tc>
          <w:tcPr>
            <w:tcW w:w="1345" w:type="dxa"/>
            <w:vAlign w:val="center"/>
          </w:tcPr>
          <w:p w14:paraId="2BEE4C08">
            <w:pPr>
              <w:jc w:val="center"/>
              <w:rPr>
                <w:rFonts w:ascii="宋体" w:hAnsi="宋体" w:eastAsia="宋体"/>
                <w:bCs/>
                <w:szCs w:val="21"/>
              </w:rPr>
            </w:pPr>
            <w:r>
              <w:rPr>
                <w:rFonts w:hint="eastAsia" w:ascii="宋体" w:hAnsi="宋体" w:eastAsia="宋体"/>
                <w:bCs/>
                <w:szCs w:val="21"/>
              </w:rPr>
              <w:t>货物名称</w:t>
            </w:r>
          </w:p>
        </w:tc>
        <w:tc>
          <w:tcPr>
            <w:tcW w:w="429" w:type="dxa"/>
            <w:vAlign w:val="center"/>
          </w:tcPr>
          <w:p w14:paraId="7AAB3E5C">
            <w:pPr>
              <w:jc w:val="center"/>
              <w:rPr>
                <w:rFonts w:ascii="宋体" w:hAnsi="宋体" w:eastAsia="宋体"/>
                <w:bCs/>
                <w:szCs w:val="21"/>
              </w:rPr>
            </w:pPr>
            <w:r>
              <w:rPr>
                <w:rFonts w:hint="eastAsia" w:ascii="宋体" w:hAnsi="宋体" w:eastAsia="宋体"/>
                <w:szCs w:val="21"/>
              </w:rPr>
              <w:t>品牌</w:t>
            </w:r>
          </w:p>
        </w:tc>
        <w:tc>
          <w:tcPr>
            <w:tcW w:w="743" w:type="dxa"/>
            <w:vAlign w:val="center"/>
          </w:tcPr>
          <w:p w14:paraId="73F4B6EE">
            <w:pPr>
              <w:jc w:val="center"/>
              <w:rPr>
                <w:rFonts w:ascii="宋体" w:hAnsi="宋体" w:eastAsia="宋体"/>
                <w:b/>
                <w:color w:val="FF0000"/>
                <w:szCs w:val="21"/>
              </w:rPr>
            </w:pPr>
            <w:r>
              <w:rPr>
                <w:rFonts w:hint="eastAsia"/>
                <w:szCs w:val="21"/>
              </w:rPr>
              <w:t>型号和规格</w:t>
            </w:r>
          </w:p>
        </w:tc>
        <w:tc>
          <w:tcPr>
            <w:tcW w:w="601" w:type="dxa"/>
            <w:vAlign w:val="center"/>
          </w:tcPr>
          <w:p w14:paraId="7A5F5808">
            <w:pPr>
              <w:jc w:val="center"/>
              <w:rPr>
                <w:rFonts w:ascii="宋体" w:hAnsi="宋体" w:eastAsia="宋体"/>
                <w:bCs/>
                <w:szCs w:val="21"/>
              </w:rPr>
            </w:pPr>
            <w:r>
              <w:rPr>
                <w:rFonts w:hint="eastAsia" w:ascii="宋体" w:hAnsi="宋体" w:eastAsia="宋体"/>
                <w:b/>
                <w:color w:val="FF0000"/>
                <w:szCs w:val="21"/>
              </w:rPr>
              <w:t>原产地</w:t>
            </w:r>
          </w:p>
        </w:tc>
        <w:tc>
          <w:tcPr>
            <w:tcW w:w="743" w:type="dxa"/>
            <w:vAlign w:val="center"/>
          </w:tcPr>
          <w:p w14:paraId="017EBDF2">
            <w:pPr>
              <w:jc w:val="center"/>
              <w:rPr>
                <w:rFonts w:ascii="宋体" w:hAnsi="宋体" w:eastAsia="宋体"/>
                <w:bCs/>
                <w:szCs w:val="21"/>
              </w:rPr>
            </w:pPr>
            <w:r>
              <w:rPr>
                <w:rFonts w:hint="eastAsia" w:ascii="宋体" w:hAnsi="宋体" w:eastAsia="宋体"/>
                <w:szCs w:val="21"/>
              </w:rPr>
              <w:t>制造商名称</w:t>
            </w:r>
          </w:p>
        </w:tc>
        <w:tc>
          <w:tcPr>
            <w:tcW w:w="529" w:type="dxa"/>
            <w:vAlign w:val="center"/>
          </w:tcPr>
          <w:p w14:paraId="3B57B6A2">
            <w:pPr>
              <w:jc w:val="center"/>
              <w:rPr>
                <w:rFonts w:ascii="宋体" w:hAnsi="宋体" w:eastAsia="宋体"/>
                <w:bCs/>
                <w:szCs w:val="21"/>
              </w:rPr>
            </w:pPr>
            <w:r>
              <w:rPr>
                <w:rFonts w:hint="eastAsia" w:ascii="宋体" w:hAnsi="宋体" w:eastAsia="宋体"/>
                <w:bCs/>
                <w:szCs w:val="21"/>
              </w:rPr>
              <w:t>数量</w:t>
            </w:r>
          </w:p>
        </w:tc>
        <w:tc>
          <w:tcPr>
            <w:tcW w:w="529" w:type="dxa"/>
            <w:vAlign w:val="center"/>
          </w:tcPr>
          <w:p w14:paraId="1D72C755">
            <w:pPr>
              <w:jc w:val="center"/>
              <w:rPr>
                <w:rFonts w:ascii="宋体" w:hAnsi="宋体" w:eastAsia="宋体"/>
                <w:bCs/>
                <w:szCs w:val="21"/>
              </w:rPr>
            </w:pPr>
            <w:r>
              <w:rPr>
                <w:rFonts w:hint="eastAsia" w:ascii="宋体" w:hAnsi="宋体" w:eastAsia="宋体"/>
                <w:bCs/>
                <w:szCs w:val="21"/>
              </w:rPr>
              <w:t>单位</w:t>
            </w:r>
          </w:p>
        </w:tc>
        <w:tc>
          <w:tcPr>
            <w:tcW w:w="840" w:type="dxa"/>
            <w:vAlign w:val="center"/>
          </w:tcPr>
          <w:p w14:paraId="3CD99BF5">
            <w:pPr>
              <w:jc w:val="center"/>
              <w:rPr>
                <w:rFonts w:ascii="宋体" w:hAnsi="宋体" w:eastAsia="宋体"/>
                <w:bCs/>
                <w:szCs w:val="21"/>
              </w:rPr>
            </w:pPr>
            <w:r>
              <w:rPr>
                <w:rFonts w:hint="eastAsia" w:ascii="宋体" w:hAnsi="宋体" w:eastAsia="宋体"/>
                <w:szCs w:val="21"/>
              </w:rPr>
              <w:t>单价(元)</w:t>
            </w:r>
          </w:p>
        </w:tc>
        <w:tc>
          <w:tcPr>
            <w:tcW w:w="840" w:type="dxa"/>
            <w:vAlign w:val="center"/>
          </w:tcPr>
          <w:p w14:paraId="7E72721B">
            <w:pPr>
              <w:jc w:val="center"/>
              <w:rPr>
                <w:rFonts w:ascii="宋体" w:hAnsi="宋体" w:eastAsia="宋体"/>
                <w:bCs/>
                <w:szCs w:val="21"/>
              </w:rPr>
            </w:pPr>
            <w:r>
              <w:rPr>
                <w:rFonts w:hint="eastAsia" w:ascii="宋体" w:hAnsi="宋体" w:eastAsia="宋体"/>
                <w:szCs w:val="21"/>
              </w:rPr>
              <w:t>合价(元)</w:t>
            </w:r>
          </w:p>
        </w:tc>
        <w:tc>
          <w:tcPr>
            <w:tcW w:w="1367" w:type="dxa"/>
            <w:vAlign w:val="center"/>
          </w:tcPr>
          <w:p w14:paraId="30F45A9C">
            <w:pPr>
              <w:jc w:val="center"/>
              <w:rPr>
                <w:rFonts w:ascii="宋体" w:hAnsi="宋体" w:eastAsia="宋体"/>
                <w:szCs w:val="21"/>
              </w:rPr>
            </w:pPr>
            <w:r>
              <w:rPr>
                <w:rFonts w:hint="eastAsia" w:ascii="宋体" w:hAnsi="宋体" w:eastAsia="宋体"/>
                <w:szCs w:val="21"/>
              </w:rPr>
              <w:t>财政预算限额（元）</w:t>
            </w:r>
          </w:p>
        </w:tc>
      </w:tr>
      <w:tr w14:paraId="0A5C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9" w:type="dxa"/>
            <w:vAlign w:val="center"/>
          </w:tcPr>
          <w:p w14:paraId="7082E377">
            <w:pPr>
              <w:jc w:val="center"/>
              <w:rPr>
                <w:rFonts w:ascii="宋体" w:hAnsi="宋体" w:eastAsia="宋体"/>
                <w:bCs/>
                <w:szCs w:val="21"/>
              </w:rPr>
            </w:pPr>
            <w:r>
              <w:rPr>
                <w:rFonts w:hint="eastAsia"/>
                <w:bCs/>
                <w:szCs w:val="21"/>
              </w:rPr>
              <w:t>1</w:t>
            </w:r>
          </w:p>
        </w:tc>
        <w:tc>
          <w:tcPr>
            <w:tcW w:w="1345" w:type="dxa"/>
            <w:vAlign w:val="center"/>
          </w:tcPr>
          <w:p w14:paraId="6D6FDC0F">
            <w:pPr>
              <w:pStyle w:val="37"/>
              <w:jc w:val="left"/>
              <w:rPr>
                <w:bCs/>
                <w:szCs w:val="21"/>
              </w:rPr>
            </w:pPr>
            <w:r>
              <w:rPr>
                <w:rFonts w:hint="eastAsia" w:ascii="Times New Roman" w:hAnsi="Times New Roman" w:cs="Times New Roman"/>
                <w:sz w:val="18"/>
                <w:szCs w:val="18"/>
              </w:rPr>
              <w:t>千米级深海ROV主体</w:t>
            </w:r>
          </w:p>
        </w:tc>
        <w:tc>
          <w:tcPr>
            <w:tcW w:w="429" w:type="dxa"/>
            <w:vAlign w:val="center"/>
          </w:tcPr>
          <w:p w14:paraId="25BE65A7">
            <w:pPr>
              <w:jc w:val="center"/>
              <w:rPr>
                <w:rFonts w:ascii="宋体" w:hAnsi="宋体" w:eastAsia="宋体"/>
                <w:bCs/>
                <w:szCs w:val="21"/>
              </w:rPr>
            </w:pPr>
          </w:p>
        </w:tc>
        <w:tc>
          <w:tcPr>
            <w:tcW w:w="743" w:type="dxa"/>
            <w:vAlign w:val="center"/>
          </w:tcPr>
          <w:p w14:paraId="6FDEA1EA">
            <w:pPr>
              <w:jc w:val="center"/>
              <w:rPr>
                <w:rFonts w:ascii="宋体" w:hAnsi="宋体" w:eastAsia="宋体"/>
                <w:bCs/>
                <w:szCs w:val="21"/>
              </w:rPr>
            </w:pPr>
          </w:p>
        </w:tc>
        <w:tc>
          <w:tcPr>
            <w:tcW w:w="601" w:type="dxa"/>
            <w:vAlign w:val="center"/>
          </w:tcPr>
          <w:p w14:paraId="407FA96E">
            <w:pPr>
              <w:jc w:val="center"/>
              <w:rPr>
                <w:rFonts w:ascii="宋体" w:hAnsi="宋体" w:eastAsia="宋体"/>
                <w:bCs/>
                <w:szCs w:val="21"/>
              </w:rPr>
            </w:pPr>
          </w:p>
        </w:tc>
        <w:tc>
          <w:tcPr>
            <w:tcW w:w="743" w:type="dxa"/>
            <w:vAlign w:val="center"/>
          </w:tcPr>
          <w:p w14:paraId="4E32A2BC">
            <w:pPr>
              <w:jc w:val="center"/>
              <w:rPr>
                <w:rFonts w:ascii="宋体" w:hAnsi="宋体" w:eastAsia="宋体"/>
                <w:bCs/>
                <w:szCs w:val="21"/>
              </w:rPr>
            </w:pPr>
          </w:p>
        </w:tc>
        <w:tc>
          <w:tcPr>
            <w:tcW w:w="529" w:type="dxa"/>
            <w:vAlign w:val="center"/>
          </w:tcPr>
          <w:p w14:paraId="497F1B0B">
            <w:pPr>
              <w:pStyle w:val="37"/>
              <w:jc w:val="center"/>
              <w:rPr>
                <w:rFonts w:hint="eastAsia" w:eastAsia="宋体"/>
                <w:bCs/>
                <w:szCs w:val="21"/>
              </w:rPr>
            </w:pPr>
            <w:r>
              <w:rPr>
                <w:rFonts w:hint="eastAsia" w:eastAsia="宋体"/>
                <w:bCs/>
                <w:szCs w:val="21"/>
              </w:rPr>
              <w:t>1</w:t>
            </w:r>
          </w:p>
        </w:tc>
        <w:tc>
          <w:tcPr>
            <w:tcW w:w="529" w:type="dxa"/>
            <w:vAlign w:val="center"/>
          </w:tcPr>
          <w:p w14:paraId="51566446">
            <w:pPr>
              <w:pStyle w:val="37"/>
              <w:jc w:val="center"/>
              <w:rPr>
                <w:rFonts w:hint="eastAsia" w:eastAsia="宋体"/>
                <w:bCs/>
                <w:szCs w:val="21"/>
              </w:rPr>
            </w:pPr>
            <w:r>
              <w:rPr>
                <w:rFonts w:hint="eastAsia" w:eastAsia="宋体"/>
                <w:bCs/>
                <w:szCs w:val="21"/>
              </w:rPr>
              <w:t>套</w:t>
            </w:r>
          </w:p>
        </w:tc>
        <w:tc>
          <w:tcPr>
            <w:tcW w:w="840" w:type="dxa"/>
            <w:vAlign w:val="center"/>
          </w:tcPr>
          <w:p w14:paraId="7F0DA3EE">
            <w:pPr>
              <w:jc w:val="center"/>
              <w:rPr>
                <w:rFonts w:ascii="宋体" w:hAnsi="宋体" w:eastAsia="宋体"/>
                <w:bCs/>
                <w:szCs w:val="21"/>
              </w:rPr>
            </w:pPr>
          </w:p>
        </w:tc>
        <w:tc>
          <w:tcPr>
            <w:tcW w:w="840" w:type="dxa"/>
            <w:vAlign w:val="center"/>
          </w:tcPr>
          <w:p w14:paraId="1854F749">
            <w:pPr>
              <w:jc w:val="center"/>
              <w:rPr>
                <w:rFonts w:ascii="宋体" w:hAnsi="宋体" w:eastAsia="宋体"/>
                <w:bCs/>
                <w:szCs w:val="21"/>
              </w:rPr>
            </w:pPr>
          </w:p>
        </w:tc>
        <w:tc>
          <w:tcPr>
            <w:tcW w:w="1367" w:type="dxa"/>
            <w:vAlign w:val="center"/>
          </w:tcPr>
          <w:p w14:paraId="6FE73E08">
            <w:pPr>
              <w:jc w:val="center"/>
              <w:rPr>
                <w:rFonts w:ascii="宋体" w:hAnsi="宋体" w:eastAsia="宋体"/>
                <w:b/>
                <w:bCs/>
                <w:szCs w:val="21"/>
              </w:rPr>
            </w:pPr>
          </w:p>
        </w:tc>
      </w:tr>
      <w:tr w14:paraId="56AA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9" w:type="dxa"/>
            <w:vAlign w:val="center"/>
          </w:tcPr>
          <w:p w14:paraId="6D152E4A">
            <w:pPr>
              <w:jc w:val="center"/>
              <w:rPr>
                <w:rFonts w:hint="eastAsia" w:ascii="宋体" w:hAnsi="宋体" w:eastAsia="宋体"/>
                <w:bCs/>
                <w:szCs w:val="21"/>
                <w:lang w:val="en-US" w:eastAsia="zh-CN"/>
              </w:rPr>
            </w:pPr>
            <w:r>
              <w:rPr>
                <w:rFonts w:hint="eastAsia" w:ascii="宋体" w:hAnsi="宋体" w:eastAsia="宋体"/>
                <w:bCs/>
                <w:szCs w:val="21"/>
                <w:lang w:val="en-US" w:eastAsia="zh-CN"/>
              </w:rPr>
              <w:t>2</w:t>
            </w:r>
          </w:p>
        </w:tc>
        <w:tc>
          <w:tcPr>
            <w:tcW w:w="1345" w:type="dxa"/>
            <w:vAlign w:val="center"/>
          </w:tcPr>
          <w:p w14:paraId="1C6F435C">
            <w:pPr>
              <w:pStyle w:val="37"/>
              <w:jc w:val="left"/>
              <w:rPr>
                <w:rFonts w:hint="eastAsia"/>
                <w:bCs/>
                <w:szCs w:val="21"/>
              </w:rPr>
            </w:pPr>
            <w:r>
              <w:rPr>
                <w:rFonts w:hint="eastAsia" w:ascii="Times New Roman" w:hAnsi="Times New Roman" w:cs="Times New Roman"/>
                <w:sz w:val="18"/>
                <w:szCs w:val="18"/>
              </w:rPr>
              <w:t>深海多功能机械臂</w:t>
            </w:r>
          </w:p>
        </w:tc>
        <w:tc>
          <w:tcPr>
            <w:tcW w:w="429" w:type="dxa"/>
            <w:vAlign w:val="center"/>
          </w:tcPr>
          <w:p w14:paraId="615DF458">
            <w:pPr>
              <w:jc w:val="center"/>
              <w:rPr>
                <w:rFonts w:ascii="宋体" w:hAnsi="宋体" w:eastAsia="宋体"/>
                <w:bCs/>
                <w:szCs w:val="21"/>
              </w:rPr>
            </w:pPr>
          </w:p>
        </w:tc>
        <w:tc>
          <w:tcPr>
            <w:tcW w:w="743" w:type="dxa"/>
            <w:vAlign w:val="center"/>
          </w:tcPr>
          <w:p w14:paraId="409F9DB2">
            <w:pPr>
              <w:jc w:val="center"/>
              <w:rPr>
                <w:rFonts w:ascii="宋体" w:hAnsi="宋体" w:eastAsia="宋体"/>
                <w:bCs/>
                <w:szCs w:val="21"/>
              </w:rPr>
            </w:pPr>
          </w:p>
        </w:tc>
        <w:tc>
          <w:tcPr>
            <w:tcW w:w="601" w:type="dxa"/>
            <w:vAlign w:val="center"/>
          </w:tcPr>
          <w:p w14:paraId="7FEA473E">
            <w:pPr>
              <w:jc w:val="center"/>
              <w:rPr>
                <w:rFonts w:ascii="宋体" w:hAnsi="宋体" w:eastAsia="宋体"/>
                <w:bCs/>
                <w:szCs w:val="21"/>
              </w:rPr>
            </w:pPr>
          </w:p>
        </w:tc>
        <w:tc>
          <w:tcPr>
            <w:tcW w:w="743" w:type="dxa"/>
            <w:vAlign w:val="center"/>
          </w:tcPr>
          <w:p w14:paraId="12AC31FC">
            <w:pPr>
              <w:jc w:val="center"/>
              <w:rPr>
                <w:rFonts w:ascii="宋体" w:hAnsi="宋体" w:eastAsia="宋体"/>
                <w:bCs/>
                <w:szCs w:val="21"/>
              </w:rPr>
            </w:pPr>
          </w:p>
        </w:tc>
        <w:tc>
          <w:tcPr>
            <w:tcW w:w="529" w:type="dxa"/>
            <w:vAlign w:val="center"/>
          </w:tcPr>
          <w:p w14:paraId="7AC29818">
            <w:pPr>
              <w:pStyle w:val="37"/>
              <w:jc w:val="center"/>
              <w:rPr>
                <w:rFonts w:hint="eastAsia" w:eastAsia="宋体"/>
                <w:bCs/>
                <w:szCs w:val="21"/>
              </w:rPr>
            </w:pPr>
            <w:r>
              <w:rPr>
                <w:rFonts w:hint="eastAsia" w:eastAsia="宋体"/>
                <w:bCs/>
                <w:szCs w:val="21"/>
              </w:rPr>
              <w:t>4</w:t>
            </w:r>
          </w:p>
        </w:tc>
        <w:tc>
          <w:tcPr>
            <w:tcW w:w="529" w:type="dxa"/>
            <w:vAlign w:val="center"/>
          </w:tcPr>
          <w:p w14:paraId="70C7311D">
            <w:pPr>
              <w:pStyle w:val="37"/>
              <w:jc w:val="center"/>
              <w:rPr>
                <w:rFonts w:hint="eastAsia" w:eastAsia="宋体"/>
                <w:bCs/>
                <w:szCs w:val="21"/>
              </w:rPr>
            </w:pPr>
            <w:r>
              <w:rPr>
                <w:rFonts w:hint="eastAsia" w:eastAsia="宋体"/>
                <w:bCs/>
                <w:szCs w:val="21"/>
              </w:rPr>
              <w:t>套</w:t>
            </w:r>
          </w:p>
        </w:tc>
        <w:tc>
          <w:tcPr>
            <w:tcW w:w="840" w:type="dxa"/>
            <w:vAlign w:val="center"/>
          </w:tcPr>
          <w:p w14:paraId="3867AFBF">
            <w:pPr>
              <w:jc w:val="center"/>
              <w:rPr>
                <w:rFonts w:ascii="宋体" w:hAnsi="宋体" w:eastAsia="宋体"/>
                <w:bCs/>
                <w:szCs w:val="21"/>
              </w:rPr>
            </w:pPr>
          </w:p>
        </w:tc>
        <w:tc>
          <w:tcPr>
            <w:tcW w:w="840" w:type="dxa"/>
            <w:vAlign w:val="center"/>
          </w:tcPr>
          <w:p w14:paraId="1ECA8F43">
            <w:pPr>
              <w:jc w:val="center"/>
              <w:rPr>
                <w:rFonts w:ascii="宋体" w:hAnsi="宋体" w:eastAsia="宋体"/>
                <w:bCs/>
                <w:szCs w:val="21"/>
              </w:rPr>
            </w:pPr>
          </w:p>
        </w:tc>
        <w:tc>
          <w:tcPr>
            <w:tcW w:w="1367" w:type="dxa"/>
            <w:vAlign w:val="center"/>
          </w:tcPr>
          <w:p w14:paraId="6D36BE05">
            <w:pPr>
              <w:jc w:val="center"/>
              <w:rPr>
                <w:rFonts w:ascii="宋体" w:hAnsi="宋体" w:eastAsia="宋体"/>
                <w:b/>
                <w:bCs/>
                <w:color w:val="FF0000"/>
                <w:szCs w:val="21"/>
              </w:rPr>
            </w:pPr>
          </w:p>
        </w:tc>
      </w:tr>
      <w:tr w14:paraId="36AB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9" w:type="dxa"/>
            <w:vAlign w:val="center"/>
          </w:tcPr>
          <w:p w14:paraId="02F30A8F">
            <w:pPr>
              <w:jc w:val="center"/>
              <w:rPr>
                <w:rFonts w:hint="eastAsia" w:ascii="宋体" w:hAnsi="宋体" w:eastAsia="宋体"/>
                <w:bCs/>
                <w:szCs w:val="21"/>
                <w:lang w:val="en-US" w:eastAsia="zh-CN"/>
              </w:rPr>
            </w:pPr>
            <w:r>
              <w:rPr>
                <w:rFonts w:hint="eastAsia" w:ascii="宋体" w:hAnsi="宋体" w:eastAsia="宋体"/>
                <w:bCs/>
                <w:szCs w:val="21"/>
                <w:lang w:val="en-US" w:eastAsia="zh-CN"/>
              </w:rPr>
              <w:t>3</w:t>
            </w:r>
          </w:p>
        </w:tc>
        <w:tc>
          <w:tcPr>
            <w:tcW w:w="1345" w:type="dxa"/>
            <w:vAlign w:val="center"/>
          </w:tcPr>
          <w:p w14:paraId="50C1C754">
            <w:pPr>
              <w:pStyle w:val="37"/>
              <w:jc w:val="left"/>
              <w:rPr>
                <w:rFonts w:hint="eastAsia"/>
                <w:bCs/>
                <w:szCs w:val="21"/>
              </w:rPr>
            </w:pPr>
            <w:r>
              <w:rPr>
                <w:rFonts w:hint="eastAsia" w:ascii="Times New Roman" w:hAnsi="Times New Roman" w:cs="Times New Roman"/>
                <w:sz w:val="18"/>
                <w:szCs w:val="18"/>
              </w:rPr>
              <w:t>控制系统</w:t>
            </w:r>
          </w:p>
        </w:tc>
        <w:tc>
          <w:tcPr>
            <w:tcW w:w="429" w:type="dxa"/>
            <w:vAlign w:val="center"/>
          </w:tcPr>
          <w:p w14:paraId="39E256E5">
            <w:pPr>
              <w:jc w:val="center"/>
              <w:rPr>
                <w:rFonts w:ascii="宋体" w:hAnsi="宋体" w:eastAsia="宋体"/>
                <w:bCs/>
                <w:szCs w:val="21"/>
              </w:rPr>
            </w:pPr>
          </w:p>
        </w:tc>
        <w:tc>
          <w:tcPr>
            <w:tcW w:w="743" w:type="dxa"/>
            <w:vAlign w:val="center"/>
          </w:tcPr>
          <w:p w14:paraId="278C3B71">
            <w:pPr>
              <w:jc w:val="center"/>
              <w:rPr>
                <w:rFonts w:ascii="宋体" w:hAnsi="宋体" w:eastAsia="宋体"/>
                <w:bCs/>
                <w:szCs w:val="21"/>
              </w:rPr>
            </w:pPr>
          </w:p>
        </w:tc>
        <w:tc>
          <w:tcPr>
            <w:tcW w:w="601" w:type="dxa"/>
            <w:vAlign w:val="center"/>
          </w:tcPr>
          <w:p w14:paraId="11AAA85A">
            <w:pPr>
              <w:jc w:val="center"/>
              <w:rPr>
                <w:rFonts w:ascii="宋体" w:hAnsi="宋体" w:eastAsia="宋体"/>
                <w:bCs/>
                <w:szCs w:val="21"/>
              </w:rPr>
            </w:pPr>
          </w:p>
        </w:tc>
        <w:tc>
          <w:tcPr>
            <w:tcW w:w="743" w:type="dxa"/>
            <w:vAlign w:val="center"/>
          </w:tcPr>
          <w:p w14:paraId="7CD3C80E">
            <w:pPr>
              <w:jc w:val="center"/>
              <w:rPr>
                <w:rFonts w:ascii="宋体" w:hAnsi="宋体" w:eastAsia="宋体"/>
                <w:bCs/>
                <w:szCs w:val="21"/>
              </w:rPr>
            </w:pPr>
          </w:p>
        </w:tc>
        <w:tc>
          <w:tcPr>
            <w:tcW w:w="529" w:type="dxa"/>
            <w:vAlign w:val="center"/>
          </w:tcPr>
          <w:p w14:paraId="7790C530">
            <w:pPr>
              <w:pStyle w:val="37"/>
              <w:jc w:val="center"/>
              <w:rPr>
                <w:rFonts w:hint="eastAsia" w:eastAsia="宋体"/>
                <w:bCs/>
                <w:szCs w:val="21"/>
              </w:rPr>
            </w:pPr>
            <w:r>
              <w:rPr>
                <w:rFonts w:hint="eastAsia" w:eastAsia="宋体"/>
                <w:bCs/>
                <w:szCs w:val="21"/>
              </w:rPr>
              <w:t>1</w:t>
            </w:r>
          </w:p>
        </w:tc>
        <w:tc>
          <w:tcPr>
            <w:tcW w:w="529" w:type="dxa"/>
            <w:vAlign w:val="center"/>
          </w:tcPr>
          <w:p w14:paraId="679F6FA0">
            <w:pPr>
              <w:pStyle w:val="37"/>
              <w:jc w:val="center"/>
              <w:rPr>
                <w:rFonts w:hint="eastAsia" w:eastAsia="宋体"/>
                <w:bCs/>
                <w:szCs w:val="21"/>
              </w:rPr>
            </w:pPr>
            <w:r>
              <w:rPr>
                <w:rFonts w:hint="eastAsia" w:eastAsia="宋体"/>
                <w:bCs/>
                <w:szCs w:val="21"/>
              </w:rPr>
              <w:t>套</w:t>
            </w:r>
          </w:p>
        </w:tc>
        <w:tc>
          <w:tcPr>
            <w:tcW w:w="840" w:type="dxa"/>
            <w:vAlign w:val="center"/>
          </w:tcPr>
          <w:p w14:paraId="627F21A0">
            <w:pPr>
              <w:jc w:val="center"/>
              <w:rPr>
                <w:rFonts w:ascii="宋体" w:hAnsi="宋体" w:eastAsia="宋体"/>
                <w:bCs/>
                <w:szCs w:val="21"/>
              </w:rPr>
            </w:pPr>
          </w:p>
        </w:tc>
        <w:tc>
          <w:tcPr>
            <w:tcW w:w="840" w:type="dxa"/>
            <w:vAlign w:val="center"/>
          </w:tcPr>
          <w:p w14:paraId="1AD7FE07">
            <w:pPr>
              <w:jc w:val="center"/>
              <w:rPr>
                <w:rFonts w:ascii="宋体" w:hAnsi="宋体" w:eastAsia="宋体"/>
                <w:bCs/>
                <w:szCs w:val="21"/>
              </w:rPr>
            </w:pPr>
          </w:p>
        </w:tc>
        <w:tc>
          <w:tcPr>
            <w:tcW w:w="1367" w:type="dxa"/>
            <w:vAlign w:val="center"/>
          </w:tcPr>
          <w:p w14:paraId="6478FAD2">
            <w:pPr>
              <w:jc w:val="center"/>
              <w:rPr>
                <w:rFonts w:ascii="宋体" w:hAnsi="宋体" w:eastAsia="宋体"/>
                <w:b/>
                <w:bCs/>
                <w:color w:val="FF0000"/>
                <w:szCs w:val="21"/>
              </w:rPr>
            </w:pPr>
          </w:p>
        </w:tc>
      </w:tr>
      <w:tr w14:paraId="7214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9" w:type="dxa"/>
            <w:vAlign w:val="center"/>
          </w:tcPr>
          <w:p w14:paraId="640BC249">
            <w:pPr>
              <w:jc w:val="center"/>
              <w:rPr>
                <w:rFonts w:hint="eastAsia" w:ascii="宋体" w:hAnsi="宋体" w:eastAsia="宋体"/>
                <w:bCs/>
                <w:szCs w:val="21"/>
                <w:lang w:val="en-US" w:eastAsia="zh-CN"/>
              </w:rPr>
            </w:pPr>
            <w:r>
              <w:rPr>
                <w:rFonts w:hint="eastAsia" w:ascii="宋体" w:hAnsi="宋体" w:eastAsia="宋体"/>
                <w:bCs/>
                <w:szCs w:val="21"/>
                <w:lang w:val="en-US" w:eastAsia="zh-CN"/>
              </w:rPr>
              <w:t>4</w:t>
            </w:r>
          </w:p>
        </w:tc>
        <w:tc>
          <w:tcPr>
            <w:tcW w:w="1345" w:type="dxa"/>
            <w:vAlign w:val="center"/>
          </w:tcPr>
          <w:p w14:paraId="426C1A00">
            <w:pPr>
              <w:pStyle w:val="37"/>
              <w:jc w:val="left"/>
              <w:rPr>
                <w:rFonts w:hint="eastAsia"/>
                <w:bCs/>
                <w:szCs w:val="21"/>
              </w:rPr>
            </w:pPr>
            <w:r>
              <w:rPr>
                <w:rFonts w:hint="eastAsia" w:ascii="Times New Roman" w:hAnsi="Times New Roman" w:cs="Times New Roman"/>
                <w:sz w:val="18"/>
                <w:szCs w:val="18"/>
              </w:rPr>
              <w:t>1000米柔性缆</w:t>
            </w:r>
          </w:p>
        </w:tc>
        <w:tc>
          <w:tcPr>
            <w:tcW w:w="429" w:type="dxa"/>
            <w:vAlign w:val="center"/>
          </w:tcPr>
          <w:p w14:paraId="0C2A0252">
            <w:pPr>
              <w:jc w:val="center"/>
              <w:rPr>
                <w:rFonts w:ascii="宋体" w:hAnsi="宋体" w:eastAsia="宋体"/>
                <w:bCs/>
                <w:szCs w:val="21"/>
              </w:rPr>
            </w:pPr>
          </w:p>
        </w:tc>
        <w:tc>
          <w:tcPr>
            <w:tcW w:w="743" w:type="dxa"/>
            <w:vAlign w:val="center"/>
          </w:tcPr>
          <w:p w14:paraId="0AD72E7E">
            <w:pPr>
              <w:jc w:val="center"/>
              <w:rPr>
                <w:rFonts w:ascii="宋体" w:hAnsi="宋体" w:eastAsia="宋体"/>
                <w:bCs/>
                <w:szCs w:val="21"/>
              </w:rPr>
            </w:pPr>
          </w:p>
        </w:tc>
        <w:tc>
          <w:tcPr>
            <w:tcW w:w="601" w:type="dxa"/>
            <w:vAlign w:val="center"/>
          </w:tcPr>
          <w:p w14:paraId="6AEBD83D">
            <w:pPr>
              <w:jc w:val="center"/>
              <w:rPr>
                <w:rFonts w:ascii="宋体" w:hAnsi="宋体" w:eastAsia="宋体"/>
                <w:bCs/>
                <w:szCs w:val="21"/>
              </w:rPr>
            </w:pPr>
          </w:p>
        </w:tc>
        <w:tc>
          <w:tcPr>
            <w:tcW w:w="743" w:type="dxa"/>
            <w:vAlign w:val="center"/>
          </w:tcPr>
          <w:p w14:paraId="2A9836BD">
            <w:pPr>
              <w:jc w:val="center"/>
              <w:rPr>
                <w:rFonts w:ascii="宋体" w:hAnsi="宋体" w:eastAsia="宋体"/>
                <w:bCs/>
                <w:szCs w:val="21"/>
              </w:rPr>
            </w:pPr>
          </w:p>
        </w:tc>
        <w:tc>
          <w:tcPr>
            <w:tcW w:w="529" w:type="dxa"/>
            <w:vAlign w:val="center"/>
          </w:tcPr>
          <w:p w14:paraId="4D73C420">
            <w:pPr>
              <w:pStyle w:val="37"/>
              <w:jc w:val="center"/>
              <w:rPr>
                <w:rFonts w:hint="eastAsia" w:eastAsia="宋体"/>
                <w:bCs/>
                <w:szCs w:val="21"/>
              </w:rPr>
            </w:pPr>
            <w:r>
              <w:rPr>
                <w:rFonts w:hint="eastAsia" w:eastAsia="宋体"/>
                <w:bCs/>
                <w:szCs w:val="21"/>
              </w:rPr>
              <w:t>1</w:t>
            </w:r>
          </w:p>
        </w:tc>
        <w:tc>
          <w:tcPr>
            <w:tcW w:w="529" w:type="dxa"/>
            <w:vAlign w:val="center"/>
          </w:tcPr>
          <w:p w14:paraId="1D3ED935">
            <w:pPr>
              <w:pStyle w:val="37"/>
              <w:jc w:val="center"/>
              <w:rPr>
                <w:rFonts w:hint="eastAsia" w:eastAsia="宋体"/>
                <w:bCs/>
                <w:szCs w:val="21"/>
              </w:rPr>
            </w:pPr>
            <w:r>
              <w:rPr>
                <w:rFonts w:hint="eastAsia" w:eastAsia="宋体"/>
                <w:bCs/>
                <w:szCs w:val="21"/>
              </w:rPr>
              <w:t>套</w:t>
            </w:r>
          </w:p>
        </w:tc>
        <w:tc>
          <w:tcPr>
            <w:tcW w:w="840" w:type="dxa"/>
            <w:vAlign w:val="center"/>
          </w:tcPr>
          <w:p w14:paraId="6DA00BDD">
            <w:pPr>
              <w:jc w:val="center"/>
              <w:rPr>
                <w:rFonts w:ascii="宋体" w:hAnsi="宋体" w:eastAsia="宋体"/>
                <w:bCs/>
                <w:szCs w:val="21"/>
              </w:rPr>
            </w:pPr>
          </w:p>
        </w:tc>
        <w:tc>
          <w:tcPr>
            <w:tcW w:w="840" w:type="dxa"/>
            <w:vAlign w:val="center"/>
          </w:tcPr>
          <w:p w14:paraId="1C97D4F6">
            <w:pPr>
              <w:jc w:val="center"/>
              <w:rPr>
                <w:rFonts w:ascii="宋体" w:hAnsi="宋体" w:eastAsia="宋体"/>
                <w:bCs/>
                <w:szCs w:val="21"/>
              </w:rPr>
            </w:pPr>
          </w:p>
        </w:tc>
        <w:tc>
          <w:tcPr>
            <w:tcW w:w="1367" w:type="dxa"/>
            <w:vAlign w:val="center"/>
          </w:tcPr>
          <w:p w14:paraId="0A5AA72B">
            <w:pPr>
              <w:jc w:val="center"/>
              <w:rPr>
                <w:rFonts w:ascii="宋体" w:hAnsi="宋体" w:eastAsia="宋体"/>
                <w:b/>
                <w:bCs/>
                <w:color w:val="FF0000"/>
                <w:szCs w:val="21"/>
              </w:rPr>
            </w:pPr>
          </w:p>
        </w:tc>
      </w:tr>
      <w:tr w14:paraId="03EB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9" w:type="dxa"/>
            <w:vAlign w:val="center"/>
          </w:tcPr>
          <w:p w14:paraId="3D1C8778">
            <w:pPr>
              <w:jc w:val="center"/>
              <w:rPr>
                <w:rFonts w:hint="eastAsia" w:ascii="宋体" w:hAnsi="宋体" w:eastAsia="宋体"/>
                <w:bCs/>
                <w:szCs w:val="21"/>
                <w:lang w:val="en-US" w:eastAsia="zh-CN"/>
              </w:rPr>
            </w:pPr>
            <w:r>
              <w:rPr>
                <w:rFonts w:hint="eastAsia" w:ascii="宋体" w:hAnsi="宋体" w:eastAsia="宋体"/>
                <w:bCs/>
                <w:szCs w:val="21"/>
                <w:lang w:val="en-US" w:eastAsia="zh-CN"/>
              </w:rPr>
              <w:t>5</w:t>
            </w:r>
          </w:p>
        </w:tc>
        <w:tc>
          <w:tcPr>
            <w:tcW w:w="1345" w:type="dxa"/>
            <w:vAlign w:val="center"/>
          </w:tcPr>
          <w:p w14:paraId="72AC73AD">
            <w:pPr>
              <w:pStyle w:val="37"/>
              <w:jc w:val="left"/>
              <w:rPr>
                <w:rFonts w:hint="eastAsia"/>
                <w:bCs/>
                <w:szCs w:val="21"/>
              </w:rPr>
            </w:pPr>
            <w:r>
              <w:rPr>
                <w:rFonts w:hint="eastAsia" w:ascii="Times New Roman" w:hAnsi="Times New Roman" w:cs="Times New Roman"/>
                <w:sz w:val="18"/>
                <w:szCs w:val="18"/>
              </w:rPr>
              <w:t>缆收放系统</w:t>
            </w:r>
          </w:p>
        </w:tc>
        <w:tc>
          <w:tcPr>
            <w:tcW w:w="429" w:type="dxa"/>
            <w:vAlign w:val="center"/>
          </w:tcPr>
          <w:p w14:paraId="7AE798D7">
            <w:pPr>
              <w:jc w:val="center"/>
              <w:rPr>
                <w:rFonts w:ascii="宋体" w:hAnsi="宋体" w:eastAsia="宋体"/>
                <w:bCs/>
                <w:szCs w:val="21"/>
              </w:rPr>
            </w:pPr>
          </w:p>
        </w:tc>
        <w:tc>
          <w:tcPr>
            <w:tcW w:w="743" w:type="dxa"/>
            <w:vAlign w:val="center"/>
          </w:tcPr>
          <w:p w14:paraId="57D6CB81">
            <w:pPr>
              <w:jc w:val="center"/>
              <w:rPr>
                <w:rFonts w:ascii="宋体" w:hAnsi="宋体" w:eastAsia="宋体"/>
                <w:bCs/>
                <w:szCs w:val="21"/>
              </w:rPr>
            </w:pPr>
          </w:p>
        </w:tc>
        <w:tc>
          <w:tcPr>
            <w:tcW w:w="601" w:type="dxa"/>
            <w:vAlign w:val="center"/>
          </w:tcPr>
          <w:p w14:paraId="3EB16E65">
            <w:pPr>
              <w:jc w:val="center"/>
              <w:rPr>
                <w:rFonts w:ascii="宋体" w:hAnsi="宋体" w:eastAsia="宋体"/>
                <w:bCs/>
                <w:szCs w:val="21"/>
              </w:rPr>
            </w:pPr>
          </w:p>
        </w:tc>
        <w:tc>
          <w:tcPr>
            <w:tcW w:w="743" w:type="dxa"/>
            <w:vAlign w:val="center"/>
          </w:tcPr>
          <w:p w14:paraId="62D2C8A5">
            <w:pPr>
              <w:jc w:val="center"/>
              <w:rPr>
                <w:rFonts w:ascii="宋体" w:hAnsi="宋体" w:eastAsia="宋体"/>
                <w:bCs/>
                <w:szCs w:val="21"/>
              </w:rPr>
            </w:pPr>
          </w:p>
        </w:tc>
        <w:tc>
          <w:tcPr>
            <w:tcW w:w="529" w:type="dxa"/>
            <w:vAlign w:val="center"/>
          </w:tcPr>
          <w:p w14:paraId="782C1D82">
            <w:pPr>
              <w:pStyle w:val="37"/>
              <w:jc w:val="center"/>
              <w:rPr>
                <w:rFonts w:hint="eastAsia" w:eastAsia="宋体"/>
                <w:bCs/>
                <w:szCs w:val="21"/>
              </w:rPr>
            </w:pPr>
            <w:r>
              <w:rPr>
                <w:rFonts w:hint="eastAsia" w:eastAsia="宋体"/>
                <w:bCs/>
                <w:szCs w:val="21"/>
              </w:rPr>
              <w:t>1</w:t>
            </w:r>
          </w:p>
        </w:tc>
        <w:tc>
          <w:tcPr>
            <w:tcW w:w="529" w:type="dxa"/>
            <w:vAlign w:val="center"/>
          </w:tcPr>
          <w:p w14:paraId="3715B20E">
            <w:pPr>
              <w:pStyle w:val="37"/>
              <w:jc w:val="center"/>
              <w:rPr>
                <w:rFonts w:hint="eastAsia" w:eastAsia="宋体"/>
                <w:bCs/>
                <w:szCs w:val="21"/>
              </w:rPr>
            </w:pPr>
            <w:r>
              <w:rPr>
                <w:rFonts w:hint="eastAsia" w:eastAsia="宋体"/>
                <w:bCs/>
                <w:szCs w:val="21"/>
              </w:rPr>
              <w:t>套</w:t>
            </w:r>
          </w:p>
        </w:tc>
        <w:tc>
          <w:tcPr>
            <w:tcW w:w="840" w:type="dxa"/>
            <w:vAlign w:val="center"/>
          </w:tcPr>
          <w:p w14:paraId="293C7937">
            <w:pPr>
              <w:jc w:val="center"/>
              <w:rPr>
                <w:rFonts w:ascii="宋体" w:hAnsi="宋体" w:eastAsia="宋体"/>
                <w:bCs/>
                <w:szCs w:val="21"/>
              </w:rPr>
            </w:pPr>
          </w:p>
        </w:tc>
        <w:tc>
          <w:tcPr>
            <w:tcW w:w="840" w:type="dxa"/>
            <w:vAlign w:val="center"/>
          </w:tcPr>
          <w:p w14:paraId="5F88D873">
            <w:pPr>
              <w:jc w:val="center"/>
              <w:rPr>
                <w:rFonts w:ascii="宋体" w:hAnsi="宋体" w:eastAsia="宋体"/>
                <w:bCs/>
                <w:szCs w:val="21"/>
              </w:rPr>
            </w:pPr>
          </w:p>
        </w:tc>
        <w:tc>
          <w:tcPr>
            <w:tcW w:w="1367" w:type="dxa"/>
            <w:vAlign w:val="center"/>
          </w:tcPr>
          <w:p w14:paraId="12CBEA37">
            <w:pPr>
              <w:jc w:val="center"/>
              <w:rPr>
                <w:rFonts w:ascii="宋体" w:hAnsi="宋体" w:eastAsia="宋体"/>
                <w:b/>
                <w:bCs/>
                <w:color w:val="FF0000"/>
                <w:szCs w:val="21"/>
              </w:rPr>
            </w:pPr>
          </w:p>
        </w:tc>
      </w:tr>
    </w:tbl>
    <w:p w14:paraId="06B00616">
      <w:pPr>
        <w:ind w:firstLine="482" w:firstLineChars="200"/>
        <w:jc w:val="both"/>
        <w:rPr>
          <w:rFonts w:ascii="宋体" w:hAnsi="宋体" w:eastAsia="宋体"/>
          <w:b/>
        </w:rPr>
      </w:pPr>
      <w:r>
        <w:rPr>
          <w:rFonts w:hint="eastAsia" w:ascii="宋体" w:hAnsi="宋体" w:eastAsia="宋体"/>
          <w:b/>
        </w:rPr>
        <w:t>注：1.本表可按同样格式扩展，</w:t>
      </w:r>
      <w:r>
        <w:rPr>
          <w:rFonts w:hint="eastAsia" w:ascii="宋体" w:hAnsi="宋体" w:eastAsia="宋体"/>
          <w:b/>
          <w:color w:val="FF0000"/>
        </w:rPr>
        <w:t>请根据“第一册/第三章 用户需求书” 中“货物需求明细”填写。</w:t>
      </w:r>
    </w:p>
    <w:p w14:paraId="1D1CB3D7">
      <w:pPr>
        <w:ind w:firstLine="472" w:firstLineChars="196"/>
        <w:jc w:val="both"/>
        <w:rPr>
          <w:rFonts w:ascii="宋体" w:hAnsi="宋体" w:eastAsia="宋体"/>
          <w:b/>
        </w:rPr>
      </w:pPr>
      <w:r>
        <w:rPr>
          <w:rFonts w:hint="eastAsia" w:ascii="宋体" w:hAnsi="宋体" w:eastAsia="宋体"/>
          <w:b/>
        </w:rPr>
        <w:t>2</w:t>
      </w:r>
      <w:r>
        <w:rPr>
          <w:rFonts w:ascii="宋体" w:hAnsi="宋体" w:eastAsia="宋体"/>
          <w:b/>
        </w:rPr>
        <w:t>.</w:t>
      </w:r>
      <w:r>
        <w:rPr>
          <w:rFonts w:hint="eastAsia" w:ascii="宋体" w:hAnsi="宋体"/>
          <w:b/>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14:paraId="29C3845F">
      <w:pPr>
        <w:ind w:firstLine="472" w:firstLineChars="196"/>
        <w:rPr>
          <w:b/>
        </w:rPr>
      </w:pPr>
      <w:r>
        <w:rPr>
          <w:rFonts w:hint="eastAsia" w:ascii="宋体" w:hAnsi="宋体" w:eastAsia="宋体"/>
          <w:b/>
        </w:rPr>
        <w:t>3.</w:t>
      </w:r>
      <w:r>
        <w:rPr>
          <w:rFonts w:hint="eastAsia" w:ascii="宋体" w:hAnsi="宋体"/>
          <w:b/>
        </w:rPr>
        <w:t>如所投货物属于定制类的非量产货物或无具体型号的货物，可以在“型号和规格”栏目仅填写规格信息而不填型号信息（型号信息用“定制”描述即可）；</w:t>
      </w:r>
      <w:bookmarkStart w:id="63" w:name="_Hlk73646428"/>
      <w:r>
        <w:rPr>
          <w:rFonts w:hint="eastAsia" w:ascii="宋体" w:hAnsi="宋体"/>
          <w:b/>
        </w:rPr>
        <w:t>此类填写错误或缺漏（所投货物为定制类的非量产货物但供应商却错误填报了型号）的不利后果</w:t>
      </w:r>
      <w:r>
        <w:rPr>
          <w:rFonts w:hint="eastAsia"/>
          <w:b/>
        </w:rPr>
        <w:t>由供应商承担。经评审委员会认定，在使用综合评分法的项目中一项此类填写错误或缺漏将按照一项普通招标技术要求（一般参数/普通参数）负偏离扣分处理。</w:t>
      </w:r>
      <w:bookmarkEnd w:id="63"/>
    </w:p>
    <w:p w14:paraId="75BFDEA4">
      <w:pPr>
        <w:ind w:firstLine="472" w:firstLineChars="196"/>
        <w:jc w:val="both"/>
        <w:rPr>
          <w:rFonts w:ascii="宋体" w:hAnsi="宋体" w:eastAsia="宋体"/>
          <w:b/>
        </w:rPr>
      </w:pPr>
      <w:r>
        <w:rPr>
          <w:rFonts w:hint="eastAsia" w:ascii="宋体" w:hAnsi="宋体" w:eastAsia="宋体"/>
          <w:b/>
        </w:rPr>
        <w:t>4.</w:t>
      </w:r>
      <w:bookmarkStart w:id="64" w:name="_Hlk72074795"/>
      <w:r>
        <w:rPr>
          <w:rFonts w:hint="eastAsia" w:ascii="宋体" w:hAnsi="宋体" w:eastAsia="宋体"/>
          <w:b/>
        </w:rPr>
        <w:t>“原产地”是指该货物的实际生产加工地，而非品牌所在地</w:t>
      </w:r>
      <w:bookmarkEnd w:id="64"/>
      <w:r>
        <w:rPr>
          <w:rFonts w:hint="eastAsia" w:ascii="宋体" w:hAnsi="宋体" w:eastAsia="宋体"/>
          <w:b/>
        </w:rPr>
        <w:t>，请精确到县级。</w:t>
      </w:r>
    </w:p>
    <w:p w14:paraId="29C32FB3">
      <w:pPr>
        <w:ind w:firstLine="472" w:firstLineChars="196"/>
        <w:jc w:val="both"/>
        <w:rPr>
          <w:rFonts w:ascii="宋体" w:hAnsi="宋体" w:eastAsia="宋体"/>
          <w:b/>
        </w:rPr>
      </w:pPr>
      <w:r>
        <w:rPr>
          <w:rFonts w:hint="eastAsia" w:ascii="宋体" w:hAnsi="宋体" w:eastAsia="宋体"/>
          <w:b/>
        </w:rPr>
        <w:t>5.所投货物均应填写制造商名称。“制造商”是指产品品牌厂商，除进口产品外，同一品牌国内外均有制造商的，应填写国内制造商；产品代工制造的，应填写接受委托生产制造的制造商。</w:t>
      </w:r>
    </w:p>
    <w:p w14:paraId="3CC3A36F">
      <w:pPr>
        <w:ind w:firstLine="482" w:firstLineChars="200"/>
        <w:jc w:val="both"/>
        <w:rPr>
          <w:rFonts w:ascii="宋体" w:hAnsi="宋体" w:eastAsia="宋体"/>
          <w:b/>
        </w:rPr>
      </w:pPr>
      <w:r>
        <w:rPr>
          <w:rFonts w:hint="eastAsia" w:ascii="宋体" w:hAnsi="宋体" w:eastAsia="宋体"/>
          <w:b/>
        </w:rPr>
        <w:t>6.以上分项报价表的投标总价应当与开标一览表的投标总价一致。</w:t>
      </w:r>
    </w:p>
    <w:p w14:paraId="722A2FDC">
      <w:pPr>
        <w:ind w:firstLine="482" w:firstLineChars="200"/>
        <w:jc w:val="both"/>
        <w:rPr>
          <w:rFonts w:ascii="宋体" w:hAnsi="宋体" w:eastAsia="宋体"/>
          <w:b/>
        </w:rPr>
      </w:pPr>
      <w:r>
        <w:rPr>
          <w:rFonts w:hint="eastAsia" w:ascii="宋体" w:hAnsi="宋体" w:eastAsia="宋体"/>
          <w:b/>
        </w:rPr>
        <w:t>7.</w:t>
      </w:r>
      <w:r>
        <w:rPr>
          <w:rFonts w:hint="eastAsia" w:ascii="宋体" w:hAnsi="宋体"/>
          <w:b/>
        </w:rPr>
        <w:t>单价、合价和投标总价为包干价，即三者均应包含货物的价款、包装、运输、装卸、安装、调试、技术指导、培训、咨询、服务、保险、税费、检测、验收合格交付使用之前以及技术和售后服务等其他各项有关费用。</w:t>
      </w:r>
      <w:r>
        <w:rPr>
          <w:rFonts w:hint="eastAsia" w:ascii="宋体" w:hAnsi="宋体" w:eastAsia="宋体"/>
          <w:b/>
        </w:rPr>
        <w:t>（若招标文件商务要求中对于报价有要求的以商务要求中的条款为准）</w:t>
      </w:r>
    </w:p>
    <w:p w14:paraId="579C2FCE">
      <w:pPr>
        <w:ind w:firstLine="482" w:firstLineChars="200"/>
        <w:jc w:val="both"/>
        <w:rPr>
          <w:rFonts w:ascii="宋体" w:hAnsi="宋体" w:eastAsia="宋体"/>
          <w:b/>
        </w:rPr>
      </w:pPr>
      <w:r>
        <w:rPr>
          <w:rFonts w:hint="eastAsia" w:ascii="宋体" w:hAnsi="宋体" w:eastAsia="宋体"/>
          <w:b/>
        </w:rPr>
        <w:t>8.所有价格应按“招标文件”中规定的货币单位填写；投标总价应为以上各分项价格之和；投标总价和项目报价表中单个采购预算条目报价均不得超过对应的财政预算限额，否则将导致</w:t>
      </w:r>
      <w:r>
        <w:rPr>
          <w:rFonts w:hint="eastAsia" w:ascii="宋体" w:hAnsi="宋体" w:eastAsia="宋体"/>
          <w:b/>
          <w:color w:val="FF0000"/>
        </w:rPr>
        <w:t>投标无效</w:t>
      </w:r>
      <w:r>
        <w:rPr>
          <w:rFonts w:hint="eastAsia" w:ascii="宋体" w:hAnsi="宋体" w:eastAsia="宋体"/>
          <w:b/>
        </w:rPr>
        <w:t>。</w:t>
      </w:r>
    </w:p>
    <w:p w14:paraId="11015C63">
      <w:pPr>
        <w:ind w:firstLine="482" w:firstLineChars="200"/>
        <w:rPr>
          <w:rFonts w:ascii="宋体" w:hAnsi="宋体" w:eastAsia="宋体"/>
          <w:b/>
          <w:color w:val="FF0000"/>
        </w:rPr>
      </w:pPr>
    </w:p>
    <w:p w14:paraId="54213DFB">
      <w:pPr>
        <w:tabs>
          <w:tab w:val="left" w:pos="720"/>
        </w:tabs>
        <w:jc w:val="center"/>
        <w:rPr>
          <w:rFonts w:ascii="宋体" w:hAnsi="宋体" w:eastAsia="宋体"/>
          <w:b/>
        </w:rPr>
      </w:pPr>
      <w:r>
        <w:rPr>
          <w:rFonts w:hint="eastAsia" w:ascii="宋体" w:hAnsi="宋体" w:eastAsia="宋体"/>
          <w:b/>
        </w:rPr>
        <w:t>（二）核心产品品牌</w:t>
      </w:r>
    </w:p>
    <w:p w14:paraId="706E0BA5">
      <w:pPr>
        <w:ind w:firstLine="482" w:firstLineChars="200"/>
        <w:rPr>
          <w:rFonts w:ascii="宋体" w:hAnsi="宋体" w:eastAsia="宋体"/>
          <w:b/>
          <w:color w:val="FF0000"/>
        </w:rPr>
      </w:pPr>
    </w:p>
    <w:p w14:paraId="0F0590F1">
      <w:pPr>
        <w:ind w:firstLine="482" w:firstLineChars="200"/>
        <w:rPr>
          <w:rFonts w:ascii="宋体" w:hAnsi="宋体" w:eastAsia="宋体"/>
          <w:b/>
        </w:rPr>
      </w:pPr>
      <w:r>
        <w:rPr>
          <w:rFonts w:hint="eastAsia" w:ascii="宋体" w:hAnsi="宋体" w:eastAsia="宋体"/>
          <w:b/>
        </w:rPr>
        <w:t>我单位所投核心产品的品牌为：</w:t>
      </w:r>
      <w:r>
        <w:rPr>
          <w:rFonts w:hint="eastAsia" w:ascii="宋体" w:hAnsi="宋体" w:eastAsia="宋体"/>
          <w:b/>
          <w:bCs/>
          <w:szCs w:val="21"/>
          <w:u w:val="thick"/>
        </w:rPr>
        <w:tab/>
      </w:r>
      <w:r>
        <w:rPr>
          <w:rFonts w:hint="eastAsia" w:ascii="宋体" w:hAnsi="宋体" w:eastAsia="宋体"/>
          <w:b/>
          <w:bCs/>
          <w:szCs w:val="21"/>
          <w:u w:val="thick"/>
        </w:rPr>
        <w:tab/>
      </w:r>
      <w:r>
        <w:rPr>
          <w:rFonts w:hint="eastAsia" w:ascii="宋体" w:hAnsi="宋体" w:eastAsia="宋体"/>
          <w:b/>
        </w:rPr>
        <w:t>。（请填写品牌的中文名称）</w:t>
      </w:r>
    </w:p>
    <w:p w14:paraId="0DB8F8E1">
      <w:pPr>
        <w:ind w:firstLine="482" w:firstLineChars="200"/>
        <w:rPr>
          <w:rFonts w:ascii="宋体" w:hAnsi="宋体" w:eastAsia="宋体"/>
          <w:b/>
          <w:color w:val="FF0000"/>
        </w:rPr>
      </w:pPr>
      <w:r>
        <w:rPr>
          <w:rFonts w:hint="eastAsia" w:ascii="宋体" w:hAnsi="宋体" w:eastAsia="宋体"/>
          <w:b/>
          <w:color w:val="FF0000"/>
        </w:rPr>
        <w:t>备注：招标文件未列明核心产品的，无需填写该项。</w:t>
      </w:r>
    </w:p>
    <w:p w14:paraId="7CCF91E5">
      <w:pPr>
        <w:ind w:firstLine="482" w:firstLineChars="200"/>
        <w:rPr>
          <w:rFonts w:ascii="宋体" w:hAnsi="宋体" w:eastAsia="宋体"/>
          <w:b/>
        </w:rPr>
      </w:pPr>
      <w:r>
        <w:rPr>
          <w:rFonts w:hint="eastAsia" w:ascii="宋体" w:hAnsi="宋体" w:eastAsia="宋体"/>
          <w:b/>
          <w:color w:val="FF0000"/>
        </w:rPr>
        <w:t>本项目核心产品为：千米级深海ROV主体</w:t>
      </w:r>
    </w:p>
    <w:p w14:paraId="28724434">
      <w:pPr>
        <w:rPr>
          <w:rFonts w:ascii="宋体" w:hAnsi="宋体" w:eastAsia="宋体"/>
          <w:b/>
        </w:rPr>
      </w:pPr>
    </w:p>
    <w:p w14:paraId="3FBBE475">
      <w:pPr>
        <w:ind w:firstLine="482" w:firstLineChars="200"/>
        <w:rPr>
          <w:rFonts w:ascii="宋体" w:hAnsi="宋体" w:eastAsia="宋体"/>
          <w:b/>
          <w:bCs/>
        </w:rPr>
      </w:pPr>
      <w:r>
        <w:rPr>
          <w:rFonts w:hint="eastAsia" w:ascii="宋体" w:hAnsi="宋体" w:eastAsia="宋体"/>
          <w:b/>
          <w:bCs/>
        </w:rPr>
        <w:t>（三）零配件、消耗品和延续保修合同报价清单（不包括在投标总价内）</w:t>
      </w:r>
    </w:p>
    <w:p w14:paraId="1549DAFA">
      <w:pPr>
        <w:ind w:firstLine="482" w:firstLineChars="200"/>
        <w:rPr>
          <w:rFonts w:ascii="宋体" w:hAnsi="宋体" w:eastAsia="宋体"/>
          <w:b/>
          <w:bCs/>
          <w:szCs w:val="21"/>
        </w:rPr>
      </w:pPr>
      <w:r>
        <w:rPr>
          <w:rFonts w:hint="eastAsia" w:ascii="宋体" w:hAnsi="宋体" w:eastAsia="宋体"/>
          <w:b/>
          <w:bCs/>
        </w:rPr>
        <w:t>注：价格最高的前5项零配件、消耗品和延续保修合同的报价明细必须填写于此清单中。</w:t>
      </w:r>
    </w:p>
    <w:tbl>
      <w:tblPr>
        <w:tblStyle w:val="18"/>
        <w:tblW w:w="44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912"/>
        <w:gridCol w:w="842"/>
        <w:gridCol w:w="979"/>
        <w:gridCol w:w="970"/>
        <w:gridCol w:w="1485"/>
        <w:gridCol w:w="803"/>
        <w:gridCol w:w="884"/>
      </w:tblGrid>
      <w:tr w14:paraId="7C46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right w:val="single" w:color="auto" w:sz="4" w:space="0"/>
            </w:tcBorders>
            <w:vAlign w:val="center"/>
          </w:tcPr>
          <w:p w14:paraId="2AE68D4F">
            <w:pPr>
              <w:ind w:right="-79" w:rightChars="-33"/>
              <w:jc w:val="center"/>
              <w:rPr>
                <w:rFonts w:ascii="宋体" w:hAnsi="宋体" w:eastAsia="宋体"/>
              </w:rPr>
            </w:pPr>
            <w:r>
              <w:rPr>
                <w:rFonts w:hint="eastAsia" w:ascii="宋体" w:hAnsi="宋体" w:eastAsia="宋体"/>
              </w:rPr>
              <w:t>序号</w:t>
            </w:r>
          </w:p>
        </w:tc>
        <w:tc>
          <w:tcPr>
            <w:tcW w:w="598" w:type="pct"/>
            <w:tcBorders>
              <w:top w:val="single" w:color="auto" w:sz="4" w:space="0"/>
              <w:left w:val="nil"/>
              <w:bottom w:val="single" w:color="auto" w:sz="4" w:space="0"/>
              <w:right w:val="single" w:color="auto" w:sz="4" w:space="0"/>
            </w:tcBorders>
            <w:vAlign w:val="center"/>
          </w:tcPr>
          <w:p w14:paraId="414A5D34">
            <w:pPr>
              <w:jc w:val="center"/>
              <w:rPr>
                <w:rFonts w:ascii="宋体" w:hAnsi="宋体" w:eastAsia="宋体"/>
              </w:rPr>
            </w:pPr>
            <w:r>
              <w:rPr>
                <w:rFonts w:hint="eastAsia" w:ascii="宋体" w:hAnsi="宋体" w:eastAsia="宋体"/>
              </w:rPr>
              <w:t>货物名称</w:t>
            </w:r>
          </w:p>
        </w:tc>
        <w:tc>
          <w:tcPr>
            <w:tcW w:w="552" w:type="pct"/>
            <w:tcBorders>
              <w:top w:val="single" w:color="auto" w:sz="4" w:space="0"/>
              <w:left w:val="nil"/>
              <w:bottom w:val="single" w:color="auto" w:sz="4" w:space="0"/>
              <w:right w:val="single" w:color="auto" w:sz="4" w:space="0"/>
            </w:tcBorders>
            <w:vAlign w:val="center"/>
          </w:tcPr>
          <w:p w14:paraId="38012E1A">
            <w:pPr>
              <w:jc w:val="center"/>
              <w:rPr>
                <w:rFonts w:ascii="宋体" w:hAnsi="宋体" w:eastAsia="宋体"/>
                <w:b/>
                <w:color w:val="FF0000"/>
                <w:szCs w:val="21"/>
              </w:rPr>
            </w:pPr>
            <w:r>
              <w:rPr>
                <w:rFonts w:hint="eastAsia" w:ascii="宋体" w:hAnsi="宋体" w:eastAsia="宋体"/>
                <w:szCs w:val="21"/>
              </w:rPr>
              <w:t>规格</w:t>
            </w:r>
          </w:p>
        </w:tc>
        <w:tc>
          <w:tcPr>
            <w:tcW w:w="642" w:type="pct"/>
            <w:tcBorders>
              <w:top w:val="single" w:color="auto" w:sz="4" w:space="0"/>
              <w:left w:val="nil"/>
              <w:bottom w:val="single" w:color="auto" w:sz="4" w:space="0"/>
              <w:right w:val="single" w:color="auto" w:sz="4" w:space="0"/>
            </w:tcBorders>
            <w:vAlign w:val="center"/>
          </w:tcPr>
          <w:p w14:paraId="6C8F0D00">
            <w:pPr>
              <w:jc w:val="center"/>
              <w:rPr>
                <w:rFonts w:ascii="宋体" w:hAnsi="宋体" w:eastAsia="宋体"/>
                <w:b/>
                <w:color w:val="FF0000"/>
                <w:szCs w:val="21"/>
              </w:rPr>
            </w:pPr>
            <w:r>
              <w:rPr>
                <w:rFonts w:hint="eastAsia"/>
                <w:szCs w:val="21"/>
              </w:rPr>
              <w:t>型号和规格</w:t>
            </w:r>
          </w:p>
        </w:tc>
        <w:tc>
          <w:tcPr>
            <w:tcW w:w="636" w:type="pct"/>
            <w:tcBorders>
              <w:top w:val="single" w:color="auto" w:sz="4" w:space="0"/>
              <w:left w:val="nil"/>
              <w:bottom w:val="single" w:color="auto" w:sz="4" w:space="0"/>
              <w:right w:val="single" w:color="auto" w:sz="4" w:space="0"/>
            </w:tcBorders>
            <w:vAlign w:val="center"/>
          </w:tcPr>
          <w:p w14:paraId="0EF1A289">
            <w:pPr>
              <w:jc w:val="center"/>
              <w:rPr>
                <w:rFonts w:ascii="宋体" w:hAnsi="宋体" w:eastAsia="宋体"/>
              </w:rPr>
            </w:pPr>
            <w:r>
              <w:rPr>
                <w:rFonts w:hint="eastAsia" w:ascii="宋体" w:hAnsi="宋体" w:eastAsia="宋体"/>
              </w:rPr>
              <w:t>原产地</w:t>
            </w:r>
          </w:p>
        </w:tc>
        <w:tc>
          <w:tcPr>
            <w:tcW w:w="974" w:type="pct"/>
            <w:tcBorders>
              <w:top w:val="single" w:color="auto" w:sz="4" w:space="0"/>
              <w:left w:val="nil"/>
              <w:bottom w:val="single" w:color="auto" w:sz="4" w:space="0"/>
              <w:right w:val="single" w:color="auto" w:sz="4" w:space="0"/>
            </w:tcBorders>
            <w:vAlign w:val="center"/>
          </w:tcPr>
          <w:p w14:paraId="256730CA">
            <w:pPr>
              <w:jc w:val="center"/>
              <w:rPr>
                <w:rFonts w:ascii="宋体" w:hAnsi="宋体" w:eastAsia="宋体"/>
              </w:rPr>
            </w:pPr>
            <w:r>
              <w:rPr>
                <w:rFonts w:hint="eastAsia" w:ascii="宋体" w:hAnsi="宋体" w:eastAsia="宋体"/>
              </w:rPr>
              <w:t>制造商名称</w:t>
            </w:r>
          </w:p>
        </w:tc>
        <w:tc>
          <w:tcPr>
            <w:tcW w:w="527" w:type="pct"/>
            <w:tcBorders>
              <w:top w:val="single" w:color="auto" w:sz="4" w:space="0"/>
              <w:left w:val="nil"/>
              <w:bottom w:val="single" w:color="auto" w:sz="4" w:space="0"/>
              <w:right w:val="single" w:color="auto" w:sz="4" w:space="0"/>
            </w:tcBorders>
            <w:vAlign w:val="center"/>
          </w:tcPr>
          <w:p w14:paraId="48690177">
            <w:pPr>
              <w:jc w:val="center"/>
              <w:rPr>
                <w:rFonts w:ascii="宋体" w:hAnsi="宋体" w:eastAsia="宋体"/>
              </w:rPr>
            </w:pPr>
            <w:r>
              <w:rPr>
                <w:rFonts w:hint="eastAsia" w:ascii="宋体" w:hAnsi="宋体" w:eastAsia="宋体"/>
              </w:rPr>
              <w:t>数量</w:t>
            </w:r>
          </w:p>
        </w:tc>
        <w:tc>
          <w:tcPr>
            <w:tcW w:w="580" w:type="pct"/>
            <w:tcBorders>
              <w:top w:val="single" w:color="auto" w:sz="4" w:space="0"/>
              <w:left w:val="nil"/>
              <w:bottom w:val="single" w:color="auto" w:sz="4" w:space="0"/>
              <w:right w:val="single" w:color="auto" w:sz="4" w:space="0"/>
            </w:tcBorders>
            <w:vAlign w:val="center"/>
          </w:tcPr>
          <w:p w14:paraId="3C0916BB">
            <w:pPr>
              <w:jc w:val="center"/>
              <w:rPr>
                <w:rFonts w:ascii="宋体" w:hAnsi="宋体" w:eastAsia="宋体"/>
              </w:rPr>
            </w:pPr>
            <w:r>
              <w:rPr>
                <w:rFonts w:hint="eastAsia" w:ascii="宋体" w:hAnsi="宋体" w:eastAsia="宋体"/>
              </w:rPr>
              <w:t>单价(元)</w:t>
            </w:r>
          </w:p>
        </w:tc>
      </w:tr>
      <w:tr w14:paraId="1A09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right w:val="single" w:color="auto" w:sz="4" w:space="0"/>
            </w:tcBorders>
            <w:vAlign w:val="center"/>
          </w:tcPr>
          <w:p w14:paraId="275D23E3">
            <w:pPr>
              <w:ind w:right="-79" w:rightChars="-33"/>
              <w:jc w:val="center"/>
              <w:rPr>
                <w:rFonts w:ascii="宋体" w:hAnsi="宋体" w:eastAsia="宋体"/>
              </w:rPr>
            </w:pPr>
            <w:r>
              <w:rPr>
                <w:rFonts w:hint="eastAsia" w:ascii="宋体" w:hAnsi="宋体" w:eastAsia="宋体"/>
              </w:rPr>
              <w:t>1</w:t>
            </w:r>
          </w:p>
        </w:tc>
        <w:tc>
          <w:tcPr>
            <w:tcW w:w="598" w:type="pct"/>
            <w:tcBorders>
              <w:top w:val="single" w:color="auto" w:sz="4" w:space="0"/>
              <w:left w:val="nil"/>
              <w:bottom w:val="single" w:color="auto" w:sz="4" w:space="0"/>
              <w:right w:val="single" w:color="auto" w:sz="4" w:space="0"/>
            </w:tcBorders>
            <w:vAlign w:val="center"/>
          </w:tcPr>
          <w:p w14:paraId="34AF91B5">
            <w:pPr>
              <w:jc w:val="center"/>
              <w:rPr>
                <w:rFonts w:ascii="宋体" w:hAnsi="宋体" w:eastAsia="宋体"/>
              </w:rPr>
            </w:pPr>
          </w:p>
        </w:tc>
        <w:tc>
          <w:tcPr>
            <w:tcW w:w="552" w:type="pct"/>
            <w:tcBorders>
              <w:top w:val="single" w:color="auto" w:sz="4" w:space="0"/>
              <w:left w:val="nil"/>
              <w:bottom w:val="single" w:color="auto" w:sz="4" w:space="0"/>
              <w:right w:val="single" w:color="auto" w:sz="4" w:space="0"/>
            </w:tcBorders>
            <w:vAlign w:val="center"/>
          </w:tcPr>
          <w:p w14:paraId="3EB84960">
            <w:pPr>
              <w:jc w:val="center"/>
              <w:rPr>
                <w:rFonts w:ascii="宋体" w:hAnsi="宋体" w:eastAsia="宋体"/>
              </w:rPr>
            </w:pPr>
          </w:p>
        </w:tc>
        <w:tc>
          <w:tcPr>
            <w:tcW w:w="642" w:type="pct"/>
            <w:tcBorders>
              <w:top w:val="single" w:color="auto" w:sz="4" w:space="0"/>
              <w:left w:val="nil"/>
              <w:bottom w:val="single" w:color="auto" w:sz="4" w:space="0"/>
              <w:right w:val="single" w:color="auto" w:sz="4" w:space="0"/>
            </w:tcBorders>
            <w:vAlign w:val="center"/>
          </w:tcPr>
          <w:p w14:paraId="5641E0A0">
            <w:pPr>
              <w:jc w:val="center"/>
              <w:rPr>
                <w:rFonts w:ascii="宋体" w:hAnsi="宋体" w:eastAsia="宋体"/>
              </w:rPr>
            </w:pPr>
          </w:p>
        </w:tc>
        <w:tc>
          <w:tcPr>
            <w:tcW w:w="636" w:type="pct"/>
            <w:tcBorders>
              <w:top w:val="single" w:color="auto" w:sz="4" w:space="0"/>
              <w:left w:val="nil"/>
              <w:bottom w:val="single" w:color="auto" w:sz="4" w:space="0"/>
              <w:right w:val="single" w:color="auto" w:sz="4" w:space="0"/>
            </w:tcBorders>
            <w:vAlign w:val="center"/>
          </w:tcPr>
          <w:p w14:paraId="23D7DD34">
            <w:pPr>
              <w:jc w:val="center"/>
              <w:rPr>
                <w:rFonts w:ascii="宋体" w:hAnsi="宋体" w:eastAsia="宋体"/>
              </w:rPr>
            </w:pPr>
          </w:p>
        </w:tc>
        <w:tc>
          <w:tcPr>
            <w:tcW w:w="974" w:type="pct"/>
            <w:tcBorders>
              <w:top w:val="single" w:color="auto" w:sz="4" w:space="0"/>
              <w:left w:val="nil"/>
              <w:bottom w:val="single" w:color="auto" w:sz="4" w:space="0"/>
              <w:right w:val="single" w:color="auto" w:sz="4" w:space="0"/>
            </w:tcBorders>
            <w:vAlign w:val="center"/>
          </w:tcPr>
          <w:p w14:paraId="26021E96">
            <w:pPr>
              <w:jc w:val="center"/>
              <w:rPr>
                <w:rFonts w:ascii="宋体" w:hAnsi="宋体" w:eastAsia="宋体"/>
              </w:rPr>
            </w:pPr>
          </w:p>
        </w:tc>
        <w:tc>
          <w:tcPr>
            <w:tcW w:w="527" w:type="pct"/>
            <w:tcBorders>
              <w:top w:val="single" w:color="auto" w:sz="4" w:space="0"/>
              <w:left w:val="nil"/>
              <w:bottom w:val="single" w:color="auto" w:sz="4" w:space="0"/>
              <w:right w:val="single" w:color="auto" w:sz="4" w:space="0"/>
            </w:tcBorders>
            <w:vAlign w:val="center"/>
          </w:tcPr>
          <w:p w14:paraId="66CDFD1C">
            <w:pPr>
              <w:jc w:val="center"/>
              <w:rPr>
                <w:rFonts w:ascii="宋体" w:hAnsi="宋体" w:eastAsia="宋体"/>
              </w:rPr>
            </w:pPr>
          </w:p>
        </w:tc>
        <w:tc>
          <w:tcPr>
            <w:tcW w:w="580" w:type="pct"/>
            <w:tcBorders>
              <w:top w:val="single" w:color="auto" w:sz="4" w:space="0"/>
              <w:left w:val="nil"/>
              <w:bottom w:val="single" w:color="auto" w:sz="4" w:space="0"/>
              <w:right w:val="single" w:color="auto" w:sz="4" w:space="0"/>
            </w:tcBorders>
            <w:vAlign w:val="center"/>
          </w:tcPr>
          <w:p w14:paraId="3060C9BB">
            <w:pPr>
              <w:jc w:val="center"/>
              <w:rPr>
                <w:rFonts w:ascii="宋体" w:hAnsi="宋体" w:eastAsia="宋体"/>
              </w:rPr>
            </w:pPr>
          </w:p>
        </w:tc>
      </w:tr>
      <w:tr w14:paraId="69D4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right w:val="single" w:color="auto" w:sz="4" w:space="0"/>
            </w:tcBorders>
            <w:vAlign w:val="center"/>
          </w:tcPr>
          <w:p w14:paraId="6A5F09C2">
            <w:pPr>
              <w:ind w:right="-79" w:rightChars="-33"/>
              <w:jc w:val="center"/>
              <w:rPr>
                <w:rFonts w:ascii="宋体" w:hAnsi="宋体" w:eastAsia="宋体"/>
                <w:szCs w:val="21"/>
              </w:rPr>
            </w:pPr>
            <w:r>
              <w:rPr>
                <w:rFonts w:hint="eastAsia" w:ascii="宋体" w:hAnsi="宋体" w:eastAsia="宋体"/>
              </w:rPr>
              <w:t>2</w:t>
            </w:r>
          </w:p>
        </w:tc>
        <w:tc>
          <w:tcPr>
            <w:tcW w:w="598" w:type="pct"/>
            <w:tcBorders>
              <w:top w:val="single" w:color="auto" w:sz="4" w:space="0"/>
              <w:left w:val="nil"/>
              <w:bottom w:val="single" w:color="auto" w:sz="4" w:space="0"/>
              <w:right w:val="single" w:color="auto" w:sz="4" w:space="0"/>
            </w:tcBorders>
            <w:vAlign w:val="center"/>
          </w:tcPr>
          <w:p w14:paraId="204713AA">
            <w:pPr>
              <w:jc w:val="center"/>
              <w:rPr>
                <w:rFonts w:ascii="宋体" w:hAnsi="宋体" w:eastAsia="宋体"/>
              </w:rPr>
            </w:pPr>
          </w:p>
        </w:tc>
        <w:tc>
          <w:tcPr>
            <w:tcW w:w="552" w:type="pct"/>
            <w:tcBorders>
              <w:top w:val="single" w:color="auto" w:sz="4" w:space="0"/>
              <w:left w:val="nil"/>
              <w:bottom w:val="single" w:color="auto" w:sz="4" w:space="0"/>
              <w:right w:val="single" w:color="auto" w:sz="4" w:space="0"/>
            </w:tcBorders>
            <w:vAlign w:val="center"/>
          </w:tcPr>
          <w:p w14:paraId="32AE7470">
            <w:pPr>
              <w:jc w:val="center"/>
              <w:rPr>
                <w:rFonts w:ascii="宋体" w:hAnsi="宋体" w:eastAsia="宋体"/>
              </w:rPr>
            </w:pPr>
          </w:p>
        </w:tc>
        <w:tc>
          <w:tcPr>
            <w:tcW w:w="642" w:type="pct"/>
            <w:tcBorders>
              <w:top w:val="single" w:color="auto" w:sz="4" w:space="0"/>
              <w:left w:val="nil"/>
              <w:bottom w:val="single" w:color="auto" w:sz="4" w:space="0"/>
              <w:right w:val="single" w:color="auto" w:sz="4" w:space="0"/>
            </w:tcBorders>
            <w:vAlign w:val="center"/>
          </w:tcPr>
          <w:p w14:paraId="005B04F3">
            <w:pPr>
              <w:jc w:val="center"/>
              <w:rPr>
                <w:rFonts w:ascii="宋体" w:hAnsi="宋体" w:eastAsia="宋体"/>
              </w:rPr>
            </w:pPr>
          </w:p>
        </w:tc>
        <w:tc>
          <w:tcPr>
            <w:tcW w:w="636" w:type="pct"/>
            <w:tcBorders>
              <w:top w:val="single" w:color="auto" w:sz="4" w:space="0"/>
              <w:left w:val="nil"/>
              <w:bottom w:val="single" w:color="auto" w:sz="4" w:space="0"/>
              <w:right w:val="single" w:color="auto" w:sz="4" w:space="0"/>
            </w:tcBorders>
            <w:vAlign w:val="center"/>
          </w:tcPr>
          <w:p w14:paraId="7A5B6309">
            <w:pPr>
              <w:jc w:val="center"/>
              <w:rPr>
                <w:rFonts w:ascii="宋体" w:hAnsi="宋体" w:eastAsia="宋体"/>
              </w:rPr>
            </w:pPr>
          </w:p>
        </w:tc>
        <w:tc>
          <w:tcPr>
            <w:tcW w:w="974" w:type="pct"/>
            <w:tcBorders>
              <w:top w:val="single" w:color="auto" w:sz="4" w:space="0"/>
              <w:left w:val="nil"/>
              <w:bottom w:val="single" w:color="auto" w:sz="4" w:space="0"/>
              <w:right w:val="single" w:color="auto" w:sz="4" w:space="0"/>
            </w:tcBorders>
            <w:vAlign w:val="center"/>
          </w:tcPr>
          <w:p w14:paraId="1A829DA2">
            <w:pPr>
              <w:jc w:val="center"/>
              <w:rPr>
                <w:rFonts w:ascii="宋体" w:hAnsi="宋体" w:eastAsia="宋体"/>
              </w:rPr>
            </w:pPr>
          </w:p>
        </w:tc>
        <w:tc>
          <w:tcPr>
            <w:tcW w:w="527" w:type="pct"/>
            <w:tcBorders>
              <w:top w:val="single" w:color="auto" w:sz="4" w:space="0"/>
              <w:left w:val="nil"/>
              <w:bottom w:val="single" w:color="auto" w:sz="4" w:space="0"/>
              <w:right w:val="single" w:color="auto" w:sz="4" w:space="0"/>
            </w:tcBorders>
            <w:vAlign w:val="center"/>
          </w:tcPr>
          <w:p w14:paraId="45A80928">
            <w:pPr>
              <w:jc w:val="center"/>
              <w:rPr>
                <w:rFonts w:ascii="宋体" w:hAnsi="宋体" w:eastAsia="宋体"/>
              </w:rPr>
            </w:pPr>
          </w:p>
        </w:tc>
        <w:tc>
          <w:tcPr>
            <w:tcW w:w="580" w:type="pct"/>
            <w:tcBorders>
              <w:top w:val="single" w:color="auto" w:sz="4" w:space="0"/>
              <w:left w:val="nil"/>
              <w:bottom w:val="single" w:color="auto" w:sz="4" w:space="0"/>
              <w:right w:val="single" w:color="auto" w:sz="4" w:space="0"/>
            </w:tcBorders>
            <w:vAlign w:val="center"/>
          </w:tcPr>
          <w:p w14:paraId="0A510116">
            <w:pPr>
              <w:jc w:val="center"/>
              <w:rPr>
                <w:rFonts w:ascii="宋体" w:hAnsi="宋体" w:eastAsia="宋体"/>
              </w:rPr>
            </w:pPr>
          </w:p>
        </w:tc>
      </w:tr>
      <w:tr w14:paraId="0D4B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right w:val="single" w:color="auto" w:sz="4" w:space="0"/>
            </w:tcBorders>
            <w:vAlign w:val="center"/>
          </w:tcPr>
          <w:p w14:paraId="0F822E9C">
            <w:pPr>
              <w:ind w:right="-79" w:rightChars="-33"/>
              <w:jc w:val="center"/>
              <w:rPr>
                <w:rFonts w:ascii="宋体" w:hAnsi="宋体" w:eastAsia="宋体"/>
                <w:szCs w:val="21"/>
              </w:rPr>
            </w:pPr>
          </w:p>
        </w:tc>
        <w:tc>
          <w:tcPr>
            <w:tcW w:w="598" w:type="pct"/>
            <w:tcBorders>
              <w:top w:val="single" w:color="auto" w:sz="4" w:space="0"/>
              <w:left w:val="nil"/>
              <w:bottom w:val="single" w:color="auto" w:sz="4" w:space="0"/>
              <w:right w:val="single" w:color="auto" w:sz="4" w:space="0"/>
            </w:tcBorders>
            <w:vAlign w:val="center"/>
          </w:tcPr>
          <w:p w14:paraId="7CA2A397">
            <w:pPr>
              <w:jc w:val="center"/>
              <w:rPr>
                <w:rFonts w:ascii="宋体" w:hAnsi="宋体" w:eastAsia="宋体"/>
              </w:rPr>
            </w:pPr>
          </w:p>
        </w:tc>
        <w:tc>
          <w:tcPr>
            <w:tcW w:w="552" w:type="pct"/>
            <w:tcBorders>
              <w:top w:val="single" w:color="auto" w:sz="4" w:space="0"/>
              <w:left w:val="nil"/>
              <w:bottom w:val="single" w:color="auto" w:sz="4" w:space="0"/>
              <w:right w:val="single" w:color="auto" w:sz="4" w:space="0"/>
            </w:tcBorders>
            <w:vAlign w:val="center"/>
          </w:tcPr>
          <w:p w14:paraId="45A6451F">
            <w:pPr>
              <w:jc w:val="center"/>
              <w:rPr>
                <w:rFonts w:ascii="宋体" w:hAnsi="宋体" w:eastAsia="宋体"/>
              </w:rPr>
            </w:pPr>
          </w:p>
        </w:tc>
        <w:tc>
          <w:tcPr>
            <w:tcW w:w="642" w:type="pct"/>
            <w:tcBorders>
              <w:top w:val="single" w:color="auto" w:sz="4" w:space="0"/>
              <w:left w:val="nil"/>
              <w:bottom w:val="single" w:color="auto" w:sz="4" w:space="0"/>
              <w:right w:val="single" w:color="auto" w:sz="4" w:space="0"/>
            </w:tcBorders>
            <w:vAlign w:val="center"/>
          </w:tcPr>
          <w:p w14:paraId="6D3A1194">
            <w:pPr>
              <w:jc w:val="center"/>
              <w:rPr>
                <w:rFonts w:ascii="宋体" w:hAnsi="宋体" w:eastAsia="宋体"/>
              </w:rPr>
            </w:pPr>
          </w:p>
        </w:tc>
        <w:tc>
          <w:tcPr>
            <w:tcW w:w="636" w:type="pct"/>
            <w:tcBorders>
              <w:top w:val="single" w:color="auto" w:sz="4" w:space="0"/>
              <w:left w:val="nil"/>
              <w:bottom w:val="single" w:color="auto" w:sz="4" w:space="0"/>
              <w:right w:val="single" w:color="auto" w:sz="4" w:space="0"/>
            </w:tcBorders>
            <w:vAlign w:val="center"/>
          </w:tcPr>
          <w:p w14:paraId="15086866">
            <w:pPr>
              <w:jc w:val="center"/>
              <w:rPr>
                <w:rFonts w:ascii="宋体" w:hAnsi="宋体" w:eastAsia="宋体"/>
              </w:rPr>
            </w:pPr>
          </w:p>
        </w:tc>
        <w:tc>
          <w:tcPr>
            <w:tcW w:w="974" w:type="pct"/>
            <w:tcBorders>
              <w:top w:val="single" w:color="auto" w:sz="4" w:space="0"/>
              <w:left w:val="nil"/>
              <w:bottom w:val="single" w:color="auto" w:sz="4" w:space="0"/>
              <w:right w:val="single" w:color="auto" w:sz="4" w:space="0"/>
            </w:tcBorders>
            <w:vAlign w:val="center"/>
          </w:tcPr>
          <w:p w14:paraId="7B3F0538">
            <w:pPr>
              <w:jc w:val="center"/>
              <w:rPr>
                <w:rFonts w:ascii="宋体" w:hAnsi="宋体" w:eastAsia="宋体"/>
              </w:rPr>
            </w:pPr>
          </w:p>
        </w:tc>
        <w:tc>
          <w:tcPr>
            <w:tcW w:w="527" w:type="pct"/>
            <w:tcBorders>
              <w:top w:val="single" w:color="auto" w:sz="4" w:space="0"/>
              <w:left w:val="nil"/>
              <w:bottom w:val="single" w:color="auto" w:sz="4" w:space="0"/>
              <w:right w:val="single" w:color="auto" w:sz="4" w:space="0"/>
            </w:tcBorders>
            <w:vAlign w:val="center"/>
          </w:tcPr>
          <w:p w14:paraId="574E9E74">
            <w:pPr>
              <w:jc w:val="center"/>
              <w:rPr>
                <w:rFonts w:ascii="宋体" w:hAnsi="宋体" w:eastAsia="宋体"/>
              </w:rPr>
            </w:pPr>
          </w:p>
        </w:tc>
        <w:tc>
          <w:tcPr>
            <w:tcW w:w="580" w:type="pct"/>
            <w:tcBorders>
              <w:top w:val="single" w:color="auto" w:sz="4" w:space="0"/>
              <w:left w:val="nil"/>
              <w:bottom w:val="single" w:color="auto" w:sz="4" w:space="0"/>
              <w:right w:val="single" w:color="auto" w:sz="4" w:space="0"/>
            </w:tcBorders>
            <w:vAlign w:val="center"/>
          </w:tcPr>
          <w:p w14:paraId="33852B35">
            <w:pPr>
              <w:jc w:val="center"/>
              <w:rPr>
                <w:rFonts w:ascii="宋体" w:hAnsi="宋体" w:eastAsia="宋体"/>
              </w:rPr>
            </w:pPr>
          </w:p>
        </w:tc>
      </w:tr>
      <w:tr w14:paraId="4CD3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right w:val="single" w:color="auto" w:sz="4" w:space="0"/>
            </w:tcBorders>
            <w:vAlign w:val="center"/>
          </w:tcPr>
          <w:p w14:paraId="4A83B9B1">
            <w:pPr>
              <w:ind w:right="-79" w:rightChars="-33"/>
              <w:jc w:val="center"/>
              <w:rPr>
                <w:rFonts w:ascii="宋体" w:hAnsi="宋体" w:eastAsia="宋体"/>
                <w:szCs w:val="21"/>
              </w:rPr>
            </w:pPr>
          </w:p>
        </w:tc>
        <w:tc>
          <w:tcPr>
            <w:tcW w:w="598" w:type="pct"/>
            <w:tcBorders>
              <w:top w:val="single" w:color="auto" w:sz="4" w:space="0"/>
              <w:left w:val="nil"/>
              <w:bottom w:val="single" w:color="auto" w:sz="4" w:space="0"/>
              <w:right w:val="single" w:color="auto" w:sz="4" w:space="0"/>
            </w:tcBorders>
            <w:vAlign w:val="center"/>
          </w:tcPr>
          <w:p w14:paraId="76ED5CCB">
            <w:pPr>
              <w:jc w:val="center"/>
              <w:rPr>
                <w:rFonts w:ascii="宋体" w:hAnsi="宋体" w:eastAsia="宋体"/>
              </w:rPr>
            </w:pPr>
          </w:p>
        </w:tc>
        <w:tc>
          <w:tcPr>
            <w:tcW w:w="552" w:type="pct"/>
            <w:tcBorders>
              <w:top w:val="single" w:color="auto" w:sz="4" w:space="0"/>
              <w:left w:val="nil"/>
              <w:bottom w:val="single" w:color="auto" w:sz="4" w:space="0"/>
              <w:right w:val="single" w:color="auto" w:sz="4" w:space="0"/>
            </w:tcBorders>
            <w:vAlign w:val="center"/>
          </w:tcPr>
          <w:p w14:paraId="77E00EF5">
            <w:pPr>
              <w:jc w:val="center"/>
              <w:rPr>
                <w:rFonts w:ascii="宋体" w:hAnsi="宋体" w:eastAsia="宋体"/>
              </w:rPr>
            </w:pPr>
          </w:p>
        </w:tc>
        <w:tc>
          <w:tcPr>
            <w:tcW w:w="642" w:type="pct"/>
            <w:tcBorders>
              <w:top w:val="single" w:color="auto" w:sz="4" w:space="0"/>
              <w:left w:val="nil"/>
              <w:bottom w:val="single" w:color="auto" w:sz="4" w:space="0"/>
              <w:right w:val="single" w:color="auto" w:sz="4" w:space="0"/>
            </w:tcBorders>
            <w:vAlign w:val="center"/>
          </w:tcPr>
          <w:p w14:paraId="349041BC">
            <w:pPr>
              <w:jc w:val="center"/>
              <w:rPr>
                <w:rFonts w:ascii="宋体" w:hAnsi="宋体" w:eastAsia="宋体"/>
              </w:rPr>
            </w:pPr>
          </w:p>
        </w:tc>
        <w:tc>
          <w:tcPr>
            <w:tcW w:w="636" w:type="pct"/>
            <w:tcBorders>
              <w:top w:val="single" w:color="auto" w:sz="4" w:space="0"/>
              <w:left w:val="nil"/>
              <w:bottom w:val="single" w:color="auto" w:sz="4" w:space="0"/>
              <w:right w:val="single" w:color="auto" w:sz="4" w:space="0"/>
            </w:tcBorders>
            <w:vAlign w:val="center"/>
          </w:tcPr>
          <w:p w14:paraId="6F2E2DD2">
            <w:pPr>
              <w:jc w:val="center"/>
              <w:rPr>
                <w:rFonts w:ascii="宋体" w:hAnsi="宋体" w:eastAsia="宋体"/>
              </w:rPr>
            </w:pPr>
          </w:p>
        </w:tc>
        <w:tc>
          <w:tcPr>
            <w:tcW w:w="974" w:type="pct"/>
            <w:tcBorders>
              <w:top w:val="single" w:color="auto" w:sz="4" w:space="0"/>
              <w:left w:val="nil"/>
              <w:bottom w:val="single" w:color="auto" w:sz="4" w:space="0"/>
              <w:right w:val="single" w:color="auto" w:sz="4" w:space="0"/>
            </w:tcBorders>
            <w:vAlign w:val="center"/>
          </w:tcPr>
          <w:p w14:paraId="59C4EFF9">
            <w:pPr>
              <w:jc w:val="center"/>
              <w:rPr>
                <w:rFonts w:ascii="宋体" w:hAnsi="宋体" w:eastAsia="宋体"/>
              </w:rPr>
            </w:pPr>
          </w:p>
        </w:tc>
        <w:tc>
          <w:tcPr>
            <w:tcW w:w="527" w:type="pct"/>
            <w:tcBorders>
              <w:top w:val="single" w:color="auto" w:sz="4" w:space="0"/>
              <w:left w:val="nil"/>
              <w:bottom w:val="single" w:color="auto" w:sz="4" w:space="0"/>
              <w:right w:val="single" w:color="auto" w:sz="4" w:space="0"/>
            </w:tcBorders>
            <w:vAlign w:val="center"/>
          </w:tcPr>
          <w:p w14:paraId="3411EA09">
            <w:pPr>
              <w:jc w:val="center"/>
              <w:rPr>
                <w:rFonts w:ascii="宋体" w:hAnsi="宋体" w:eastAsia="宋体"/>
              </w:rPr>
            </w:pPr>
          </w:p>
        </w:tc>
        <w:tc>
          <w:tcPr>
            <w:tcW w:w="580" w:type="pct"/>
            <w:tcBorders>
              <w:top w:val="single" w:color="auto" w:sz="4" w:space="0"/>
              <w:left w:val="nil"/>
              <w:bottom w:val="single" w:color="auto" w:sz="4" w:space="0"/>
              <w:right w:val="single" w:color="auto" w:sz="4" w:space="0"/>
            </w:tcBorders>
            <w:vAlign w:val="center"/>
          </w:tcPr>
          <w:p w14:paraId="7F09CEAF">
            <w:pPr>
              <w:jc w:val="center"/>
              <w:rPr>
                <w:rFonts w:ascii="宋体" w:hAnsi="宋体" w:eastAsia="宋体"/>
              </w:rPr>
            </w:pPr>
          </w:p>
        </w:tc>
      </w:tr>
      <w:tr w14:paraId="34C7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right w:val="single" w:color="auto" w:sz="4" w:space="0"/>
            </w:tcBorders>
            <w:vAlign w:val="center"/>
          </w:tcPr>
          <w:p w14:paraId="722858FE">
            <w:pPr>
              <w:jc w:val="center"/>
              <w:rPr>
                <w:rFonts w:ascii="宋体" w:hAnsi="宋体" w:eastAsia="宋体"/>
              </w:rPr>
            </w:pPr>
          </w:p>
        </w:tc>
        <w:tc>
          <w:tcPr>
            <w:tcW w:w="598" w:type="pct"/>
            <w:tcBorders>
              <w:top w:val="single" w:color="auto" w:sz="4" w:space="0"/>
              <w:left w:val="nil"/>
              <w:bottom w:val="single" w:color="auto" w:sz="4" w:space="0"/>
              <w:right w:val="single" w:color="auto" w:sz="4" w:space="0"/>
            </w:tcBorders>
            <w:vAlign w:val="center"/>
          </w:tcPr>
          <w:p w14:paraId="76499657">
            <w:pPr>
              <w:jc w:val="center"/>
              <w:rPr>
                <w:rFonts w:ascii="宋体" w:hAnsi="宋体" w:eastAsia="宋体"/>
              </w:rPr>
            </w:pPr>
          </w:p>
        </w:tc>
        <w:tc>
          <w:tcPr>
            <w:tcW w:w="552" w:type="pct"/>
            <w:tcBorders>
              <w:top w:val="single" w:color="auto" w:sz="4" w:space="0"/>
              <w:left w:val="nil"/>
              <w:bottom w:val="single" w:color="auto" w:sz="4" w:space="0"/>
              <w:right w:val="single" w:color="auto" w:sz="4" w:space="0"/>
            </w:tcBorders>
            <w:vAlign w:val="center"/>
          </w:tcPr>
          <w:p w14:paraId="10C7EB3B">
            <w:pPr>
              <w:jc w:val="center"/>
              <w:rPr>
                <w:rFonts w:ascii="宋体" w:hAnsi="宋体" w:eastAsia="宋体"/>
              </w:rPr>
            </w:pPr>
          </w:p>
        </w:tc>
        <w:tc>
          <w:tcPr>
            <w:tcW w:w="642" w:type="pct"/>
            <w:tcBorders>
              <w:top w:val="single" w:color="auto" w:sz="4" w:space="0"/>
              <w:left w:val="nil"/>
              <w:bottom w:val="single" w:color="auto" w:sz="4" w:space="0"/>
              <w:right w:val="single" w:color="auto" w:sz="4" w:space="0"/>
            </w:tcBorders>
            <w:vAlign w:val="center"/>
          </w:tcPr>
          <w:p w14:paraId="6F61D0F9">
            <w:pPr>
              <w:jc w:val="center"/>
              <w:rPr>
                <w:rFonts w:ascii="宋体" w:hAnsi="宋体" w:eastAsia="宋体"/>
              </w:rPr>
            </w:pPr>
          </w:p>
        </w:tc>
        <w:tc>
          <w:tcPr>
            <w:tcW w:w="636" w:type="pct"/>
            <w:tcBorders>
              <w:top w:val="single" w:color="auto" w:sz="4" w:space="0"/>
              <w:left w:val="nil"/>
              <w:bottom w:val="single" w:color="auto" w:sz="4" w:space="0"/>
              <w:right w:val="single" w:color="auto" w:sz="4" w:space="0"/>
            </w:tcBorders>
            <w:vAlign w:val="center"/>
          </w:tcPr>
          <w:p w14:paraId="5C2FDB56">
            <w:pPr>
              <w:jc w:val="center"/>
              <w:rPr>
                <w:rFonts w:ascii="宋体" w:hAnsi="宋体" w:eastAsia="宋体"/>
              </w:rPr>
            </w:pPr>
          </w:p>
        </w:tc>
        <w:tc>
          <w:tcPr>
            <w:tcW w:w="974" w:type="pct"/>
            <w:tcBorders>
              <w:top w:val="single" w:color="auto" w:sz="4" w:space="0"/>
              <w:left w:val="nil"/>
              <w:bottom w:val="single" w:color="auto" w:sz="4" w:space="0"/>
              <w:right w:val="single" w:color="auto" w:sz="4" w:space="0"/>
            </w:tcBorders>
            <w:vAlign w:val="center"/>
          </w:tcPr>
          <w:p w14:paraId="11A0E01D">
            <w:pPr>
              <w:jc w:val="center"/>
              <w:rPr>
                <w:rFonts w:ascii="宋体" w:hAnsi="宋体" w:eastAsia="宋体"/>
              </w:rPr>
            </w:pPr>
          </w:p>
        </w:tc>
        <w:tc>
          <w:tcPr>
            <w:tcW w:w="527" w:type="pct"/>
            <w:tcBorders>
              <w:top w:val="single" w:color="auto" w:sz="4" w:space="0"/>
              <w:left w:val="nil"/>
              <w:bottom w:val="single" w:color="auto" w:sz="4" w:space="0"/>
              <w:right w:val="single" w:color="auto" w:sz="4" w:space="0"/>
            </w:tcBorders>
            <w:vAlign w:val="center"/>
          </w:tcPr>
          <w:p w14:paraId="6B6E8BCC">
            <w:pPr>
              <w:jc w:val="center"/>
              <w:rPr>
                <w:rFonts w:ascii="宋体" w:hAnsi="宋体" w:eastAsia="宋体"/>
              </w:rPr>
            </w:pPr>
          </w:p>
        </w:tc>
        <w:tc>
          <w:tcPr>
            <w:tcW w:w="580" w:type="pct"/>
            <w:tcBorders>
              <w:top w:val="single" w:color="auto" w:sz="4" w:space="0"/>
              <w:left w:val="nil"/>
              <w:bottom w:val="single" w:color="auto" w:sz="4" w:space="0"/>
              <w:right w:val="single" w:color="auto" w:sz="4" w:space="0"/>
            </w:tcBorders>
            <w:vAlign w:val="center"/>
          </w:tcPr>
          <w:p w14:paraId="7A623BDA">
            <w:pPr>
              <w:jc w:val="center"/>
              <w:rPr>
                <w:rFonts w:ascii="宋体" w:hAnsi="宋体" w:eastAsia="宋体"/>
              </w:rPr>
            </w:pPr>
          </w:p>
        </w:tc>
      </w:tr>
      <w:tr w14:paraId="23A8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right w:val="single" w:color="auto" w:sz="4" w:space="0"/>
            </w:tcBorders>
            <w:vAlign w:val="center"/>
          </w:tcPr>
          <w:p w14:paraId="1D9ECA83">
            <w:pPr>
              <w:jc w:val="center"/>
              <w:rPr>
                <w:rFonts w:ascii="宋体" w:hAnsi="宋体" w:eastAsia="宋体"/>
              </w:rPr>
            </w:pPr>
          </w:p>
        </w:tc>
        <w:tc>
          <w:tcPr>
            <w:tcW w:w="598" w:type="pct"/>
            <w:tcBorders>
              <w:top w:val="single" w:color="auto" w:sz="4" w:space="0"/>
              <w:left w:val="nil"/>
              <w:bottom w:val="single" w:color="auto" w:sz="4" w:space="0"/>
              <w:right w:val="single" w:color="auto" w:sz="4" w:space="0"/>
            </w:tcBorders>
            <w:vAlign w:val="center"/>
          </w:tcPr>
          <w:p w14:paraId="2C6035B2">
            <w:pPr>
              <w:jc w:val="center"/>
              <w:rPr>
                <w:rFonts w:ascii="宋体" w:hAnsi="宋体" w:eastAsia="宋体"/>
              </w:rPr>
            </w:pPr>
          </w:p>
        </w:tc>
        <w:tc>
          <w:tcPr>
            <w:tcW w:w="552" w:type="pct"/>
            <w:tcBorders>
              <w:top w:val="single" w:color="auto" w:sz="4" w:space="0"/>
              <w:left w:val="nil"/>
              <w:bottom w:val="single" w:color="auto" w:sz="4" w:space="0"/>
              <w:right w:val="single" w:color="auto" w:sz="4" w:space="0"/>
            </w:tcBorders>
            <w:vAlign w:val="center"/>
          </w:tcPr>
          <w:p w14:paraId="7E1DD868">
            <w:pPr>
              <w:jc w:val="center"/>
              <w:rPr>
                <w:rFonts w:ascii="宋体" w:hAnsi="宋体" w:eastAsia="宋体"/>
              </w:rPr>
            </w:pPr>
          </w:p>
        </w:tc>
        <w:tc>
          <w:tcPr>
            <w:tcW w:w="642" w:type="pct"/>
            <w:tcBorders>
              <w:top w:val="single" w:color="auto" w:sz="4" w:space="0"/>
              <w:left w:val="nil"/>
              <w:bottom w:val="single" w:color="auto" w:sz="4" w:space="0"/>
              <w:right w:val="single" w:color="auto" w:sz="4" w:space="0"/>
            </w:tcBorders>
            <w:vAlign w:val="center"/>
          </w:tcPr>
          <w:p w14:paraId="6CE5C210">
            <w:pPr>
              <w:jc w:val="center"/>
              <w:rPr>
                <w:rFonts w:ascii="宋体" w:hAnsi="宋体" w:eastAsia="宋体"/>
              </w:rPr>
            </w:pPr>
          </w:p>
        </w:tc>
        <w:tc>
          <w:tcPr>
            <w:tcW w:w="636" w:type="pct"/>
            <w:tcBorders>
              <w:top w:val="single" w:color="auto" w:sz="4" w:space="0"/>
              <w:left w:val="nil"/>
              <w:bottom w:val="single" w:color="auto" w:sz="4" w:space="0"/>
              <w:right w:val="single" w:color="auto" w:sz="4" w:space="0"/>
            </w:tcBorders>
            <w:vAlign w:val="center"/>
          </w:tcPr>
          <w:p w14:paraId="75ABD7C4">
            <w:pPr>
              <w:jc w:val="center"/>
              <w:rPr>
                <w:rFonts w:ascii="宋体" w:hAnsi="宋体" w:eastAsia="宋体"/>
              </w:rPr>
            </w:pPr>
          </w:p>
        </w:tc>
        <w:tc>
          <w:tcPr>
            <w:tcW w:w="974" w:type="pct"/>
            <w:tcBorders>
              <w:top w:val="single" w:color="auto" w:sz="4" w:space="0"/>
              <w:left w:val="nil"/>
              <w:bottom w:val="single" w:color="auto" w:sz="4" w:space="0"/>
              <w:right w:val="single" w:color="auto" w:sz="4" w:space="0"/>
            </w:tcBorders>
            <w:vAlign w:val="center"/>
          </w:tcPr>
          <w:p w14:paraId="2D04A28B">
            <w:pPr>
              <w:jc w:val="center"/>
              <w:rPr>
                <w:rFonts w:ascii="宋体" w:hAnsi="宋体" w:eastAsia="宋体"/>
              </w:rPr>
            </w:pPr>
          </w:p>
        </w:tc>
        <w:tc>
          <w:tcPr>
            <w:tcW w:w="527" w:type="pct"/>
            <w:tcBorders>
              <w:top w:val="single" w:color="auto" w:sz="4" w:space="0"/>
              <w:left w:val="nil"/>
              <w:bottom w:val="single" w:color="auto" w:sz="4" w:space="0"/>
              <w:right w:val="single" w:color="auto" w:sz="4" w:space="0"/>
            </w:tcBorders>
            <w:vAlign w:val="center"/>
          </w:tcPr>
          <w:p w14:paraId="7DD809F3">
            <w:pPr>
              <w:jc w:val="center"/>
              <w:rPr>
                <w:rFonts w:ascii="宋体" w:hAnsi="宋体" w:eastAsia="宋体"/>
              </w:rPr>
            </w:pPr>
          </w:p>
        </w:tc>
        <w:tc>
          <w:tcPr>
            <w:tcW w:w="580" w:type="pct"/>
            <w:tcBorders>
              <w:top w:val="single" w:color="auto" w:sz="4" w:space="0"/>
              <w:left w:val="nil"/>
              <w:bottom w:val="single" w:color="auto" w:sz="4" w:space="0"/>
              <w:right w:val="single" w:color="auto" w:sz="4" w:space="0"/>
            </w:tcBorders>
            <w:vAlign w:val="center"/>
          </w:tcPr>
          <w:p w14:paraId="3B68234C">
            <w:pPr>
              <w:jc w:val="center"/>
              <w:rPr>
                <w:rFonts w:ascii="宋体" w:hAnsi="宋体" w:eastAsia="宋体"/>
              </w:rPr>
            </w:pPr>
          </w:p>
        </w:tc>
      </w:tr>
    </w:tbl>
    <w:p w14:paraId="5B732BD4">
      <w:pPr>
        <w:ind w:firstLine="482" w:firstLineChars="200"/>
        <w:rPr>
          <w:rFonts w:ascii="宋体" w:hAnsi="宋体" w:eastAsia="宋体"/>
          <w:b/>
          <w:bCs/>
        </w:rPr>
      </w:pPr>
      <w:r>
        <w:rPr>
          <w:rFonts w:ascii="宋体" w:hAnsi="宋体" w:eastAsia="宋体"/>
          <w:b/>
          <w:bCs/>
        </w:rPr>
        <w:t xml:space="preserve"> </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2855"/>
        <w:gridCol w:w="2028"/>
        <w:gridCol w:w="2443"/>
      </w:tblGrid>
      <w:tr w14:paraId="7722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00" w:type="pct"/>
            <w:tcBorders>
              <w:top w:val="single" w:color="auto" w:sz="4" w:space="0"/>
              <w:left w:val="single" w:color="auto" w:sz="4" w:space="0"/>
              <w:bottom w:val="single" w:color="auto" w:sz="4" w:space="0"/>
              <w:right w:val="single" w:color="auto" w:sz="4" w:space="0"/>
            </w:tcBorders>
          </w:tcPr>
          <w:p w14:paraId="06AFEBDD">
            <w:pPr>
              <w:jc w:val="center"/>
              <w:rPr>
                <w:rFonts w:ascii="宋体" w:hAnsi="宋体" w:eastAsia="宋体"/>
                <w:szCs w:val="21"/>
              </w:rPr>
            </w:pPr>
            <w:r>
              <w:rPr>
                <w:rFonts w:hint="eastAsia" w:ascii="宋体" w:hAnsi="宋体" w:eastAsia="宋体"/>
              </w:rPr>
              <w:t>序号</w:t>
            </w:r>
          </w:p>
        </w:tc>
        <w:tc>
          <w:tcPr>
            <w:tcW w:w="1675" w:type="pct"/>
            <w:tcBorders>
              <w:top w:val="single" w:color="auto" w:sz="4" w:space="0"/>
              <w:left w:val="nil"/>
              <w:bottom w:val="single" w:color="auto" w:sz="4" w:space="0"/>
              <w:right w:val="single" w:color="auto" w:sz="4" w:space="0"/>
            </w:tcBorders>
          </w:tcPr>
          <w:p w14:paraId="677BCC0B">
            <w:pPr>
              <w:jc w:val="center"/>
              <w:rPr>
                <w:rFonts w:ascii="宋体" w:hAnsi="宋体" w:eastAsia="宋体"/>
              </w:rPr>
            </w:pPr>
            <w:r>
              <w:rPr>
                <w:rFonts w:hint="eastAsia" w:ascii="宋体" w:hAnsi="宋体" w:eastAsia="宋体"/>
              </w:rPr>
              <w:t>服务名称</w:t>
            </w:r>
          </w:p>
        </w:tc>
        <w:tc>
          <w:tcPr>
            <w:tcW w:w="1190" w:type="pct"/>
            <w:tcBorders>
              <w:top w:val="single" w:color="auto" w:sz="4" w:space="0"/>
              <w:left w:val="nil"/>
              <w:bottom w:val="single" w:color="auto" w:sz="4" w:space="0"/>
              <w:right w:val="single" w:color="auto" w:sz="4" w:space="0"/>
            </w:tcBorders>
          </w:tcPr>
          <w:p w14:paraId="207108D2">
            <w:pPr>
              <w:jc w:val="center"/>
              <w:rPr>
                <w:rFonts w:ascii="宋体" w:hAnsi="宋体" w:eastAsia="宋体"/>
              </w:rPr>
            </w:pPr>
            <w:r>
              <w:rPr>
                <w:rFonts w:hint="eastAsia" w:ascii="宋体" w:hAnsi="宋体" w:eastAsia="宋体"/>
              </w:rPr>
              <w:t>服务内容</w:t>
            </w:r>
          </w:p>
        </w:tc>
        <w:tc>
          <w:tcPr>
            <w:tcW w:w="1433" w:type="pct"/>
            <w:tcBorders>
              <w:top w:val="single" w:color="auto" w:sz="4" w:space="0"/>
              <w:left w:val="nil"/>
              <w:bottom w:val="single" w:color="auto" w:sz="4" w:space="0"/>
              <w:right w:val="single" w:color="auto" w:sz="4" w:space="0"/>
            </w:tcBorders>
          </w:tcPr>
          <w:p w14:paraId="1E2C6A31">
            <w:pPr>
              <w:jc w:val="center"/>
              <w:rPr>
                <w:rFonts w:ascii="宋体" w:hAnsi="宋体" w:eastAsia="宋体"/>
              </w:rPr>
            </w:pPr>
            <w:r>
              <w:rPr>
                <w:rFonts w:hint="eastAsia" w:ascii="宋体" w:hAnsi="宋体" w:eastAsia="宋体"/>
              </w:rPr>
              <w:t>价格（元）</w:t>
            </w:r>
          </w:p>
        </w:tc>
      </w:tr>
      <w:tr w14:paraId="58DF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00" w:type="pct"/>
            <w:tcBorders>
              <w:top w:val="single" w:color="auto" w:sz="4" w:space="0"/>
              <w:left w:val="single" w:color="auto" w:sz="4" w:space="0"/>
              <w:bottom w:val="single" w:color="auto" w:sz="4" w:space="0"/>
              <w:right w:val="single" w:color="auto" w:sz="4" w:space="0"/>
            </w:tcBorders>
          </w:tcPr>
          <w:p w14:paraId="24EF91E8">
            <w:pPr>
              <w:ind w:right="-79" w:rightChars="-33"/>
              <w:jc w:val="center"/>
              <w:rPr>
                <w:rFonts w:ascii="宋体" w:hAnsi="宋体" w:eastAsia="宋体"/>
              </w:rPr>
            </w:pPr>
            <w:r>
              <w:rPr>
                <w:rFonts w:hint="eastAsia" w:ascii="宋体" w:hAnsi="宋体" w:eastAsia="宋体"/>
              </w:rPr>
              <w:t>1</w:t>
            </w:r>
          </w:p>
        </w:tc>
        <w:tc>
          <w:tcPr>
            <w:tcW w:w="1675" w:type="pct"/>
            <w:tcBorders>
              <w:top w:val="single" w:color="auto" w:sz="4" w:space="0"/>
              <w:left w:val="nil"/>
              <w:bottom w:val="single" w:color="auto" w:sz="4" w:space="0"/>
              <w:right w:val="single" w:color="auto" w:sz="4" w:space="0"/>
            </w:tcBorders>
          </w:tcPr>
          <w:p w14:paraId="2B35686E">
            <w:pPr>
              <w:jc w:val="center"/>
              <w:rPr>
                <w:rFonts w:ascii="宋体" w:hAnsi="宋体" w:eastAsia="宋体"/>
              </w:rPr>
            </w:pPr>
            <w:r>
              <w:rPr>
                <w:rFonts w:hint="eastAsia" w:ascii="宋体" w:hAnsi="宋体" w:eastAsia="宋体"/>
              </w:rPr>
              <w:t>延续保修合同</w:t>
            </w:r>
          </w:p>
        </w:tc>
        <w:tc>
          <w:tcPr>
            <w:tcW w:w="1190" w:type="pct"/>
            <w:tcBorders>
              <w:top w:val="single" w:color="auto" w:sz="4" w:space="0"/>
              <w:left w:val="nil"/>
              <w:bottom w:val="single" w:color="auto" w:sz="4" w:space="0"/>
              <w:right w:val="single" w:color="auto" w:sz="4" w:space="0"/>
            </w:tcBorders>
          </w:tcPr>
          <w:p w14:paraId="5FA00933">
            <w:pPr>
              <w:jc w:val="center"/>
              <w:rPr>
                <w:rFonts w:ascii="宋体" w:hAnsi="宋体" w:eastAsia="宋体"/>
                <w:b/>
                <w:bCs/>
              </w:rPr>
            </w:pPr>
          </w:p>
        </w:tc>
        <w:tc>
          <w:tcPr>
            <w:tcW w:w="1433" w:type="pct"/>
            <w:tcBorders>
              <w:top w:val="single" w:color="auto" w:sz="4" w:space="0"/>
              <w:left w:val="nil"/>
              <w:bottom w:val="single" w:color="auto" w:sz="4" w:space="0"/>
              <w:right w:val="single" w:color="auto" w:sz="4" w:space="0"/>
            </w:tcBorders>
          </w:tcPr>
          <w:p w14:paraId="7CADB00C">
            <w:pPr>
              <w:jc w:val="center"/>
              <w:rPr>
                <w:rFonts w:ascii="宋体" w:hAnsi="宋体" w:eastAsia="宋体"/>
                <w:b/>
                <w:bCs/>
              </w:rPr>
            </w:pPr>
          </w:p>
        </w:tc>
      </w:tr>
      <w:tr w14:paraId="0E3D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00" w:type="pct"/>
            <w:tcBorders>
              <w:top w:val="single" w:color="auto" w:sz="4" w:space="0"/>
              <w:left w:val="single" w:color="auto" w:sz="4" w:space="0"/>
              <w:bottom w:val="single" w:color="auto" w:sz="4" w:space="0"/>
              <w:right w:val="single" w:color="auto" w:sz="4" w:space="0"/>
            </w:tcBorders>
          </w:tcPr>
          <w:p w14:paraId="6463CE66">
            <w:pPr>
              <w:ind w:right="-79" w:rightChars="-33"/>
              <w:jc w:val="center"/>
              <w:rPr>
                <w:rFonts w:ascii="宋体" w:hAnsi="宋体" w:eastAsia="宋体"/>
                <w:szCs w:val="21"/>
              </w:rPr>
            </w:pPr>
          </w:p>
        </w:tc>
        <w:tc>
          <w:tcPr>
            <w:tcW w:w="1675" w:type="pct"/>
            <w:tcBorders>
              <w:top w:val="single" w:color="auto" w:sz="4" w:space="0"/>
              <w:left w:val="nil"/>
              <w:bottom w:val="single" w:color="auto" w:sz="4" w:space="0"/>
              <w:right w:val="single" w:color="auto" w:sz="4" w:space="0"/>
            </w:tcBorders>
          </w:tcPr>
          <w:p w14:paraId="385F67B2">
            <w:pPr>
              <w:jc w:val="center"/>
              <w:rPr>
                <w:rFonts w:ascii="宋体" w:hAnsi="宋体" w:eastAsia="宋体"/>
              </w:rPr>
            </w:pPr>
          </w:p>
        </w:tc>
        <w:tc>
          <w:tcPr>
            <w:tcW w:w="1190" w:type="pct"/>
            <w:tcBorders>
              <w:top w:val="single" w:color="auto" w:sz="4" w:space="0"/>
              <w:left w:val="nil"/>
              <w:bottom w:val="single" w:color="auto" w:sz="4" w:space="0"/>
              <w:right w:val="single" w:color="auto" w:sz="4" w:space="0"/>
            </w:tcBorders>
          </w:tcPr>
          <w:p w14:paraId="30C7D684">
            <w:pPr>
              <w:jc w:val="center"/>
              <w:rPr>
                <w:rFonts w:ascii="宋体" w:hAnsi="宋体" w:eastAsia="宋体"/>
                <w:b/>
                <w:bCs/>
              </w:rPr>
            </w:pPr>
          </w:p>
        </w:tc>
        <w:tc>
          <w:tcPr>
            <w:tcW w:w="1433" w:type="pct"/>
            <w:tcBorders>
              <w:top w:val="single" w:color="auto" w:sz="4" w:space="0"/>
              <w:left w:val="nil"/>
              <w:bottom w:val="single" w:color="auto" w:sz="4" w:space="0"/>
              <w:right w:val="single" w:color="auto" w:sz="4" w:space="0"/>
            </w:tcBorders>
          </w:tcPr>
          <w:p w14:paraId="7BE8A8B9">
            <w:pPr>
              <w:jc w:val="center"/>
              <w:rPr>
                <w:rFonts w:ascii="宋体" w:hAnsi="宋体" w:eastAsia="宋体"/>
                <w:b/>
                <w:bCs/>
              </w:rPr>
            </w:pPr>
          </w:p>
        </w:tc>
      </w:tr>
    </w:tbl>
    <w:p w14:paraId="25D2D819">
      <w:pPr>
        <w:ind w:firstLine="482" w:firstLineChars="200"/>
        <w:rPr>
          <w:rFonts w:ascii="宋体" w:hAnsi="宋体" w:eastAsia="宋体"/>
          <w:b/>
          <w:bCs/>
        </w:rPr>
      </w:pPr>
      <w:r>
        <w:rPr>
          <w:rFonts w:ascii="宋体" w:hAnsi="宋体" w:eastAsia="宋体"/>
          <w:b/>
          <w:bCs/>
        </w:rPr>
        <w:t xml:space="preserve"> </w:t>
      </w:r>
    </w:p>
    <w:p w14:paraId="1CFE7C62">
      <w:pPr>
        <w:ind w:firstLine="482" w:firstLineChars="200"/>
        <w:rPr>
          <w:rFonts w:ascii="宋体" w:hAnsi="宋体" w:eastAsia="宋体"/>
          <w:b/>
          <w:bCs/>
        </w:rPr>
      </w:pPr>
    </w:p>
    <w:p w14:paraId="05976539">
      <w:pPr>
        <w:tabs>
          <w:tab w:val="left" w:pos="720"/>
        </w:tabs>
        <w:jc w:val="center"/>
        <w:rPr>
          <w:rFonts w:ascii="宋体" w:hAnsi="宋体" w:eastAsia="宋体"/>
          <w:b/>
        </w:rPr>
      </w:pPr>
      <w:bookmarkStart w:id="65" w:name="_Hlk72073235"/>
      <w:r>
        <w:rPr>
          <w:rFonts w:hint="eastAsia" w:ascii="宋体" w:hAnsi="宋体" w:eastAsia="宋体"/>
          <w:b/>
        </w:rPr>
        <w:t>（四）投标人认为需要涉及的其他内容报价清单</w:t>
      </w:r>
      <w:bookmarkEnd w:id="65"/>
    </w:p>
    <w:p w14:paraId="1C78658F">
      <w:pPr>
        <w:keepNext/>
        <w:keepLines/>
        <w:jc w:val="center"/>
        <w:rPr>
          <w:rFonts w:ascii="宋体" w:hAnsi="宋体" w:eastAsia="宋体"/>
        </w:rPr>
      </w:pPr>
    </w:p>
    <w:p w14:paraId="06302DB5">
      <w:pPr>
        <w:pStyle w:val="3"/>
        <w:jc w:val="center"/>
        <w:rPr>
          <w:b w:val="0"/>
          <w:sz w:val="24"/>
          <w:szCs w:val="24"/>
        </w:rPr>
      </w:pPr>
      <w:r>
        <w:rPr>
          <w:rFonts w:hint="eastAsia"/>
          <w:b w:val="0"/>
          <w:sz w:val="24"/>
          <w:szCs w:val="24"/>
        </w:rPr>
        <w:t>五、投标人认为需要加以说明的其他内容</w:t>
      </w:r>
    </w:p>
    <w:p w14:paraId="028327C3">
      <w:pPr>
        <w:tabs>
          <w:tab w:val="left" w:pos="720"/>
        </w:tabs>
        <w:jc w:val="center"/>
        <w:rPr>
          <w:rFonts w:ascii="宋体" w:hAnsi="宋体" w:eastAsia="宋体"/>
          <w:b/>
        </w:rPr>
      </w:pPr>
    </w:p>
    <w:p w14:paraId="4A3C8F04">
      <w:pPr>
        <w:rPr>
          <w:rFonts w:ascii="宋体" w:hAnsi="宋体" w:eastAsia="宋体"/>
          <w:b/>
          <w:bCs/>
        </w:rPr>
      </w:pPr>
    </w:p>
    <w:p w14:paraId="5A26A966">
      <w:pPr>
        <w:rPr>
          <w:rFonts w:ascii="宋体" w:hAnsi="宋体" w:eastAsia="宋体"/>
        </w:rPr>
      </w:pPr>
    </w:p>
    <w:p w14:paraId="6D9854E7">
      <w:pPr>
        <w:rPr>
          <w:rFonts w:ascii="宋体" w:hAnsi="宋体" w:eastAsia="宋体"/>
        </w:rPr>
      </w:pPr>
    </w:p>
    <w:p w14:paraId="1A6D0242">
      <w:pPr>
        <w:ind w:firstLine="723" w:firstLineChars="300"/>
        <w:rPr>
          <w:rFonts w:ascii="宋体" w:hAnsi="宋体" w:eastAsia="宋体"/>
          <w:b/>
          <w:color w:val="FF0000"/>
        </w:rPr>
      </w:pPr>
      <w:r>
        <w:rPr>
          <w:rFonts w:hint="eastAsia" w:ascii="宋体" w:hAnsi="宋体" w:eastAsia="宋体"/>
          <w:b/>
          <w:color w:val="FF0000"/>
        </w:rPr>
        <w:t>（信息公开部分的内容到此为止！以下为信息不公开部分。）</w:t>
      </w:r>
    </w:p>
    <w:bookmarkEnd w:id="62"/>
    <w:p w14:paraId="76F57B93">
      <w:pPr>
        <w:rPr>
          <w:rFonts w:ascii="宋体" w:hAnsi="宋体" w:eastAsia="宋体"/>
        </w:rPr>
      </w:pPr>
      <w:r>
        <w:rPr>
          <w:rFonts w:ascii="宋体" w:hAnsi="宋体" w:eastAsia="宋体"/>
        </w:rPr>
        <w:br w:type="page"/>
      </w:r>
    </w:p>
    <w:p w14:paraId="6320590A">
      <w:pPr>
        <w:outlineLvl w:val="1"/>
        <w:rPr>
          <w:rFonts w:ascii="宋体" w:hAnsi="宋体" w:eastAsia="宋体"/>
          <w:b/>
          <w:color w:val="FF0000"/>
          <w:sz w:val="28"/>
          <w:szCs w:val="28"/>
        </w:rPr>
      </w:pPr>
      <w:bookmarkStart w:id="66" w:name="_Hlk72260530"/>
      <w:r>
        <w:rPr>
          <w:rFonts w:hint="eastAsia" w:ascii="宋体" w:hAnsi="宋体" w:eastAsia="宋体"/>
          <w:b/>
          <w:color w:val="FF0000"/>
          <w:sz w:val="28"/>
          <w:szCs w:val="28"/>
        </w:rPr>
        <w:t>投标文件附件（信息不公开部分）</w:t>
      </w:r>
    </w:p>
    <w:p w14:paraId="00661EA3">
      <w:pPr>
        <w:pStyle w:val="3"/>
        <w:jc w:val="center"/>
        <w:rPr>
          <w:rFonts w:ascii="黑体" w:eastAsia="黑体"/>
          <w:b w:val="0"/>
          <w:sz w:val="24"/>
        </w:rPr>
      </w:pPr>
      <w:r>
        <w:rPr>
          <w:rFonts w:hint="eastAsia" w:ascii="黑体" w:eastAsia="黑体"/>
          <w:bCs w:val="0"/>
          <w:color w:val="000000" w:themeColor="text1"/>
          <w:sz w:val="24"/>
          <w14:textFill>
            <w14:solidFill>
              <w14:schemeClr w14:val="tx1"/>
            </w14:solidFill>
          </w14:textFill>
        </w:rPr>
        <w:t>一、</w:t>
      </w:r>
      <w:bookmarkStart w:id="67" w:name="_Hlk72092499"/>
      <w:r>
        <w:rPr>
          <w:rFonts w:hint="eastAsia" w:ascii="黑体" w:eastAsia="黑体"/>
          <w:b w:val="0"/>
          <w:sz w:val="24"/>
        </w:rPr>
        <w:t>法定代表人（负责人或</w:t>
      </w:r>
      <w:r>
        <w:rPr>
          <w:rFonts w:hint="eastAsia" w:ascii="黑体" w:eastAsia="黑体"/>
          <w:b w:val="0"/>
          <w:color w:val="4F81BD" w:themeColor="accent1"/>
          <w:sz w:val="24"/>
          <w14:textFill>
            <w14:solidFill>
              <w14:schemeClr w14:val="accent1"/>
            </w14:solidFill>
          </w14:textFill>
        </w:rPr>
        <w:t>执行事务合伙人</w:t>
      </w:r>
      <w:r>
        <w:rPr>
          <w:rFonts w:hint="eastAsia" w:ascii="黑体" w:eastAsia="黑体"/>
          <w:b w:val="0"/>
          <w:sz w:val="24"/>
        </w:rPr>
        <w:t>）资格证明书</w:t>
      </w:r>
      <w:bookmarkEnd w:id="67"/>
    </w:p>
    <w:p w14:paraId="36C4B666">
      <w:pPr>
        <w:widowControl w:val="0"/>
        <w:spacing w:line="340"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致友和保险经纪有限公司：</w:t>
      </w:r>
    </w:p>
    <w:p w14:paraId="0023F3BF">
      <w:pPr>
        <w:spacing w:line="340" w:lineRule="exact"/>
        <w:rPr>
          <w:rFonts w:asciiTheme="minorEastAsia" w:hAnsiTheme="minorEastAsia" w:eastAsiaTheme="minorEastAsia" w:cstheme="minorEastAsia"/>
        </w:rPr>
      </w:pPr>
    </w:p>
    <w:p w14:paraId="517B74E9">
      <w:pPr>
        <w:widowControl w:val="0"/>
        <w:spacing w:line="340" w:lineRule="exact"/>
        <w:ind w:firstLine="480" w:firstLineChars="200"/>
        <w:rPr>
          <w:rFonts w:asciiTheme="minorEastAsia" w:hAnsiTheme="minorEastAsia" w:eastAsiaTheme="minorEastAsia" w:cstheme="minorEastAsia"/>
          <w:color w:val="000000"/>
          <w:u w:val="single"/>
        </w:rPr>
      </w:pPr>
      <w:r>
        <w:rPr>
          <w:rFonts w:hint="eastAsia" w:asciiTheme="minorEastAsia" w:hAnsiTheme="minorEastAsia" w:eastAsiaTheme="minorEastAsia" w:cstheme="minorEastAsia"/>
          <w:color w:val="000000"/>
        </w:rPr>
        <w:t>单位名称：</w:t>
      </w:r>
      <w:r>
        <w:rPr>
          <w:rFonts w:hint="eastAsia" w:asciiTheme="minorEastAsia" w:hAnsiTheme="minorEastAsia" w:eastAsiaTheme="minorEastAsia" w:cstheme="minorEastAsia"/>
          <w:color w:val="000000"/>
          <w:u w:val="single"/>
        </w:rPr>
        <w:t xml:space="preserve">                   </w:t>
      </w:r>
      <w:r>
        <w:rPr>
          <w:rFonts w:hint="eastAsia" w:asciiTheme="minorEastAsia" w:hAnsiTheme="minorEastAsia" w:eastAsiaTheme="minorEastAsia" w:cstheme="minorEastAsia"/>
          <w:color w:val="000000"/>
          <w:u w:val="single"/>
        </w:rPr>
        <w:softHyphen/>
      </w:r>
      <w:r>
        <w:rPr>
          <w:rFonts w:hint="eastAsia" w:asciiTheme="minorEastAsia" w:hAnsiTheme="minorEastAsia" w:eastAsiaTheme="minorEastAsia" w:cstheme="minorEastAsia"/>
          <w:color w:val="000000"/>
          <w:u w:val="single"/>
        </w:rPr>
        <w:softHyphen/>
      </w:r>
      <w:r>
        <w:rPr>
          <w:rFonts w:hint="eastAsia" w:asciiTheme="minorEastAsia" w:hAnsiTheme="minorEastAsia" w:eastAsiaTheme="minorEastAsia" w:cstheme="minorEastAsia"/>
          <w:color w:val="000000"/>
          <w:u w:val="single"/>
        </w:rPr>
        <w:softHyphen/>
      </w:r>
      <w:r>
        <w:rPr>
          <w:rFonts w:hint="eastAsia" w:asciiTheme="minorEastAsia" w:hAnsiTheme="minorEastAsia" w:eastAsiaTheme="minorEastAsia" w:cstheme="minorEastAsia"/>
          <w:color w:val="000000"/>
          <w:u w:val="single"/>
        </w:rPr>
        <w:softHyphen/>
      </w:r>
      <w:r>
        <w:rPr>
          <w:rFonts w:hint="eastAsia" w:asciiTheme="minorEastAsia" w:hAnsiTheme="minorEastAsia" w:eastAsiaTheme="minorEastAsia" w:cstheme="minorEastAsia"/>
          <w:color w:val="000000"/>
          <w:u w:val="single"/>
        </w:rPr>
        <w:softHyphen/>
      </w:r>
    </w:p>
    <w:p w14:paraId="26D3D291">
      <w:pPr>
        <w:widowControl w:val="0"/>
        <w:spacing w:line="34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地    址：</w:t>
      </w:r>
      <w:r>
        <w:rPr>
          <w:rFonts w:hint="eastAsia" w:asciiTheme="minorEastAsia" w:hAnsiTheme="minorEastAsia" w:eastAsiaTheme="minorEastAsia" w:cstheme="minorEastAsia"/>
          <w:color w:val="000000"/>
          <w:u w:val="single"/>
        </w:rPr>
        <w:t xml:space="preserve">                   </w:t>
      </w:r>
    </w:p>
    <w:p w14:paraId="0D5BA99A">
      <w:pPr>
        <w:widowControl w:val="0"/>
        <w:spacing w:line="34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姓    名：</w:t>
      </w:r>
      <w:r>
        <w:rPr>
          <w:rFonts w:hint="eastAsia" w:asciiTheme="minorEastAsia" w:hAnsiTheme="minorEastAsia" w:eastAsiaTheme="minorEastAsia" w:cstheme="minorEastAsia"/>
          <w:color w:val="000000"/>
          <w:u w:val="single"/>
        </w:rPr>
        <w:t xml:space="preserve">              </w:t>
      </w:r>
      <w:r>
        <w:rPr>
          <w:rFonts w:hint="eastAsia" w:asciiTheme="minorEastAsia" w:hAnsiTheme="minorEastAsia" w:eastAsiaTheme="minorEastAsia" w:cstheme="minorEastAsia"/>
          <w:color w:val="000000"/>
        </w:rPr>
        <w:t xml:space="preserve"> 性别：</w:t>
      </w:r>
      <w:r>
        <w:rPr>
          <w:rFonts w:hint="eastAsia" w:asciiTheme="minorEastAsia" w:hAnsiTheme="minorEastAsia" w:eastAsiaTheme="minorEastAsia" w:cstheme="minorEastAsia"/>
          <w:color w:val="000000"/>
          <w:u w:val="single"/>
        </w:rPr>
        <w:t xml:space="preserve">          </w:t>
      </w:r>
      <w:r>
        <w:rPr>
          <w:rFonts w:hint="eastAsia" w:asciiTheme="minorEastAsia" w:hAnsiTheme="minorEastAsia" w:eastAsiaTheme="minorEastAsia" w:cstheme="minorEastAsia"/>
          <w:color w:val="000000"/>
        </w:rPr>
        <w:t xml:space="preserve"> 年龄：</w:t>
      </w:r>
      <w:r>
        <w:rPr>
          <w:rFonts w:hint="eastAsia" w:asciiTheme="minorEastAsia" w:hAnsiTheme="minorEastAsia" w:eastAsiaTheme="minorEastAsia" w:cstheme="minorEastAsia"/>
          <w:color w:val="000000"/>
          <w:u w:val="single"/>
        </w:rPr>
        <w:t xml:space="preserve">          </w:t>
      </w:r>
    </w:p>
    <w:p w14:paraId="71B9BB2E">
      <w:pPr>
        <w:widowControl w:val="0"/>
        <w:spacing w:line="34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身份证号码：</w:t>
      </w:r>
      <w:r>
        <w:rPr>
          <w:rFonts w:hint="eastAsia" w:asciiTheme="minorEastAsia" w:hAnsiTheme="minorEastAsia" w:eastAsiaTheme="minorEastAsia" w:cstheme="minorEastAsia"/>
          <w:color w:val="000000"/>
          <w:u w:val="single"/>
        </w:rPr>
        <w:t xml:space="preserve">                     </w:t>
      </w:r>
      <w:r>
        <w:rPr>
          <w:rFonts w:hint="eastAsia" w:asciiTheme="minorEastAsia" w:hAnsiTheme="minorEastAsia" w:eastAsiaTheme="minorEastAsia" w:cstheme="minorEastAsia"/>
          <w:color w:val="000000"/>
        </w:rPr>
        <w:t>职务：</w:t>
      </w:r>
      <w:r>
        <w:rPr>
          <w:rFonts w:hint="eastAsia" w:asciiTheme="minorEastAsia" w:hAnsiTheme="minorEastAsia" w:eastAsiaTheme="minorEastAsia" w:cstheme="minorEastAsia"/>
          <w:color w:val="000000"/>
          <w:u w:val="single"/>
        </w:rPr>
        <w:t xml:space="preserve">                   </w:t>
      </w:r>
    </w:p>
    <w:p w14:paraId="55B2F870">
      <w:pPr>
        <w:widowControl w:val="0"/>
        <w:spacing w:line="34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联系电话或手机号码</w:t>
      </w:r>
      <w:r>
        <w:rPr>
          <w:rFonts w:hint="eastAsia" w:asciiTheme="minorEastAsia" w:hAnsiTheme="minorEastAsia" w:eastAsiaTheme="minorEastAsia" w:cstheme="minorEastAsia"/>
          <w:color w:val="000000"/>
          <w:highlight w:val="yellow"/>
          <w:u w:val="single"/>
        </w:rPr>
        <w:t>：（如法定代表人为投标人代表，则必须需填写此项）</w:t>
      </w:r>
      <w:r>
        <w:rPr>
          <w:rFonts w:hint="eastAsia" w:asciiTheme="minorEastAsia" w:hAnsiTheme="minorEastAsia" w:eastAsiaTheme="minorEastAsia" w:cstheme="minorEastAsia"/>
          <w:color w:val="000000"/>
          <w:highlight w:val="yellow"/>
        </w:rPr>
        <w:t>。</w:t>
      </w:r>
    </w:p>
    <w:p w14:paraId="3A579E83">
      <w:pPr>
        <w:widowControl w:val="0"/>
        <w:spacing w:line="34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我系</w:t>
      </w:r>
      <w:r>
        <w:rPr>
          <w:rFonts w:hint="eastAsia" w:asciiTheme="minorEastAsia" w:hAnsiTheme="minorEastAsia" w:eastAsiaTheme="minorEastAsia" w:cstheme="minorEastAsia"/>
          <w:color w:val="000000"/>
          <w:u w:val="single"/>
        </w:rPr>
        <w:t xml:space="preserve">  投标人名称 </w:t>
      </w:r>
      <w:r>
        <w:rPr>
          <w:rFonts w:hint="eastAsia" w:asciiTheme="minorEastAsia" w:hAnsiTheme="minorEastAsia" w:eastAsiaTheme="minorEastAsia" w:cstheme="minorEastAsia"/>
          <w:color w:val="000000"/>
        </w:rPr>
        <w:t>的法定代表人（负责人或执行事务合伙人）。本证明书用于</w:t>
      </w:r>
      <w:r>
        <w:rPr>
          <w:rFonts w:hint="eastAsia" w:asciiTheme="minorEastAsia" w:hAnsiTheme="minorEastAsia" w:eastAsiaTheme="minorEastAsia" w:cstheme="minorEastAsia"/>
          <w:color w:val="000000"/>
          <w:u w:val="single"/>
        </w:rPr>
        <w:t xml:space="preserve"> 投标人名称 </w:t>
      </w:r>
      <w:r>
        <w:rPr>
          <w:rFonts w:hint="eastAsia" w:asciiTheme="minorEastAsia" w:hAnsiTheme="minorEastAsia" w:eastAsiaTheme="minorEastAsia" w:cstheme="minorEastAsia"/>
          <w:color w:val="000000"/>
        </w:rPr>
        <w:t>签署</w:t>
      </w:r>
      <w:r>
        <w:rPr>
          <w:rFonts w:hint="eastAsia" w:asciiTheme="minorEastAsia" w:hAnsiTheme="minorEastAsia" w:eastAsiaTheme="minorEastAsia" w:cstheme="minorEastAsia"/>
          <w:color w:val="000000"/>
          <w:u w:val="single"/>
        </w:rPr>
        <w:t xml:space="preserve"> 项目名称（项目编号）</w:t>
      </w:r>
      <w:r>
        <w:rPr>
          <w:rFonts w:hint="eastAsia" w:asciiTheme="minorEastAsia" w:hAnsiTheme="minorEastAsia" w:eastAsiaTheme="minorEastAsia" w:cstheme="minorEastAsia"/>
          <w:color w:val="000000"/>
        </w:rPr>
        <w:t>项目的投标文件、进行合同投标、签署合同和处理与之有关的一切事务。</w:t>
      </w:r>
    </w:p>
    <w:p w14:paraId="60AA7BA2">
      <w:pPr>
        <w:widowControl w:val="0"/>
        <w:spacing w:line="34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特此证明。</w:t>
      </w:r>
    </w:p>
    <w:p w14:paraId="3C008E7C">
      <w:pPr>
        <w:widowControl w:val="0"/>
        <w:spacing w:line="34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日  期：</w:t>
      </w:r>
      <w:r>
        <w:rPr>
          <w:rFonts w:hint="eastAsia"/>
          <w:szCs w:val="21"/>
          <w:u w:val="single"/>
        </w:rPr>
        <w:t xml:space="preserve">      </w:t>
      </w:r>
      <w:r>
        <w:rPr>
          <w:rFonts w:hint="eastAsia" w:asciiTheme="minorEastAsia" w:hAnsiTheme="minorEastAsia" w:eastAsiaTheme="minorEastAsia" w:cstheme="minorEastAsia"/>
          <w:color w:val="000000"/>
        </w:rPr>
        <w:t>年</w:t>
      </w:r>
      <w:r>
        <w:rPr>
          <w:rFonts w:hint="eastAsia"/>
          <w:szCs w:val="21"/>
          <w:u w:val="single"/>
        </w:rPr>
        <w:t xml:space="preserve">      </w:t>
      </w:r>
      <w:r>
        <w:rPr>
          <w:rFonts w:hint="eastAsia" w:asciiTheme="minorEastAsia" w:hAnsiTheme="minorEastAsia" w:eastAsiaTheme="minorEastAsia" w:cstheme="minorEastAsia"/>
          <w:color w:val="000000"/>
        </w:rPr>
        <w:t>月</w:t>
      </w:r>
      <w:r>
        <w:rPr>
          <w:rFonts w:hint="eastAsia"/>
          <w:szCs w:val="21"/>
          <w:u w:val="single"/>
        </w:rPr>
        <w:t xml:space="preserve">      </w:t>
      </w:r>
      <w:r>
        <w:rPr>
          <w:rFonts w:hint="eastAsia" w:asciiTheme="minorEastAsia" w:hAnsiTheme="minorEastAsia" w:eastAsiaTheme="minorEastAsia" w:cstheme="minorEastAsia"/>
          <w:color w:val="000000"/>
        </w:rPr>
        <w:t>日</w:t>
      </w:r>
    </w:p>
    <w:p w14:paraId="6767E99B">
      <w:pPr>
        <w:spacing w:line="340" w:lineRule="exact"/>
        <w:rPr>
          <w:rFonts w:asciiTheme="minorEastAsia" w:hAnsiTheme="minorEastAsia" w:eastAsiaTheme="minorEastAsia" w:cstheme="minorEastAsia"/>
          <w:bCs/>
          <w:color w:val="000000"/>
        </w:rPr>
      </w:pP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60288" behindDoc="0" locked="0" layoutInCell="1" allowOverlap="1">
                <wp:simplePos x="0" y="0"/>
                <wp:positionH relativeFrom="column">
                  <wp:posOffset>2990215</wp:posOffset>
                </wp:positionH>
                <wp:positionV relativeFrom="paragraph">
                  <wp:posOffset>112395</wp:posOffset>
                </wp:positionV>
                <wp:extent cx="2782570" cy="1902460"/>
                <wp:effectExtent l="4445" t="4445" r="13335" b="17145"/>
                <wp:wrapNone/>
                <wp:docPr id="7" name="文本框 7"/>
                <wp:cNvGraphicFramePr/>
                <a:graphic xmlns:a="http://schemas.openxmlformats.org/drawingml/2006/main">
                  <a:graphicData uri="http://schemas.microsoft.com/office/word/2010/wordprocessingShape">
                    <wps:wsp>
                      <wps:cNvSpPr txBox="1"/>
                      <wps:spPr>
                        <a:xfrm>
                          <a:off x="0" y="0"/>
                          <a:ext cx="2782570" cy="190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33993F">
                            <w:pPr>
                              <w:rPr>
                                <w:rFonts w:ascii="宋体" w:hAnsi="宋体" w:cs="宋体"/>
                              </w:rPr>
                            </w:pPr>
                          </w:p>
                          <w:p w14:paraId="12313924"/>
                          <w:p w14:paraId="2D679013">
                            <w:pPr>
                              <w:jc w:val="center"/>
                              <w:rPr>
                                <w:rFonts w:ascii="仿宋" w:hAnsi="仿宋" w:eastAsia="仿宋" w:cs="仿宋"/>
                                <w:bCs/>
                                <w:sz w:val="22"/>
                                <w:szCs w:val="22"/>
                              </w:rPr>
                            </w:pPr>
                            <w:r>
                              <w:rPr>
                                <w:rFonts w:hint="eastAsia" w:ascii="仿宋" w:hAnsi="仿宋" w:eastAsia="仿宋" w:cs="仿宋"/>
                                <w:bCs/>
                                <w:sz w:val="22"/>
                                <w:szCs w:val="22"/>
                              </w:rPr>
                              <w:t>法定代表人（负责人或执行事务合伙人）</w:t>
                            </w:r>
                          </w:p>
                          <w:p w14:paraId="57163CC8">
                            <w:pPr>
                              <w:jc w:val="center"/>
                              <w:rPr>
                                <w:rFonts w:ascii="仿宋" w:hAnsi="仿宋" w:eastAsia="仿宋" w:cs="仿宋"/>
                                <w:bCs/>
                                <w:sz w:val="28"/>
                                <w:szCs w:val="28"/>
                              </w:rPr>
                            </w:pPr>
                            <w:r>
                              <w:rPr>
                                <w:rFonts w:hint="eastAsia" w:ascii="仿宋" w:hAnsi="仿宋" w:eastAsia="仿宋" w:cs="仿宋"/>
                                <w:bCs/>
                                <w:sz w:val="28"/>
                                <w:szCs w:val="28"/>
                              </w:rPr>
                              <w:t>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5.45pt;margin-top:8.85pt;height:149.8pt;width:219.1pt;z-index:251660288;mso-width-relative:page;mso-height-relative:page;" fillcolor="#FFFFFF" filled="t" stroked="t" coordsize="21600,21600" o:gfxdata="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UWXbYAAAACgEAAA8AAAAAAAAAAQAgAAAAIgAAAGRycy9kb3ducmV2Lnht&#10;bFBLAQIUABQAAAAIAIdO4kBurXkTMgIAAHgEAAAOAAAAAAAAAAEAIAAAACcBAABkcnMvZTJvRG9j&#10;LnhtbFBLBQYAAAAABgAGAFkBAADLBQAAAAA=&#10;">
                <v:fill on="t" focussize="0,0"/>
                <v:stroke color="#000000" joinstyle="miter"/>
                <v:imagedata o:title=""/>
                <o:lock v:ext="edit" aspectratio="f"/>
                <v:textbox>
                  <w:txbxContent>
                    <w:p w14:paraId="0E33993F">
                      <w:pPr>
                        <w:rPr>
                          <w:rFonts w:ascii="宋体" w:hAnsi="宋体" w:cs="宋体"/>
                        </w:rPr>
                      </w:pPr>
                    </w:p>
                    <w:p w14:paraId="12313924"/>
                    <w:p w14:paraId="2D679013">
                      <w:pPr>
                        <w:jc w:val="center"/>
                        <w:rPr>
                          <w:rFonts w:ascii="仿宋" w:hAnsi="仿宋" w:eastAsia="仿宋" w:cs="仿宋"/>
                          <w:bCs/>
                          <w:sz w:val="22"/>
                          <w:szCs w:val="22"/>
                        </w:rPr>
                      </w:pPr>
                      <w:r>
                        <w:rPr>
                          <w:rFonts w:hint="eastAsia" w:ascii="仿宋" w:hAnsi="仿宋" w:eastAsia="仿宋" w:cs="仿宋"/>
                          <w:bCs/>
                          <w:sz w:val="22"/>
                          <w:szCs w:val="22"/>
                        </w:rPr>
                        <w:t>法定代表人（负责人或执行事务合伙人）</w:t>
                      </w:r>
                    </w:p>
                    <w:p w14:paraId="57163CC8">
                      <w:pPr>
                        <w:jc w:val="center"/>
                        <w:rPr>
                          <w:rFonts w:ascii="仿宋" w:hAnsi="仿宋" w:eastAsia="仿宋" w:cs="仿宋"/>
                          <w:bCs/>
                          <w:sz w:val="28"/>
                          <w:szCs w:val="28"/>
                        </w:rPr>
                      </w:pPr>
                      <w:r>
                        <w:rPr>
                          <w:rFonts w:hint="eastAsia" w:ascii="仿宋" w:hAnsi="仿宋" w:eastAsia="仿宋" w:cs="仿宋"/>
                          <w:bCs/>
                          <w:sz w:val="28"/>
                          <w:szCs w:val="28"/>
                        </w:rPr>
                        <w:t>身份证反面</w:t>
                      </w:r>
                    </w:p>
                  </w:txbxContent>
                </v:textbox>
              </v:shape>
            </w:pict>
          </mc:Fallback>
        </mc:AlternateContent>
      </w: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109855</wp:posOffset>
                </wp:positionV>
                <wp:extent cx="2830830" cy="1920875"/>
                <wp:effectExtent l="5080" t="4445" r="21590" b="17780"/>
                <wp:wrapNone/>
                <wp:docPr id="5" name="文本框 5"/>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146242">
                            <w:pPr>
                              <w:rPr>
                                <w:rFonts w:ascii="宋体" w:hAnsi="宋体" w:cs="宋体"/>
                              </w:rPr>
                            </w:pPr>
                          </w:p>
                          <w:p w14:paraId="6E44DFFC"/>
                          <w:p w14:paraId="3E518CC3">
                            <w:pPr>
                              <w:jc w:val="center"/>
                              <w:rPr>
                                <w:rFonts w:ascii="仿宋" w:hAnsi="仿宋" w:eastAsia="仿宋" w:cs="仿宋"/>
                                <w:bCs/>
                                <w:sz w:val="22"/>
                                <w:szCs w:val="22"/>
                              </w:rPr>
                            </w:pPr>
                            <w:r>
                              <w:rPr>
                                <w:rFonts w:hint="eastAsia" w:ascii="仿宋" w:hAnsi="仿宋" w:eastAsia="仿宋" w:cs="仿宋"/>
                                <w:bCs/>
                                <w:sz w:val="22"/>
                                <w:szCs w:val="22"/>
                              </w:rPr>
                              <w:t>法定代表人（负责人或执行事务合伙人）</w:t>
                            </w:r>
                          </w:p>
                          <w:p w14:paraId="573527A7">
                            <w:pPr>
                              <w:jc w:val="center"/>
                              <w:rPr>
                                <w:rFonts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8.65pt;height:151.25pt;width:222.9pt;z-index:251659264;mso-width-relative:page;mso-height-relative:page;" fillcolor="#FFFFFF" filled="t" stroked="t" coordsize="21600,21600" o:gfxdata="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Mnmr1QAAAAcBAAAPAAAAAAAAAAEAIAAAACIAAABkcnMvZG93bnJldi54bWxQSwEC&#10;FAAUAAAACACHTuJAFt58ZDACAAB4BAAADgAAAAAAAAABACAAAAAkAQAAZHJzL2Uyb0RvYy54bWxQ&#10;SwUGAAAAAAYABgBZAQAAxgUAAAAA&#10;">
                <v:fill on="t" focussize="0,0"/>
                <v:stroke color="#000000" joinstyle="miter"/>
                <v:imagedata o:title=""/>
                <o:lock v:ext="edit" aspectratio="f"/>
                <v:textbox>
                  <w:txbxContent>
                    <w:p w14:paraId="44146242">
                      <w:pPr>
                        <w:rPr>
                          <w:rFonts w:ascii="宋体" w:hAnsi="宋体" w:cs="宋体"/>
                        </w:rPr>
                      </w:pPr>
                    </w:p>
                    <w:p w14:paraId="6E44DFFC"/>
                    <w:p w14:paraId="3E518CC3">
                      <w:pPr>
                        <w:jc w:val="center"/>
                        <w:rPr>
                          <w:rFonts w:ascii="仿宋" w:hAnsi="仿宋" w:eastAsia="仿宋" w:cs="仿宋"/>
                          <w:bCs/>
                          <w:sz w:val="22"/>
                          <w:szCs w:val="22"/>
                        </w:rPr>
                      </w:pPr>
                      <w:r>
                        <w:rPr>
                          <w:rFonts w:hint="eastAsia" w:ascii="仿宋" w:hAnsi="仿宋" w:eastAsia="仿宋" w:cs="仿宋"/>
                          <w:bCs/>
                          <w:sz w:val="22"/>
                          <w:szCs w:val="22"/>
                        </w:rPr>
                        <w:t>法定代表人（负责人或执行事务合伙人）</w:t>
                      </w:r>
                    </w:p>
                    <w:p w14:paraId="573527A7">
                      <w:pPr>
                        <w:jc w:val="center"/>
                        <w:rPr>
                          <w:rFonts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v:textbox>
              </v:shape>
            </w:pict>
          </mc:Fallback>
        </mc:AlternateContent>
      </w:r>
    </w:p>
    <w:p w14:paraId="4EC53AE8">
      <w:pPr>
        <w:spacing w:line="340" w:lineRule="exact"/>
        <w:rPr>
          <w:rFonts w:asciiTheme="minorEastAsia" w:hAnsiTheme="minorEastAsia" w:eastAsiaTheme="minorEastAsia" w:cstheme="minorEastAsia"/>
          <w:bCs/>
          <w:color w:val="000000"/>
        </w:rPr>
      </w:pPr>
    </w:p>
    <w:p w14:paraId="70914498">
      <w:pPr>
        <w:spacing w:line="340" w:lineRule="exact"/>
        <w:rPr>
          <w:rFonts w:asciiTheme="minorEastAsia" w:hAnsiTheme="minorEastAsia" w:eastAsiaTheme="minorEastAsia" w:cstheme="minorEastAsia"/>
          <w:bCs/>
          <w:color w:val="000000"/>
        </w:rPr>
      </w:pPr>
    </w:p>
    <w:p w14:paraId="72B4C8DA">
      <w:pPr>
        <w:spacing w:line="340" w:lineRule="exact"/>
        <w:rPr>
          <w:rFonts w:asciiTheme="minorEastAsia" w:hAnsiTheme="minorEastAsia" w:eastAsiaTheme="minorEastAsia" w:cstheme="minorEastAsia"/>
          <w:bCs/>
          <w:color w:val="000000"/>
        </w:rPr>
      </w:pPr>
    </w:p>
    <w:p w14:paraId="46D0F5F8">
      <w:pPr>
        <w:spacing w:line="340" w:lineRule="exact"/>
        <w:rPr>
          <w:rFonts w:asciiTheme="minorEastAsia" w:hAnsiTheme="minorEastAsia" w:eastAsiaTheme="minorEastAsia" w:cstheme="minorEastAsia"/>
          <w:color w:val="000000"/>
        </w:rPr>
      </w:pPr>
    </w:p>
    <w:p w14:paraId="537A9530">
      <w:pPr>
        <w:spacing w:line="340" w:lineRule="exact"/>
        <w:rPr>
          <w:rFonts w:asciiTheme="minorEastAsia" w:hAnsiTheme="minorEastAsia" w:eastAsiaTheme="minorEastAsia" w:cstheme="minorEastAsia"/>
          <w:color w:val="000000"/>
        </w:rPr>
      </w:pPr>
    </w:p>
    <w:p w14:paraId="456A7C8E">
      <w:pPr>
        <w:spacing w:after="60" w:line="340" w:lineRule="exact"/>
        <w:rPr>
          <w:rFonts w:asciiTheme="minorEastAsia" w:hAnsiTheme="minorEastAsia" w:eastAsiaTheme="minorEastAsia" w:cstheme="minorEastAsia"/>
          <w:color w:val="000000"/>
        </w:rPr>
      </w:pPr>
    </w:p>
    <w:p w14:paraId="43AE5256">
      <w:pPr>
        <w:spacing w:line="340" w:lineRule="exact"/>
        <w:rPr>
          <w:rFonts w:asciiTheme="minorEastAsia" w:hAnsiTheme="minorEastAsia" w:eastAsiaTheme="minorEastAsia" w:cstheme="minorEastAsia"/>
          <w:color w:val="000000"/>
        </w:rPr>
      </w:pPr>
    </w:p>
    <w:p w14:paraId="4BB633EA">
      <w:pPr>
        <w:spacing w:line="340" w:lineRule="exact"/>
        <w:jc w:val="center"/>
        <w:rPr>
          <w:rFonts w:asciiTheme="minorEastAsia" w:hAnsiTheme="minorEastAsia" w:eastAsiaTheme="minorEastAsia" w:cstheme="minorEastAsia"/>
          <w:b/>
          <w:bCs/>
          <w:color w:val="000000"/>
        </w:rPr>
      </w:pPr>
    </w:p>
    <w:p w14:paraId="385FB739">
      <w:pPr>
        <w:snapToGrid w:val="0"/>
        <w:spacing w:line="340" w:lineRule="exact"/>
        <w:ind w:left="840" w:hanging="840" w:hangingChars="350"/>
        <w:rPr>
          <w:rFonts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说明：</w:t>
      </w:r>
    </w:p>
    <w:p w14:paraId="7BADF534">
      <w:pPr>
        <w:snapToGrid w:val="0"/>
        <w:spacing w:line="340" w:lineRule="exact"/>
        <w:ind w:firstLine="480" w:firstLineChars="200"/>
        <w:rPr>
          <w:rFonts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1.</w:t>
      </w:r>
      <w:r>
        <w:rPr>
          <w:rFonts w:hint="eastAsia"/>
          <w:szCs w:val="21"/>
        </w:rPr>
        <w:t>法定代表人（负责人或</w:t>
      </w:r>
      <w:r>
        <w:rPr>
          <w:rFonts w:hint="eastAsia"/>
          <w:color w:val="4F81BD" w:themeColor="accent1"/>
          <w:szCs w:val="21"/>
          <w14:textFill>
            <w14:solidFill>
              <w14:schemeClr w14:val="accent1"/>
            </w14:solidFill>
          </w14:textFill>
        </w:rPr>
        <w:t>执行事务合伙人</w:t>
      </w:r>
      <w:r>
        <w:rPr>
          <w:rFonts w:hint="eastAsia"/>
          <w:szCs w:val="21"/>
        </w:rPr>
        <w:t>）为投标人（企业事业单位、国家机关、社会团体）的主要行政负责人。</w:t>
      </w:r>
      <w:r>
        <w:rPr>
          <w:rFonts w:hint="eastAsia" w:asciiTheme="minorEastAsia" w:hAnsiTheme="minorEastAsia" w:eastAsiaTheme="minorEastAsia" w:cstheme="minorEastAsia"/>
          <w:bCs/>
          <w:color w:val="000000"/>
        </w:rPr>
        <w:t>须提供法定代表人（负责人或执行事务合伙人）的身份证扫描件；港澳台居民可提供来往通行证扫描件；非中国国籍管辖范围人员，可提供公安部门认可的身份证明材料扫描件；</w:t>
      </w:r>
    </w:p>
    <w:p w14:paraId="381DD01A">
      <w:pPr>
        <w:snapToGrid w:val="0"/>
        <w:spacing w:line="340" w:lineRule="exact"/>
        <w:ind w:firstLine="480" w:firstLineChars="200"/>
        <w:rPr>
          <w:rFonts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2.招投标文件中涉及需法定代表人之处，非法人组织可由负责人或执行事务合伙人执行。</w:t>
      </w:r>
    </w:p>
    <w:p w14:paraId="113D90EE">
      <w:pPr>
        <w:snapToGrid w:val="0"/>
        <w:spacing w:line="340" w:lineRule="exact"/>
        <w:ind w:firstLine="480" w:firstLineChars="200"/>
        <w:rPr>
          <w:rFonts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3.如是法定代表人（负责人或执行事务合伙人）直接参与投标，必须填写《法定代表人（负责人或执行事务合伙人）资格证明书》，可不用填写《法定代表人（负责人或执行事务合伙人）授权书》。</w:t>
      </w:r>
    </w:p>
    <w:p w14:paraId="3587E72B">
      <w:pPr>
        <w:pStyle w:val="6"/>
        <w:spacing w:line="340" w:lineRule="exact"/>
        <w:rPr>
          <w:szCs w:val="21"/>
        </w:rPr>
      </w:pPr>
      <w:r>
        <w:rPr>
          <w:rFonts w:hint="eastAsia" w:eastAsia="宋体"/>
          <w:szCs w:val="21"/>
        </w:rPr>
        <w:t>4.</w:t>
      </w:r>
      <w:r>
        <w:rPr>
          <w:rFonts w:hint="eastAsia"/>
          <w:szCs w:val="21"/>
        </w:rPr>
        <w:t>内容必须填写真实、清楚，涂改无效，不得转让、买卖。</w:t>
      </w:r>
    </w:p>
    <w:p w14:paraId="43963A7E">
      <w:pPr>
        <w:snapToGrid w:val="0"/>
        <w:spacing w:line="340" w:lineRule="exact"/>
        <w:ind w:firstLine="480" w:firstLineChars="200"/>
        <w:rPr>
          <w:color w:val="FF0000"/>
          <w:szCs w:val="21"/>
        </w:rPr>
      </w:pPr>
      <w:r>
        <w:rPr>
          <w:rFonts w:hint="eastAsia"/>
          <w:b/>
          <w:bCs/>
          <w:color w:val="FF0000"/>
          <w:szCs w:val="21"/>
        </w:rPr>
        <w:t>温馨提示:</w:t>
      </w:r>
      <w:r>
        <w:rPr>
          <w:rFonts w:hint="eastAsia"/>
          <w:color w:val="FF0000"/>
          <w:szCs w:val="21"/>
        </w:rPr>
        <w:t>为避免出现《深圳经济特区政府采购条例实施细则》第七十五条第二项所列情形，请投标供应商核实你单位法定代表人、本项目投标授权代表人、项目负责人、主要技术人员等是否在你公司缴纳社会保险。”</w:t>
      </w:r>
    </w:p>
    <w:p w14:paraId="2DE64F06">
      <w:pPr>
        <w:pStyle w:val="8"/>
      </w:pPr>
    </w:p>
    <w:p w14:paraId="41D4905D">
      <w:pPr>
        <w:pStyle w:val="3"/>
        <w:spacing w:before="120" w:after="120"/>
        <w:jc w:val="center"/>
        <w:rPr>
          <w:rFonts w:ascii="黑体" w:eastAsia="黑体"/>
          <w:b w:val="0"/>
          <w:sz w:val="24"/>
        </w:rPr>
      </w:pPr>
      <w:r>
        <w:rPr>
          <w:rFonts w:hint="eastAsia" w:ascii="黑体" w:eastAsia="黑体"/>
          <w:b w:val="0"/>
          <w:sz w:val="24"/>
        </w:rPr>
        <w:t>二、投标文件签署授权委托书</w:t>
      </w:r>
    </w:p>
    <w:p w14:paraId="61876F0E">
      <w:pPr>
        <w:widowControl w:val="0"/>
        <w:spacing w:line="400"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致友和保险经纪有限公司：</w:t>
      </w:r>
    </w:p>
    <w:p w14:paraId="60B2EAE9">
      <w:pPr>
        <w:widowControl w:val="0"/>
        <w:spacing w:line="40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本授权委托书声明：我</w:t>
      </w:r>
      <w:r>
        <w:rPr>
          <w:rFonts w:hint="eastAsia" w:asciiTheme="minorEastAsia" w:hAnsiTheme="minorEastAsia" w:eastAsiaTheme="minorEastAsia" w:cstheme="minorEastAsia"/>
          <w:color w:val="000000"/>
          <w:u w:val="single"/>
        </w:rPr>
        <w:t xml:space="preserve">  姓名  </w:t>
      </w:r>
      <w:r>
        <w:rPr>
          <w:rFonts w:hint="eastAsia" w:asciiTheme="minorEastAsia" w:hAnsiTheme="minorEastAsia" w:eastAsiaTheme="minorEastAsia" w:cstheme="minorEastAsia"/>
          <w:color w:val="000000"/>
        </w:rPr>
        <w:t>系</w:t>
      </w:r>
      <w:r>
        <w:rPr>
          <w:rFonts w:hint="eastAsia" w:asciiTheme="minorEastAsia" w:hAnsiTheme="minorEastAsia" w:eastAsiaTheme="minorEastAsia" w:cstheme="minorEastAsia"/>
          <w:color w:val="000000"/>
          <w:u w:val="single"/>
        </w:rPr>
        <w:t xml:space="preserve">  投标人名称  </w:t>
      </w:r>
      <w:r>
        <w:rPr>
          <w:rFonts w:hint="eastAsia" w:asciiTheme="minorEastAsia" w:hAnsiTheme="minorEastAsia" w:eastAsiaTheme="minorEastAsia" w:cstheme="minorEastAsia"/>
          <w:color w:val="000000"/>
        </w:rPr>
        <w:t>的法定代表人（负责人或执行事务合伙人），现授权委托</w:t>
      </w:r>
      <w:r>
        <w:rPr>
          <w:rFonts w:hint="eastAsia" w:asciiTheme="minorEastAsia" w:hAnsiTheme="minorEastAsia" w:eastAsiaTheme="minorEastAsia" w:cstheme="minorEastAsia"/>
          <w:color w:val="000000"/>
          <w:u w:val="single"/>
        </w:rPr>
        <w:t xml:space="preserve">  姓名  </w:t>
      </w:r>
      <w:r>
        <w:rPr>
          <w:rFonts w:hint="eastAsia" w:asciiTheme="minorEastAsia" w:hAnsiTheme="minorEastAsia" w:eastAsiaTheme="minorEastAsia" w:cstheme="minorEastAsia"/>
          <w:color w:val="000000"/>
        </w:rPr>
        <w:t>为我公司签署本项目已递交的投标文件的法定代表人的授权委托代理人，代理人全权代表我所签署的本项目已递交的投标文件内容我均承认。</w:t>
      </w:r>
    </w:p>
    <w:p w14:paraId="482FB561">
      <w:pPr>
        <w:widowControl w:val="0"/>
        <w:spacing w:line="40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代理人无转委托权，特此委托。</w:t>
      </w:r>
    </w:p>
    <w:p w14:paraId="730F56A1">
      <w:pPr>
        <w:widowControl w:val="0"/>
        <w:spacing w:line="400" w:lineRule="exact"/>
        <w:ind w:firstLine="480" w:firstLineChars="200"/>
        <w:rPr>
          <w:rFonts w:asciiTheme="minorEastAsia" w:hAnsiTheme="minorEastAsia" w:eastAsiaTheme="minorEastAsia" w:cstheme="minorEastAsia"/>
          <w:color w:val="000000"/>
        </w:rPr>
      </w:pPr>
    </w:p>
    <w:p w14:paraId="5B76F7AB">
      <w:pPr>
        <w:widowControl w:val="0"/>
        <w:spacing w:line="40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代理人：</w:t>
      </w:r>
      <w:r>
        <w:rPr>
          <w:rFonts w:hint="eastAsia"/>
          <w:szCs w:val="21"/>
          <w:u w:val="single"/>
        </w:rPr>
        <w:t xml:space="preserve">                  </w:t>
      </w:r>
      <w:r>
        <w:rPr>
          <w:rFonts w:hint="eastAsia" w:asciiTheme="minorEastAsia" w:hAnsiTheme="minorEastAsia" w:eastAsiaTheme="minorEastAsia" w:cstheme="minorEastAsia"/>
          <w:color w:val="000000"/>
        </w:rPr>
        <w:t>性别：</w:t>
      </w:r>
      <w:r>
        <w:rPr>
          <w:rFonts w:hint="eastAsia"/>
          <w:szCs w:val="21"/>
          <w:u w:val="single"/>
        </w:rPr>
        <w:t xml:space="preserve">                  </w:t>
      </w:r>
      <w:r>
        <w:rPr>
          <w:rFonts w:hint="eastAsia" w:asciiTheme="minorEastAsia" w:hAnsiTheme="minorEastAsia" w:eastAsiaTheme="minorEastAsia" w:cstheme="minorEastAsia"/>
          <w:color w:val="000000"/>
        </w:rPr>
        <w:t>年龄：</w:t>
      </w:r>
      <w:r>
        <w:rPr>
          <w:rFonts w:hint="eastAsia"/>
          <w:szCs w:val="21"/>
          <w:u w:val="single"/>
        </w:rPr>
        <w:t xml:space="preserve">                  </w:t>
      </w:r>
    </w:p>
    <w:p w14:paraId="2F9E7B40">
      <w:pPr>
        <w:widowControl w:val="0"/>
        <w:spacing w:line="40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联系电话：</w:t>
      </w:r>
      <w:r>
        <w:rPr>
          <w:rFonts w:hint="eastAsia"/>
          <w:szCs w:val="21"/>
          <w:u w:val="single"/>
        </w:rPr>
        <w:t xml:space="preserve">                  </w:t>
      </w:r>
      <w:r>
        <w:rPr>
          <w:rFonts w:hint="eastAsia" w:asciiTheme="minorEastAsia" w:hAnsiTheme="minorEastAsia" w:eastAsiaTheme="minorEastAsia" w:cstheme="minorEastAsia"/>
          <w:color w:val="000000"/>
        </w:rPr>
        <w:t>手机：</w:t>
      </w:r>
      <w:r>
        <w:rPr>
          <w:rFonts w:hint="eastAsia"/>
          <w:szCs w:val="21"/>
          <w:u w:val="single"/>
        </w:rPr>
        <w:t xml:space="preserve">                  </w:t>
      </w:r>
    </w:p>
    <w:p w14:paraId="1D16C17C">
      <w:pPr>
        <w:widowControl w:val="0"/>
        <w:spacing w:line="400" w:lineRule="exact"/>
        <w:ind w:firstLine="480" w:firstLineChars="200"/>
        <w:rPr>
          <w:rFonts w:asciiTheme="minorEastAsia" w:hAnsiTheme="minorEastAsia" w:eastAsiaTheme="minorEastAsia" w:cstheme="minorEastAsia"/>
          <w:color w:val="000000"/>
          <w:u w:val="single"/>
        </w:rPr>
      </w:pPr>
      <w:r>
        <w:rPr>
          <w:rFonts w:hint="eastAsia" w:asciiTheme="minorEastAsia" w:hAnsiTheme="minorEastAsia" w:eastAsiaTheme="minorEastAsia" w:cstheme="minorEastAsia"/>
          <w:color w:val="000000"/>
        </w:rPr>
        <w:t>身份证号码：</w:t>
      </w:r>
      <w:r>
        <w:rPr>
          <w:rFonts w:hint="eastAsia"/>
          <w:szCs w:val="21"/>
          <w:u w:val="single"/>
        </w:rPr>
        <w:t xml:space="preserve">                  </w:t>
      </w:r>
      <w:r>
        <w:rPr>
          <w:rFonts w:hint="eastAsia" w:asciiTheme="minorEastAsia" w:hAnsiTheme="minorEastAsia" w:eastAsiaTheme="minorEastAsia" w:cstheme="minorEastAsia"/>
          <w:color w:val="000000"/>
        </w:rPr>
        <w:t>职务：</w:t>
      </w:r>
      <w:r>
        <w:rPr>
          <w:rFonts w:hint="eastAsia"/>
          <w:szCs w:val="21"/>
          <w:u w:val="single"/>
        </w:rPr>
        <w:t xml:space="preserve">                  </w:t>
      </w:r>
    </w:p>
    <w:p w14:paraId="6014A4FB">
      <w:pPr>
        <w:widowControl w:val="0"/>
        <w:spacing w:line="400" w:lineRule="exact"/>
        <w:ind w:firstLine="480" w:firstLineChars="200"/>
        <w:rPr>
          <w:rFonts w:asciiTheme="minorEastAsia" w:hAnsiTheme="minorEastAsia" w:eastAsiaTheme="minorEastAsia" w:cstheme="minorEastAsia"/>
          <w:color w:val="000000"/>
        </w:rPr>
      </w:pPr>
    </w:p>
    <w:p w14:paraId="436E4AD6">
      <w:pPr>
        <w:widowControl w:val="0"/>
        <w:spacing w:line="400" w:lineRule="exact"/>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授权委托日期：</w:t>
      </w:r>
      <w:r>
        <w:rPr>
          <w:rFonts w:hint="eastAsia"/>
          <w:szCs w:val="21"/>
          <w:u w:val="single"/>
        </w:rPr>
        <w:t xml:space="preserve">       </w:t>
      </w:r>
      <w:r>
        <w:rPr>
          <w:rFonts w:hint="eastAsia" w:asciiTheme="minorEastAsia" w:hAnsiTheme="minorEastAsia" w:eastAsiaTheme="minorEastAsia" w:cstheme="minorEastAsia"/>
          <w:color w:val="000000"/>
        </w:rPr>
        <w:t>年</w:t>
      </w:r>
      <w:r>
        <w:rPr>
          <w:rFonts w:hint="eastAsia"/>
          <w:szCs w:val="21"/>
          <w:u w:val="single"/>
        </w:rPr>
        <w:t xml:space="preserve">      </w:t>
      </w:r>
      <w:r>
        <w:rPr>
          <w:rFonts w:hint="eastAsia" w:asciiTheme="minorEastAsia" w:hAnsiTheme="minorEastAsia" w:eastAsiaTheme="minorEastAsia" w:cstheme="minorEastAsia"/>
          <w:color w:val="000000"/>
        </w:rPr>
        <w:t>月</w:t>
      </w:r>
      <w:r>
        <w:rPr>
          <w:rFonts w:hint="eastAsia"/>
          <w:szCs w:val="21"/>
          <w:u w:val="single"/>
        </w:rPr>
        <w:t xml:space="preserve">      </w:t>
      </w:r>
      <w:r>
        <w:rPr>
          <w:rFonts w:hint="eastAsia" w:asciiTheme="minorEastAsia" w:hAnsiTheme="minorEastAsia" w:eastAsiaTheme="minorEastAsia" w:cstheme="minorEastAsia"/>
          <w:color w:val="000000"/>
        </w:rPr>
        <w:t>日，有效期至</w:t>
      </w:r>
      <w:r>
        <w:rPr>
          <w:rFonts w:hint="eastAsia"/>
          <w:szCs w:val="21"/>
          <w:u w:val="single"/>
        </w:rPr>
        <w:t xml:space="preserve">       </w:t>
      </w:r>
      <w:r>
        <w:rPr>
          <w:rFonts w:hint="eastAsia" w:asciiTheme="minorEastAsia" w:hAnsiTheme="minorEastAsia" w:eastAsiaTheme="minorEastAsia" w:cstheme="minorEastAsia"/>
          <w:color w:val="000000"/>
        </w:rPr>
        <w:t>年</w:t>
      </w:r>
      <w:r>
        <w:rPr>
          <w:rFonts w:hint="eastAsia"/>
          <w:szCs w:val="21"/>
          <w:u w:val="single"/>
        </w:rPr>
        <w:t xml:space="preserve">      </w:t>
      </w:r>
      <w:r>
        <w:rPr>
          <w:rFonts w:hint="eastAsia" w:asciiTheme="minorEastAsia" w:hAnsiTheme="minorEastAsia" w:eastAsiaTheme="minorEastAsia" w:cstheme="minorEastAsia"/>
          <w:color w:val="000000"/>
        </w:rPr>
        <w:t>月</w:t>
      </w:r>
      <w:r>
        <w:rPr>
          <w:rFonts w:hint="eastAsia"/>
          <w:szCs w:val="21"/>
          <w:u w:val="single"/>
        </w:rPr>
        <w:t xml:space="preserve">      </w:t>
      </w:r>
      <w:r>
        <w:rPr>
          <w:rFonts w:hint="eastAsia" w:asciiTheme="minorEastAsia" w:hAnsiTheme="minorEastAsia" w:eastAsiaTheme="minorEastAsia" w:cstheme="minorEastAsia"/>
          <w:color w:val="000000"/>
        </w:rPr>
        <w:t>日。</w:t>
      </w:r>
    </w:p>
    <w:p w14:paraId="7E0D37DB">
      <w:pPr>
        <w:spacing w:line="360" w:lineRule="auto"/>
        <w:rPr>
          <w:rFonts w:ascii="仿宋" w:hAnsi="仿宋" w:eastAsia="仿宋" w:cs="仿宋"/>
          <w:bCs/>
          <w:color w:val="000000"/>
        </w:rPr>
      </w:pPr>
      <w:r>
        <w:rPr>
          <w:color w:val="000000"/>
        </w:rPr>
        <mc:AlternateContent>
          <mc:Choice Requires="wps">
            <w:drawing>
              <wp:anchor distT="0" distB="0" distL="114300" distR="114300" simplePos="0" relativeHeight="251662336" behindDoc="0" locked="0" layoutInCell="1" allowOverlap="1">
                <wp:simplePos x="0" y="0"/>
                <wp:positionH relativeFrom="column">
                  <wp:posOffset>2999740</wp:posOffset>
                </wp:positionH>
                <wp:positionV relativeFrom="paragraph">
                  <wp:posOffset>20955</wp:posOffset>
                </wp:positionV>
                <wp:extent cx="2782570" cy="1920875"/>
                <wp:effectExtent l="5080" t="4445" r="12700" b="17780"/>
                <wp:wrapNone/>
                <wp:docPr id="12" name="文本框 1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3FB474">
                            <w:pPr>
                              <w:rPr>
                                <w:rFonts w:ascii="宋体" w:hAnsi="宋体" w:cs="宋体"/>
                              </w:rPr>
                            </w:pPr>
                          </w:p>
                          <w:p w14:paraId="3BEE5347"/>
                          <w:p w14:paraId="122570D0">
                            <w:pPr>
                              <w:jc w:val="center"/>
                              <w:rPr>
                                <w:rFonts w:ascii="仿宋" w:hAnsi="仿宋" w:eastAsia="仿宋" w:cs="仿宋"/>
                                <w:bCs/>
                              </w:rPr>
                            </w:pPr>
                            <w:r>
                              <w:rPr>
                                <w:rFonts w:hint="eastAsia" w:ascii="仿宋" w:hAnsi="仿宋" w:eastAsia="仿宋" w:cs="仿宋"/>
                                <w:bCs/>
                              </w:rPr>
                              <w:t>被授权人身份证反面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1.65pt;height:151.25pt;width:219.1pt;z-index:251662336;mso-width-relative:page;mso-height-relative:page;" fillcolor="#FFFFFF" filled="t" stroked="t" coordsize="21600,21600" o:gfxdata="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Z41nYAAAACQEAAA8AAAAAAAAAAQAgAAAAIgAAAGRycy9kb3ducmV2LnhtbFBL&#10;AQIUABQAAAAIAIdO4kBZsc1XLwIAAHoEAAAOAAAAAAAAAAEAIAAAACcBAABkcnMvZTJvRG9jLnht&#10;bFBLBQYAAAAABgAGAFkBAADIBQAAAAA=&#10;">
                <v:fill on="t" focussize="0,0"/>
                <v:stroke color="#000000" joinstyle="miter"/>
                <v:imagedata o:title=""/>
                <o:lock v:ext="edit" aspectratio="f"/>
                <v:textbox>
                  <w:txbxContent>
                    <w:p w14:paraId="123FB474">
                      <w:pPr>
                        <w:rPr>
                          <w:rFonts w:ascii="宋体" w:hAnsi="宋体" w:cs="宋体"/>
                        </w:rPr>
                      </w:pPr>
                    </w:p>
                    <w:p w14:paraId="3BEE5347"/>
                    <w:p w14:paraId="122570D0">
                      <w:pPr>
                        <w:jc w:val="center"/>
                        <w:rPr>
                          <w:rFonts w:ascii="仿宋" w:hAnsi="仿宋" w:eastAsia="仿宋" w:cs="仿宋"/>
                          <w:bCs/>
                        </w:rPr>
                      </w:pPr>
                      <w:r>
                        <w:rPr>
                          <w:rFonts w:hint="eastAsia" w:ascii="仿宋" w:hAnsi="仿宋" w:eastAsia="仿宋" w:cs="仿宋"/>
                          <w:bCs/>
                        </w:rPr>
                        <w:t>被授权人身份证反面</w:t>
                      </w:r>
                    </w:p>
                  </w:txbxContent>
                </v:textbox>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20955</wp:posOffset>
                </wp:positionV>
                <wp:extent cx="2830830" cy="1920875"/>
                <wp:effectExtent l="5080" t="4445" r="21590" b="17780"/>
                <wp:wrapNone/>
                <wp:docPr id="11" name="文本框 11"/>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5D61A4">
                            <w:pPr>
                              <w:rPr>
                                <w:rFonts w:ascii="宋体" w:hAnsi="宋体" w:cs="宋体"/>
                              </w:rPr>
                            </w:pPr>
                          </w:p>
                          <w:p w14:paraId="7E0F93E4"/>
                          <w:p w14:paraId="16F59254">
                            <w:pPr>
                              <w:jc w:val="center"/>
                              <w:rPr>
                                <w:rFonts w:ascii="仿宋" w:hAnsi="仿宋" w:eastAsia="仿宋" w:cs="仿宋"/>
                                <w:bCs/>
                                <w:sz w:val="22"/>
                                <w:szCs w:val="22"/>
                              </w:rPr>
                            </w:pPr>
                            <w:r>
                              <w:rPr>
                                <w:rFonts w:hint="eastAsia" w:ascii="仿宋" w:hAnsi="仿宋" w:eastAsia="仿宋" w:cs="仿宋"/>
                                <w:bCs/>
                              </w:rPr>
                              <w:t>被授权人身份证正面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1.65pt;height:151.25pt;width:222.9pt;z-index:251661312;mso-width-relative:page;mso-height-relative:page;" fillcolor="#FFFFFF" filled="t" stroked="t" coordsize="21600,21600" o:gfxdata="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dNwDVAAAABgEAAA8AAAAAAAAAAQAgAAAAIgAAAGRycy9kb3ducmV2LnhtbFBLAQIU&#10;ABQAAAAIAIdO4kDplZsDLwIAAHoEAAAOAAAAAAAAAAEAIAAAACQBAABkcnMvZTJvRG9jLnhtbFBL&#10;BQYAAAAABgAGAFkBAADFBQAAAAA=&#10;">
                <v:fill on="t" focussize="0,0"/>
                <v:stroke color="#000000" joinstyle="miter"/>
                <v:imagedata o:title=""/>
                <o:lock v:ext="edit" aspectratio="f"/>
                <v:textbox>
                  <w:txbxContent>
                    <w:p w14:paraId="275D61A4">
                      <w:pPr>
                        <w:rPr>
                          <w:rFonts w:ascii="宋体" w:hAnsi="宋体" w:cs="宋体"/>
                        </w:rPr>
                      </w:pPr>
                    </w:p>
                    <w:p w14:paraId="7E0F93E4"/>
                    <w:p w14:paraId="16F59254">
                      <w:pPr>
                        <w:jc w:val="center"/>
                        <w:rPr>
                          <w:rFonts w:ascii="仿宋" w:hAnsi="仿宋" w:eastAsia="仿宋" w:cs="仿宋"/>
                          <w:bCs/>
                          <w:sz w:val="22"/>
                          <w:szCs w:val="22"/>
                        </w:rPr>
                      </w:pPr>
                      <w:r>
                        <w:rPr>
                          <w:rFonts w:hint="eastAsia" w:ascii="仿宋" w:hAnsi="仿宋" w:eastAsia="仿宋" w:cs="仿宋"/>
                          <w:bCs/>
                        </w:rPr>
                        <w:t>被授权人身份证正面</w:t>
                      </w:r>
                    </w:p>
                  </w:txbxContent>
                </v:textbox>
              </v:shape>
            </w:pict>
          </mc:Fallback>
        </mc:AlternateContent>
      </w:r>
    </w:p>
    <w:p w14:paraId="2484ED2C">
      <w:pPr>
        <w:spacing w:line="360" w:lineRule="auto"/>
        <w:rPr>
          <w:rFonts w:ascii="仿宋" w:hAnsi="仿宋" w:eastAsia="仿宋" w:cs="仿宋"/>
          <w:bCs/>
          <w:color w:val="000000"/>
        </w:rPr>
      </w:pPr>
    </w:p>
    <w:p w14:paraId="231BFE53">
      <w:pPr>
        <w:spacing w:line="360" w:lineRule="auto"/>
        <w:rPr>
          <w:rFonts w:ascii="仿宋" w:hAnsi="仿宋" w:eastAsia="仿宋" w:cs="仿宋"/>
          <w:bCs/>
          <w:color w:val="000000"/>
        </w:rPr>
      </w:pPr>
    </w:p>
    <w:p w14:paraId="66F68566">
      <w:pPr>
        <w:spacing w:line="360" w:lineRule="auto"/>
        <w:rPr>
          <w:rFonts w:ascii="仿宋" w:hAnsi="仿宋" w:eastAsia="仿宋" w:cs="仿宋"/>
          <w:bCs/>
          <w:color w:val="000000"/>
        </w:rPr>
      </w:pPr>
    </w:p>
    <w:p w14:paraId="6F71917F">
      <w:pPr>
        <w:rPr>
          <w:rFonts w:ascii="仿宋" w:hAnsi="仿宋" w:eastAsia="仿宋" w:cs="仿宋"/>
          <w:color w:val="000000"/>
        </w:rPr>
      </w:pPr>
    </w:p>
    <w:p w14:paraId="2F13B328">
      <w:pPr>
        <w:rPr>
          <w:rFonts w:ascii="仿宋" w:hAnsi="仿宋" w:eastAsia="仿宋" w:cs="仿宋"/>
          <w:color w:val="000000"/>
        </w:rPr>
      </w:pPr>
    </w:p>
    <w:p w14:paraId="6A80FAE3">
      <w:pPr>
        <w:spacing w:after="60"/>
        <w:rPr>
          <w:rFonts w:ascii="仿宋" w:hAnsi="仿宋" w:eastAsia="仿宋" w:cs="仿宋"/>
          <w:color w:val="000000"/>
        </w:rPr>
      </w:pPr>
    </w:p>
    <w:p w14:paraId="55B7D13A">
      <w:pPr>
        <w:rPr>
          <w:rFonts w:ascii="仿宋" w:hAnsi="仿宋" w:eastAsia="仿宋" w:cs="仿宋"/>
          <w:color w:val="000000"/>
        </w:rPr>
      </w:pPr>
    </w:p>
    <w:p w14:paraId="0812F8E4">
      <w:pPr>
        <w:snapToGrid w:val="0"/>
        <w:spacing w:line="340" w:lineRule="exact"/>
        <w:rPr>
          <w:szCs w:val="21"/>
        </w:rPr>
      </w:pPr>
      <w:r>
        <w:rPr>
          <w:rFonts w:hint="eastAsia"/>
          <w:szCs w:val="21"/>
        </w:rPr>
        <w:t>说明：</w:t>
      </w:r>
    </w:p>
    <w:p w14:paraId="7F66D8F8">
      <w:pPr>
        <w:snapToGrid w:val="0"/>
        <w:spacing w:line="340" w:lineRule="exact"/>
        <w:ind w:firstLine="480" w:firstLineChars="200"/>
        <w:rPr>
          <w:szCs w:val="21"/>
        </w:rPr>
      </w:pPr>
      <w:r>
        <w:rPr>
          <w:rFonts w:hint="eastAsia"/>
          <w:szCs w:val="21"/>
        </w:rPr>
        <w:t>1.如是代理人（受托人）参与投标，则必须提供《法定代表人（负责人或执行事务合伙人）证明书》和《投标文件签署授权委托书》，且《投标函》的委托代理人与《投标文件签署授权委托书》的代理人（受托人）必须一致。</w:t>
      </w:r>
    </w:p>
    <w:p w14:paraId="3F21D297">
      <w:pPr>
        <w:snapToGrid w:val="0"/>
        <w:spacing w:line="340" w:lineRule="exact"/>
        <w:ind w:firstLine="480" w:firstLineChars="200"/>
        <w:rPr>
          <w:szCs w:val="21"/>
        </w:rPr>
      </w:pPr>
      <w:r>
        <w:rPr>
          <w:rFonts w:hint="eastAsia"/>
          <w:szCs w:val="21"/>
        </w:rPr>
        <w:t>2.请提供代理人身份证扫描件（正反两面）；港澳台居民可提供来往通行证扫描件；非中国国籍管辖范围人员，可提供公安部门认可的身份证明材料扫描件。</w:t>
      </w:r>
    </w:p>
    <w:p w14:paraId="0211D1C6">
      <w:pPr>
        <w:snapToGrid w:val="0"/>
        <w:spacing w:line="340" w:lineRule="exact"/>
        <w:ind w:firstLine="480" w:firstLineChars="200"/>
        <w:rPr>
          <w:color w:val="FF0000"/>
          <w:szCs w:val="21"/>
        </w:rPr>
      </w:pPr>
      <w:r>
        <w:rPr>
          <w:rFonts w:hint="eastAsia"/>
          <w:b/>
          <w:bCs/>
          <w:color w:val="FF0000"/>
          <w:szCs w:val="21"/>
        </w:rPr>
        <w:t>温馨提示:</w:t>
      </w:r>
      <w:r>
        <w:rPr>
          <w:rFonts w:hint="eastAsia"/>
          <w:color w:val="FF0000"/>
          <w:szCs w:val="21"/>
        </w:rPr>
        <w:t>为避免出现《深圳经济特区政府采购条例实施细则》第七十五条第二项所列情形，请投标供应商核实你单位法定代表人、本项目投标授权代表人、项目负责人、主要技术人员等是否在你公司缴纳社会保险。”</w:t>
      </w:r>
    </w:p>
    <w:p w14:paraId="5129FBE5">
      <w:pPr>
        <w:spacing w:line="360" w:lineRule="auto"/>
        <w:jc w:val="both"/>
        <w:rPr>
          <w:szCs w:val="21"/>
        </w:rPr>
      </w:pPr>
    </w:p>
    <w:p w14:paraId="10B8E318">
      <w:pPr>
        <w:rPr>
          <w:rFonts w:ascii="宋体" w:hAnsi="宋体" w:eastAsia="宋体"/>
          <w:b/>
          <w:color w:val="FF0000"/>
          <w:szCs w:val="21"/>
        </w:rPr>
      </w:pPr>
      <w:r>
        <w:rPr>
          <w:rFonts w:ascii="宋体" w:hAnsi="宋体" w:eastAsia="宋体"/>
          <w:b/>
          <w:color w:val="FF0000"/>
          <w:szCs w:val="21"/>
        </w:rPr>
        <w:br w:type="page"/>
      </w:r>
    </w:p>
    <w:p w14:paraId="12211DF0">
      <w:pPr>
        <w:spacing w:line="360" w:lineRule="auto"/>
        <w:rPr>
          <w:rFonts w:ascii="宋体" w:hAnsi="宋体" w:eastAsia="宋体"/>
          <w:b/>
          <w:szCs w:val="21"/>
        </w:rPr>
      </w:pPr>
    </w:p>
    <w:p w14:paraId="6AD1A603">
      <w:pPr>
        <w:pStyle w:val="3"/>
        <w:numPr>
          <w:ilvl w:val="0"/>
          <w:numId w:val="2"/>
        </w:numPr>
        <w:spacing w:before="120" w:after="120"/>
        <w:ind w:left="0" w:leftChars="0" w:firstLine="0" w:firstLineChars="0"/>
        <w:jc w:val="center"/>
        <w:rPr>
          <w:rFonts w:hint="eastAsia" w:ascii="黑体" w:eastAsia="黑体"/>
          <w:b w:val="0"/>
          <w:sz w:val="24"/>
        </w:rPr>
      </w:pPr>
      <w:r>
        <w:rPr>
          <w:rFonts w:hint="eastAsia" w:ascii="黑体" w:eastAsia="黑体"/>
          <w:b w:val="0"/>
          <w:sz w:val="24"/>
        </w:rPr>
        <w:t>供应商基本情况表</w:t>
      </w:r>
    </w:p>
    <w:p w14:paraId="7BD4FB8A">
      <w:pPr>
        <w:jc w:val="center"/>
        <w:rPr>
          <w:rFonts w:hint="eastAsia" w:ascii="黑体" w:eastAsia="黑体"/>
          <w:b w:val="0"/>
          <w:sz w:val="24"/>
          <w:lang w:eastAsia="zh-CN"/>
        </w:rPr>
      </w:pPr>
      <w:r>
        <w:rPr>
          <w:rFonts w:hint="eastAsia" w:ascii="黑体" w:eastAsia="黑体"/>
          <w:b w:val="0"/>
          <w:sz w:val="24"/>
          <w:lang w:eastAsia="zh-CN"/>
        </w:rPr>
        <w:t>（</w:t>
      </w:r>
      <w:r>
        <w:rPr>
          <w:rFonts w:hint="eastAsia" w:ascii="黑体" w:eastAsia="黑体"/>
          <w:b w:val="0"/>
          <w:sz w:val="24"/>
          <w:lang w:val="en-US" w:eastAsia="zh-CN"/>
        </w:rPr>
        <w:t>此处为系统固定节点</w:t>
      </w:r>
      <w:r>
        <w:rPr>
          <w:rFonts w:hint="eastAsia" w:ascii="黑体" w:eastAsia="黑体"/>
          <w:b w:val="0"/>
          <w:sz w:val="24"/>
          <w:lang w:eastAsia="zh-CN"/>
        </w:rPr>
        <w:t>）</w:t>
      </w:r>
    </w:p>
    <w:p w14:paraId="6F41BCCF">
      <w:pPr>
        <w:rPr>
          <w:rFonts w:hint="eastAsia" w:ascii="黑体" w:eastAsia="黑体"/>
          <w:b w:val="0"/>
          <w:sz w:val="24"/>
          <w:lang w:eastAsia="zh-CN"/>
        </w:rPr>
      </w:pPr>
      <w:r>
        <w:rPr>
          <w:rFonts w:hint="eastAsia" w:ascii="黑体" w:eastAsia="黑体"/>
          <w:b w:val="0"/>
          <w:sz w:val="24"/>
          <w:lang w:eastAsia="zh-CN"/>
        </w:rPr>
        <w:br w:type="page"/>
      </w:r>
    </w:p>
    <w:p w14:paraId="02395436">
      <w:pPr>
        <w:pStyle w:val="3"/>
        <w:numPr>
          <w:ilvl w:val="0"/>
          <w:numId w:val="2"/>
        </w:numPr>
        <w:spacing w:before="120" w:after="120"/>
        <w:ind w:left="0" w:leftChars="0" w:firstLine="0" w:firstLineChars="0"/>
        <w:jc w:val="center"/>
        <w:rPr>
          <w:rFonts w:hint="eastAsia" w:ascii="黑体" w:eastAsia="黑体"/>
          <w:b w:val="0"/>
          <w:sz w:val="24"/>
        </w:rPr>
      </w:pPr>
      <w:r>
        <w:rPr>
          <w:rFonts w:hint="eastAsia" w:ascii="黑体" w:eastAsia="黑体"/>
          <w:b w:val="0"/>
          <w:sz w:val="24"/>
        </w:rPr>
        <w:t>供应商基本情况表</w:t>
      </w:r>
      <w:r>
        <w:rPr>
          <w:rFonts w:hint="eastAsia" w:ascii="黑体" w:eastAsia="黑体"/>
          <w:b w:val="0"/>
          <w:sz w:val="24"/>
          <w:lang w:val="en-US" w:eastAsia="zh-CN"/>
        </w:rPr>
        <w:t>及附件</w:t>
      </w:r>
    </w:p>
    <w:p w14:paraId="70580ED7">
      <w:pPr>
        <w:snapToGrid w:val="0"/>
        <w:ind w:firstLine="482" w:firstLineChars="200"/>
        <w:rPr>
          <w:rFonts w:ascii="宋体" w:hAnsi="宋体" w:eastAsia="宋体" w:cs="宋体"/>
          <w:b/>
        </w:rPr>
      </w:pPr>
      <w:r>
        <w:rPr>
          <w:rFonts w:hint="eastAsia" w:ascii="宋体" w:hAnsi="宋体" w:eastAsia="宋体" w:cs="宋体"/>
          <w:b/>
        </w:rPr>
        <w:t>根据《深圳经济特区政府采购条例实施细则》第七十五条第一款（二）规定，存在“不同投标供应商的法定代表人、主要经营负责人、项目投标授权代表人、项目负责人、主要技术人员为同一人、属同一单位或者在同一单位缴纳社会保险”情形的，属于串通投标行为。</w:t>
      </w:r>
    </w:p>
    <w:p w14:paraId="75BEF9D5">
      <w:pPr>
        <w:snapToGrid w:val="0"/>
        <w:ind w:firstLine="482" w:firstLineChars="200"/>
        <w:rPr>
          <w:rFonts w:ascii="宋体" w:hAnsi="宋体" w:eastAsia="宋体" w:cs="宋体"/>
          <w:b/>
          <w:highlight w:val="yellow"/>
        </w:rPr>
      </w:pPr>
      <w:r>
        <w:rPr>
          <w:rFonts w:hint="eastAsia" w:ascii="宋体" w:hAnsi="宋体" w:eastAsia="宋体" w:cs="宋体"/>
          <w:b/>
        </w:rPr>
        <w:t>请供应商按以下格式提供上述法规涉及人员情况。（注：以下内容将作为评审委员会和主管部门判定本项目不同投标供应商是否涉嫌、属于串通投标的重要依据，请供应商认真填报，并保证所填信息的真实、准确和完整。）</w:t>
      </w:r>
    </w:p>
    <w:p w14:paraId="0E669E4F">
      <w:pPr>
        <w:snapToGrid w:val="0"/>
        <w:rPr>
          <w:rFonts w:ascii="宋体" w:hAnsi="宋体" w:eastAsia="宋体" w:cs="宋体"/>
          <w:b/>
        </w:rPr>
      </w:pPr>
    </w:p>
    <w:tbl>
      <w:tblPr>
        <w:tblStyle w:val="19"/>
        <w:tblpPr w:leftFromText="180" w:rightFromText="180" w:vertAnchor="text" w:horzAnchor="page" w:tblpX="1814" w:tblpY="302"/>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644"/>
        <w:gridCol w:w="1728"/>
        <w:gridCol w:w="1005"/>
        <w:gridCol w:w="692"/>
        <w:gridCol w:w="1165"/>
        <w:gridCol w:w="1263"/>
        <w:gridCol w:w="1331"/>
      </w:tblGrid>
      <w:tr w14:paraId="0316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gridSpan w:val="2"/>
            <w:vAlign w:val="center"/>
          </w:tcPr>
          <w:p w14:paraId="27BBC4F0">
            <w:pPr>
              <w:widowControl/>
              <w:snapToGrid w:val="0"/>
              <w:jc w:val="both"/>
              <w:rPr>
                <w:rFonts w:ascii="宋体" w:hAnsi="宋体" w:eastAsia="宋体" w:cs="宋体"/>
                <w:bCs/>
              </w:rPr>
            </w:pPr>
            <w:r>
              <w:rPr>
                <w:rFonts w:hint="eastAsia" w:ascii="宋体" w:hAnsi="宋体" w:eastAsia="宋体" w:cs="宋体"/>
                <w:b/>
                <w:bCs/>
                <w:color w:val="FF0000"/>
                <w:spacing w:val="-4"/>
              </w:rPr>
              <w:t>投标（响应）供应商</w:t>
            </w:r>
          </w:p>
        </w:tc>
        <w:tc>
          <w:tcPr>
            <w:tcW w:w="1604" w:type="pct"/>
            <w:gridSpan w:val="2"/>
            <w:vAlign w:val="center"/>
          </w:tcPr>
          <w:p w14:paraId="62F25A13">
            <w:pPr>
              <w:widowControl/>
              <w:snapToGrid w:val="0"/>
              <w:jc w:val="both"/>
              <w:rPr>
                <w:rFonts w:ascii="宋体" w:hAnsi="宋体" w:eastAsia="宋体" w:cs="宋体"/>
                <w:bCs/>
              </w:rPr>
            </w:pPr>
          </w:p>
        </w:tc>
        <w:tc>
          <w:tcPr>
            <w:tcW w:w="1090" w:type="pct"/>
            <w:gridSpan w:val="2"/>
            <w:vAlign w:val="center"/>
          </w:tcPr>
          <w:p w14:paraId="4755E70D">
            <w:pPr>
              <w:widowControl/>
              <w:snapToGrid w:val="0"/>
              <w:jc w:val="both"/>
              <w:rPr>
                <w:rFonts w:ascii="宋体" w:hAnsi="宋体" w:eastAsia="宋体" w:cs="宋体"/>
                <w:bCs/>
              </w:rPr>
            </w:pPr>
            <w:r>
              <w:rPr>
                <w:rFonts w:hint="eastAsia" w:ascii="宋体" w:hAnsi="宋体" w:eastAsia="宋体" w:cs="宋体"/>
                <w:b/>
                <w:bCs/>
                <w:color w:val="FF0000"/>
                <w:spacing w:val="-4"/>
              </w:rPr>
              <w:t>供应商统一社会信用代码</w:t>
            </w:r>
          </w:p>
        </w:tc>
        <w:tc>
          <w:tcPr>
            <w:tcW w:w="1520" w:type="pct"/>
            <w:gridSpan w:val="2"/>
            <w:vAlign w:val="center"/>
          </w:tcPr>
          <w:p w14:paraId="5C92BB5A">
            <w:pPr>
              <w:widowControl/>
              <w:snapToGrid w:val="0"/>
              <w:jc w:val="both"/>
              <w:rPr>
                <w:rFonts w:ascii="宋体" w:hAnsi="宋体" w:eastAsia="宋体" w:cs="宋体"/>
                <w:bCs/>
              </w:rPr>
            </w:pPr>
          </w:p>
        </w:tc>
      </w:tr>
      <w:tr w14:paraId="38D4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0F4C5426">
            <w:pPr>
              <w:widowControl/>
              <w:snapToGrid w:val="0"/>
              <w:jc w:val="both"/>
              <w:rPr>
                <w:rFonts w:ascii="宋体" w:hAnsi="宋体" w:eastAsia="宋体" w:cs="宋体"/>
                <w:bCs/>
              </w:rPr>
            </w:pPr>
            <w:r>
              <w:rPr>
                <w:rFonts w:hint="eastAsia" w:ascii="宋体" w:hAnsi="宋体" w:eastAsia="宋体" w:cs="宋体"/>
                <w:bCs/>
              </w:rPr>
              <w:t>投标（响应）供应商相关人员情况</w:t>
            </w:r>
          </w:p>
        </w:tc>
      </w:tr>
      <w:tr w14:paraId="1972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bottom w:val="single" w:color="auto" w:sz="4" w:space="0"/>
            </w:tcBorders>
            <w:vAlign w:val="center"/>
          </w:tcPr>
          <w:p w14:paraId="1D48F453">
            <w:pPr>
              <w:widowControl/>
              <w:snapToGrid w:val="0"/>
              <w:jc w:val="center"/>
              <w:rPr>
                <w:rFonts w:ascii="宋体" w:hAnsi="宋体" w:eastAsia="宋体" w:cs="宋体"/>
                <w:bCs/>
              </w:rPr>
            </w:pPr>
            <w:r>
              <w:rPr>
                <w:rFonts w:hint="eastAsia" w:ascii="宋体" w:hAnsi="宋体" w:eastAsia="宋体" w:cs="宋体"/>
                <w:bCs/>
              </w:rPr>
              <w:t>序号</w:t>
            </w:r>
          </w:p>
        </w:tc>
        <w:tc>
          <w:tcPr>
            <w:tcW w:w="1392" w:type="pct"/>
            <w:gridSpan w:val="2"/>
            <w:tcBorders>
              <w:bottom w:val="single" w:color="auto" w:sz="4" w:space="0"/>
            </w:tcBorders>
            <w:vAlign w:val="center"/>
          </w:tcPr>
          <w:p w14:paraId="0A499C85">
            <w:pPr>
              <w:widowControl/>
              <w:snapToGrid w:val="0"/>
              <w:jc w:val="center"/>
              <w:rPr>
                <w:rFonts w:ascii="宋体" w:hAnsi="宋体" w:eastAsia="宋体" w:cs="宋体"/>
                <w:bCs/>
              </w:rPr>
            </w:pPr>
            <w:r>
              <w:rPr>
                <w:rFonts w:hint="eastAsia" w:ascii="宋体" w:hAnsi="宋体" w:eastAsia="宋体" w:cs="宋体"/>
                <w:bCs/>
              </w:rPr>
              <w:t>职务</w:t>
            </w:r>
          </w:p>
        </w:tc>
        <w:tc>
          <w:tcPr>
            <w:tcW w:w="589" w:type="pct"/>
            <w:tcBorders>
              <w:bottom w:val="single" w:color="auto" w:sz="4" w:space="0"/>
            </w:tcBorders>
            <w:vAlign w:val="center"/>
          </w:tcPr>
          <w:p w14:paraId="18E1671D">
            <w:pPr>
              <w:widowControl/>
              <w:snapToGrid w:val="0"/>
              <w:jc w:val="center"/>
              <w:rPr>
                <w:rFonts w:ascii="宋体" w:hAnsi="宋体" w:eastAsia="宋体" w:cs="宋体"/>
                <w:bCs/>
              </w:rPr>
            </w:pPr>
            <w:r>
              <w:rPr>
                <w:rFonts w:hint="eastAsia" w:ascii="宋体" w:hAnsi="宋体" w:eastAsia="宋体" w:cs="宋体"/>
                <w:bCs/>
              </w:rPr>
              <w:t>姓名</w:t>
            </w:r>
          </w:p>
        </w:tc>
        <w:tc>
          <w:tcPr>
            <w:tcW w:w="1090" w:type="pct"/>
            <w:gridSpan w:val="2"/>
            <w:tcBorders>
              <w:bottom w:val="single" w:color="auto" w:sz="4" w:space="0"/>
            </w:tcBorders>
            <w:vAlign w:val="center"/>
          </w:tcPr>
          <w:p w14:paraId="10367E17">
            <w:pPr>
              <w:widowControl/>
              <w:snapToGrid w:val="0"/>
              <w:jc w:val="center"/>
              <w:rPr>
                <w:rFonts w:ascii="宋体" w:hAnsi="宋体" w:eastAsia="宋体" w:cs="宋体"/>
                <w:bCs/>
              </w:rPr>
            </w:pPr>
            <w:r>
              <w:rPr>
                <w:rFonts w:hint="eastAsia" w:ascii="宋体" w:hAnsi="宋体" w:eastAsia="宋体" w:cs="宋体"/>
                <w:bCs/>
              </w:rPr>
              <w:t>身份证号码</w:t>
            </w:r>
          </w:p>
        </w:tc>
        <w:tc>
          <w:tcPr>
            <w:tcW w:w="741" w:type="pct"/>
            <w:tcBorders>
              <w:bottom w:val="single" w:color="auto" w:sz="4" w:space="0"/>
            </w:tcBorders>
            <w:vAlign w:val="center"/>
          </w:tcPr>
          <w:p w14:paraId="0CA40E81">
            <w:pPr>
              <w:widowControl/>
              <w:snapToGrid w:val="0"/>
              <w:jc w:val="center"/>
              <w:rPr>
                <w:rFonts w:ascii="宋体" w:hAnsi="宋体" w:eastAsia="宋体" w:cs="宋体"/>
                <w:bCs/>
              </w:rPr>
            </w:pPr>
            <w:r>
              <w:rPr>
                <w:rFonts w:hint="eastAsia" w:ascii="宋体" w:hAnsi="宋体" w:eastAsia="宋体" w:cs="宋体"/>
                <w:bCs/>
              </w:rPr>
              <w:t>劳动合同</w:t>
            </w:r>
          </w:p>
          <w:p w14:paraId="37D5787A">
            <w:pPr>
              <w:widowControl/>
              <w:snapToGrid w:val="0"/>
              <w:jc w:val="center"/>
              <w:rPr>
                <w:rFonts w:ascii="宋体" w:hAnsi="宋体" w:eastAsia="宋体" w:cs="宋体"/>
                <w:bCs/>
              </w:rPr>
            </w:pPr>
            <w:r>
              <w:rPr>
                <w:rFonts w:hint="eastAsia" w:ascii="宋体" w:hAnsi="宋体" w:eastAsia="宋体" w:cs="宋体"/>
                <w:bCs/>
              </w:rPr>
              <w:t>关系单位</w:t>
            </w:r>
          </w:p>
        </w:tc>
        <w:tc>
          <w:tcPr>
            <w:tcW w:w="779" w:type="pct"/>
            <w:tcBorders>
              <w:bottom w:val="single" w:color="auto" w:sz="4" w:space="0"/>
            </w:tcBorders>
            <w:vAlign w:val="center"/>
          </w:tcPr>
          <w:p w14:paraId="6C4A3DE5">
            <w:pPr>
              <w:widowControl/>
              <w:snapToGrid w:val="0"/>
              <w:jc w:val="center"/>
              <w:rPr>
                <w:rFonts w:ascii="宋体" w:hAnsi="宋体" w:eastAsia="宋体" w:cs="宋体"/>
                <w:bCs/>
              </w:rPr>
            </w:pPr>
            <w:r>
              <w:rPr>
                <w:rFonts w:hint="eastAsia" w:ascii="宋体" w:hAnsi="宋体" w:eastAsia="宋体" w:cs="宋体"/>
                <w:bCs/>
              </w:rPr>
              <w:t>缴纳社会</w:t>
            </w:r>
          </w:p>
          <w:p w14:paraId="49D2AA35">
            <w:pPr>
              <w:widowControl/>
              <w:snapToGrid w:val="0"/>
              <w:jc w:val="center"/>
              <w:rPr>
                <w:rFonts w:ascii="宋体" w:hAnsi="宋体" w:eastAsia="宋体" w:cs="宋体"/>
                <w:bCs/>
              </w:rPr>
            </w:pPr>
            <w:r>
              <w:rPr>
                <w:rFonts w:hint="eastAsia" w:ascii="宋体" w:hAnsi="宋体" w:eastAsia="宋体" w:cs="宋体"/>
                <w:bCs/>
              </w:rPr>
              <w:t>保险单位</w:t>
            </w:r>
          </w:p>
        </w:tc>
      </w:tr>
      <w:tr w14:paraId="6A74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top w:val="single" w:color="auto" w:sz="4" w:space="0"/>
              <w:left w:val="single" w:color="auto" w:sz="4" w:space="0"/>
              <w:bottom w:val="single" w:color="auto" w:sz="4" w:space="0"/>
              <w:right w:val="single" w:color="auto" w:sz="4" w:space="0"/>
            </w:tcBorders>
            <w:vAlign w:val="center"/>
          </w:tcPr>
          <w:p w14:paraId="1620A974">
            <w:pPr>
              <w:widowControl/>
              <w:snapToGrid w:val="0"/>
              <w:jc w:val="center"/>
              <w:rPr>
                <w:rFonts w:ascii="宋体" w:hAnsi="宋体" w:eastAsia="宋体" w:cs="宋体"/>
                <w:bCs/>
              </w:rPr>
            </w:pPr>
            <w:r>
              <w:rPr>
                <w:rFonts w:hint="eastAsia" w:ascii="宋体" w:hAnsi="宋体" w:eastAsia="宋体" w:cs="宋体"/>
                <w:bCs/>
              </w:rPr>
              <w:t>1</w:t>
            </w:r>
          </w:p>
        </w:tc>
        <w:tc>
          <w:tcPr>
            <w:tcW w:w="1392" w:type="pct"/>
            <w:gridSpan w:val="2"/>
            <w:tcBorders>
              <w:top w:val="single" w:color="auto" w:sz="4" w:space="0"/>
              <w:left w:val="single" w:color="auto" w:sz="4" w:space="0"/>
              <w:bottom w:val="single" w:color="auto" w:sz="4" w:space="0"/>
              <w:right w:val="single" w:color="auto" w:sz="4" w:space="0"/>
            </w:tcBorders>
            <w:vAlign w:val="center"/>
          </w:tcPr>
          <w:p w14:paraId="039CB801">
            <w:pPr>
              <w:widowControl/>
              <w:snapToGrid w:val="0"/>
              <w:jc w:val="both"/>
              <w:rPr>
                <w:rFonts w:ascii="宋体" w:hAnsi="宋体" w:eastAsia="宋体" w:cs="宋体"/>
                <w:bCs/>
              </w:rPr>
            </w:pPr>
            <w:r>
              <w:rPr>
                <w:rFonts w:hint="eastAsia" w:ascii="宋体" w:hAnsi="宋体" w:eastAsia="宋体" w:cs="宋体"/>
                <w:spacing w:val="-4"/>
              </w:rPr>
              <w:t>法定代表人（或单位负责人或执行事务合伙人）</w:t>
            </w:r>
          </w:p>
        </w:tc>
        <w:tc>
          <w:tcPr>
            <w:tcW w:w="589" w:type="pct"/>
            <w:tcBorders>
              <w:top w:val="single" w:color="auto" w:sz="4" w:space="0"/>
              <w:left w:val="single" w:color="auto" w:sz="4" w:space="0"/>
              <w:bottom w:val="single" w:color="auto" w:sz="4" w:space="0"/>
              <w:right w:val="single" w:color="auto" w:sz="4" w:space="0"/>
            </w:tcBorders>
            <w:vAlign w:val="center"/>
          </w:tcPr>
          <w:p w14:paraId="6DD490E1">
            <w:pPr>
              <w:widowControl/>
              <w:snapToGrid w:val="0"/>
              <w:jc w:val="both"/>
              <w:rPr>
                <w:rFonts w:ascii="宋体" w:hAnsi="宋体" w:eastAsia="宋体" w:cs="宋体"/>
                <w:bCs/>
              </w:rPr>
            </w:pPr>
          </w:p>
        </w:tc>
        <w:tc>
          <w:tcPr>
            <w:tcW w:w="1090" w:type="pct"/>
            <w:gridSpan w:val="2"/>
            <w:tcBorders>
              <w:top w:val="single" w:color="auto" w:sz="4" w:space="0"/>
              <w:left w:val="single" w:color="auto" w:sz="4" w:space="0"/>
              <w:bottom w:val="single" w:color="auto" w:sz="4" w:space="0"/>
              <w:right w:val="single" w:color="auto" w:sz="4" w:space="0"/>
            </w:tcBorders>
            <w:vAlign w:val="center"/>
          </w:tcPr>
          <w:p w14:paraId="58134540">
            <w:pPr>
              <w:widowControl/>
              <w:snapToGrid w:val="0"/>
              <w:jc w:val="both"/>
              <w:rPr>
                <w:rFonts w:ascii="宋体" w:hAnsi="宋体" w:eastAsia="宋体" w:cs="宋体"/>
                <w:bCs/>
              </w:rPr>
            </w:pPr>
          </w:p>
        </w:tc>
        <w:tc>
          <w:tcPr>
            <w:tcW w:w="741" w:type="pct"/>
            <w:tcBorders>
              <w:top w:val="single" w:color="auto" w:sz="4" w:space="0"/>
              <w:left w:val="single" w:color="auto" w:sz="4" w:space="0"/>
              <w:bottom w:val="single" w:color="auto" w:sz="4" w:space="0"/>
              <w:right w:val="single" w:color="auto" w:sz="4" w:space="0"/>
            </w:tcBorders>
            <w:vAlign w:val="center"/>
          </w:tcPr>
          <w:p w14:paraId="17C94E13">
            <w:pPr>
              <w:widowControl/>
              <w:snapToGrid w:val="0"/>
              <w:jc w:val="both"/>
              <w:rPr>
                <w:rFonts w:ascii="宋体" w:hAnsi="宋体" w:eastAsia="宋体" w:cs="宋体"/>
                <w:bCs/>
              </w:rPr>
            </w:pPr>
          </w:p>
        </w:tc>
        <w:tc>
          <w:tcPr>
            <w:tcW w:w="779" w:type="pct"/>
            <w:tcBorders>
              <w:top w:val="single" w:color="auto" w:sz="4" w:space="0"/>
              <w:left w:val="single" w:color="auto" w:sz="4" w:space="0"/>
              <w:bottom w:val="single" w:color="auto" w:sz="4" w:space="0"/>
              <w:right w:val="single" w:color="auto" w:sz="4" w:space="0"/>
            </w:tcBorders>
            <w:vAlign w:val="center"/>
          </w:tcPr>
          <w:p w14:paraId="4B28D3C1">
            <w:pPr>
              <w:widowControl/>
              <w:snapToGrid w:val="0"/>
              <w:jc w:val="both"/>
              <w:rPr>
                <w:rFonts w:ascii="宋体" w:hAnsi="宋体" w:eastAsia="宋体" w:cs="宋体"/>
                <w:bCs/>
              </w:rPr>
            </w:pPr>
          </w:p>
        </w:tc>
      </w:tr>
      <w:tr w14:paraId="788F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top w:val="single" w:color="auto" w:sz="4" w:space="0"/>
              <w:left w:val="single" w:color="auto" w:sz="4" w:space="0"/>
              <w:bottom w:val="single" w:color="auto" w:sz="4" w:space="0"/>
              <w:right w:val="single" w:color="auto" w:sz="4" w:space="0"/>
            </w:tcBorders>
            <w:vAlign w:val="center"/>
          </w:tcPr>
          <w:p w14:paraId="4503B22A">
            <w:pPr>
              <w:widowControl/>
              <w:snapToGrid w:val="0"/>
              <w:jc w:val="center"/>
              <w:rPr>
                <w:rFonts w:ascii="宋体" w:hAnsi="宋体" w:eastAsia="宋体" w:cs="宋体"/>
                <w:bCs/>
              </w:rPr>
            </w:pPr>
            <w:r>
              <w:rPr>
                <w:rFonts w:hint="eastAsia" w:ascii="宋体" w:hAnsi="宋体" w:eastAsia="宋体" w:cs="宋体"/>
                <w:bCs/>
              </w:rPr>
              <w:t>2</w:t>
            </w:r>
          </w:p>
        </w:tc>
        <w:tc>
          <w:tcPr>
            <w:tcW w:w="1392" w:type="pct"/>
            <w:gridSpan w:val="2"/>
            <w:tcBorders>
              <w:top w:val="single" w:color="auto" w:sz="4" w:space="0"/>
              <w:left w:val="single" w:color="auto" w:sz="4" w:space="0"/>
              <w:bottom w:val="single" w:color="auto" w:sz="4" w:space="0"/>
              <w:right w:val="single" w:color="auto" w:sz="4" w:space="0"/>
            </w:tcBorders>
            <w:vAlign w:val="center"/>
          </w:tcPr>
          <w:p w14:paraId="516E5F15">
            <w:pPr>
              <w:widowControl/>
              <w:snapToGrid w:val="0"/>
              <w:jc w:val="both"/>
              <w:rPr>
                <w:rFonts w:ascii="宋体" w:hAnsi="宋体" w:eastAsia="宋体" w:cs="宋体"/>
                <w:b/>
                <w:bCs/>
                <w:color w:val="FF0000"/>
                <w:spacing w:val="-4"/>
              </w:rPr>
            </w:pPr>
            <w:r>
              <w:rPr>
                <w:rFonts w:hint="eastAsia" w:ascii="宋体" w:hAnsi="宋体" w:eastAsia="宋体" w:cs="宋体"/>
                <w:spacing w:val="-4"/>
              </w:rPr>
              <w:t>主要经营负责人</w:t>
            </w:r>
          </w:p>
        </w:tc>
        <w:tc>
          <w:tcPr>
            <w:tcW w:w="589" w:type="pct"/>
            <w:tcBorders>
              <w:top w:val="single" w:color="auto" w:sz="4" w:space="0"/>
              <w:left w:val="single" w:color="auto" w:sz="4" w:space="0"/>
              <w:bottom w:val="single" w:color="auto" w:sz="4" w:space="0"/>
              <w:right w:val="single" w:color="auto" w:sz="4" w:space="0"/>
            </w:tcBorders>
            <w:vAlign w:val="center"/>
          </w:tcPr>
          <w:p w14:paraId="3B24C5A1">
            <w:pPr>
              <w:widowControl/>
              <w:snapToGrid w:val="0"/>
              <w:jc w:val="both"/>
              <w:rPr>
                <w:rFonts w:ascii="宋体" w:hAnsi="宋体" w:eastAsia="宋体" w:cs="宋体"/>
                <w:bCs/>
              </w:rPr>
            </w:pPr>
          </w:p>
        </w:tc>
        <w:tc>
          <w:tcPr>
            <w:tcW w:w="1090" w:type="pct"/>
            <w:gridSpan w:val="2"/>
            <w:tcBorders>
              <w:top w:val="single" w:color="auto" w:sz="4" w:space="0"/>
              <w:left w:val="single" w:color="auto" w:sz="4" w:space="0"/>
              <w:bottom w:val="single" w:color="auto" w:sz="4" w:space="0"/>
              <w:right w:val="single" w:color="auto" w:sz="4" w:space="0"/>
            </w:tcBorders>
            <w:vAlign w:val="center"/>
          </w:tcPr>
          <w:p w14:paraId="6C37CDFC">
            <w:pPr>
              <w:widowControl/>
              <w:snapToGrid w:val="0"/>
              <w:jc w:val="both"/>
              <w:rPr>
                <w:rFonts w:ascii="宋体" w:hAnsi="宋体" w:eastAsia="宋体" w:cs="宋体"/>
                <w:bCs/>
              </w:rPr>
            </w:pPr>
          </w:p>
        </w:tc>
        <w:tc>
          <w:tcPr>
            <w:tcW w:w="741" w:type="pct"/>
            <w:tcBorders>
              <w:top w:val="single" w:color="auto" w:sz="4" w:space="0"/>
              <w:left w:val="single" w:color="auto" w:sz="4" w:space="0"/>
              <w:bottom w:val="single" w:color="auto" w:sz="4" w:space="0"/>
              <w:right w:val="single" w:color="auto" w:sz="4" w:space="0"/>
            </w:tcBorders>
            <w:vAlign w:val="center"/>
          </w:tcPr>
          <w:p w14:paraId="699CB192">
            <w:pPr>
              <w:widowControl/>
              <w:snapToGrid w:val="0"/>
              <w:jc w:val="both"/>
              <w:rPr>
                <w:rFonts w:ascii="宋体" w:hAnsi="宋体" w:eastAsia="宋体" w:cs="宋体"/>
                <w:bCs/>
              </w:rPr>
            </w:pPr>
          </w:p>
        </w:tc>
        <w:tc>
          <w:tcPr>
            <w:tcW w:w="779" w:type="pct"/>
            <w:tcBorders>
              <w:top w:val="single" w:color="auto" w:sz="4" w:space="0"/>
              <w:left w:val="single" w:color="auto" w:sz="4" w:space="0"/>
              <w:bottom w:val="single" w:color="auto" w:sz="4" w:space="0"/>
              <w:right w:val="single" w:color="auto" w:sz="4" w:space="0"/>
            </w:tcBorders>
            <w:vAlign w:val="center"/>
          </w:tcPr>
          <w:p w14:paraId="6283F767">
            <w:pPr>
              <w:widowControl/>
              <w:snapToGrid w:val="0"/>
              <w:jc w:val="both"/>
              <w:rPr>
                <w:rFonts w:ascii="宋体" w:hAnsi="宋体" w:eastAsia="宋体" w:cs="宋体"/>
                <w:bCs/>
              </w:rPr>
            </w:pPr>
          </w:p>
        </w:tc>
      </w:tr>
      <w:tr w14:paraId="0046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top w:val="single" w:color="auto" w:sz="4" w:space="0"/>
              <w:left w:val="single" w:color="auto" w:sz="4" w:space="0"/>
              <w:bottom w:val="single" w:color="auto" w:sz="4" w:space="0"/>
              <w:right w:val="single" w:color="auto" w:sz="4" w:space="0"/>
            </w:tcBorders>
            <w:vAlign w:val="center"/>
          </w:tcPr>
          <w:p w14:paraId="58936C62">
            <w:pPr>
              <w:widowControl/>
              <w:snapToGrid w:val="0"/>
              <w:jc w:val="center"/>
              <w:rPr>
                <w:rFonts w:ascii="宋体" w:hAnsi="宋体" w:eastAsia="宋体" w:cs="宋体"/>
                <w:bCs/>
              </w:rPr>
            </w:pPr>
            <w:r>
              <w:rPr>
                <w:rFonts w:hint="eastAsia" w:ascii="宋体" w:hAnsi="宋体" w:eastAsia="宋体" w:cs="宋体"/>
                <w:bCs/>
              </w:rPr>
              <w:t>3</w:t>
            </w:r>
          </w:p>
        </w:tc>
        <w:tc>
          <w:tcPr>
            <w:tcW w:w="1392" w:type="pct"/>
            <w:gridSpan w:val="2"/>
            <w:tcBorders>
              <w:top w:val="single" w:color="auto" w:sz="4" w:space="0"/>
              <w:left w:val="single" w:color="auto" w:sz="4" w:space="0"/>
              <w:bottom w:val="single" w:color="auto" w:sz="4" w:space="0"/>
              <w:right w:val="single" w:color="auto" w:sz="4" w:space="0"/>
            </w:tcBorders>
            <w:vAlign w:val="center"/>
          </w:tcPr>
          <w:p w14:paraId="6C6D5D70">
            <w:pPr>
              <w:widowControl/>
              <w:snapToGrid w:val="0"/>
              <w:jc w:val="both"/>
              <w:rPr>
                <w:rFonts w:ascii="宋体" w:hAnsi="宋体" w:eastAsia="宋体" w:cs="宋体"/>
                <w:bCs/>
              </w:rPr>
            </w:pPr>
            <w:r>
              <w:rPr>
                <w:rFonts w:hint="eastAsia" w:ascii="宋体" w:hAnsi="宋体" w:eastAsia="宋体" w:cs="宋体"/>
                <w:spacing w:val="-4"/>
              </w:rPr>
              <w:t>项目投标授权代表人</w:t>
            </w:r>
          </w:p>
        </w:tc>
        <w:tc>
          <w:tcPr>
            <w:tcW w:w="589" w:type="pct"/>
            <w:tcBorders>
              <w:top w:val="single" w:color="auto" w:sz="4" w:space="0"/>
              <w:left w:val="single" w:color="auto" w:sz="4" w:space="0"/>
              <w:bottom w:val="single" w:color="auto" w:sz="4" w:space="0"/>
              <w:right w:val="single" w:color="auto" w:sz="4" w:space="0"/>
            </w:tcBorders>
            <w:vAlign w:val="center"/>
          </w:tcPr>
          <w:p w14:paraId="60DF83B5">
            <w:pPr>
              <w:widowControl/>
              <w:snapToGrid w:val="0"/>
              <w:jc w:val="both"/>
              <w:rPr>
                <w:rFonts w:ascii="宋体" w:hAnsi="宋体" w:eastAsia="宋体" w:cs="宋体"/>
                <w:bCs/>
              </w:rPr>
            </w:pPr>
          </w:p>
        </w:tc>
        <w:tc>
          <w:tcPr>
            <w:tcW w:w="1090" w:type="pct"/>
            <w:gridSpan w:val="2"/>
            <w:tcBorders>
              <w:top w:val="single" w:color="auto" w:sz="4" w:space="0"/>
              <w:left w:val="single" w:color="auto" w:sz="4" w:space="0"/>
              <w:bottom w:val="single" w:color="auto" w:sz="4" w:space="0"/>
              <w:right w:val="single" w:color="auto" w:sz="4" w:space="0"/>
            </w:tcBorders>
            <w:vAlign w:val="center"/>
          </w:tcPr>
          <w:p w14:paraId="4649CD07">
            <w:pPr>
              <w:widowControl/>
              <w:snapToGrid w:val="0"/>
              <w:jc w:val="both"/>
              <w:rPr>
                <w:rFonts w:ascii="宋体" w:hAnsi="宋体" w:eastAsia="宋体" w:cs="宋体"/>
                <w:bCs/>
              </w:rPr>
            </w:pPr>
          </w:p>
        </w:tc>
        <w:tc>
          <w:tcPr>
            <w:tcW w:w="741" w:type="pct"/>
            <w:tcBorders>
              <w:top w:val="single" w:color="auto" w:sz="4" w:space="0"/>
              <w:left w:val="single" w:color="auto" w:sz="4" w:space="0"/>
              <w:bottom w:val="single" w:color="auto" w:sz="4" w:space="0"/>
              <w:right w:val="single" w:color="auto" w:sz="4" w:space="0"/>
            </w:tcBorders>
            <w:vAlign w:val="center"/>
          </w:tcPr>
          <w:p w14:paraId="3E4352FB">
            <w:pPr>
              <w:widowControl/>
              <w:snapToGrid w:val="0"/>
              <w:jc w:val="both"/>
              <w:rPr>
                <w:rFonts w:ascii="宋体" w:hAnsi="宋体" w:eastAsia="宋体" w:cs="宋体"/>
                <w:bCs/>
              </w:rPr>
            </w:pPr>
          </w:p>
        </w:tc>
        <w:tc>
          <w:tcPr>
            <w:tcW w:w="779" w:type="pct"/>
            <w:tcBorders>
              <w:top w:val="single" w:color="auto" w:sz="4" w:space="0"/>
              <w:left w:val="single" w:color="auto" w:sz="4" w:space="0"/>
              <w:bottom w:val="single" w:color="auto" w:sz="4" w:space="0"/>
              <w:right w:val="single" w:color="auto" w:sz="4" w:space="0"/>
            </w:tcBorders>
            <w:vAlign w:val="center"/>
          </w:tcPr>
          <w:p w14:paraId="0D093D15">
            <w:pPr>
              <w:widowControl/>
              <w:snapToGrid w:val="0"/>
              <w:jc w:val="both"/>
              <w:rPr>
                <w:rFonts w:ascii="宋体" w:hAnsi="宋体" w:eastAsia="宋体" w:cs="宋体"/>
                <w:bCs/>
              </w:rPr>
            </w:pPr>
          </w:p>
        </w:tc>
      </w:tr>
      <w:tr w14:paraId="0508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top w:val="single" w:color="auto" w:sz="4" w:space="0"/>
            </w:tcBorders>
            <w:vAlign w:val="center"/>
          </w:tcPr>
          <w:p w14:paraId="47362E87">
            <w:pPr>
              <w:widowControl/>
              <w:snapToGrid w:val="0"/>
              <w:jc w:val="center"/>
              <w:rPr>
                <w:rFonts w:ascii="宋体" w:hAnsi="宋体" w:eastAsia="宋体" w:cs="宋体"/>
                <w:bCs/>
              </w:rPr>
            </w:pPr>
            <w:r>
              <w:rPr>
                <w:rFonts w:hint="eastAsia" w:ascii="宋体" w:hAnsi="宋体" w:eastAsia="宋体" w:cs="宋体"/>
                <w:bCs/>
              </w:rPr>
              <w:t>4</w:t>
            </w:r>
          </w:p>
        </w:tc>
        <w:tc>
          <w:tcPr>
            <w:tcW w:w="1392" w:type="pct"/>
            <w:gridSpan w:val="2"/>
            <w:tcBorders>
              <w:top w:val="single" w:color="auto" w:sz="4" w:space="0"/>
            </w:tcBorders>
            <w:vAlign w:val="center"/>
          </w:tcPr>
          <w:p w14:paraId="5F7B827E">
            <w:pPr>
              <w:widowControl/>
              <w:snapToGrid w:val="0"/>
              <w:jc w:val="both"/>
              <w:rPr>
                <w:rFonts w:ascii="宋体" w:hAnsi="宋体" w:eastAsia="宋体" w:cs="宋体"/>
                <w:bCs/>
              </w:rPr>
            </w:pPr>
            <w:r>
              <w:rPr>
                <w:rFonts w:hint="eastAsia" w:ascii="宋体" w:hAnsi="宋体" w:eastAsia="宋体" w:cs="宋体"/>
                <w:bCs/>
              </w:rPr>
              <w:t>项目负责人</w:t>
            </w:r>
          </w:p>
        </w:tc>
        <w:tc>
          <w:tcPr>
            <w:tcW w:w="589" w:type="pct"/>
            <w:tcBorders>
              <w:top w:val="single" w:color="auto" w:sz="4" w:space="0"/>
            </w:tcBorders>
            <w:vAlign w:val="center"/>
          </w:tcPr>
          <w:p w14:paraId="084649C0">
            <w:pPr>
              <w:widowControl/>
              <w:snapToGrid w:val="0"/>
              <w:jc w:val="both"/>
              <w:rPr>
                <w:rFonts w:ascii="宋体" w:hAnsi="宋体" w:eastAsia="宋体" w:cs="宋体"/>
                <w:bCs/>
              </w:rPr>
            </w:pPr>
          </w:p>
        </w:tc>
        <w:tc>
          <w:tcPr>
            <w:tcW w:w="1090" w:type="pct"/>
            <w:gridSpan w:val="2"/>
            <w:tcBorders>
              <w:top w:val="single" w:color="auto" w:sz="4" w:space="0"/>
            </w:tcBorders>
            <w:vAlign w:val="center"/>
          </w:tcPr>
          <w:p w14:paraId="46E0410C">
            <w:pPr>
              <w:widowControl/>
              <w:snapToGrid w:val="0"/>
              <w:jc w:val="both"/>
              <w:rPr>
                <w:rFonts w:ascii="宋体" w:hAnsi="宋体" w:eastAsia="宋体" w:cs="宋体"/>
                <w:bCs/>
              </w:rPr>
            </w:pPr>
          </w:p>
        </w:tc>
        <w:tc>
          <w:tcPr>
            <w:tcW w:w="741" w:type="pct"/>
            <w:tcBorders>
              <w:top w:val="single" w:color="auto" w:sz="4" w:space="0"/>
            </w:tcBorders>
            <w:vAlign w:val="center"/>
          </w:tcPr>
          <w:p w14:paraId="625FD676">
            <w:pPr>
              <w:widowControl/>
              <w:snapToGrid w:val="0"/>
              <w:jc w:val="both"/>
              <w:rPr>
                <w:rFonts w:ascii="宋体" w:hAnsi="宋体" w:eastAsia="宋体" w:cs="宋体"/>
                <w:bCs/>
              </w:rPr>
            </w:pPr>
          </w:p>
        </w:tc>
        <w:tc>
          <w:tcPr>
            <w:tcW w:w="779" w:type="pct"/>
            <w:tcBorders>
              <w:top w:val="single" w:color="auto" w:sz="4" w:space="0"/>
            </w:tcBorders>
            <w:vAlign w:val="center"/>
          </w:tcPr>
          <w:p w14:paraId="369EBC6F">
            <w:pPr>
              <w:widowControl/>
              <w:snapToGrid w:val="0"/>
              <w:jc w:val="both"/>
              <w:rPr>
                <w:rFonts w:ascii="宋体" w:hAnsi="宋体" w:eastAsia="宋体" w:cs="宋体"/>
                <w:bCs/>
              </w:rPr>
            </w:pPr>
          </w:p>
        </w:tc>
      </w:tr>
      <w:tr w14:paraId="0A3B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5B90A82">
            <w:pPr>
              <w:widowControl/>
              <w:snapToGrid w:val="0"/>
              <w:jc w:val="center"/>
              <w:rPr>
                <w:rFonts w:ascii="宋体" w:hAnsi="宋体" w:eastAsia="宋体" w:cs="宋体"/>
                <w:bCs/>
              </w:rPr>
            </w:pPr>
            <w:r>
              <w:rPr>
                <w:rFonts w:hint="eastAsia" w:ascii="宋体" w:hAnsi="宋体" w:eastAsia="宋体" w:cs="宋体"/>
                <w:bCs/>
              </w:rPr>
              <w:t>5</w:t>
            </w:r>
          </w:p>
        </w:tc>
        <w:tc>
          <w:tcPr>
            <w:tcW w:w="1392" w:type="pct"/>
            <w:gridSpan w:val="2"/>
            <w:vAlign w:val="center"/>
          </w:tcPr>
          <w:p w14:paraId="3226882A">
            <w:pPr>
              <w:widowControl/>
              <w:snapToGrid w:val="0"/>
              <w:jc w:val="both"/>
              <w:rPr>
                <w:rFonts w:ascii="宋体" w:hAnsi="宋体" w:eastAsia="宋体" w:cs="宋体"/>
                <w:bCs/>
              </w:rPr>
            </w:pPr>
            <w:r>
              <w:rPr>
                <w:rFonts w:hint="eastAsia" w:ascii="宋体" w:hAnsi="宋体" w:eastAsia="宋体" w:cs="宋体"/>
                <w:bCs/>
              </w:rPr>
              <w:t>主要技术人员</w:t>
            </w:r>
          </w:p>
        </w:tc>
        <w:tc>
          <w:tcPr>
            <w:tcW w:w="589" w:type="pct"/>
            <w:vAlign w:val="center"/>
          </w:tcPr>
          <w:p w14:paraId="53DCC157">
            <w:pPr>
              <w:widowControl/>
              <w:snapToGrid w:val="0"/>
              <w:jc w:val="both"/>
              <w:rPr>
                <w:rFonts w:ascii="宋体" w:hAnsi="宋体" w:eastAsia="宋体" w:cs="宋体"/>
                <w:bCs/>
              </w:rPr>
            </w:pPr>
          </w:p>
        </w:tc>
        <w:tc>
          <w:tcPr>
            <w:tcW w:w="1090" w:type="pct"/>
            <w:gridSpan w:val="2"/>
            <w:vAlign w:val="center"/>
          </w:tcPr>
          <w:p w14:paraId="25159E52">
            <w:pPr>
              <w:widowControl/>
              <w:snapToGrid w:val="0"/>
              <w:jc w:val="both"/>
              <w:rPr>
                <w:rFonts w:ascii="宋体" w:hAnsi="宋体" w:eastAsia="宋体" w:cs="宋体"/>
                <w:bCs/>
              </w:rPr>
            </w:pPr>
          </w:p>
        </w:tc>
        <w:tc>
          <w:tcPr>
            <w:tcW w:w="741" w:type="pct"/>
            <w:vAlign w:val="center"/>
          </w:tcPr>
          <w:p w14:paraId="468C8E83">
            <w:pPr>
              <w:widowControl/>
              <w:snapToGrid w:val="0"/>
              <w:jc w:val="both"/>
              <w:rPr>
                <w:rFonts w:ascii="宋体" w:hAnsi="宋体" w:eastAsia="宋体" w:cs="宋体"/>
                <w:bCs/>
              </w:rPr>
            </w:pPr>
          </w:p>
        </w:tc>
        <w:tc>
          <w:tcPr>
            <w:tcW w:w="779" w:type="pct"/>
            <w:vAlign w:val="center"/>
          </w:tcPr>
          <w:p w14:paraId="53F38458">
            <w:pPr>
              <w:widowControl/>
              <w:snapToGrid w:val="0"/>
              <w:jc w:val="both"/>
              <w:rPr>
                <w:rFonts w:ascii="宋体" w:hAnsi="宋体" w:eastAsia="宋体" w:cs="宋体"/>
                <w:bCs/>
              </w:rPr>
            </w:pPr>
          </w:p>
        </w:tc>
      </w:tr>
      <w:tr w14:paraId="49EE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0FA86E3">
            <w:pPr>
              <w:widowControl/>
              <w:snapToGrid w:val="0"/>
              <w:jc w:val="center"/>
              <w:rPr>
                <w:rFonts w:ascii="宋体" w:hAnsi="宋体" w:eastAsia="宋体" w:cs="宋体"/>
                <w:bCs/>
              </w:rPr>
            </w:pPr>
            <w:r>
              <w:rPr>
                <w:rFonts w:hint="eastAsia" w:ascii="宋体" w:hAnsi="宋体" w:eastAsia="宋体" w:cs="宋体"/>
                <w:bCs/>
              </w:rPr>
              <w:t>6</w:t>
            </w:r>
          </w:p>
        </w:tc>
        <w:tc>
          <w:tcPr>
            <w:tcW w:w="1392" w:type="pct"/>
            <w:gridSpan w:val="2"/>
            <w:vAlign w:val="center"/>
          </w:tcPr>
          <w:p w14:paraId="4CFCA59D">
            <w:pPr>
              <w:widowControl/>
              <w:snapToGrid w:val="0"/>
              <w:jc w:val="both"/>
              <w:rPr>
                <w:rFonts w:ascii="宋体" w:hAnsi="宋体" w:eastAsia="宋体" w:cs="宋体"/>
                <w:bCs/>
              </w:rPr>
            </w:pPr>
            <w:r>
              <w:rPr>
                <w:rFonts w:hint="eastAsia" w:ascii="宋体" w:hAnsi="宋体" w:eastAsia="宋体" w:cs="宋体"/>
                <w:spacing w:val="-4"/>
              </w:rPr>
              <w:t>投标文件编制人员</w:t>
            </w:r>
          </w:p>
        </w:tc>
        <w:tc>
          <w:tcPr>
            <w:tcW w:w="589" w:type="pct"/>
            <w:vAlign w:val="center"/>
          </w:tcPr>
          <w:p w14:paraId="11AE75A4">
            <w:pPr>
              <w:widowControl/>
              <w:snapToGrid w:val="0"/>
              <w:jc w:val="both"/>
              <w:rPr>
                <w:rFonts w:ascii="宋体" w:hAnsi="宋体" w:eastAsia="宋体" w:cs="宋体"/>
                <w:bCs/>
              </w:rPr>
            </w:pPr>
          </w:p>
        </w:tc>
        <w:tc>
          <w:tcPr>
            <w:tcW w:w="1090" w:type="pct"/>
            <w:gridSpan w:val="2"/>
            <w:vAlign w:val="center"/>
          </w:tcPr>
          <w:p w14:paraId="6F8BDB3B">
            <w:pPr>
              <w:widowControl/>
              <w:snapToGrid w:val="0"/>
              <w:jc w:val="both"/>
              <w:rPr>
                <w:rFonts w:ascii="宋体" w:hAnsi="宋体" w:eastAsia="宋体" w:cs="宋体"/>
                <w:bCs/>
              </w:rPr>
            </w:pPr>
          </w:p>
        </w:tc>
        <w:tc>
          <w:tcPr>
            <w:tcW w:w="741" w:type="pct"/>
            <w:vAlign w:val="center"/>
          </w:tcPr>
          <w:p w14:paraId="209E07C0">
            <w:pPr>
              <w:widowControl/>
              <w:snapToGrid w:val="0"/>
              <w:jc w:val="both"/>
              <w:rPr>
                <w:rFonts w:ascii="宋体" w:hAnsi="宋体" w:eastAsia="宋体" w:cs="宋体"/>
                <w:bCs/>
              </w:rPr>
            </w:pPr>
          </w:p>
        </w:tc>
        <w:tc>
          <w:tcPr>
            <w:tcW w:w="779" w:type="pct"/>
            <w:vAlign w:val="center"/>
          </w:tcPr>
          <w:p w14:paraId="02B283ED">
            <w:pPr>
              <w:widowControl/>
              <w:snapToGrid w:val="0"/>
              <w:jc w:val="both"/>
              <w:rPr>
                <w:rFonts w:ascii="宋体" w:hAnsi="宋体" w:eastAsia="宋体" w:cs="宋体"/>
                <w:bCs/>
              </w:rPr>
            </w:pPr>
          </w:p>
        </w:tc>
      </w:tr>
      <w:tr w14:paraId="298E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20D4A92D">
            <w:pPr>
              <w:widowControl/>
              <w:snapToGrid w:val="0"/>
              <w:jc w:val="both"/>
              <w:rPr>
                <w:rFonts w:ascii="宋体" w:hAnsi="宋体" w:eastAsia="宋体" w:cs="宋体"/>
                <w:bCs/>
              </w:rPr>
            </w:pPr>
            <w:r>
              <w:rPr>
                <w:rFonts w:hint="eastAsia" w:ascii="宋体" w:hAnsi="宋体" w:eastAsia="宋体" w:cs="宋体"/>
                <w:bCs/>
              </w:rPr>
              <w:t>说明：</w:t>
            </w:r>
          </w:p>
          <w:p w14:paraId="2C233738">
            <w:pPr>
              <w:pStyle w:val="8"/>
              <w:widowControl w:val="0"/>
              <w:jc w:val="both"/>
              <w:rPr>
                <w:rFonts w:eastAsia="宋体"/>
              </w:rPr>
            </w:pPr>
            <w:r>
              <w:rPr>
                <w:rFonts w:hint="eastAsia" w:eastAsia="宋体"/>
              </w:rPr>
              <w:t>1.同一职务有多人担任（如</w:t>
            </w:r>
            <w:r>
              <w:rPr>
                <w:rFonts w:hint="eastAsia" w:ascii="宋体" w:hAnsi="宋体" w:eastAsia="宋体" w:cs="宋体"/>
                <w:spacing w:val="-4"/>
              </w:rPr>
              <w:t>主要经营负责人、</w:t>
            </w:r>
            <w:r>
              <w:rPr>
                <w:rFonts w:hint="eastAsia" w:eastAsia="宋体"/>
              </w:rPr>
              <w:t>主要技术人员）或</w:t>
            </w:r>
            <w:r>
              <w:rPr>
                <w:rFonts w:hint="eastAsia" w:ascii="宋体" w:hAnsi="宋体" w:eastAsia="宋体" w:cs="宋体"/>
                <w:color w:val="FF0000"/>
                <w:spacing w:val="-4"/>
              </w:rPr>
              <w:t>同一人担任多个职务的</w:t>
            </w:r>
            <w:r>
              <w:rPr>
                <w:rFonts w:hint="eastAsia" w:eastAsia="宋体"/>
              </w:rPr>
              <w:t>，应分行填写</w:t>
            </w:r>
            <w:r>
              <w:rPr>
                <w:rFonts w:hint="eastAsia" w:ascii="宋体" w:hAnsi="宋体" w:eastAsia="宋体" w:cs="宋体"/>
                <w:color w:val="FF0000"/>
                <w:spacing w:val="-4"/>
              </w:rPr>
              <w:t>。</w:t>
            </w:r>
          </w:p>
          <w:p w14:paraId="3005306D">
            <w:pPr>
              <w:pStyle w:val="8"/>
              <w:widowControl w:val="0"/>
              <w:jc w:val="both"/>
              <w:rPr>
                <w:rFonts w:eastAsia="宋体"/>
              </w:rPr>
            </w:pPr>
            <w:r>
              <w:rPr>
                <w:rFonts w:hint="eastAsia" w:eastAsia="宋体"/>
              </w:rPr>
              <w:t>2.上述项目负责人、主要技术人员必须为供应商本单位人员。</w:t>
            </w:r>
          </w:p>
          <w:p w14:paraId="6E591D25">
            <w:pPr>
              <w:pStyle w:val="8"/>
              <w:widowControl w:val="0"/>
              <w:jc w:val="both"/>
              <w:rPr>
                <w:rFonts w:eastAsia="宋体"/>
              </w:rPr>
            </w:pPr>
            <w:r>
              <w:rPr>
                <w:rFonts w:hint="eastAsia" w:eastAsia="宋体"/>
              </w:rPr>
              <w:t>3.</w:t>
            </w:r>
            <w:r>
              <w:rPr>
                <w:rFonts w:eastAsia="宋体"/>
              </w:rPr>
              <w:t>依据《民法典》第504条规定，上述单位负责人，是指非法人组织（如个体工商户、分支机构）的负责人，即对外代表该组织的自然人。</w:t>
            </w:r>
          </w:p>
        </w:tc>
      </w:tr>
      <w:tr w14:paraId="65D1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000" w:type="pct"/>
            <w:gridSpan w:val="8"/>
            <w:vAlign w:val="center"/>
          </w:tcPr>
          <w:p w14:paraId="02EDD0C1">
            <w:pPr>
              <w:widowControl/>
              <w:snapToGrid w:val="0"/>
              <w:jc w:val="both"/>
              <w:rPr>
                <w:rFonts w:ascii="宋体" w:hAnsi="宋体" w:eastAsia="宋体" w:cs="宋体"/>
                <w:bCs/>
              </w:rPr>
            </w:pPr>
            <w:r>
              <w:rPr>
                <w:rFonts w:hint="eastAsia" w:ascii="宋体" w:hAnsi="宋体" w:eastAsia="宋体" w:cs="宋体"/>
                <w:bCs/>
              </w:rPr>
              <w:t>投标（响应）供应商关联关系情况</w:t>
            </w:r>
          </w:p>
        </w:tc>
      </w:tr>
      <w:tr w14:paraId="63EA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bottom w:val="single" w:color="auto" w:sz="4" w:space="0"/>
            </w:tcBorders>
            <w:vAlign w:val="center"/>
          </w:tcPr>
          <w:p w14:paraId="56B285B9">
            <w:pPr>
              <w:widowControl/>
              <w:snapToGrid w:val="0"/>
              <w:jc w:val="center"/>
              <w:rPr>
                <w:rFonts w:ascii="宋体" w:hAnsi="宋体" w:eastAsia="宋体" w:cs="宋体"/>
                <w:bCs/>
              </w:rPr>
            </w:pPr>
            <w:r>
              <w:rPr>
                <w:rFonts w:hint="eastAsia" w:ascii="宋体" w:hAnsi="宋体" w:eastAsia="宋体" w:cs="宋体"/>
                <w:bCs/>
              </w:rPr>
              <w:t>序号</w:t>
            </w:r>
          </w:p>
        </w:tc>
        <w:tc>
          <w:tcPr>
            <w:tcW w:w="1392" w:type="pct"/>
            <w:gridSpan w:val="2"/>
            <w:tcBorders>
              <w:bottom w:val="single" w:color="auto" w:sz="4" w:space="0"/>
            </w:tcBorders>
            <w:vAlign w:val="center"/>
          </w:tcPr>
          <w:p w14:paraId="63D5F3A3">
            <w:pPr>
              <w:widowControl/>
              <w:snapToGrid w:val="0"/>
              <w:jc w:val="center"/>
              <w:rPr>
                <w:rFonts w:ascii="宋体" w:hAnsi="宋体" w:eastAsia="宋体" w:cs="宋体"/>
                <w:bCs/>
              </w:rPr>
            </w:pPr>
            <w:r>
              <w:rPr>
                <w:rFonts w:hint="eastAsia" w:ascii="宋体" w:hAnsi="宋体" w:eastAsia="宋体" w:cs="宋体"/>
                <w:bCs/>
              </w:rPr>
              <w:t>关联关系类型</w:t>
            </w:r>
          </w:p>
        </w:tc>
        <w:tc>
          <w:tcPr>
            <w:tcW w:w="996" w:type="pct"/>
            <w:gridSpan w:val="2"/>
            <w:tcBorders>
              <w:bottom w:val="single" w:color="auto" w:sz="4" w:space="0"/>
            </w:tcBorders>
            <w:vAlign w:val="center"/>
          </w:tcPr>
          <w:p w14:paraId="28192331">
            <w:pPr>
              <w:widowControl/>
              <w:snapToGrid w:val="0"/>
              <w:jc w:val="center"/>
              <w:rPr>
                <w:rFonts w:ascii="宋体" w:hAnsi="宋体" w:eastAsia="宋体" w:cs="宋体"/>
                <w:bCs/>
              </w:rPr>
            </w:pPr>
            <w:r>
              <w:rPr>
                <w:rFonts w:hint="eastAsia" w:ascii="宋体" w:hAnsi="宋体" w:eastAsia="宋体" w:cs="宋体"/>
                <w:bCs/>
              </w:rPr>
              <w:t>关联主体名称</w:t>
            </w:r>
          </w:p>
        </w:tc>
        <w:tc>
          <w:tcPr>
            <w:tcW w:w="2204" w:type="pct"/>
            <w:gridSpan w:val="3"/>
            <w:tcBorders>
              <w:bottom w:val="single" w:color="auto" w:sz="4" w:space="0"/>
            </w:tcBorders>
            <w:vAlign w:val="center"/>
          </w:tcPr>
          <w:p w14:paraId="38E2309C">
            <w:pPr>
              <w:widowControl/>
              <w:snapToGrid w:val="0"/>
              <w:jc w:val="center"/>
              <w:rPr>
                <w:rFonts w:ascii="宋体" w:hAnsi="宋体" w:eastAsia="宋体" w:cs="宋体"/>
                <w:bCs/>
              </w:rPr>
            </w:pPr>
            <w:r>
              <w:rPr>
                <w:rFonts w:hint="eastAsia" w:ascii="宋体" w:hAnsi="宋体" w:eastAsia="宋体" w:cs="宋体"/>
                <w:bCs/>
              </w:rPr>
              <w:t>备注</w:t>
            </w:r>
          </w:p>
        </w:tc>
      </w:tr>
      <w:tr w14:paraId="04BC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top w:val="single" w:color="auto" w:sz="4" w:space="0"/>
              <w:left w:val="single" w:color="auto" w:sz="4" w:space="0"/>
              <w:bottom w:val="single" w:color="auto" w:sz="4" w:space="0"/>
              <w:right w:val="single" w:color="auto" w:sz="4" w:space="0"/>
            </w:tcBorders>
            <w:vAlign w:val="center"/>
          </w:tcPr>
          <w:p w14:paraId="39AA7649">
            <w:pPr>
              <w:widowControl/>
              <w:snapToGrid w:val="0"/>
              <w:jc w:val="both"/>
              <w:rPr>
                <w:rFonts w:ascii="宋体" w:hAnsi="宋体" w:eastAsia="宋体" w:cs="宋体"/>
                <w:bCs/>
              </w:rPr>
            </w:pPr>
            <w:r>
              <w:rPr>
                <w:rFonts w:hint="eastAsia" w:ascii="宋体" w:hAnsi="宋体" w:eastAsia="宋体" w:cs="宋体"/>
                <w:bCs/>
              </w:rPr>
              <w:t>1</w:t>
            </w:r>
          </w:p>
        </w:tc>
        <w:tc>
          <w:tcPr>
            <w:tcW w:w="1392" w:type="pct"/>
            <w:gridSpan w:val="2"/>
            <w:tcBorders>
              <w:top w:val="single" w:color="auto" w:sz="4" w:space="0"/>
              <w:left w:val="single" w:color="auto" w:sz="4" w:space="0"/>
              <w:bottom w:val="single" w:color="auto" w:sz="4" w:space="0"/>
              <w:right w:val="single" w:color="auto" w:sz="4" w:space="0"/>
            </w:tcBorders>
            <w:vAlign w:val="center"/>
          </w:tcPr>
          <w:p w14:paraId="6412E9D4">
            <w:pPr>
              <w:widowControl/>
              <w:snapToGrid w:val="0"/>
              <w:jc w:val="both"/>
              <w:rPr>
                <w:rFonts w:ascii="宋体" w:hAnsi="宋体" w:eastAsia="宋体" w:cs="宋体"/>
                <w:bCs/>
              </w:rPr>
            </w:pPr>
            <w:r>
              <w:rPr>
                <w:rFonts w:hint="eastAsia" w:ascii="宋体" w:hAnsi="宋体" w:eastAsia="宋体" w:cs="宋体"/>
                <w:b/>
                <w:bCs/>
                <w:color w:val="FF0000"/>
                <w:spacing w:val="-4"/>
              </w:rPr>
              <w:t>控股股东</w:t>
            </w:r>
          </w:p>
        </w:tc>
        <w:tc>
          <w:tcPr>
            <w:tcW w:w="996" w:type="pct"/>
            <w:gridSpan w:val="2"/>
            <w:tcBorders>
              <w:top w:val="single" w:color="auto" w:sz="4" w:space="0"/>
              <w:left w:val="single" w:color="auto" w:sz="4" w:space="0"/>
              <w:bottom w:val="single" w:color="auto" w:sz="4" w:space="0"/>
              <w:right w:val="single" w:color="auto" w:sz="4" w:space="0"/>
            </w:tcBorders>
            <w:vAlign w:val="center"/>
          </w:tcPr>
          <w:p w14:paraId="5C620C6A">
            <w:pPr>
              <w:widowControl/>
              <w:snapToGrid w:val="0"/>
              <w:jc w:val="both"/>
              <w:rPr>
                <w:rFonts w:ascii="宋体" w:hAnsi="宋体" w:eastAsia="宋体" w:cs="宋体"/>
                <w:bCs/>
              </w:rPr>
            </w:pPr>
          </w:p>
        </w:tc>
        <w:tc>
          <w:tcPr>
            <w:tcW w:w="2204" w:type="pct"/>
            <w:gridSpan w:val="3"/>
            <w:tcBorders>
              <w:top w:val="single" w:color="auto" w:sz="4" w:space="0"/>
              <w:left w:val="single" w:color="auto" w:sz="4" w:space="0"/>
              <w:bottom w:val="single" w:color="auto" w:sz="4" w:space="0"/>
              <w:right w:val="single" w:color="auto" w:sz="4" w:space="0"/>
            </w:tcBorders>
            <w:vAlign w:val="center"/>
          </w:tcPr>
          <w:p w14:paraId="1F59C583">
            <w:pPr>
              <w:widowControl/>
              <w:snapToGrid w:val="0"/>
              <w:jc w:val="both"/>
              <w:rPr>
                <w:rFonts w:ascii="宋体" w:hAnsi="宋体" w:eastAsia="宋体" w:cs="宋体"/>
                <w:bCs/>
              </w:rPr>
            </w:pPr>
            <w:r>
              <w:rPr>
                <w:rFonts w:hint="eastAsia" w:ascii="宋体" w:hAnsi="宋体" w:eastAsia="宋体" w:cs="宋体"/>
                <w:bCs/>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3973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tcBorders>
              <w:top w:val="single" w:color="auto" w:sz="4" w:space="0"/>
              <w:left w:val="single" w:color="auto" w:sz="4" w:space="0"/>
              <w:bottom w:val="single" w:color="auto" w:sz="4" w:space="0"/>
              <w:right w:val="single" w:color="auto" w:sz="4" w:space="0"/>
            </w:tcBorders>
            <w:vAlign w:val="center"/>
          </w:tcPr>
          <w:p w14:paraId="0C752C0C">
            <w:pPr>
              <w:widowControl/>
              <w:snapToGrid w:val="0"/>
              <w:jc w:val="both"/>
              <w:rPr>
                <w:rFonts w:ascii="宋体" w:hAnsi="宋体" w:eastAsia="宋体" w:cs="宋体"/>
                <w:bCs/>
              </w:rPr>
            </w:pPr>
            <w:r>
              <w:rPr>
                <w:rFonts w:hint="eastAsia" w:ascii="宋体" w:hAnsi="宋体" w:eastAsia="宋体" w:cs="宋体"/>
                <w:bCs/>
              </w:rPr>
              <w:t>2</w:t>
            </w:r>
          </w:p>
        </w:tc>
        <w:tc>
          <w:tcPr>
            <w:tcW w:w="1392" w:type="pct"/>
            <w:gridSpan w:val="2"/>
            <w:tcBorders>
              <w:top w:val="single" w:color="auto" w:sz="4" w:space="0"/>
              <w:left w:val="single" w:color="auto" w:sz="4" w:space="0"/>
              <w:bottom w:val="single" w:color="auto" w:sz="4" w:space="0"/>
              <w:right w:val="single" w:color="auto" w:sz="4" w:space="0"/>
            </w:tcBorders>
            <w:vAlign w:val="center"/>
          </w:tcPr>
          <w:p w14:paraId="222DCD97">
            <w:pPr>
              <w:widowControl/>
              <w:snapToGrid w:val="0"/>
              <w:jc w:val="both"/>
              <w:rPr>
                <w:rFonts w:ascii="宋体" w:hAnsi="宋体" w:eastAsia="宋体" w:cs="宋体"/>
                <w:bCs/>
              </w:rPr>
            </w:pPr>
            <w:r>
              <w:rPr>
                <w:rFonts w:hint="eastAsia" w:ascii="宋体" w:hAnsi="宋体" w:eastAsia="宋体" w:cs="宋体"/>
                <w:bCs/>
              </w:rPr>
              <w:t>管理关系</w:t>
            </w:r>
          </w:p>
        </w:tc>
        <w:tc>
          <w:tcPr>
            <w:tcW w:w="996" w:type="pct"/>
            <w:gridSpan w:val="2"/>
            <w:tcBorders>
              <w:top w:val="single" w:color="auto" w:sz="4" w:space="0"/>
              <w:left w:val="single" w:color="auto" w:sz="4" w:space="0"/>
              <w:bottom w:val="single" w:color="auto" w:sz="4" w:space="0"/>
              <w:right w:val="single" w:color="auto" w:sz="4" w:space="0"/>
            </w:tcBorders>
            <w:vAlign w:val="center"/>
          </w:tcPr>
          <w:p w14:paraId="1AA17CD3">
            <w:pPr>
              <w:widowControl/>
              <w:snapToGrid w:val="0"/>
              <w:jc w:val="both"/>
              <w:rPr>
                <w:rFonts w:ascii="宋体" w:hAnsi="宋体" w:eastAsia="宋体" w:cs="宋体"/>
                <w:bCs/>
              </w:rPr>
            </w:pPr>
          </w:p>
        </w:tc>
        <w:tc>
          <w:tcPr>
            <w:tcW w:w="2204" w:type="pct"/>
            <w:gridSpan w:val="3"/>
            <w:tcBorders>
              <w:top w:val="single" w:color="auto" w:sz="4" w:space="0"/>
              <w:left w:val="single" w:color="auto" w:sz="4" w:space="0"/>
              <w:bottom w:val="single" w:color="auto" w:sz="4" w:space="0"/>
              <w:right w:val="single" w:color="auto" w:sz="4" w:space="0"/>
            </w:tcBorders>
            <w:vAlign w:val="center"/>
          </w:tcPr>
          <w:p w14:paraId="2A92F859">
            <w:pPr>
              <w:widowControl/>
              <w:snapToGrid w:val="0"/>
              <w:jc w:val="both"/>
              <w:rPr>
                <w:rFonts w:ascii="宋体" w:hAnsi="宋体" w:eastAsia="宋体" w:cs="宋体"/>
                <w:bCs/>
              </w:rPr>
            </w:pPr>
            <w:r>
              <w:rPr>
                <w:rFonts w:hint="eastAsia" w:ascii="宋体" w:hAnsi="宋体" w:eastAsia="宋体" w:cs="宋体"/>
                <w:bCs/>
              </w:rPr>
              <w:t>指对投标（响应）供应商不具有出资持股关系，但对其存在管理关系的主体。</w:t>
            </w:r>
          </w:p>
        </w:tc>
      </w:tr>
      <w:tr w14:paraId="7F10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Borders>
              <w:top w:val="single" w:color="auto" w:sz="4" w:space="0"/>
              <w:left w:val="single" w:color="auto" w:sz="4" w:space="0"/>
              <w:bottom w:val="single" w:color="auto" w:sz="4" w:space="0"/>
              <w:right w:val="single" w:color="auto" w:sz="4" w:space="0"/>
            </w:tcBorders>
            <w:vAlign w:val="center"/>
          </w:tcPr>
          <w:p w14:paraId="6B4CBFFF">
            <w:pPr>
              <w:widowControl/>
              <w:snapToGrid w:val="0"/>
              <w:jc w:val="both"/>
              <w:rPr>
                <w:rFonts w:ascii="宋体" w:hAnsi="宋体" w:eastAsia="宋体" w:cs="宋体"/>
                <w:b/>
              </w:rPr>
            </w:pPr>
            <w:r>
              <w:rPr>
                <w:rFonts w:hint="eastAsia" w:ascii="宋体" w:hAnsi="宋体" w:eastAsia="宋体" w:cs="宋体"/>
                <w:b/>
              </w:rPr>
              <w:t>说明：</w:t>
            </w:r>
          </w:p>
          <w:p w14:paraId="6F4D389B">
            <w:pPr>
              <w:widowControl/>
              <w:snapToGrid w:val="0"/>
              <w:jc w:val="both"/>
              <w:rPr>
                <w:rFonts w:ascii="宋体" w:hAnsi="宋体" w:eastAsia="宋体" w:cs="宋体"/>
                <w:b/>
              </w:rPr>
            </w:pPr>
            <w:r>
              <w:rPr>
                <w:rFonts w:hint="eastAsia" w:ascii="宋体" w:hAnsi="宋体" w:eastAsia="宋体" w:cs="宋体"/>
                <w:b/>
              </w:rPr>
              <w:t>1.同一关联关系类型有多个主体的，应分行填写。</w:t>
            </w:r>
          </w:p>
          <w:p w14:paraId="0B445315">
            <w:pPr>
              <w:widowControl/>
              <w:snapToGrid w:val="0"/>
              <w:jc w:val="both"/>
            </w:pPr>
            <w:r>
              <w:rPr>
                <w:rFonts w:hint="eastAsia" w:ascii="宋体" w:hAnsi="宋体" w:eastAsia="宋体" w:cs="宋体"/>
                <w:b/>
              </w:rPr>
              <w:t>2.上述规定的控股、管理关系仅限于直接控股、直接管理关系，不包括间接的控股或管理关系。</w:t>
            </w:r>
          </w:p>
        </w:tc>
      </w:tr>
    </w:tbl>
    <w:p w14:paraId="4FBDC2FF">
      <w:pPr>
        <w:snapToGrid w:val="0"/>
        <w:rPr>
          <w:rFonts w:ascii="宋体" w:hAnsi="宋体" w:eastAsia="宋体" w:cs="宋体"/>
          <w:b/>
        </w:rPr>
      </w:pPr>
      <w:r>
        <w:rPr>
          <w:rFonts w:hint="eastAsia" w:ascii="宋体" w:hAnsi="宋体" w:eastAsia="宋体" w:cs="宋体"/>
          <w:b/>
        </w:rPr>
        <w:t>1.情况一览表</w:t>
      </w:r>
    </w:p>
    <w:p w14:paraId="4DACBF58">
      <w:pPr>
        <w:snapToGrid w:val="0"/>
        <w:rPr>
          <w:rFonts w:ascii="宋体" w:hAnsi="宋体" w:eastAsia="宋体" w:cs="宋体"/>
          <w:b/>
        </w:rPr>
      </w:pPr>
    </w:p>
    <w:p w14:paraId="1340E5E5">
      <w:pPr>
        <w:snapToGrid w:val="0"/>
        <w:rPr>
          <w:rFonts w:ascii="宋体" w:hAnsi="宋体" w:eastAsia="宋体" w:cs="宋体"/>
          <w:b/>
        </w:rPr>
      </w:pPr>
      <w:r>
        <w:rPr>
          <w:rFonts w:hint="eastAsia" w:ascii="宋体" w:hAnsi="宋体" w:eastAsia="宋体" w:cs="宋体"/>
          <w:b/>
        </w:rPr>
        <w:t>2.社保证明材料：</w:t>
      </w:r>
    </w:p>
    <w:p w14:paraId="77555AC2">
      <w:pPr>
        <w:snapToGrid w:val="0"/>
        <w:rPr>
          <w:rFonts w:ascii="宋体" w:hAnsi="宋体" w:eastAsia="宋体" w:cs="宋体"/>
          <w:bCs/>
        </w:rPr>
      </w:pPr>
      <w:r>
        <w:rPr>
          <w:rFonts w:hint="eastAsia" w:ascii="宋体" w:hAnsi="宋体" w:eastAsia="宋体" w:cs="宋体"/>
          <w:bCs/>
        </w:rPr>
        <w:t>（1）法定代表人（单位负责人或执行事务合伙人）</w:t>
      </w:r>
    </w:p>
    <w:p w14:paraId="22A33E39">
      <w:pPr>
        <w:snapToGrid w:val="0"/>
        <w:rPr>
          <w:rFonts w:ascii="宋体" w:hAnsi="宋体" w:eastAsia="宋体" w:cs="宋体"/>
          <w:bCs/>
        </w:rPr>
      </w:pPr>
      <w:r>
        <w:rPr>
          <w:rFonts w:hint="eastAsia" w:ascii="宋体" w:hAnsi="宋体" w:eastAsia="宋体" w:cs="宋体"/>
          <w:bCs/>
        </w:rPr>
        <w:t>身份证扫描件（正反面）：</w:t>
      </w:r>
    </w:p>
    <w:p w14:paraId="30A67850">
      <w:pPr>
        <w:snapToGrid w:val="0"/>
        <w:rPr>
          <w:rFonts w:ascii="宋体" w:hAnsi="宋体" w:eastAsia="宋体" w:cs="宋体"/>
          <w:bCs/>
        </w:rPr>
      </w:pPr>
      <w:r>
        <w:rPr>
          <w:rFonts w:hint="eastAsia" w:ascii="宋体" w:hAnsi="宋体" w:eastAsia="宋体" w:cs="宋体"/>
          <w:bCs/>
        </w:rPr>
        <w:t>开标前一个月的社保缴纳凭证(须由社保部门出具，并至少载明参保人姓名、身份证号和参保单位名称)：</w:t>
      </w:r>
    </w:p>
    <w:p w14:paraId="622DC80F">
      <w:pPr>
        <w:snapToGrid w:val="0"/>
        <w:rPr>
          <w:rFonts w:ascii="宋体" w:hAnsi="宋体" w:eastAsia="宋体" w:cs="宋体"/>
          <w:bCs/>
        </w:rPr>
      </w:pPr>
    </w:p>
    <w:p w14:paraId="1DABC10E">
      <w:pPr>
        <w:snapToGrid w:val="0"/>
        <w:rPr>
          <w:rFonts w:ascii="宋体" w:hAnsi="宋体" w:eastAsia="宋体" w:cs="宋体"/>
          <w:bCs/>
        </w:rPr>
      </w:pPr>
      <w:r>
        <w:rPr>
          <w:rFonts w:hint="eastAsia" w:ascii="宋体" w:hAnsi="宋体" w:eastAsia="宋体" w:cs="宋体"/>
          <w:bCs/>
        </w:rPr>
        <w:t>（2）主要经营负责人</w:t>
      </w:r>
    </w:p>
    <w:p w14:paraId="3928680D">
      <w:pPr>
        <w:snapToGrid w:val="0"/>
        <w:rPr>
          <w:rFonts w:ascii="宋体" w:hAnsi="宋体" w:eastAsia="宋体" w:cs="宋体"/>
          <w:bCs/>
        </w:rPr>
      </w:pPr>
      <w:r>
        <w:rPr>
          <w:rFonts w:hint="eastAsia" w:ascii="宋体" w:hAnsi="宋体" w:eastAsia="宋体" w:cs="宋体"/>
          <w:bCs/>
        </w:rPr>
        <w:t>身份证扫描件（正反面）：</w:t>
      </w:r>
    </w:p>
    <w:p w14:paraId="032F1373">
      <w:pPr>
        <w:snapToGrid w:val="0"/>
        <w:rPr>
          <w:rFonts w:ascii="宋体" w:hAnsi="宋体" w:eastAsia="宋体" w:cs="宋体"/>
          <w:bCs/>
        </w:rPr>
      </w:pPr>
      <w:r>
        <w:rPr>
          <w:rFonts w:hint="eastAsia" w:ascii="宋体" w:hAnsi="宋体" w:eastAsia="宋体" w:cs="宋体"/>
          <w:bCs/>
        </w:rPr>
        <w:t>开标前一个月的社保缴纳凭证(须由社保部门出具，并至少载明参保人姓名、身份证号和参保单位名称)：</w:t>
      </w:r>
    </w:p>
    <w:p w14:paraId="711B7034">
      <w:pPr>
        <w:pStyle w:val="8"/>
      </w:pPr>
    </w:p>
    <w:p w14:paraId="1F3219BE">
      <w:pPr>
        <w:snapToGrid w:val="0"/>
        <w:rPr>
          <w:rFonts w:ascii="宋体" w:hAnsi="宋体" w:eastAsia="宋体" w:cs="宋体"/>
          <w:bCs/>
        </w:rPr>
      </w:pPr>
      <w:r>
        <w:rPr>
          <w:rFonts w:hint="eastAsia" w:ascii="宋体" w:hAnsi="宋体" w:eastAsia="宋体" w:cs="宋体"/>
          <w:bCs/>
        </w:rPr>
        <w:t>（3）投标授权代表人</w:t>
      </w:r>
    </w:p>
    <w:p w14:paraId="6EA3F64E">
      <w:pPr>
        <w:snapToGrid w:val="0"/>
        <w:rPr>
          <w:rFonts w:ascii="宋体" w:hAnsi="宋体" w:eastAsia="宋体" w:cs="宋体"/>
          <w:bCs/>
        </w:rPr>
      </w:pPr>
      <w:r>
        <w:rPr>
          <w:rFonts w:hint="eastAsia" w:ascii="宋体" w:hAnsi="宋体" w:eastAsia="宋体" w:cs="宋体"/>
          <w:bCs/>
        </w:rPr>
        <w:t>身份证扫描件（正反面）：</w:t>
      </w:r>
    </w:p>
    <w:p w14:paraId="071767B5">
      <w:pPr>
        <w:snapToGrid w:val="0"/>
        <w:rPr>
          <w:rFonts w:ascii="宋体" w:hAnsi="宋体" w:eastAsia="宋体" w:cs="宋体"/>
          <w:bCs/>
        </w:rPr>
      </w:pPr>
      <w:r>
        <w:rPr>
          <w:rFonts w:hint="eastAsia" w:ascii="宋体" w:hAnsi="宋体" w:eastAsia="宋体" w:cs="宋体"/>
          <w:bCs/>
        </w:rPr>
        <w:t>开标前一个月的社保缴纳凭证(须由社保部门出具，并至少载明参保人姓名、身份证号和参保单位名称)：</w:t>
      </w:r>
    </w:p>
    <w:p w14:paraId="02513727">
      <w:pPr>
        <w:pStyle w:val="6"/>
        <w:rPr>
          <w:rFonts w:ascii="宋体" w:hAnsi="宋体" w:eastAsia="宋体" w:cs="宋体"/>
          <w:bCs/>
          <w:szCs w:val="24"/>
        </w:rPr>
      </w:pPr>
    </w:p>
    <w:p w14:paraId="3F144DC4">
      <w:pPr>
        <w:snapToGrid w:val="0"/>
        <w:rPr>
          <w:rFonts w:ascii="宋体" w:hAnsi="宋体" w:eastAsia="宋体" w:cs="宋体"/>
          <w:bCs/>
        </w:rPr>
      </w:pPr>
      <w:r>
        <w:rPr>
          <w:rFonts w:hint="eastAsia" w:ascii="宋体" w:hAnsi="宋体" w:eastAsia="宋体" w:cs="宋体"/>
          <w:bCs/>
        </w:rPr>
        <w:t>（4）项目负责人</w:t>
      </w:r>
    </w:p>
    <w:p w14:paraId="25965E2B">
      <w:pPr>
        <w:snapToGrid w:val="0"/>
        <w:rPr>
          <w:rFonts w:ascii="宋体" w:hAnsi="宋体" w:eastAsia="宋体" w:cs="宋体"/>
          <w:bCs/>
        </w:rPr>
      </w:pPr>
      <w:r>
        <w:rPr>
          <w:rFonts w:hint="eastAsia" w:ascii="宋体" w:hAnsi="宋体" w:eastAsia="宋体" w:cs="宋体"/>
          <w:bCs/>
        </w:rPr>
        <w:t>身份证扫描件（正反面）：</w:t>
      </w:r>
    </w:p>
    <w:p w14:paraId="60603BC5">
      <w:pPr>
        <w:snapToGrid w:val="0"/>
        <w:rPr>
          <w:rFonts w:ascii="宋体" w:hAnsi="宋体" w:eastAsia="宋体" w:cs="宋体"/>
          <w:bCs/>
        </w:rPr>
      </w:pPr>
      <w:r>
        <w:rPr>
          <w:rFonts w:hint="eastAsia" w:ascii="宋体" w:hAnsi="宋体" w:eastAsia="宋体" w:cs="宋体"/>
          <w:bCs/>
        </w:rPr>
        <w:t>开标前一个月的社保缴纳凭证(须由社保部门出具，并至少载明参保人姓名、身份证号和参保单位名称)：</w:t>
      </w:r>
    </w:p>
    <w:p w14:paraId="584CDA0E">
      <w:pPr>
        <w:pStyle w:val="6"/>
        <w:rPr>
          <w:rFonts w:ascii="宋体" w:hAnsi="宋体" w:eastAsia="宋体" w:cs="宋体"/>
          <w:bCs/>
          <w:szCs w:val="24"/>
        </w:rPr>
      </w:pPr>
    </w:p>
    <w:p w14:paraId="1D0C42EF">
      <w:pPr>
        <w:snapToGrid w:val="0"/>
        <w:rPr>
          <w:rFonts w:ascii="宋体" w:hAnsi="宋体" w:eastAsia="宋体" w:cs="宋体"/>
          <w:bCs/>
        </w:rPr>
      </w:pPr>
      <w:r>
        <w:rPr>
          <w:rFonts w:hint="eastAsia" w:ascii="宋体" w:hAnsi="宋体" w:eastAsia="宋体" w:cs="宋体"/>
          <w:bCs/>
        </w:rPr>
        <w:t>（5）主要技术人员</w:t>
      </w:r>
    </w:p>
    <w:p w14:paraId="57A15517">
      <w:pPr>
        <w:snapToGrid w:val="0"/>
        <w:rPr>
          <w:rFonts w:ascii="宋体" w:hAnsi="宋体" w:eastAsia="宋体" w:cs="宋体"/>
          <w:bCs/>
        </w:rPr>
      </w:pPr>
      <w:r>
        <w:rPr>
          <w:rFonts w:hint="eastAsia" w:ascii="宋体" w:hAnsi="宋体" w:eastAsia="宋体" w:cs="宋体"/>
          <w:bCs/>
        </w:rPr>
        <w:t>身份证扫描件（正反面）：</w:t>
      </w:r>
    </w:p>
    <w:p w14:paraId="0EB91626">
      <w:pPr>
        <w:snapToGrid w:val="0"/>
        <w:rPr>
          <w:rFonts w:ascii="宋体" w:hAnsi="宋体" w:eastAsia="宋体" w:cs="宋体"/>
          <w:bCs/>
        </w:rPr>
      </w:pPr>
      <w:r>
        <w:rPr>
          <w:rFonts w:hint="eastAsia" w:ascii="宋体" w:hAnsi="宋体" w:eastAsia="宋体" w:cs="宋体"/>
          <w:bCs/>
        </w:rPr>
        <w:t>开标前一个月的社保缴纳凭证(须由社保部门出具，并至少载明参保人姓名、身份证号和参保单位名称)：</w:t>
      </w:r>
    </w:p>
    <w:p w14:paraId="51646619">
      <w:pPr>
        <w:pStyle w:val="6"/>
        <w:rPr>
          <w:rFonts w:ascii="宋体" w:hAnsi="宋体" w:eastAsia="宋体" w:cs="宋体"/>
          <w:bCs/>
          <w:szCs w:val="24"/>
        </w:rPr>
      </w:pPr>
    </w:p>
    <w:p w14:paraId="7632F921">
      <w:pPr>
        <w:snapToGrid w:val="0"/>
        <w:rPr>
          <w:rFonts w:ascii="宋体" w:hAnsi="宋体" w:eastAsia="宋体" w:cs="宋体"/>
          <w:bCs/>
        </w:rPr>
      </w:pPr>
      <w:r>
        <w:rPr>
          <w:rFonts w:hint="eastAsia" w:ascii="宋体" w:hAnsi="宋体" w:eastAsia="宋体" w:cs="宋体"/>
          <w:bCs/>
        </w:rPr>
        <w:t>（6）投标文件编制人员</w:t>
      </w:r>
    </w:p>
    <w:p w14:paraId="76A85308">
      <w:pPr>
        <w:snapToGrid w:val="0"/>
        <w:rPr>
          <w:rFonts w:ascii="宋体" w:hAnsi="宋体" w:eastAsia="宋体" w:cs="宋体"/>
          <w:bCs/>
        </w:rPr>
      </w:pPr>
      <w:r>
        <w:rPr>
          <w:rFonts w:hint="eastAsia" w:ascii="宋体" w:hAnsi="宋体" w:eastAsia="宋体" w:cs="宋体"/>
          <w:bCs/>
        </w:rPr>
        <w:t>身份证扫描件（正反面）：</w:t>
      </w:r>
    </w:p>
    <w:p w14:paraId="3BCC83A5">
      <w:pPr>
        <w:snapToGrid w:val="0"/>
        <w:rPr>
          <w:rFonts w:ascii="宋体" w:hAnsi="宋体" w:eastAsia="宋体" w:cs="宋体"/>
          <w:bCs/>
        </w:rPr>
      </w:pPr>
      <w:r>
        <w:rPr>
          <w:rFonts w:hint="eastAsia" w:ascii="宋体" w:hAnsi="宋体" w:eastAsia="宋体" w:cs="宋体"/>
          <w:bCs/>
        </w:rPr>
        <w:t>开标前一个月的社保缴纳凭证(须由社保部门出具，并至少载明参保人姓名、身份证号和参保单位名称)：</w:t>
      </w:r>
    </w:p>
    <w:p w14:paraId="0C221470">
      <w:pPr>
        <w:pStyle w:val="6"/>
        <w:rPr>
          <w:rFonts w:ascii="宋体" w:hAnsi="宋体" w:eastAsia="宋体" w:cs="宋体"/>
          <w:szCs w:val="24"/>
        </w:rPr>
      </w:pPr>
    </w:p>
    <w:p w14:paraId="575FD5FF">
      <w:pPr>
        <w:snapToGrid w:val="0"/>
        <w:rPr>
          <w:rFonts w:ascii="宋体" w:hAnsi="宋体" w:eastAsia="宋体" w:cs="宋体"/>
          <w:bCs/>
        </w:rPr>
      </w:pPr>
      <w:r>
        <w:rPr>
          <w:rFonts w:hint="eastAsia" w:ascii="宋体" w:hAnsi="宋体" w:eastAsia="宋体" w:cs="宋体"/>
          <w:bCs/>
        </w:rPr>
        <w:t>注：</w:t>
      </w:r>
    </w:p>
    <w:p w14:paraId="6019CBB0">
      <w:pPr>
        <w:snapToGrid w:val="0"/>
        <w:rPr>
          <w:rFonts w:ascii="宋体" w:hAnsi="宋体" w:eastAsia="宋体" w:cs="宋体"/>
          <w:bCs/>
        </w:rPr>
      </w:pPr>
      <w:r>
        <w:rPr>
          <w:rFonts w:hint="eastAsia" w:ascii="宋体" w:hAnsi="宋体" w:eastAsia="宋体" w:cs="宋体"/>
          <w:bCs/>
        </w:rPr>
        <w:t>1）如开标前近一个月的社保材料因社保部门原因暂时无法取得，则可以往前顺延一个月。其中项目负责人及主要技术人员社保证明须由供应商缴纳。</w:t>
      </w:r>
    </w:p>
    <w:p w14:paraId="4563909A">
      <w:pPr>
        <w:snapToGrid w:val="0"/>
        <w:rPr>
          <w:rFonts w:ascii="宋体" w:hAnsi="宋体" w:eastAsia="宋体" w:cs="宋体"/>
          <w:bCs/>
        </w:rPr>
      </w:pPr>
      <w:r>
        <w:rPr>
          <w:rFonts w:hint="eastAsia" w:ascii="宋体" w:hAnsi="宋体" w:eastAsia="宋体" w:cs="宋体"/>
          <w:bCs/>
        </w:rPr>
        <w:t>2）供应商的项目投标授权代表人与法定代表人为同一人的，则须提供法定代表人的社保证明；本项目未安排项目负责人的，则无须提供项目负责人的社保证明。</w:t>
      </w:r>
    </w:p>
    <w:p w14:paraId="3990F4DD">
      <w:pPr>
        <w:snapToGrid w:val="0"/>
        <w:rPr>
          <w:rFonts w:ascii="宋体" w:hAnsi="宋体" w:eastAsia="宋体" w:cs="宋体"/>
          <w:bCs/>
        </w:rPr>
      </w:pPr>
      <w:r>
        <w:rPr>
          <w:rFonts w:hint="eastAsia" w:ascii="宋体" w:hAnsi="宋体" w:eastAsia="宋体" w:cs="宋体"/>
          <w:bCs/>
        </w:rPr>
        <w:t>3）如无法按上述要求提供人员社会保险证明材料的，提交以下材料亦视为符合：</w:t>
      </w:r>
    </w:p>
    <w:p w14:paraId="71B6434E">
      <w:pPr>
        <w:snapToGrid w:val="0"/>
        <w:rPr>
          <w:rFonts w:ascii="宋体" w:hAnsi="宋体" w:eastAsia="宋体" w:cs="宋体"/>
          <w:bCs/>
        </w:rPr>
      </w:pPr>
      <w:r>
        <w:rPr>
          <w:rFonts w:hint="eastAsia" w:ascii="宋体" w:hAnsi="宋体" w:eastAsia="宋体" w:cs="宋体"/>
          <w:bCs/>
        </w:rPr>
        <w:t>若供应商为新成立企业且成立时间不足一个月，提供加盖投标人公章的情况说明或者证明材料。</w:t>
      </w:r>
      <w:r>
        <w:rPr>
          <w:rFonts w:hint="eastAsia" w:ascii="宋体" w:hAnsi="宋体" w:eastAsia="宋体" w:cs="宋体"/>
          <w:bCs/>
          <w:color w:val="FF0000"/>
        </w:rPr>
        <w:t>若为退休人员，需提供社保部门出具的退休证明。</w:t>
      </w:r>
      <w:r>
        <w:rPr>
          <w:rFonts w:hint="eastAsia" w:ascii="宋体" w:hAnsi="宋体" w:eastAsia="宋体" w:cs="宋体"/>
          <w:bCs/>
        </w:rPr>
        <w:t>如依法不需要缴纳社会保险的，</w:t>
      </w:r>
      <w:r>
        <w:rPr>
          <w:rFonts w:hint="eastAsia" w:ascii="宋体" w:hAnsi="宋体" w:eastAsia="宋体" w:cs="宋体"/>
          <w:bCs/>
          <w:color w:val="FF0000"/>
        </w:rPr>
        <w:t>应提供相应文件证明并对其真实性负责。</w:t>
      </w:r>
      <w:r>
        <w:rPr>
          <w:rFonts w:hint="eastAsia" w:ascii="宋体" w:hAnsi="宋体" w:eastAsia="宋体" w:cs="宋体"/>
          <w:bCs/>
        </w:rPr>
        <w:t>若因为社保部门原因无法提供的，需提供劳动合同及社保部门官方通知证明(或官网公告截图)。</w:t>
      </w:r>
    </w:p>
    <w:p w14:paraId="59C6B2B8">
      <w:pPr>
        <w:snapToGrid w:val="0"/>
        <w:rPr>
          <w:rFonts w:ascii="宋体" w:hAnsi="宋体" w:eastAsia="宋体" w:cs="宋体"/>
          <w:bCs/>
        </w:rPr>
      </w:pPr>
    </w:p>
    <w:p w14:paraId="3D426E3A">
      <w:pPr>
        <w:snapToGrid w:val="0"/>
        <w:rPr>
          <w:rFonts w:ascii="宋体" w:hAnsi="宋体" w:eastAsia="宋体" w:cs="宋体"/>
          <w:b/>
        </w:rPr>
      </w:pPr>
      <w:r>
        <w:rPr>
          <w:rFonts w:hint="eastAsia" w:ascii="宋体" w:hAnsi="宋体" w:eastAsia="宋体" w:cs="宋体"/>
          <w:b/>
        </w:rPr>
        <w:t>3.股权关系证明材料：</w:t>
      </w:r>
    </w:p>
    <w:p w14:paraId="182DAFDC">
      <w:pPr>
        <w:snapToGrid w:val="0"/>
        <w:rPr>
          <w:rFonts w:ascii="宋体" w:hAnsi="宋体" w:eastAsia="宋体" w:cs="宋体"/>
          <w:b/>
        </w:rPr>
      </w:pPr>
      <w:r>
        <w:rPr>
          <w:rFonts w:hint="eastAsia" w:ascii="宋体" w:hAnsi="宋体" w:eastAsia="宋体" w:cs="宋体"/>
          <w:b/>
        </w:rPr>
        <w:t>（1）股权（或管理）关系证明材料：</w:t>
      </w:r>
    </w:p>
    <w:p w14:paraId="209305DD">
      <w:pPr>
        <w:snapToGrid w:val="0"/>
        <w:rPr>
          <w:rFonts w:ascii="宋体" w:hAnsi="宋体" w:eastAsia="宋体" w:cs="宋体"/>
          <w:bCs/>
        </w:rPr>
      </w:pPr>
      <w:r>
        <w:rPr>
          <w:rFonts w:hint="eastAsia" w:ascii="宋体" w:hAnsi="宋体" w:eastAsia="宋体" w:cs="宋体"/>
          <w:bCs/>
        </w:rPr>
        <w:t>（通过国家企业信用信息公示系统(https://www.gsxt.gov.cn/index.html）、或机关赋码和事业单位登记管理网（http://gjsy.gov.cn/sydwfrxxcx/)、或全国社会组织信用信息公示平台（https://xxgs.chinanpo.mca.gov.cn/gsxt/newList)等网站查询的最新股权（或管理）关系截图）</w:t>
      </w:r>
    </w:p>
    <w:p w14:paraId="51B67CE2">
      <w:pPr>
        <w:rPr>
          <w:rFonts w:ascii="宋体" w:hAnsi="宋体" w:eastAsia="宋体" w:cs="宋体"/>
        </w:rPr>
      </w:pPr>
    </w:p>
    <w:p w14:paraId="41422401">
      <w:pPr>
        <w:snapToGrid w:val="0"/>
        <w:rPr>
          <w:rFonts w:ascii="宋体" w:hAnsi="宋体" w:eastAsia="宋体" w:cs="宋体"/>
          <w:b/>
        </w:rPr>
      </w:pPr>
      <w:r>
        <w:rPr>
          <w:rFonts w:hint="eastAsia" w:ascii="宋体" w:hAnsi="宋体" w:eastAsia="宋体" w:cs="宋体"/>
          <w:b/>
        </w:rPr>
        <w:t>（2）《股权关系情况承诺函》</w:t>
      </w:r>
    </w:p>
    <w:p w14:paraId="4FA75FFD">
      <w:pPr>
        <w:snapToGrid w:val="0"/>
        <w:rPr>
          <w:rFonts w:ascii="宋体" w:hAnsi="宋体" w:eastAsia="宋体" w:cs="宋体"/>
          <w:bCs/>
        </w:rPr>
      </w:pPr>
      <w:r>
        <w:rPr>
          <w:rFonts w:hint="eastAsia" w:ascii="宋体" w:hAnsi="宋体" w:eastAsia="宋体" w:cs="宋体"/>
          <w:bCs/>
        </w:rPr>
        <w:t>致：采购人、友和保险经纪有限公司</w:t>
      </w:r>
    </w:p>
    <w:p w14:paraId="228CE390">
      <w:pPr>
        <w:snapToGrid w:val="0"/>
        <w:ind w:firstLine="480" w:firstLineChars="200"/>
        <w:rPr>
          <w:rFonts w:ascii="宋体" w:hAnsi="宋体" w:eastAsia="宋体" w:cs="宋体"/>
          <w:bCs/>
        </w:rPr>
      </w:pPr>
      <w:r>
        <w:rPr>
          <w:rFonts w:hint="eastAsia" w:ascii="宋体" w:hAnsi="宋体" w:eastAsia="宋体" w:cs="宋体"/>
          <w:bCs/>
        </w:rPr>
        <w:t>我公司申请参加ROV及附属配套</w:t>
      </w:r>
      <w:r>
        <w:rPr>
          <w:rFonts w:hint="eastAsia" w:ascii="宋体" w:hAnsi="宋体" w:eastAsia="宋体" w:cs="宋体"/>
          <w:bCs/>
          <w:lang w:eastAsia="zh-CN"/>
        </w:rPr>
        <w:t>，</w:t>
      </w:r>
      <w:r>
        <w:rPr>
          <w:rFonts w:hint="eastAsia" w:ascii="宋体" w:hAnsi="宋体" w:eastAsia="宋体" w:cs="宋体"/>
          <w:bCs/>
        </w:rPr>
        <w:t>项目编号为SZDL2025XXXXXX的项目投标，并作出如下承诺：</w:t>
      </w:r>
    </w:p>
    <w:p w14:paraId="25B729D0">
      <w:pPr>
        <w:snapToGrid w:val="0"/>
        <w:ind w:firstLine="480" w:firstLineChars="200"/>
        <w:rPr>
          <w:rFonts w:ascii="宋体" w:hAnsi="宋体" w:eastAsia="宋体" w:cs="宋体"/>
          <w:bCs/>
        </w:rPr>
      </w:pPr>
      <w:r>
        <w:rPr>
          <w:rFonts w:hint="eastAsia" w:ascii="宋体" w:hAnsi="宋体" w:eastAsia="宋体" w:cs="宋体"/>
          <w:bCs/>
        </w:rPr>
        <w:t>我公司承诺所填的股权关系情况真实、准确、完整。</w:t>
      </w:r>
    </w:p>
    <w:p w14:paraId="2CC16EFB">
      <w:pPr>
        <w:snapToGrid w:val="0"/>
        <w:ind w:firstLine="480" w:firstLineChars="200"/>
        <w:rPr>
          <w:rFonts w:ascii="宋体" w:hAnsi="宋体" w:eastAsia="宋体" w:cs="宋体"/>
          <w:bCs/>
        </w:rPr>
      </w:pPr>
      <w:r>
        <w:rPr>
          <w:rFonts w:hint="eastAsia" w:ascii="宋体" w:hAnsi="宋体" w:eastAsia="宋体" w:cs="宋体"/>
          <w:bCs/>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75660E3A">
      <w:pPr>
        <w:snapToGrid w:val="0"/>
        <w:rPr>
          <w:rFonts w:ascii="宋体" w:hAnsi="宋体" w:eastAsia="宋体" w:cs="宋体"/>
          <w:bCs/>
        </w:rPr>
      </w:pPr>
      <w:r>
        <w:rPr>
          <w:rFonts w:hint="eastAsia" w:ascii="宋体" w:hAnsi="宋体" w:eastAsia="宋体" w:cs="宋体"/>
          <w:bCs/>
        </w:rPr>
        <w:t>特此承诺！</w:t>
      </w:r>
    </w:p>
    <w:p w14:paraId="6039A98F">
      <w:pPr>
        <w:snapToGrid w:val="0"/>
        <w:rPr>
          <w:rFonts w:ascii="宋体" w:hAnsi="宋体" w:eastAsia="宋体" w:cs="宋体"/>
          <w:bCs/>
        </w:rPr>
      </w:pPr>
    </w:p>
    <w:p w14:paraId="71D4325B">
      <w:pPr>
        <w:snapToGrid w:val="0"/>
        <w:rPr>
          <w:rFonts w:ascii="宋体" w:hAnsi="宋体" w:eastAsia="宋体" w:cs="宋体"/>
          <w:bCs/>
        </w:rPr>
      </w:pPr>
      <w:r>
        <w:rPr>
          <w:rFonts w:hint="eastAsia" w:ascii="宋体" w:hAnsi="宋体" w:eastAsia="宋体" w:cs="宋体"/>
          <w:bCs/>
        </w:rPr>
        <w:t xml:space="preserve">                                供应商名称： </w:t>
      </w:r>
    </w:p>
    <w:p w14:paraId="4438A191">
      <w:pPr>
        <w:snapToGrid w:val="0"/>
        <w:ind w:firstLine="3840" w:firstLineChars="1600"/>
        <w:rPr>
          <w:rFonts w:ascii="宋体" w:hAnsi="宋体" w:eastAsia="宋体" w:cs="宋体"/>
          <w:bCs/>
        </w:rPr>
      </w:pPr>
      <w:r>
        <w:rPr>
          <w:rFonts w:hint="eastAsia" w:ascii="宋体" w:hAnsi="宋体" w:eastAsia="宋体" w:cs="宋体"/>
          <w:bCs/>
        </w:rPr>
        <w:t>日  期：       年    月   日</w:t>
      </w:r>
    </w:p>
    <w:p w14:paraId="3B1A3E48">
      <w:pPr>
        <w:snapToGrid w:val="0"/>
        <w:rPr>
          <w:rFonts w:ascii="宋体" w:hAnsi="宋体" w:eastAsia="宋体" w:cs="宋体"/>
          <w:bCs/>
        </w:rPr>
      </w:pPr>
    </w:p>
    <w:p w14:paraId="1F35FB07">
      <w:pPr>
        <w:snapToGrid w:val="0"/>
        <w:rPr>
          <w:rFonts w:ascii="宋体" w:hAnsi="宋体" w:eastAsia="宋体" w:cs="宋体"/>
          <w:bCs/>
        </w:rPr>
      </w:pPr>
      <w:r>
        <w:rPr>
          <w:rFonts w:hint="eastAsia" w:ascii="宋体" w:hAnsi="宋体" w:eastAsia="宋体" w:cs="宋体"/>
          <w:bCs/>
        </w:rPr>
        <w:t>注：代理机构将于截标当日同步通过上述网站进行查询，查询结果与供应商填报信息不一致的，以代理机构于截标当日的查询结果为准。</w:t>
      </w:r>
    </w:p>
    <w:p w14:paraId="0A2D5049"/>
    <w:p w14:paraId="4751F1F9">
      <w:pPr>
        <w:rPr>
          <w:rFonts w:hint="eastAsia"/>
          <w:b w:val="0"/>
          <w:sz w:val="24"/>
          <w:szCs w:val="24"/>
        </w:rPr>
      </w:pPr>
      <w:r>
        <w:rPr>
          <w:rFonts w:hint="eastAsia"/>
          <w:b w:val="0"/>
          <w:sz w:val="24"/>
          <w:szCs w:val="24"/>
        </w:rPr>
        <w:br w:type="page"/>
      </w:r>
    </w:p>
    <w:p w14:paraId="131F1076">
      <w:pPr>
        <w:pStyle w:val="3"/>
        <w:jc w:val="center"/>
        <w:rPr>
          <w:b w:val="0"/>
          <w:sz w:val="24"/>
          <w:szCs w:val="24"/>
        </w:rPr>
      </w:pPr>
      <w:r>
        <w:rPr>
          <w:rFonts w:hint="eastAsia"/>
          <w:b w:val="0"/>
          <w:sz w:val="24"/>
          <w:szCs w:val="24"/>
          <w:lang w:eastAsia="zh-CN"/>
        </w:rPr>
        <w:t>五</w:t>
      </w:r>
      <w:r>
        <w:rPr>
          <w:rFonts w:hint="eastAsia"/>
          <w:b w:val="0"/>
          <w:sz w:val="24"/>
          <w:szCs w:val="24"/>
        </w:rPr>
        <w:t>、</w:t>
      </w:r>
      <w:bookmarkStart w:id="68" w:name="_Hlk72092634"/>
      <w:r>
        <w:rPr>
          <w:rFonts w:hint="eastAsia"/>
          <w:b w:val="0"/>
          <w:sz w:val="24"/>
          <w:szCs w:val="24"/>
        </w:rPr>
        <w:t>实质性条款响应情况表</w:t>
      </w:r>
      <w:bookmarkEnd w:id="68"/>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4402"/>
        <w:gridCol w:w="2084"/>
        <w:gridCol w:w="762"/>
        <w:gridCol w:w="580"/>
      </w:tblGrid>
      <w:tr w14:paraId="77F2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07" w:type="pct"/>
            <w:vAlign w:val="center"/>
          </w:tcPr>
          <w:p w14:paraId="2D02C14E">
            <w:pPr>
              <w:adjustRightInd w:val="0"/>
              <w:snapToGrid w:val="0"/>
              <w:spacing w:line="360" w:lineRule="auto"/>
              <w:jc w:val="center"/>
              <w:rPr>
                <w:rFonts w:ascii="宋体" w:hAnsi="宋体" w:eastAsia="宋体"/>
                <w:szCs w:val="21"/>
              </w:rPr>
            </w:pPr>
            <w:bookmarkStart w:id="69" w:name="_Hlk72092651"/>
            <w:r>
              <w:rPr>
                <w:rFonts w:hint="eastAsia" w:ascii="宋体" w:hAnsi="宋体" w:eastAsia="宋体"/>
                <w:szCs w:val="21"/>
              </w:rPr>
              <w:t>序号</w:t>
            </w:r>
          </w:p>
        </w:tc>
        <w:tc>
          <w:tcPr>
            <w:tcW w:w="2582" w:type="pct"/>
            <w:vAlign w:val="center"/>
          </w:tcPr>
          <w:p w14:paraId="18003A37">
            <w:pPr>
              <w:adjustRightInd w:val="0"/>
              <w:snapToGrid w:val="0"/>
              <w:spacing w:line="360" w:lineRule="auto"/>
              <w:jc w:val="center"/>
              <w:rPr>
                <w:rFonts w:ascii="宋体" w:hAnsi="宋体" w:eastAsia="宋体"/>
                <w:szCs w:val="21"/>
              </w:rPr>
            </w:pPr>
            <w:r>
              <w:rPr>
                <w:rFonts w:hint="eastAsia" w:ascii="宋体" w:hAnsi="宋体" w:eastAsia="宋体"/>
                <w:szCs w:val="21"/>
              </w:rPr>
              <w:t>实质性条款具体内容</w:t>
            </w:r>
          </w:p>
        </w:tc>
        <w:tc>
          <w:tcPr>
            <w:tcW w:w="1222" w:type="pct"/>
            <w:vAlign w:val="center"/>
          </w:tcPr>
          <w:p w14:paraId="63FC415B">
            <w:pPr>
              <w:adjustRightInd w:val="0"/>
              <w:snapToGrid w:val="0"/>
              <w:spacing w:line="360" w:lineRule="auto"/>
              <w:jc w:val="center"/>
              <w:rPr>
                <w:rFonts w:ascii="宋体" w:hAnsi="宋体" w:eastAsia="宋体"/>
                <w:szCs w:val="21"/>
              </w:rPr>
            </w:pPr>
            <w:r>
              <w:rPr>
                <w:rFonts w:hint="eastAsia" w:ascii="宋体" w:hAnsi="宋体" w:eastAsia="宋体"/>
              </w:rPr>
              <w:t>投标响应</w:t>
            </w:r>
          </w:p>
        </w:tc>
        <w:tc>
          <w:tcPr>
            <w:tcW w:w="447" w:type="pct"/>
            <w:vAlign w:val="center"/>
          </w:tcPr>
          <w:p w14:paraId="5502E284">
            <w:pPr>
              <w:adjustRightInd w:val="0"/>
              <w:snapToGrid w:val="0"/>
              <w:spacing w:line="360" w:lineRule="auto"/>
              <w:jc w:val="center"/>
              <w:rPr>
                <w:rFonts w:ascii="宋体" w:hAnsi="宋体" w:eastAsia="宋体"/>
                <w:szCs w:val="21"/>
              </w:rPr>
            </w:pPr>
            <w:r>
              <w:rPr>
                <w:rFonts w:hint="eastAsia" w:ascii="宋体" w:hAnsi="宋体" w:eastAsia="宋体"/>
              </w:rPr>
              <w:t>偏离情况</w:t>
            </w:r>
          </w:p>
        </w:tc>
        <w:tc>
          <w:tcPr>
            <w:tcW w:w="340" w:type="pct"/>
            <w:vAlign w:val="center"/>
          </w:tcPr>
          <w:p w14:paraId="10FD5742">
            <w:pPr>
              <w:adjustRightInd w:val="0"/>
              <w:snapToGrid w:val="0"/>
              <w:spacing w:line="360" w:lineRule="auto"/>
              <w:jc w:val="center"/>
              <w:rPr>
                <w:rFonts w:ascii="宋体" w:hAnsi="宋体" w:eastAsia="宋体"/>
                <w:szCs w:val="21"/>
              </w:rPr>
            </w:pPr>
            <w:r>
              <w:rPr>
                <w:rFonts w:hint="eastAsia" w:ascii="宋体" w:hAnsi="宋体" w:eastAsia="宋体"/>
              </w:rPr>
              <w:t>说明</w:t>
            </w:r>
          </w:p>
        </w:tc>
      </w:tr>
      <w:bookmarkEnd w:id="69"/>
      <w:tr w14:paraId="4BA8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3A355AC">
            <w:pPr>
              <w:keepNext w:val="0"/>
              <w:keepLines w:val="0"/>
              <w:widowControl/>
              <w:suppressLineNumbers w:val="0"/>
              <w:jc w:val="center"/>
              <w:textAlignment w:val="center"/>
              <w:rPr>
                <w:rFonts w:ascii="宋体" w:hAnsi="宋体" w:eastAsia="宋体"/>
                <w:szCs w:val="21"/>
              </w:rPr>
            </w:pPr>
            <w:r>
              <w:rPr>
                <w:rFonts w:hint="eastAsia" w:ascii="宋体" w:hAnsi="宋体" w:eastAsia="宋体" w:cs="宋体"/>
                <w:i w:val="0"/>
                <w:iCs w:val="0"/>
                <w:color w:val="000000"/>
                <w:kern w:val="0"/>
                <w:sz w:val="18"/>
                <w:szCs w:val="18"/>
                <w:u w:val="none"/>
                <w:lang w:val="en-US" w:eastAsia="zh-CN" w:bidi="ar"/>
              </w:rPr>
              <w:t>1</w:t>
            </w:r>
          </w:p>
        </w:tc>
        <w:tc>
          <w:tcPr>
            <w:tcW w:w="2582" w:type="pct"/>
            <w:vAlign w:val="top"/>
          </w:tcPr>
          <w:p w14:paraId="611143AC">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ROV水下作业深度：≥1000m；（提供详细技术方案和设计模型，资料要求：至少包括基于设计图或实物的参数示意资料。提供资料内容缺漏、示意不清、不充分的视作未提供证明。原件备查。）</w:t>
            </w:r>
          </w:p>
        </w:tc>
        <w:tc>
          <w:tcPr>
            <w:tcW w:w="1222" w:type="pct"/>
          </w:tcPr>
          <w:p w14:paraId="67AD5527">
            <w:pPr>
              <w:adjustRightInd w:val="0"/>
              <w:snapToGrid w:val="0"/>
              <w:spacing w:line="360" w:lineRule="auto"/>
              <w:rPr>
                <w:rFonts w:ascii="宋体" w:hAnsi="宋体" w:eastAsia="宋体"/>
                <w:szCs w:val="21"/>
              </w:rPr>
            </w:pPr>
          </w:p>
        </w:tc>
        <w:tc>
          <w:tcPr>
            <w:tcW w:w="447" w:type="pct"/>
          </w:tcPr>
          <w:p w14:paraId="53B20C1A">
            <w:pPr>
              <w:adjustRightInd w:val="0"/>
              <w:snapToGrid w:val="0"/>
              <w:spacing w:line="360" w:lineRule="auto"/>
              <w:rPr>
                <w:rFonts w:ascii="宋体" w:hAnsi="宋体" w:eastAsia="宋体"/>
                <w:szCs w:val="21"/>
              </w:rPr>
            </w:pPr>
          </w:p>
        </w:tc>
        <w:tc>
          <w:tcPr>
            <w:tcW w:w="340" w:type="pct"/>
          </w:tcPr>
          <w:p w14:paraId="6321ED2B">
            <w:pPr>
              <w:adjustRightInd w:val="0"/>
              <w:snapToGrid w:val="0"/>
              <w:spacing w:line="360" w:lineRule="auto"/>
              <w:rPr>
                <w:rFonts w:ascii="宋体" w:hAnsi="宋体" w:eastAsia="宋体"/>
                <w:szCs w:val="21"/>
              </w:rPr>
            </w:pPr>
          </w:p>
        </w:tc>
      </w:tr>
      <w:tr w14:paraId="5B5A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722D6E75">
            <w:pPr>
              <w:keepNext w:val="0"/>
              <w:keepLines w:val="0"/>
              <w:widowControl/>
              <w:suppressLineNumbers w:val="0"/>
              <w:jc w:val="center"/>
              <w:textAlignment w:val="center"/>
              <w:rPr>
                <w:rFonts w:ascii="宋体" w:hAnsi="宋体" w:eastAsia="宋体"/>
                <w:szCs w:val="21"/>
              </w:rPr>
            </w:pPr>
            <w:r>
              <w:rPr>
                <w:rFonts w:hint="eastAsia" w:ascii="宋体" w:hAnsi="宋体" w:eastAsia="宋体" w:cs="宋体"/>
                <w:i w:val="0"/>
                <w:iCs w:val="0"/>
                <w:color w:val="000000"/>
                <w:kern w:val="0"/>
                <w:sz w:val="18"/>
                <w:szCs w:val="18"/>
                <w:u w:val="none"/>
                <w:lang w:val="en-US" w:eastAsia="zh-CN" w:bidi="ar"/>
              </w:rPr>
              <w:t>2</w:t>
            </w:r>
          </w:p>
        </w:tc>
        <w:tc>
          <w:tcPr>
            <w:tcW w:w="2582" w:type="pct"/>
            <w:vAlign w:val="top"/>
          </w:tcPr>
          <w:p w14:paraId="40AD9A90">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 ROV负载能力：≥150kg；</w:t>
            </w:r>
          </w:p>
        </w:tc>
        <w:tc>
          <w:tcPr>
            <w:tcW w:w="1222" w:type="pct"/>
          </w:tcPr>
          <w:p w14:paraId="1E3568E2">
            <w:pPr>
              <w:adjustRightInd w:val="0"/>
              <w:snapToGrid w:val="0"/>
              <w:spacing w:line="360" w:lineRule="auto"/>
              <w:rPr>
                <w:rFonts w:ascii="宋体" w:hAnsi="宋体" w:eastAsia="宋体"/>
                <w:szCs w:val="21"/>
              </w:rPr>
            </w:pPr>
          </w:p>
        </w:tc>
        <w:tc>
          <w:tcPr>
            <w:tcW w:w="447" w:type="pct"/>
          </w:tcPr>
          <w:p w14:paraId="334A45D9">
            <w:pPr>
              <w:adjustRightInd w:val="0"/>
              <w:snapToGrid w:val="0"/>
              <w:spacing w:line="360" w:lineRule="auto"/>
              <w:rPr>
                <w:rFonts w:ascii="宋体" w:hAnsi="宋体" w:eastAsia="宋体"/>
                <w:szCs w:val="21"/>
              </w:rPr>
            </w:pPr>
          </w:p>
        </w:tc>
        <w:tc>
          <w:tcPr>
            <w:tcW w:w="340" w:type="pct"/>
          </w:tcPr>
          <w:p w14:paraId="2C587F0A">
            <w:pPr>
              <w:adjustRightInd w:val="0"/>
              <w:snapToGrid w:val="0"/>
              <w:spacing w:line="360" w:lineRule="auto"/>
              <w:rPr>
                <w:rFonts w:ascii="宋体" w:hAnsi="宋体" w:eastAsia="宋体"/>
                <w:szCs w:val="21"/>
              </w:rPr>
            </w:pPr>
          </w:p>
        </w:tc>
      </w:tr>
      <w:tr w14:paraId="0973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5918C6C">
            <w:pPr>
              <w:keepNext w:val="0"/>
              <w:keepLines w:val="0"/>
              <w:widowControl/>
              <w:suppressLineNumbers w:val="0"/>
              <w:jc w:val="center"/>
              <w:textAlignment w:val="center"/>
              <w:rPr>
                <w:rFonts w:ascii="宋体" w:hAnsi="宋体" w:eastAsia="宋体"/>
                <w:szCs w:val="21"/>
              </w:rPr>
            </w:pPr>
            <w:r>
              <w:rPr>
                <w:rFonts w:hint="eastAsia" w:ascii="宋体" w:hAnsi="宋体" w:eastAsia="宋体" w:cs="宋体"/>
                <w:i w:val="0"/>
                <w:iCs w:val="0"/>
                <w:color w:val="000000"/>
                <w:kern w:val="0"/>
                <w:sz w:val="18"/>
                <w:szCs w:val="18"/>
                <w:u w:val="none"/>
                <w:lang w:val="en-US" w:eastAsia="zh-CN" w:bidi="ar"/>
              </w:rPr>
              <w:t>3</w:t>
            </w:r>
          </w:p>
        </w:tc>
        <w:tc>
          <w:tcPr>
            <w:tcW w:w="2582" w:type="pct"/>
            <w:vAlign w:val="top"/>
          </w:tcPr>
          <w:p w14:paraId="19D92003">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 ROV功率：≥125马力；</w:t>
            </w:r>
          </w:p>
        </w:tc>
        <w:tc>
          <w:tcPr>
            <w:tcW w:w="1222" w:type="pct"/>
          </w:tcPr>
          <w:p w14:paraId="38221121">
            <w:pPr>
              <w:adjustRightInd w:val="0"/>
              <w:snapToGrid w:val="0"/>
              <w:spacing w:line="360" w:lineRule="auto"/>
              <w:rPr>
                <w:rFonts w:ascii="宋体" w:hAnsi="宋体" w:eastAsia="宋体"/>
                <w:szCs w:val="21"/>
              </w:rPr>
            </w:pPr>
          </w:p>
        </w:tc>
        <w:tc>
          <w:tcPr>
            <w:tcW w:w="447" w:type="pct"/>
          </w:tcPr>
          <w:p w14:paraId="439DCD88">
            <w:pPr>
              <w:adjustRightInd w:val="0"/>
              <w:snapToGrid w:val="0"/>
              <w:spacing w:line="360" w:lineRule="auto"/>
              <w:rPr>
                <w:rFonts w:ascii="宋体" w:hAnsi="宋体" w:eastAsia="宋体"/>
                <w:szCs w:val="21"/>
              </w:rPr>
            </w:pPr>
          </w:p>
        </w:tc>
        <w:tc>
          <w:tcPr>
            <w:tcW w:w="340" w:type="pct"/>
          </w:tcPr>
          <w:p w14:paraId="40EC66F2">
            <w:pPr>
              <w:adjustRightInd w:val="0"/>
              <w:snapToGrid w:val="0"/>
              <w:spacing w:line="360" w:lineRule="auto"/>
              <w:rPr>
                <w:rFonts w:ascii="宋体" w:hAnsi="宋体" w:eastAsia="宋体"/>
                <w:szCs w:val="21"/>
              </w:rPr>
            </w:pPr>
          </w:p>
        </w:tc>
      </w:tr>
      <w:tr w14:paraId="7AFD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6CD320D">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w:t>
            </w:r>
          </w:p>
        </w:tc>
        <w:tc>
          <w:tcPr>
            <w:tcW w:w="2582" w:type="pct"/>
            <w:vAlign w:val="top"/>
          </w:tcPr>
          <w:p w14:paraId="17259CED">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：ROV水下系桩推力：纵向≥150公斤力；横向≥150公斤力；垂向≥200公斤力。（提供证明材料，资料要求：至少包括液压系统详细设计图。提供资料内容缺漏、示意不清、不充分的视作未提供证明。原件备查。）</w:t>
            </w:r>
          </w:p>
        </w:tc>
        <w:tc>
          <w:tcPr>
            <w:tcW w:w="1222" w:type="pct"/>
          </w:tcPr>
          <w:p w14:paraId="21C0DE87">
            <w:pPr>
              <w:adjustRightInd w:val="0"/>
              <w:snapToGrid w:val="0"/>
              <w:spacing w:line="360" w:lineRule="auto"/>
              <w:rPr>
                <w:rFonts w:ascii="宋体" w:hAnsi="宋体" w:eastAsia="宋体"/>
                <w:szCs w:val="21"/>
              </w:rPr>
            </w:pPr>
          </w:p>
        </w:tc>
        <w:tc>
          <w:tcPr>
            <w:tcW w:w="447" w:type="pct"/>
          </w:tcPr>
          <w:p w14:paraId="6F4A677A">
            <w:pPr>
              <w:adjustRightInd w:val="0"/>
              <w:snapToGrid w:val="0"/>
              <w:spacing w:line="360" w:lineRule="auto"/>
              <w:rPr>
                <w:rFonts w:ascii="宋体" w:hAnsi="宋体" w:eastAsia="宋体"/>
                <w:szCs w:val="21"/>
              </w:rPr>
            </w:pPr>
          </w:p>
        </w:tc>
        <w:tc>
          <w:tcPr>
            <w:tcW w:w="340" w:type="pct"/>
          </w:tcPr>
          <w:p w14:paraId="6A933FA1">
            <w:pPr>
              <w:adjustRightInd w:val="0"/>
              <w:snapToGrid w:val="0"/>
              <w:spacing w:line="360" w:lineRule="auto"/>
              <w:rPr>
                <w:rFonts w:ascii="宋体" w:hAnsi="宋体" w:eastAsia="宋体"/>
                <w:szCs w:val="21"/>
              </w:rPr>
            </w:pPr>
          </w:p>
        </w:tc>
      </w:tr>
      <w:tr w14:paraId="0780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028CCCB9">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5</w:t>
            </w:r>
          </w:p>
        </w:tc>
        <w:tc>
          <w:tcPr>
            <w:tcW w:w="2582" w:type="pct"/>
            <w:vAlign w:val="top"/>
          </w:tcPr>
          <w:p w14:paraId="5F624AA0">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搭载传感器类别数量：深度计1部；高度计1部；姿态传感器1部；成像声呐1部；高清摄像机不少于2组；</w:t>
            </w:r>
          </w:p>
        </w:tc>
        <w:tc>
          <w:tcPr>
            <w:tcW w:w="1222" w:type="pct"/>
          </w:tcPr>
          <w:p w14:paraId="246938F0">
            <w:pPr>
              <w:adjustRightInd w:val="0"/>
              <w:snapToGrid w:val="0"/>
              <w:spacing w:line="360" w:lineRule="auto"/>
              <w:rPr>
                <w:rFonts w:ascii="宋体" w:hAnsi="宋体" w:eastAsia="宋体"/>
                <w:szCs w:val="21"/>
              </w:rPr>
            </w:pPr>
          </w:p>
        </w:tc>
        <w:tc>
          <w:tcPr>
            <w:tcW w:w="447" w:type="pct"/>
          </w:tcPr>
          <w:p w14:paraId="4354173A">
            <w:pPr>
              <w:adjustRightInd w:val="0"/>
              <w:snapToGrid w:val="0"/>
              <w:spacing w:line="360" w:lineRule="auto"/>
              <w:rPr>
                <w:rFonts w:ascii="宋体" w:hAnsi="宋体" w:eastAsia="宋体"/>
                <w:szCs w:val="21"/>
              </w:rPr>
            </w:pPr>
          </w:p>
        </w:tc>
        <w:tc>
          <w:tcPr>
            <w:tcW w:w="340" w:type="pct"/>
          </w:tcPr>
          <w:p w14:paraId="7EBB53E4">
            <w:pPr>
              <w:adjustRightInd w:val="0"/>
              <w:snapToGrid w:val="0"/>
              <w:spacing w:line="360" w:lineRule="auto"/>
              <w:rPr>
                <w:rFonts w:ascii="宋体" w:hAnsi="宋体" w:eastAsia="宋体"/>
                <w:szCs w:val="21"/>
              </w:rPr>
            </w:pPr>
          </w:p>
        </w:tc>
      </w:tr>
      <w:tr w14:paraId="4011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6EF5D84">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6</w:t>
            </w:r>
          </w:p>
        </w:tc>
        <w:tc>
          <w:tcPr>
            <w:tcW w:w="2582" w:type="pct"/>
            <w:vAlign w:val="center"/>
          </w:tcPr>
          <w:p w14:paraId="519B5580">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 xml:space="preserve"> ROV液压系统流量：≥100升/分钟；</w:t>
            </w:r>
          </w:p>
        </w:tc>
        <w:tc>
          <w:tcPr>
            <w:tcW w:w="1222" w:type="pct"/>
          </w:tcPr>
          <w:p w14:paraId="0C78B834">
            <w:pPr>
              <w:adjustRightInd w:val="0"/>
              <w:snapToGrid w:val="0"/>
              <w:spacing w:line="360" w:lineRule="auto"/>
              <w:rPr>
                <w:rFonts w:ascii="宋体" w:hAnsi="宋体" w:eastAsia="宋体"/>
                <w:szCs w:val="21"/>
              </w:rPr>
            </w:pPr>
          </w:p>
        </w:tc>
        <w:tc>
          <w:tcPr>
            <w:tcW w:w="447" w:type="pct"/>
          </w:tcPr>
          <w:p w14:paraId="65416E20">
            <w:pPr>
              <w:adjustRightInd w:val="0"/>
              <w:snapToGrid w:val="0"/>
              <w:spacing w:line="360" w:lineRule="auto"/>
              <w:rPr>
                <w:rFonts w:ascii="宋体" w:hAnsi="宋体" w:eastAsia="宋体"/>
                <w:szCs w:val="21"/>
              </w:rPr>
            </w:pPr>
          </w:p>
        </w:tc>
        <w:tc>
          <w:tcPr>
            <w:tcW w:w="340" w:type="pct"/>
          </w:tcPr>
          <w:p w14:paraId="02C83940">
            <w:pPr>
              <w:adjustRightInd w:val="0"/>
              <w:snapToGrid w:val="0"/>
              <w:spacing w:line="360" w:lineRule="auto"/>
              <w:rPr>
                <w:rFonts w:ascii="宋体" w:hAnsi="宋体" w:eastAsia="宋体"/>
                <w:szCs w:val="21"/>
              </w:rPr>
            </w:pPr>
          </w:p>
        </w:tc>
      </w:tr>
      <w:tr w14:paraId="2B5F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D886C9B">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7</w:t>
            </w:r>
          </w:p>
        </w:tc>
        <w:tc>
          <w:tcPr>
            <w:tcW w:w="2582" w:type="pct"/>
            <w:vAlign w:val="center"/>
          </w:tcPr>
          <w:p w14:paraId="72E18DCA">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千米级深海ROV主体</w:t>
            </w:r>
            <w:r>
              <w:rPr>
                <w:rFonts w:hint="eastAsia" w:ascii="宋体" w:hAnsi="宋体" w:eastAsia="宋体"/>
                <w:sz w:val="18"/>
                <w:szCs w:val="18"/>
                <w:lang w:eastAsia="zh-CN"/>
              </w:rPr>
              <w:t>：</w:t>
            </w:r>
            <w:r>
              <w:rPr>
                <w:rFonts w:hint="eastAsia" w:ascii="宋体" w:hAnsi="宋体" w:eastAsia="宋体"/>
                <w:sz w:val="18"/>
                <w:szCs w:val="18"/>
              </w:rPr>
              <w:t>ROV高级控制功能：悬停定位精度≤30厘米；（提供证明材料，资料要求：至少包括基于设计图或实物的行程参数示意资料。提供资料内容缺漏、示意不清、不充分的视作未提供证明。原件备查。）</w:t>
            </w:r>
          </w:p>
        </w:tc>
        <w:tc>
          <w:tcPr>
            <w:tcW w:w="1222" w:type="pct"/>
          </w:tcPr>
          <w:p w14:paraId="66F66A95">
            <w:pPr>
              <w:adjustRightInd w:val="0"/>
              <w:snapToGrid w:val="0"/>
              <w:spacing w:line="360" w:lineRule="auto"/>
              <w:rPr>
                <w:rFonts w:ascii="宋体" w:hAnsi="宋体" w:eastAsia="宋体"/>
                <w:szCs w:val="21"/>
              </w:rPr>
            </w:pPr>
          </w:p>
        </w:tc>
        <w:tc>
          <w:tcPr>
            <w:tcW w:w="447" w:type="pct"/>
          </w:tcPr>
          <w:p w14:paraId="509CE0B3">
            <w:pPr>
              <w:adjustRightInd w:val="0"/>
              <w:snapToGrid w:val="0"/>
              <w:spacing w:line="360" w:lineRule="auto"/>
              <w:rPr>
                <w:rFonts w:ascii="宋体" w:hAnsi="宋体" w:eastAsia="宋体"/>
                <w:szCs w:val="21"/>
              </w:rPr>
            </w:pPr>
          </w:p>
        </w:tc>
        <w:tc>
          <w:tcPr>
            <w:tcW w:w="340" w:type="pct"/>
          </w:tcPr>
          <w:p w14:paraId="72AA9077">
            <w:pPr>
              <w:adjustRightInd w:val="0"/>
              <w:snapToGrid w:val="0"/>
              <w:spacing w:line="360" w:lineRule="auto"/>
              <w:rPr>
                <w:rFonts w:ascii="宋体" w:hAnsi="宋体" w:eastAsia="宋体"/>
                <w:szCs w:val="21"/>
              </w:rPr>
            </w:pPr>
          </w:p>
        </w:tc>
      </w:tr>
      <w:tr w14:paraId="6F2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E911848">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8</w:t>
            </w:r>
          </w:p>
        </w:tc>
        <w:tc>
          <w:tcPr>
            <w:tcW w:w="2582" w:type="pct"/>
            <w:vAlign w:val="center"/>
          </w:tcPr>
          <w:p w14:paraId="63FB3DBB">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 xml:space="preserve">千米级深海ROV主体： ROV性能验证：交货前需提供海试验证，试验区域水深不低于300米，总天数不少于30天。（提供详细验证方案，资料要求：至少包括基于验证条件和验证过程的示意资料。提供资料内容缺漏、示意不清、不充分的视作未提供证明。原件备查。）    </w:t>
            </w:r>
          </w:p>
        </w:tc>
        <w:tc>
          <w:tcPr>
            <w:tcW w:w="1222" w:type="pct"/>
          </w:tcPr>
          <w:p w14:paraId="6DAA2801">
            <w:pPr>
              <w:adjustRightInd w:val="0"/>
              <w:snapToGrid w:val="0"/>
              <w:spacing w:line="360" w:lineRule="auto"/>
              <w:rPr>
                <w:rFonts w:ascii="宋体" w:hAnsi="宋体" w:eastAsia="宋体"/>
                <w:szCs w:val="21"/>
              </w:rPr>
            </w:pPr>
          </w:p>
        </w:tc>
        <w:tc>
          <w:tcPr>
            <w:tcW w:w="447" w:type="pct"/>
          </w:tcPr>
          <w:p w14:paraId="3D94ECBB">
            <w:pPr>
              <w:adjustRightInd w:val="0"/>
              <w:snapToGrid w:val="0"/>
              <w:spacing w:line="360" w:lineRule="auto"/>
              <w:rPr>
                <w:rFonts w:ascii="宋体" w:hAnsi="宋体" w:eastAsia="宋体"/>
                <w:szCs w:val="21"/>
              </w:rPr>
            </w:pPr>
          </w:p>
        </w:tc>
        <w:tc>
          <w:tcPr>
            <w:tcW w:w="340" w:type="pct"/>
          </w:tcPr>
          <w:p w14:paraId="5A84CACA">
            <w:pPr>
              <w:adjustRightInd w:val="0"/>
              <w:snapToGrid w:val="0"/>
              <w:spacing w:line="360" w:lineRule="auto"/>
              <w:rPr>
                <w:rFonts w:ascii="宋体" w:hAnsi="宋体" w:eastAsia="宋体"/>
                <w:szCs w:val="21"/>
              </w:rPr>
            </w:pPr>
          </w:p>
        </w:tc>
      </w:tr>
      <w:tr w14:paraId="54F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77AA245">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9</w:t>
            </w:r>
          </w:p>
        </w:tc>
        <w:tc>
          <w:tcPr>
            <w:tcW w:w="2582" w:type="pct"/>
            <w:vAlign w:val="center"/>
          </w:tcPr>
          <w:p w14:paraId="4F699B2C">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1.1液压动力单元</w:t>
            </w:r>
            <w:r>
              <w:rPr>
                <w:rFonts w:hint="eastAsia" w:ascii="宋体" w:hAnsi="宋体" w:eastAsia="宋体"/>
                <w:sz w:val="18"/>
                <w:szCs w:val="18"/>
                <w:lang w:eastAsia="zh-CN"/>
              </w:rPr>
              <w:t>： ROV液压系统流量：≥100升/分钟，采用伺服阀控制模式；</w:t>
            </w:r>
          </w:p>
        </w:tc>
        <w:tc>
          <w:tcPr>
            <w:tcW w:w="1222" w:type="pct"/>
          </w:tcPr>
          <w:p w14:paraId="751E7203">
            <w:pPr>
              <w:adjustRightInd w:val="0"/>
              <w:snapToGrid w:val="0"/>
              <w:spacing w:line="360" w:lineRule="auto"/>
              <w:rPr>
                <w:rFonts w:ascii="宋体" w:hAnsi="宋体" w:eastAsia="宋体"/>
                <w:szCs w:val="21"/>
              </w:rPr>
            </w:pPr>
          </w:p>
        </w:tc>
        <w:tc>
          <w:tcPr>
            <w:tcW w:w="447" w:type="pct"/>
          </w:tcPr>
          <w:p w14:paraId="654FF537">
            <w:pPr>
              <w:adjustRightInd w:val="0"/>
              <w:snapToGrid w:val="0"/>
              <w:spacing w:line="360" w:lineRule="auto"/>
              <w:rPr>
                <w:rFonts w:ascii="宋体" w:hAnsi="宋体" w:eastAsia="宋体"/>
                <w:szCs w:val="21"/>
              </w:rPr>
            </w:pPr>
          </w:p>
        </w:tc>
        <w:tc>
          <w:tcPr>
            <w:tcW w:w="340" w:type="pct"/>
          </w:tcPr>
          <w:p w14:paraId="41240009">
            <w:pPr>
              <w:adjustRightInd w:val="0"/>
              <w:snapToGrid w:val="0"/>
              <w:spacing w:line="360" w:lineRule="auto"/>
              <w:rPr>
                <w:rFonts w:ascii="宋体" w:hAnsi="宋体" w:eastAsia="宋体"/>
                <w:szCs w:val="21"/>
              </w:rPr>
            </w:pPr>
          </w:p>
        </w:tc>
      </w:tr>
      <w:tr w14:paraId="6D22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449AE5AA">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10</w:t>
            </w:r>
          </w:p>
        </w:tc>
        <w:tc>
          <w:tcPr>
            <w:tcW w:w="2582" w:type="pct"/>
            <w:vAlign w:val="center"/>
          </w:tcPr>
          <w:p w14:paraId="54503205">
            <w:pPr>
              <w:rPr>
                <w:rFonts w:ascii="宋体" w:hAnsi="宋体" w:eastAsia="宋体"/>
                <w:color w:val="4F81BD" w:themeColor="accent1"/>
                <w:szCs w:val="21"/>
                <w14:textFill>
                  <w14:solidFill>
                    <w14:schemeClr w14:val="accent1"/>
                  </w14:solidFill>
                </w14:textFill>
              </w:rPr>
            </w:pPr>
            <w:r>
              <w:rPr>
                <w:rFonts w:ascii="Times New Roman" w:hAnsi="Times New Roman" w:cs="Times New Roman"/>
                <w:sz w:val="18"/>
                <w:szCs w:val="18"/>
              </w:rPr>
              <w:t>1.7</w:t>
            </w:r>
            <w:r>
              <w:rPr>
                <w:rFonts w:hint="eastAsia" w:ascii="Times New Roman" w:hAnsi="Times New Roman" w:cs="Times New Roman"/>
                <w:sz w:val="18"/>
                <w:szCs w:val="18"/>
              </w:rPr>
              <w:t>水下导航传感系统</w:t>
            </w:r>
            <w:r>
              <w:rPr>
                <w:rFonts w:hint="eastAsia" w:eastAsia="宋体" w:cs="Times New Roman"/>
                <w:sz w:val="18"/>
                <w:szCs w:val="18"/>
                <w:lang w:eastAsia="zh-CN"/>
              </w:rPr>
              <w:t>：</w:t>
            </w:r>
            <w:r>
              <w:rPr>
                <w:rFonts w:hint="eastAsia" w:ascii="Times New Roman" w:hAnsi="Times New Roman" w:cs="Times New Roman"/>
                <w:sz w:val="20"/>
                <w:szCs w:val="20"/>
              </w:rPr>
              <w:t>搭载传感器：深度计1部；高度计1部；姿态传感器1部；成像声呐1部；</w:t>
            </w:r>
          </w:p>
        </w:tc>
        <w:tc>
          <w:tcPr>
            <w:tcW w:w="1222" w:type="pct"/>
          </w:tcPr>
          <w:p w14:paraId="0BF00ADE">
            <w:pPr>
              <w:adjustRightInd w:val="0"/>
              <w:snapToGrid w:val="0"/>
              <w:spacing w:line="360" w:lineRule="auto"/>
              <w:rPr>
                <w:rFonts w:ascii="宋体" w:hAnsi="宋体" w:eastAsia="宋体"/>
                <w:szCs w:val="21"/>
              </w:rPr>
            </w:pPr>
          </w:p>
        </w:tc>
        <w:tc>
          <w:tcPr>
            <w:tcW w:w="447" w:type="pct"/>
          </w:tcPr>
          <w:p w14:paraId="17EA0832">
            <w:pPr>
              <w:adjustRightInd w:val="0"/>
              <w:snapToGrid w:val="0"/>
              <w:spacing w:line="360" w:lineRule="auto"/>
              <w:rPr>
                <w:rFonts w:ascii="宋体" w:hAnsi="宋体" w:eastAsia="宋体"/>
                <w:szCs w:val="21"/>
              </w:rPr>
            </w:pPr>
          </w:p>
        </w:tc>
        <w:tc>
          <w:tcPr>
            <w:tcW w:w="340" w:type="pct"/>
          </w:tcPr>
          <w:p w14:paraId="7FFFCBA6">
            <w:pPr>
              <w:adjustRightInd w:val="0"/>
              <w:snapToGrid w:val="0"/>
              <w:spacing w:line="360" w:lineRule="auto"/>
              <w:rPr>
                <w:rFonts w:ascii="宋体" w:hAnsi="宋体" w:eastAsia="宋体"/>
                <w:szCs w:val="21"/>
              </w:rPr>
            </w:pPr>
          </w:p>
        </w:tc>
      </w:tr>
      <w:tr w14:paraId="793F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CA25820">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11</w:t>
            </w:r>
          </w:p>
        </w:tc>
        <w:tc>
          <w:tcPr>
            <w:tcW w:w="2582" w:type="pct"/>
            <w:vAlign w:val="center"/>
          </w:tcPr>
          <w:p w14:paraId="58A65FB3">
            <w:pPr>
              <w:rPr>
                <w:rFonts w:ascii="宋体" w:hAnsi="宋体" w:eastAsia="宋体"/>
                <w:color w:val="4F81BD" w:themeColor="accent1"/>
                <w:szCs w:val="21"/>
                <w14:textFill>
                  <w14:solidFill>
                    <w14:schemeClr w14:val="accent1"/>
                  </w14:solidFill>
                </w14:textFill>
              </w:rPr>
            </w:pPr>
            <w:r>
              <w:rPr>
                <w:rFonts w:ascii="Times New Roman" w:hAnsi="Times New Roman" w:cs="Times New Roman"/>
                <w:sz w:val="18"/>
                <w:szCs w:val="18"/>
              </w:rPr>
              <w:t>2</w:t>
            </w:r>
            <w:r>
              <w:rPr>
                <w:rFonts w:hint="eastAsia" w:ascii="Times New Roman" w:hAnsi="Times New Roman" w:cs="Times New Roman"/>
                <w:sz w:val="18"/>
                <w:szCs w:val="18"/>
              </w:rPr>
              <w:t>．深海多功能机械臂</w:t>
            </w:r>
            <w:r>
              <w:rPr>
                <w:rFonts w:hint="eastAsia" w:eastAsia="宋体" w:cs="Times New Roman"/>
                <w:sz w:val="18"/>
                <w:szCs w:val="18"/>
                <w:lang w:eastAsia="zh-CN"/>
              </w:rPr>
              <w:t>：</w:t>
            </w:r>
            <w:r>
              <w:rPr>
                <w:rFonts w:hint="eastAsia" w:ascii="Times New Roman" w:hAnsi="Times New Roman"/>
                <w:sz w:val="20"/>
                <w:szCs w:val="20"/>
              </w:rPr>
              <w:t>搭载多功能机械手：</w:t>
            </w:r>
            <w:r>
              <w:rPr>
                <w:rFonts w:ascii="Times New Roman" w:hAnsi="Times New Roman"/>
                <w:sz w:val="20"/>
                <w:szCs w:val="20"/>
              </w:rPr>
              <w:t>4</w:t>
            </w:r>
            <w:r>
              <w:rPr>
                <w:rFonts w:hint="eastAsia" w:ascii="Times New Roman" w:hAnsi="Times New Roman"/>
                <w:sz w:val="20"/>
                <w:szCs w:val="20"/>
              </w:rPr>
              <w:t>套；</w:t>
            </w:r>
          </w:p>
        </w:tc>
        <w:tc>
          <w:tcPr>
            <w:tcW w:w="1222" w:type="pct"/>
          </w:tcPr>
          <w:p w14:paraId="5550A912">
            <w:pPr>
              <w:adjustRightInd w:val="0"/>
              <w:snapToGrid w:val="0"/>
              <w:spacing w:line="360" w:lineRule="auto"/>
              <w:rPr>
                <w:rFonts w:ascii="宋体" w:hAnsi="宋体" w:eastAsia="宋体"/>
                <w:szCs w:val="21"/>
              </w:rPr>
            </w:pPr>
          </w:p>
        </w:tc>
        <w:tc>
          <w:tcPr>
            <w:tcW w:w="447" w:type="pct"/>
          </w:tcPr>
          <w:p w14:paraId="277C0644">
            <w:pPr>
              <w:adjustRightInd w:val="0"/>
              <w:snapToGrid w:val="0"/>
              <w:spacing w:line="360" w:lineRule="auto"/>
              <w:rPr>
                <w:rFonts w:ascii="宋体" w:hAnsi="宋体" w:eastAsia="宋体"/>
                <w:szCs w:val="21"/>
              </w:rPr>
            </w:pPr>
          </w:p>
        </w:tc>
        <w:tc>
          <w:tcPr>
            <w:tcW w:w="340" w:type="pct"/>
          </w:tcPr>
          <w:p w14:paraId="7502269C">
            <w:pPr>
              <w:adjustRightInd w:val="0"/>
              <w:snapToGrid w:val="0"/>
              <w:spacing w:line="360" w:lineRule="auto"/>
              <w:rPr>
                <w:rFonts w:ascii="宋体" w:hAnsi="宋体" w:eastAsia="宋体"/>
                <w:szCs w:val="21"/>
              </w:rPr>
            </w:pPr>
          </w:p>
        </w:tc>
      </w:tr>
      <w:tr w14:paraId="30F0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0B0782D9">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12</w:t>
            </w:r>
          </w:p>
        </w:tc>
        <w:tc>
          <w:tcPr>
            <w:tcW w:w="2582" w:type="pct"/>
            <w:vAlign w:val="center"/>
          </w:tcPr>
          <w:p w14:paraId="3DB901BF">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lang w:eastAsia="zh-CN"/>
              </w:rPr>
              <w:t>货物免费保修期</w:t>
            </w:r>
            <w:r>
              <w:rPr>
                <w:rFonts w:hint="eastAsia" w:ascii="宋体" w:hAnsi="宋体" w:eastAsia="宋体"/>
                <w:sz w:val="18"/>
                <w:szCs w:val="18"/>
                <w:lang w:val="en-US" w:eastAsia="zh-CN"/>
              </w:rPr>
              <w:t>1</w:t>
            </w:r>
            <w:r>
              <w:rPr>
                <w:rFonts w:hint="eastAsia" w:ascii="宋体" w:hAnsi="宋体" w:eastAsia="宋体"/>
                <w:sz w:val="18"/>
                <w:szCs w:val="18"/>
                <w:lang w:eastAsia="zh-CN"/>
              </w:rPr>
              <w:t>年，时间自最终验收合格并交付使用之日起计算。</w:t>
            </w:r>
          </w:p>
        </w:tc>
        <w:tc>
          <w:tcPr>
            <w:tcW w:w="1222" w:type="pct"/>
          </w:tcPr>
          <w:p w14:paraId="37AB52E0">
            <w:pPr>
              <w:adjustRightInd w:val="0"/>
              <w:snapToGrid w:val="0"/>
              <w:spacing w:line="360" w:lineRule="auto"/>
              <w:rPr>
                <w:rFonts w:ascii="宋体" w:hAnsi="宋体" w:eastAsia="宋体"/>
                <w:szCs w:val="21"/>
              </w:rPr>
            </w:pPr>
          </w:p>
        </w:tc>
        <w:tc>
          <w:tcPr>
            <w:tcW w:w="447" w:type="pct"/>
          </w:tcPr>
          <w:p w14:paraId="344EC80F">
            <w:pPr>
              <w:adjustRightInd w:val="0"/>
              <w:snapToGrid w:val="0"/>
              <w:spacing w:line="360" w:lineRule="auto"/>
              <w:rPr>
                <w:rFonts w:ascii="宋体" w:hAnsi="宋体" w:eastAsia="宋体"/>
                <w:szCs w:val="21"/>
              </w:rPr>
            </w:pPr>
          </w:p>
        </w:tc>
        <w:tc>
          <w:tcPr>
            <w:tcW w:w="340" w:type="pct"/>
          </w:tcPr>
          <w:p w14:paraId="60580501">
            <w:pPr>
              <w:adjustRightInd w:val="0"/>
              <w:snapToGrid w:val="0"/>
              <w:spacing w:line="360" w:lineRule="auto"/>
              <w:rPr>
                <w:rFonts w:ascii="宋体" w:hAnsi="宋体" w:eastAsia="宋体"/>
                <w:szCs w:val="21"/>
              </w:rPr>
            </w:pPr>
          </w:p>
        </w:tc>
      </w:tr>
      <w:tr w14:paraId="1021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E14AD4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13</w:t>
            </w:r>
          </w:p>
        </w:tc>
        <w:tc>
          <w:tcPr>
            <w:tcW w:w="2582" w:type="pct"/>
            <w:vAlign w:val="center"/>
          </w:tcPr>
          <w:p w14:paraId="46913521">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在售后保修期内，投标人至少安排一个班组（3人）跟踪海上作业一个航次（30天），确保使用人员完全掌握整套ROV系统的使用。</w:t>
            </w:r>
          </w:p>
        </w:tc>
        <w:tc>
          <w:tcPr>
            <w:tcW w:w="1222" w:type="pct"/>
          </w:tcPr>
          <w:p w14:paraId="10910C6D">
            <w:pPr>
              <w:adjustRightInd w:val="0"/>
              <w:snapToGrid w:val="0"/>
              <w:spacing w:line="360" w:lineRule="auto"/>
              <w:rPr>
                <w:rFonts w:ascii="宋体" w:hAnsi="宋体" w:eastAsia="宋体"/>
                <w:szCs w:val="21"/>
              </w:rPr>
            </w:pPr>
          </w:p>
        </w:tc>
        <w:tc>
          <w:tcPr>
            <w:tcW w:w="447" w:type="pct"/>
          </w:tcPr>
          <w:p w14:paraId="70069A9B">
            <w:pPr>
              <w:adjustRightInd w:val="0"/>
              <w:snapToGrid w:val="0"/>
              <w:spacing w:line="360" w:lineRule="auto"/>
              <w:rPr>
                <w:rFonts w:ascii="宋体" w:hAnsi="宋体" w:eastAsia="宋体"/>
                <w:szCs w:val="21"/>
              </w:rPr>
            </w:pPr>
          </w:p>
        </w:tc>
        <w:tc>
          <w:tcPr>
            <w:tcW w:w="340" w:type="pct"/>
          </w:tcPr>
          <w:p w14:paraId="734A9A8D">
            <w:pPr>
              <w:adjustRightInd w:val="0"/>
              <w:snapToGrid w:val="0"/>
              <w:spacing w:line="360" w:lineRule="auto"/>
              <w:rPr>
                <w:rFonts w:ascii="宋体" w:hAnsi="宋体" w:eastAsia="宋体"/>
                <w:szCs w:val="21"/>
              </w:rPr>
            </w:pPr>
          </w:p>
        </w:tc>
      </w:tr>
      <w:tr w14:paraId="55BC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8CF0E1B">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14</w:t>
            </w:r>
          </w:p>
        </w:tc>
        <w:tc>
          <w:tcPr>
            <w:tcW w:w="2582" w:type="pct"/>
            <w:vAlign w:val="center"/>
          </w:tcPr>
          <w:p w14:paraId="7C972EAD">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交货地点：深圳市内采购人指定地点。</w:t>
            </w:r>
          </w:p>
        </w:tc>
        <w:tc>
          <w:tcPr>
            <w:tcW w:w="1222" w:type="pct"/>
          </w:tcPr>
          <w:p w14:paraId="59F1AC08">
            <w:pPr>
              <w:adjustRightInd w:val="0"/>
              <w:snapToGrid w:val="0"/>
              <w:spacing w:line="360" w:lineRule="auto"/>
              <w:rPr>
                <w:rFonts w:ascii="宋体" w:hAnsi="宋体" w:eastAsia="宋体"/>
                <w:szCs w:val="21"/>
              </w:rPr>
            </w:pPr>
          </w:p>
        </w:tc>
        <w:tc>
          <w:tcPr>
            <w:tcW w:w="447" w:type="pct"/>
          </w:tcPr>
          <w:p w14:paraId="5F4BFECD">
            <w:pPr>
              <w:adjustRightInd w:val="0"/>
              <w:snapToGrid w:val="0"/>
              <w:spacing w:line="360" w:lineRule="auto"/>
              <w:rPr>
                <w:rFonts w:ascii="宋体" w:hAnsi="宋体" w:eastAsia="宋体"/>
                <w:szCs w:val="21"/>
              </w:rPr>
            </w:pPr>
          </w:p>
        </w:tc>
        <w:tc>
          <w:tcPr>
            <w:tcW w:w="340" w:type="pct"/>
          </w:tcPr>
          <w:p w14:paraId="61218B77">
            <w:pPr>
              <w:adjustRightInd w:val="0"/>
              <w:snapToGrid w:val="0"/>
              <w:spacing w:line="360" w:lineRule="auto"/>
              <w:rPr>
                <w:rFonts w:ascii="宋体" w:hAnsi="宋体" w:eastAsia="宋体"/>
                <w:szCs w:val="21"/>
              </w:rPr>
            </w:pPr>
          </w:p>
        </w:tc>
      </w:tr>
      <w:tr w14:paraId="5762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0266310">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15</w:t>
            </w:r>
          </w:p>
        </w:tc>
        <w:tc>
          <w:tcPr>
            <w:tcW w:w="2582" w:type="pct"/>
            <w:vAlign w:val="center"/>
          </w:tcPr>
          <w:p w14:paraId="314A084D">
            <w:pPr>
              <w:rPr>
                <w:rFonts w:hint="eastAsia" w:ascii="宋体" w:hAnsi="宋体" w:eastAsia="宋体"/>
                <w:sz w:val="18"/>
                <w:szCs w:val="18"/>
              </w:rPr>
            </w:pPr>
            <w:r>
              <w:rPr>
                <w:rFonts w:hint="eastAsia" w:ascii="宋体" w:hAnsi="宋体" w:eastAsia="宋体"/>
                <w:sz w:val="18"/>
                <w:szCs w:val="18"/>
              </w:rPr>
              <w:t>投标人必须承担的设备运输、安装调试、验收检测、专家评审费等一切费用并提供下述文件交付清单中的文件、图纸等以及其他类似的义务。并需要配合招标人完成土建工程相关需求，提交货物与土建工程的接口文件等材料；在土建工程实施之前，配合招标人办理环境影响评价等相关手续，并提交相关需求资料；在货物进场安装、调试的过程中，配合招标人办理辐射安全许可等相关手续，并提交相关需求资料。</w:t>
            </w:r>
          </w:p>
          <w:p w14:paraId="1F388DAA">
            <w:pPr>
              <w:numPr>
                <w:ilvl w:val="0"/>
                <w:numId w:val="3"/>
              </w:numPr>
              <w:rPr>
                <w:rFonts w:hint="eastAsia" w:ascii="宋体" w:hAnsi="宋体" w:eastAsia="宋体"/>
                <w:sz w:val="18"/>
                <w:szCs w:val="18"/>
              </w:rPr>
            </w:pPr>
            <w:r>
              <w:rPr>
                <w:rFonts w:hint="eastAsia" w:ascii="宋体" w:hAnsi="宋体" w:eastAsia="宋体"/>
                <w:sz w:val="18"/>
                <w:szCs w:val="18"/>
              </w:rPr>
              <w:t>文档交付清单：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322"/>
            </w:tblGrid>
            <w:tr w14:paraId="4DE9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279AA348">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序号</w:t>
                  </w:r>
                </w:p>
              </w:tc>
              <w:tc>
                <w:tcPr>
                  <w:tcW w:w="3978" w:type="pct"/>
                  <w:vAlign w:val="center"/>
                </w:tcPr>
                <w:p w14:paraId="01DD2281">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文件资料名称</w:t>
                  </w:r>
                </w:p>
              </w:tc>
            </w:tr>
            <w:tr w14:paraId="2EB7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2A92597D">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一</w:t>
                  </w:r>
                </w:p>
              </w:tc>
              <w:tc>
                <w:tcPr>
                  <w:tcW w:w="3978" w:type="pct"/>
                  <w:vAlign w:val="center"/>
                </w:tcPr>
                <w:p w14:paraId="1F7D754B">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合同签订后提交</w:t>
                  </w:r>
                  <w:r>
                    <w:rPr>
                      <w:rFonts w:hint="eastAsia" w:ascii="Times New Roman" w:hAnsi="Times New Roman" w:cs="Times New Roman"/>
                      <w:b/>
                      <w:bCs/>
                      <w:sz w:val="18"/>
                      <w:szCs w:val="18"/>
                      <w14:ligatures w14:val="standardContextual"/>
                    </w:rPr>
                    <w:t>（合同签订1</w:t>
                  </w:r>
                  <w:r>
                    <w:rPr>
                      <w:rFonts w:ascii="Times New Roman" w:hAnsi="Times New Roman" w:cs="Times New Roman"/>
                      <w:b/>
                      <w:bCs/>
                      <w:sz w:val="18"/>
                      <w:szCs w:val="18"/>
                      <w14:ligatures w14:val="standardContextual"/>
                    </w:rPr>
                    <w:t>0</w:t>
                  </w:r>
                  <w:r>
                    <w:rPr>
                      <w:rFonts w:hint="eastAsia" w:ascii="Times New Roman" w:hAnsi="Times New Roman" w:cs="Times New Roman"/>
                      <w:b/>
                      <w:bCs/>
                      <w:sz w:val="18"/>
                      <w:szCs w:val="18"/>
                      <w14:ligatures w14:val="standardContextual"/>
                    </w:rPr>
                    <w:t>日历日）</w:t>
                  </w:r>
                </w:p>
              </w:tc>
            </w:tr>
            <w:tr w14:paraId="226A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63424A1D">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1</w:t>
                  </w:r>
                </w:p>
              </w:tc>
              <w:tc>
                <w:tcPr>
                  <w:tcW w:w="3978" w:type="pct"/>
                  <w:vAlign w:val="center"/>
                </w:tcPr>
                <w:p w14:paraId="40636FB2">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加工制造</w:t>
                  </w:r>
                  <w:r>
                    <w:rPr>
                      <w:rFonts w:ascii="Times New Roman" w:hAnsi="Times New Roman" w:cs="Times New Roman"/>
                      <w:sz w:val="18"/>
                      <w:szCs w:val="18"/>
                      <w14:ligatures w14:val="standardContextual"/>
                    </w:rPr>
                    <w:t>实施方案</w:t>
                  </w:r>
                </w:p>
              </w:tc>
            </w:tr>
            <w:tr w14:paraId="6951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5845B6D6">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二</w:t>
                  </w:r>
                </w:p>
              </w:tc>
              <w:tc>
                <w:tcPr>
                  <w:tcW w:w="3978" w:type="pct"/>
                  <w:vAlign w:val="center"/>
                </w:tcPr>
                <w:p w14:paraId="1A48497A">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详细设计</w:t>
                  </w:r>
                  <w:r>
                    <w:rPr>
                      <w:rFonts w:hint="eastAsia" w:ascii="Times New Roman" w:hAnsi="Times New Roman" w:cs="Times New Roman"/>
                      <w:b/>
                      <w:bCs/>
                      <w:sz w:val="18"/>
                      <w:szCs w:val="18"/>
                      <w14:ligatures w14:val="standardContextual"/>
                    </w:rPr>
                    <w:t>输出文件</w:t>
                  </w:r>
                  <w:r>
                    <w:rPr>
                      <w:rFonts w:ascii="Times New Roman" w:hAnsi="Times New Roman" w:cs="Times New Roman"/>
                      <w:b/>
                      <w:bCs/>
                      <w:sz w:val="18"/>
                      <w:szCs w:val="18"/>
                      <w14:ligatures w14:val="standardContextual"/>
                    </w:rPr>
                    <w:t>提交</w:t>
                  </w:r>
                  <w:r>
                    <w:rPr>
                      <w:rFonts w:hint="eastAsia" w:ascii="Times New Roman" w:hAnsi="Times New Roman" w:cs="Times New Roman"/>
                      <w:b/>
                      <w:bCs/>
                      <w:sz w:val="18"/>
                      <w:szCs w:val="18"/>
                      <w14:ligatures w14:val="standardContextual"/>
                    </w:rPr>
                    <w:t>（合同签订</w:t>
                  </w:r>
                  <w:r>
                    <w:rPr>
                      <w:rFonts w:ascii="Times New Roman" w:hAnsi="Times New Roman" w:cs="Times New Roman"/>
                      <w:b/>
                      <w:bCs/>
                      <w:sz w:val="18"/>
                      <w:szCs w:val="18"/>
                      <w14:ligatures w14:val="standardContextual"/>
                    </w:rPr>
                    <w:t>30</w:t>
                  </w:r>
                  <w:r>
                    <w:rPr>
                      <w:rFonts w:hint="eastAsia" w:ascii="Times New Roman" w:hAnsi="Times New Roman" w:cs="Times New Roman"/>
                      <w:b/>
                      <w:bCs/>
                      <w:sz w:val="18"/>
                      <w:szCs w:val="18"/>
                      <w14:ligatures w14:val="standardContextual"/>
                    </w:rPr>
                    <w:t>日历日）</w:t>
                  </w:r>
                </w:p>
              </w:tc>
            </w:tr>
            <w:tr w14:paraId="19FB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F3EC204">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2</w:t>
                  </w:r>
                </w:p>
              </w:tc>
              <w:tc>
                <w:tcPr>
                  <w:tcW w:w="3978" w:type="pct"/>
                  <w:vAlign w:val="center"/>
                </w:tcPr>
                <w:p w14:paraId="50EE7C8A">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sz w:val="18"/>
                      <w:szCs w:val="18"/>
                      <w14:ligatures w14:val="standardContextual"/>
                    </w:rPr>
                    <w:t>详细设计报告（含工程设计图纸）</w:t>
                  </w:r>
                </w:p>
              </w:tc>
            </w:tr>
            <w:tr w14:paraId="62FD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27B30E7E">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3</w:t>
                  </w:r>
                </w:p>
              </w:tc>
              <w:tc>
                <w:tcPr>
                  <w:tcW w:w="3978" w:type="pct"/>
                  <w:vAlign w:val="center"/>
                </w:tcPr>
                <w:p w14:paraId="59297079">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零部件明细表</w:t>
                  </w:r>
                </w:p>
              </w:tc>
            </w:tr>
            <w:tr w14:paraId="2B8E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21841BBE">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4</w:t>
                  </w:r>
                </w:p>
              </w:tc>
              <w:tc>
                <w:tcPr>
                  <w:tcW w:w="3978" w:type="pct"/>
                  <w:shd w:val="clear" w:color="auto" w:fill="auto"/>
                  <w:vAlign w:val="center"/>
                </w:tcPr>
                <w:p w14:paraId="63222C64">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验收大纲</w:t>
                  </w:r>
                </w:p>
              </w:tc>
            </w:tr>
            <w:tr w14:paraId="0A38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482309E0">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5</w:t>
                  </w:r>
                </w:p>
              </w:tc>
              <w:tc>
                <w:tcPr>
                  <w:tcW w:w="3978" w:type="pct"/>
                  <w:shd w:val="clear" w:color="auto" w:fill="auto"/>
                  <w:vAlign w:val="center"/>
                </w:tcPr>
                <w:p w14:paraId="6D9F9A0D">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经济性分析报告</w:t>
                  </w:r>
                </w:p>
              </w:tc>
            </w:tr>
            <w:tr w14:paraId="509B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0D11BC5C">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三</w:t>
                  </w:r>
                </w:p>
              </w:tc>
              <w:tc>
                <w:tcPr>
                  <w:tcW w:w="3978" w:type="pct"/>
                  <w:shd w:val="clear" w:color="auto" w:fill="auto"/>
                  <w:vAlign w:val="center"/>
                </w:tcPr>
                <w:p w14:paraId="544A6A36">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研制生产过程中提交</w:t>
                  </w:r>
                </w:p>
              </w:tc>
            </w:tr>
            <w:tr w14:paraId="3F57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3E25EF4">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6</w:t>
                  </w:r>
                </w:p>
              </w:tc>
              <w:tc>
                <w:tcPr>
                  <w:tcW w:w="3978" w:type="pct"/>
                  <w:shd w:val="clear" w:color="auto" w:fill="auto"/>
                  <w:vAlign w:val="center"/>
                </w:tcPr>
                <w:p w14:paraId="2A564756">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加工制造过程系列文件（</w:t>
                  </w:r>
                  <w:r>
                    <w:rPr>
                      <w:rFonts w:hint="eastAsia" w:ascii="Times New Roman" w:hAnsi="Times New Roman" w:cs="Times New Roman"/>
                      <w:sz w:val="18"/>
                      <w:szCs w:val="18"/>
                      <w14:ligatures w14:val="standardContextual"/>
                    </w:rPr>
                    <w:t>节点文件、</w:t>
                  </w:r>
                  <w:r>
                    <w:rPr>
                      <w:rFonts w:ascii="Times New Roman" w:hAnsi="Times New Roman" w:cs="Times New Roman"/>
                      <w:sz w:val="18"/>
                      <w:szCs w:val="18"/>
                      <w14:ligatures w14:val="standardContextual"/>
                    </w:rPr>
                    <w:t>阶段测试报告、总结、变更记录等）</w:t>
                  </w:r>
                </w:p>
              </w:tc>
            </w:tr>
            <w:tr w14:paraId="5654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3B678AA">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b/>
                      <w:bCs/>
                      <w:sz w:val="18"/>
                      <w:szCs w:val="18"/>
                      <w14:ligatures w14:val="standardContextual"/>
                    </w:rPr>
                    <w:t>四</w:t>
                  </w:r>
                </w:p>
              </w:tc>
              <w:tc>
                <w:tcPr>
                  <w:tcW w:w="3978" w:type="pct"/>
                  <w:shd w:val="clear" w:color="auto" w:fill="auto"/>
                  <w:vAlign w:val="center"/>
                </w:tcPr>
                <w:p w14:paraId="6C1B9904">
                  <w:pPr>
                    <w:widowControl w:val="0"/>
                    <w:jc w:val="center"/>
                    <w:rPr>
                      <w:rFonts w:ascii="仿宋_GB2312" w:hAnsi="方正仿宋_GB2312" w:cs="方正仿宋_GB2312"/>
                      <w:sz w:val="18"/>
                      <w:szCs w:val="18"/>
                      <w14:ligatures w14:val="standardContextual"/>
                    </w:rPr>
                  </w:pPr>
                  <w:r>
                    <w:rPr>
                      <w:rFonts w:ascii="Times New Roman" w:hAnsi="Times New Roman" w:cs="Times New Roman"/>
                      <w:b/>
                      <w:bCs/>
                      <w:sz w:val="18"/>
                      <w:szCs w:val="18"/>
                      <w14:ligatures w14:val="standardContextual"/>
                    </w:rPr>
                    <w:t>出厂验收、现场联调前</w:t>
                  </w:r>
                  <w:r>
                    <w:rPr>
                      <w:rFonts w:hint="eastAsia" w:ascii="Times New Roman" w:hAnsi="Times New Roman" w:cs="Times New Roman"/>
                      <w:b/>
                      <w:bCs/>
                      <w:sz w:val="18"/>
                      <w:szCs w:val="18"/>
                      <w14:ligatures w14:val="standardContextual"/>
                    </w:rPr>
                    <w:t>（2</w:t>
                  </w:r>
                  <w:r>
                    <w:rPr>
                      <w:rFonts w:ascii="Times New Roman" w:hAnsi="Times New Roman" w:cs="Times New Roman"/>
                      <w:b/>
                      <w:bCs/>
                      <w:sz w:val="18"/>
                      <w:szCs w:val="18"/>
                      <w14:ligatures w14:val="standardContextual"/>
                    </w:rPr>
                    <w:t>0</w:t>
                  </w:r>
                  <w:r>
                    <w:rPr>
                      <w:rFonts w:hint="eastAsia" w:ascii="Times New Roman" w:hAnsi="Times New Roman" w:cs="Times New Roman"/>
                      <w:b/>
                      <w:bCs/>
                      <w:sz w:val="18"/>
                      <w:szCs w:val="18"/>
                      <w14:ligatures w14:val="standardContextual"/>
                    </w:rPr>
                    <w:t>日历日）</w:t>
                  </w:r>
                  <w:r>
                    <w:rPr>
                      <w:rFonts w:ascii="Times New Roman" w:hAnsi="Times New Roman" w:cs="Times New Roman"/>
                      <w:b/>
                      <w:bCs/>
                      <w:sz w:val="18"/>
                      <w:szCs w:val="18"/>
                      <w14:ligatures w14:val="standardContextual"/>
                    </w:rPr>
                    <w:t>提交</w:t>
                  </w:r>
                </w:p>
              </w:tc>
            </w:tr>
            <w:tr w14:paraId="3F75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1530B868">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7</w:t>
                  </w:r>
                </w:p>
              </w:tc>
              <w:tc>
                <w:tcPr>
                  <w:tcW w:w="3978" w:type="pct"/>
                  <w:vAlign w:val="center"/>
                </w:tcPr>
                <w:p w14:paraId="2B27448B">
                  <w:pPr>
                    <w:widowControl w:val="0"/>
                    <w:jc w:val="center"/>
                    <w:rPr>
                      <w:rFonts w:ascii="仿宋_GB2312" w:hAnsi="方正仿宋_GB2312" w:cs="方正仿宋_GB2312"/>
                      <w:sz w:val="18"/>
                      <w:szCs w:val="18"/>
                      <w14:ligatures w14:val="standardContextual"/>
                    </w:rPr>
                  </w:pPr>
                  <w:r>
                    <w:rPr>
                      <w:rFonts w:ascii="Times New Roman" w:hAnsi="Times New Roman" w:cs="Times New Roman"/>
                      <w:sz w:val="18"/>
                      <w:szCs w:val="18"/>
                      <w14:ligatures w14:val="standardContextual"/>
                    </w:rPr>
                    <w:t>现场安装调试实施方案（现场安装调试方案、发货计划、安装</w:t>
                  </w:r>
                  <w:r>
                    <w:rPr>
                      <w:rFonts w:hint="eastAsia" w:ascii="Times New Roman" w:hAnsi="Times New Roman" w:cs="Times New Roman"/>
                      <w:sz w:val="18"/>
                      <w:szCs w:val="18"/>
                      <w14:ligatures w14:val="standardContextual"/>
                    </w:rPr>
                    <w:t>调试</w:t>
                  </w:r>
                  <w:r>
                    <w:rPr>
                      <w:rFonts w:ascii="Times New Roman" w:hAnsi="Times New Roman" w:cs="Times New Roman"/>
                      <w:sz w:val="18"/>
                      <w:szCs w:val="18"/>
                      <w14:ligatures w14:val="standardContextual"/>
                    </w:rPr>
                    <w:t>计划等）</w:t>
                  </w:r>
                </w:p>
              </w:tc>
            </w:tr>
            <w:tr w14:paraId="3FBC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1D9A7CDD">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五</w:t>
                  </w:r>
                </w:p>
              </w:tc>
              <w:tc>
                <w:tcPr>
                  <w:tcW w:w="3978" w:type="pct"/>
                  <w:vAlign w:val="center"/>
                </w:tcPr>
                <w:p w14:paraId="397926D7">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b/>
                      <w:bCs/>
                      <w:sz w:val="18"/>
                      <w:szCs w:val="18"/>
                      <w14:ligatures w14:val="standardContextual"/>
                    </w:rPr>
                    <w:t>最终验收前提交</w:t>
                  </w:r>
                </w:p>
              </w:tc>
            </w:tr>
            <w:tr w14:paraId="689B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6C040B47">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8</w:t>
                  </w:r>
                </w:p>
              </w:tc>
              <w:tc>
                <w:tcPr>
                  <w:tcW w:w="3978" w:type="pct"/>
                  <w:vAlign w:val="center"/>
                </w:tcPr>
                <w:p w14:paraId="481F3256">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设备出厂测试报告或合格证明文件</w:t>
                  </w:r>
                </w:p>
              </w:tc>
            </w:tr>
            <w:tr w14:paraId="7DAA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3FC0315F">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9</w:t>
                  </w:r>
                </w:p>
              </w:tc>
              <w:tc>
                <w:tcPr>
                  <w:tcW w:w="3978" w:type="pct"/>
                  <w:vAlign w:val="center"/>
                </w:tcPr>
                <w:p w14:paraId="22967DB6">
                  <w:pPr>
                    <w:widowControl w:val="0"/>
                    <w:jc w:val="center"/>
                    <w:rPr>
                      <w:rFonts w:ascii="仿宋_GB2312" w:hAnsi="方正仿宋_GB2312" w:eastAsia="仿宋_GB2312" w:cs="方正仿宋_GB2312"/>
                      <w:b/>
                      <w:bCs/>
                      <w:sz w:val="18"/>
                      <w:szCs w:val="18"/>
                      <w14:ligatures w14:val="standardContextual"/>
                    </w:rPr>
                  </w:pPr>
                  <w:r>
                    <w:rPr>
                      <w:rFonts w:ascii="Times New Roman" w:hAnsi="Times New Roman" w:cs="Times New Roman"/>
                      <w:sz w:val="18"/>
                      <w:szCs w:val="18"/>
                      <w14:ligatures w14:val="standardContextual"/>
                    </w:rPr>
                    <w:t>设备/软件使用说明书（含具体操作流程、安全规范）</w:t>
                  </w:r>
                </w:p>
              </w:tc>
            </w:tr>
            <w:tr w14:paraId="4811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F82B929">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0</w:t>
                  </w:r>
                </w:p>
              </w:tc>
              <w:tc>
                <w:tcPr>
                  <w:tcW w:w="3978" w:type="pct"/>
                  <w:vAlign w:val="center"/>
                </w:tcPr>
                <w:p w14:paraId="1A287F1B">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设备维护手册</w:t>
                  </w:r>
                </w:p>
              </w:tc>
            </w:tr>
            <w:tr w14:paraId="1352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5DF74D35">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1</w:t>
                  </w:r>
                </w:p>
              </w:tc>
              <w:tc>
                <w:tcPr>
                  <w:tcW w:w="3978" w:type="pct"/>
                  <w:vAlign w:val="center"/>
                </w:tcPr>
                <w:p w14:paraId="3D6B3C03">
                  <w:pPr>
                    <w:widowControl w:val="0"/>
                    <w:jc w:val="center"/>
                    <w:rPr>
                      <w:rFonts w:ascii="仿宋_GB2312" w:hAnsi="方正仿宋_GB2312" w:eastAsia="仿宋_GB2312" w:cs="方正仿宋_GB2312"/>
                      <w:b/>
                      <w:bCs/>
                      <w:sz w:val="18"/>
                      <w:szCs w:val="18"/>
                      <w14:ligatures w14:val="standardContextual"/>
                    </w:rPr>
                  </w:pPr>
                  <w:r>
                    <w:rPr>
                      <w:rFonts w:hint="eastAsia" w:ascii="Times New Roman" w:hAnsi="Times New Roman" w:cs="Times New Roman"/>
                      <w:sz w:val="18"/>
                      <w:szCs w:val="18"/>
                      <w14:ligatures w14:val="standardContextual"/>
                    </w:rPr>
                    <w:t>安装调试运行记录</w:t>
                  </w:r>
                </w:p>
              </w:tc>
            </w:tr>
            <w:tr w14:paraId="4E75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127F12C9">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2</w:t>
                  </w:r>
                </w:p>
              </w:tc>
              <w:tc>
                <w:tcPr>
                  <w:tcW w:w="3978" w:type="pct"/>
                  <w:vAlign w:val="center"/>
                </w:tcPr>
                <w:p w14:paraId="575521BD">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安装调试技术</w:t>
                  </w:r>
                  <w:r>
                    <w:rPr>
                      <w:rFonts w:hint="eastAsia"/>
                      <w:sz w:val="18"/>
                      <w:szCs w:val="18"/>
                      <w14:ligatures w14:val="standardContextual"/>
                    </w:rPr>
                    <w:t>总结报告</w:t>
                  </w:r>
                </w:p>
              </w:tc>
            </w:tr>
            <w:tr w14:paraId="6009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32AF68FE">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3</w:t>
                  </w:r>
                </w:p>
              </w:tc>
              <w:tc>
                <w:tcPr>
                  <w:tcW w:w="3978" w:type="pct"/>
                  <w:vAlign w:val="center"/>
                </w:tcPr>
                <w:p w14:paraId="18183EB8">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保养记录</w:t>
                  </w:r>
                </w:p>
              </w:tc>
            </w:tr>
            <w:tr w14:paraId="24E7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26953CD0">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4</w:t>
                  </w:r>
                </w:p>
              </w:tc>
              <w:tc>
                <w:tcPr>
                  <w:tcW w:w="3978" w:type="pct"/>
                  <w:vAlign w:val="center"/>
                </w:tcPr>
                <w:p w14:paraId="0F1E6D28">
                  <w:pPr>
                    <w:widowControl w:val="0"/>
                    <w:jc w:val="center"/>
                    <w:rPr>
                      <w:rFonts w:ascii="仿宋_GB2312" w:hAnsi="方正仿宋_GB2312" w:eastAsia="仿宋_GB2312" w:cs="方正仿宋_GB2312"/>
                      <w:sz w:val="18"/>
                      <w:szCs w:val="18"/>
                      <w14:ligatures w14:val="standardContextual"/>
                    </w:rPr>
                  </w:pPr>
                  <w:r>
                    <w:rPr>
                      <w:rFonts w:hint="eastAsia" w:ascii="宋体" w:hAnsi="宋体"/>
                      <w:sz w:val="18"/>
                      <w:szCs w:val="18"/>
                      <w14:ligatures w14:val="standardContextual"/>
                    </w:rPr>
                    <w:t>仪器设备履历书(使用、检修、故障、事故记录)</w:t>
                  </w:r>
                </w:p>
              </w:tc>
            </w:tr>
            <w:tr w14:paraId="0D1C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3D60A397">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5</w:t>
                  </w:r>
                </w:p>
              </w:tc>
              <w:tc>
                <w:tcPr>
                  <w:tcW w:w="3978" w:type="pct"/>
                  <w:vAlign w:val="center"/>
                </w:tcPr>
                <w:p w14:paraId="0BB277D5">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出入库单</w:t>
                  </w:r>
                </w:p>
              </w:tc>
            </w:tr>
            <w:tr w14:paraId="3EE0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40E1ECFC">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6</w:t>
                  </w:r>
                </w:p>
              </w:tc>
              <w:tc>
                <w:tcPr>
                  <w:tcW w:w="3978" w:type="pct"/>
                  <w:vAlign w:val="center"/>
                </w:tcPr>
                <w:p w14:paraId="23676DA1">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全套竣工图纸</w:t>
                  </w:r>
                </w:p>
              </w:tc>
            </w:tr>
            <w:tr w14:paraId="7124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7DD21D96">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7</w:t>
                  </w:r>
                </w:p>
              </w:tc>
              <w:tc>
                <w:tcPr>
                  <w:tcW w:w="3978" w:type="pct"/>
                  <w:vAlign w:val="center"/>
                </w:tcPr>
                <w:p w14:paraId="176141CC">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控制软件可执行程序、源代码</w:t>
                  </w:r>
                  <w:r>
                    <w:rPr>
                      <w:rFonts w:hint="eastAsia" w:ascii="Times New Roman" w:hAnsi="Times New Roman" w:cs="Times New Roman"/>
                      <w:sz w:val="18"/>
                      <w:szCs w:val="18"/>
                      <w14:ligatures w14:val="standardContextual"/>
                    </w:rPr>
                    <w:t>、软件使用许可协议</w:t>
                  </w:r>
                </w:p>
              </w:tc>
            </w:tr>
            <w:tr w14:paraId="0986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21" w:type="pct"/>
                  <w:vAlign w:val="center"/>
                </w:tcPr>
                <w:p w14:paraId="1FC662C0">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8</w:t>
                  </w:r>
                </w:p>
              </w:tc>
              <w:tc>
                <w:tcPr>
                  <w:tcW w:w="3978" w:type="pct"/>
                  <w:vAlign w:val="center"/>
                </w:tcPr>
                <w:p w14:paraId="0ECD7EC8">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产品及文件交付清单</w:t>
                  </w:r>
                </w:p>
              </w:tc>
            </w:tr>
            <w:tr w14:paraId="55CF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50CA362A">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1</w:t>
                  </w:r>
                  <w:r>
                    <w:rPr>
                      <w:rFonts w:ascii="Times New Roman" w:hAnsi="Times New Roman" w:cs="Times New Roman"/>
                      <w:sz w:val="18"/>
                      <w:szCs w:val="18"/>
                      <w14:ligatures w14:val="standardContextual"/>
                    </w:rPr>
                    <w:t>9</w:t>
                  </w:r>
                </w:p>
              </w:tc>
              <w:tc>
                <w:tcPr>
                  <w:tcW w:w="3978" w:type="pct"/>
                  <w:vAlign w:val="center"/>
                </w:tcPr>
                <w:p w14:paraId="214CEE03">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电气元器件明细表</w:t>
                  </w:r>
                </w:p>
              </w:tc>
            </w:tr>
            <w:tr w14:paraId="2BCC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416FFA8A">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2</w:t>
                  </w:r>
                  <w:r>
                    <w:rPr>
                      <w:rFonts w:ascii="Times New Roman" w:hAnsi="Times New Roman" w:cs="Times New Roman"/>
                      <w:sz w:val="18"/>
                      <w:szCs w:val="18"/>
                      <w14:ligatures w14:val="standardContextual"/>
                    </w:rPr>
                    <w:t>0</w:t>
                  </w:r>
                </w:p>
              </w:tc>
              <w:tc>
                <w:tcPr>
                  <w:tcW w:w="3978" w:type="pct"/>
                  <w:vAlign w:val="center"/>
                </w:tcPr>
                <w:p w14:paraId="79F3E5FE">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电气接线图</w:t>
                  </w:r>
                </w:p>
              </w:tc>
            </w:tr>
            <w:tr w14:paraId="0EE5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7B2FC2DB">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2</w:t>
                  </w:r>
                  <w:r>
                    <w:rPr>
                      <w:rFonts w:ascii="Times New Roman" w:hAnsi="Times New Roman" w:cs="Times New Roman"/>
                      <w:sz w:val="18"/>
                      <w:szCs w:val="18"/>
                      <w14:ligatures w14:val="standardContextual"/>
                    </w:rPr>
                    <w:t>1</w:t>
                  </w:r>
                </w:p>
              </w:tc>
              <w:tc>
                <w:tcPr>
                  <w:tcW w:w="3978" w:type="pct"/>
                  <w:vAlign w:val="center"/>
                </w:tcPr>
                <w:p w14:paraId="1F1E2024">
                  <w:pPr>
                    <w:widowControl w:val="0"/>
                    <w:jc w:val="center"/>
                    <w:rPr>
                      <w:rFonts w:ascii="仿宋_GB2312" w:hAnsi="方正仿宋_GB2312" w:eastAsia="仿宋_GB2312" w:cs="方正仿宋_GB2312"/>
                      <w:sz w:val="18"/>
                      <w:szCs w:val="18"/>
                      <w14:ligatures w14:val="standardContextual"/>
                    </w:rPr>
                  </w:pPr>
                  <w:r>
                    <w:rPr>
                      <w:rFonts w:ascii="Times New Roman" w:hAnsi="Times New Roman" w:cs="Times New Roman"/>
                      <w:sz w:val="18"/>
                      <w:szCs w:val="18"/>
                      <w14:ligatures w14:val="standardContextual"/>
                    </w:rPr>
                    <w:t>操作人员培训记录</w:t>
                  </w:r>
                </w:p>
              </w:tc>
            </w:tr>
            <w:tr w14:paraId="321C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pct"/>
                  <w:vAlign w:val="center"/>
                </w:tcPr>
                <w:p w14:paraId="3D57F64A">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2</w:t>
                  </w:r>
                  <w:r>
                    <w:rPr>
                      <w:rFonts w:ascii="Times New Roman" w:hAnsi="Times New Roman" w:cs="Times New Roman"/>
                      <w:sz w:val="18"/>
                      <w:szCs w:val="18"/>
                      <w14:ligatures w14:val="standardContextual"/>
                    </w:rPr>
                    <w:t>2</w:t>
                  </w:r>
                </w:p>
              </w:tc>
              <w:tc>
                <w:tcPr>
                  <w:tcW w:w="3978" w:type="pct"/>
                  <w:vAlign w:val="center"/>
                </w:tcPr>
                <w:p w14:paraId="728E4EBC">
                  <w:pPr>
                    <w:widowControl w:val="0"/>
                    <w:jc w:val="center"/>
                    <w:rPr>
                      <w:rFonts w:ascii="仿宋_GB2312" w:hAnsi="方正仿宋_GB2312" w:eastAsia="仿宋_GB2312" w:cs="方正仿宋_GB2312"/>
                      <w:sz w:val="18"/>
                      <w:szCs w:val="18"/>
                      <w14:ligatures w14:val="standardContextual"/>
                    </w:rPr>
                  </w:pPr>
                  <w:r>
                    <w:rPr>
                      <w:rFonts w:hint="eastAsia" w:ascii="Times New Roman" w:hAnsi="Times New Roman" w:cs="Times New Roman"/>
                      <w:sz w:val="18"/>
                      <w:szCs w:val="18"/>
                      <w14:ligatures w14:val="standardContextual"/>
                    </w:rPr>
                    <w:t>项目研制总结报告</w:t>
                  </w:r>
                </w:p>
              </w:tc>
            </w:tr>
          </w:tbl>
          <w:p w14:paraId="11B52F57">
            <w:pPr>
              <w:numPr>
                <w:ilvl w:val="0"/>
                <w:numId w:val="0"/>
              </w:numPr>
              <w:ind w:left="0" w:leftChars="0" w:firstLine="0" w:firstLineChars="0"/>
              <w:rPr>
                <w:rFonts w:ascii="宋体" w:hAnsi="宋体" w:eastAsia="宋体"/>
                <w:color w:val="4F81BD" w:themeColor="accent1"/>
                <w:szCs w:val="21"/>
                <w14:textFill>
                  <w14:solidFill>
                    <w14:schemeClr w14:val="accent1"/>
                  </w14:solidFill>
                </w14:textFill>
              </w:rPr>
            </w:pPr>
          </w:p>
        </w:tc>
        <w:tc>
          <w:tcPr>
            <w:tcW w:w="1222" w:type="pct"/>
          </w:tcPr>
          <w:p w14:paraId="40062794">
            <w:pPr>
              <w:adjustRightInd w:val="0"/>
              <w:snapToGrid w:val="0"/>
              <w:spacing w:line="360" w:lineRule="auto"/>
              <w:rPr>
                <w:rFonts w:ascii="宋体" w:hAnsi="宋体" w:eastAsia="宋体"/>
                <w:szCs w:val="21"/>
              </w:rPr>
            </w:pPr>
          </w:p>
        </w:tc>
        <w:tc>
          <w:tcPr>
            <w:tcW w:w="447" w:type="pct"/>
          </w:tcPr>
          <w:p w14:paraId="2F7171F2">
            <w:pPr>
              <w:adjustRightInd w:val="0"/>
              <w:snapToGrid w:val="0"/>
              <w:spacing w:line="360" w:lineRule="auto"/>
              <w:rPr>
                <w:rFonts w:ascii="宋体" w:hAnsi="宋体" w:eastAsia="宋体"/>
                <w:szCs w:val="21"/>
              </w:rPr>
            </w:pPr>
          </w:p>
        </w:tc>
        <w:tc>
          <w:tcPr>
            <w:tcW w:w="340" w:type="pct"/>
          </w:tcPr>
          <w:p w14:paraId="61517DE2">
            <w:pPr>
              <w:adjustRightInd w:val="0"/>
              <w:snapToGrid w:val="0"/>
              <w:spacing w:line="360" w:lineRule="auto"/>
              <w:rPr>
                <w:rFonts w:ascii="宋体" w:hAnsi="宋体" w:eastAsia="宋体"/>
                <w:szCs w:val="21"/>
              </w:rPr>
            </w:pPr>
          </w:p>
        </w:tc>
      </w:tr>
      <w:tr w14:paraId="0175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1149D5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16</w:t>
            </w:r>
          </w:p>
        </w:tc>
        <w:tc>
          <w:tcPr>
            <w:tcW w:w="2582" w:type="pct"/>
            <w:vAlign w:val="center"/>
          </w:tcPr>
          <w:p w14:paraId="6E5D72BD">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签订合同后 540 天（日历日）内交货。</w:t>
            </w:r>
          </w:p>
        </w:tc>
        <w:tc>
          <w:tcPr>
            <w:tcW w:w="1222" w:type="pct"/>
          </w:tcPr>
          <w:p w14:paraId="46911A65">
            <w:pPr>
              <w:adjustRightInd w:val="0"/>
              <w:snapToGrid w:val="0"/>
              <w:spacing w:line="360" w:lineRule="auto"/>
              <w:rPr>
                <w:rFonts w:ascii="宋体" w:hAnsi="宋体" w:eastAsia="宋体"/>
                <w:szCs w:val="21"/>
              </w:rPr>
            </w:pPr>
          </w:p>
        </w:tc>
        <w:tc>
          <w:tcPr>
            <w:tcW w:w="447" w:type="pct"/>
          </w:tcPr>
          <w:p w14:paraId="7D1642E4">
            <w:pPr>
              <w:adjustRightInd w:val="0"/>
              <w:snapToGrid w:val="0"/>
              <w:spacing w:line="360" w:lineRule="auto"/>
              <w:rPr>
                <w:rFonts w:ascii="宋体" w:hAnsi="宋体" w:eastAsia="宋体"/>
                <w:szCs w:val="21"/>
              </w:rPr>
            </w:pPr>
          </w:p>
        </w:tc>
        <w:tc>
          <w:tcPr>
            <w:tcW w:w="340" w:type="pct"/>
          </w:tcPr>
          <w:p w14:paraId="73F1049B">
            <w:pPr>
              <w:adjustRightInd w:val="0"/>
              <w:snapToGrid w:val="0"/>
              <w:spacing w:line="360" w:lineRule="auto"/>
              <w:rPr>
                <w:rFonts w:ascii="宋体" w:hAnsi="宋体" w:eastAsia="宋体"/>
                <w:szCs w:val="21"/>
              </w:rPr>
            </w:pPr>
          </w:p>
        </w:tc>
      </w:tr>
      <w:tr w14:paraId="7E55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743CB1F">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17</w:t>
            </w:r>
          </w:p>
        </w:tc>
        <w:tc>
          <w:tcPr>
            <w:tcW w:w="2582" w:type="pct"/>
            <w:vAlign w:val="top"/>
          </w:tcPr>
          <w:p w14:paraId="33B33D02">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投标人应派有经验的技术人员到现场进行安装、调试，直到设备正常使用。</w:t>
            </w:r>
          </w:p>
        </w:tc>
        <w:tc>
          <w:tcPr>
            <w:tcW w:w="1222" w:type="pct"/>
          </w:tcPr>
          <w:p w14:paraId="0220F680">
            <w:pPr>
              <w:adjustRightInd w:val="0"/>
              <w:snapToGrid w:val="0"/>
              <w:spacing w:line="360" w:lineRule="auto"/>
              <w:rPr>
                <w:rFonts w:ascii="宋体" w:hAnsi="宋体" w:eastAsia="宋体"/>
                <w:szCs w:val="21"/>
              </w:rPr>
            </w:pPr>
          </w:p>
        </w:tc>
        <w:tc>
          <w:tcPr>
            <w:tcW w:w="447" w:type="pct"/>
          </w:tcPr>
          <w:p w14:paraId="09AB7EBA">
            <w:pPr>
              <w:adjustRightInd w:val="0"/>
              <w:snapToGrid w:val="0"/>
              <w:spacing w:line="360" w:lineRule="auto"/>
              <w:rPr>
                <w:rFonts w:ascii="宋体" w:hAnsi="宋体" w:eastAsia="宋体"/>
                <w:szCs w:val="21"/>
              </w:rPr>
            </w:pPr>
          </w:p>
        </w:tc>
        <w:tc>
          <w:tcPr>
            <w:tcW w:w="340" w:type="pct"/>
          </w:tcPr>
          <w:p w14:paraId="00F4A881">
            <w:pPr>
              <w:adjustRightInd w:val="0"/>
              <w:snapToGrid w:val="0"/>
              <w:spacing w:line="360" w:lineRule="auto"/>
              <w:rPr>
                <w:rFonts w:ascii="宋体" w:hAnsi="宋体" w:eastAsia="宋体"/>
                <w:szCs w:val="21"/>
              </w:rPr>
            </w:pPr>
          </w:p>
        </w:tc>
      </w:tr>
      <w:tr w14:paraId="6BF0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55544EBA">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18</w:t>
            </w:r>
          </w:p>
        </w:tc>
        <w:tc>
          <w:tcPr>
            <w:tcW w:w="2582" w:type="pct"/>
            <w:vAlign w:val="top"/>
          </w:tcPr>
          <w:p w14:paraId="555A7F8C">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由采购人按合同和招标、投标文件约定的要求和标准及中华人民共和国现行的验收规范和评定标准进行交货验收。</w:t>
            </w:r>
          </w:p>
        </w:tc>
        <w:tc>
          <w:tcPr>
            <w:tcW w:w="1222" w:type="pct"/>
          </w:tcPr>
          <w:p w14:paraId="2B3B0001">
            <w:pPr>
              <w:adjustRightInd w:val="0"/>
              <w:snapToGrid w:val="0"/>
              <w:spacing w:line="360" w:lineRule="auto"/>
              <w:rPr>
                <w:rFonts w:ascii="宋体" w:hAnsi="宋体" w:eastAsia="宋体"/>
                <w:szCs w:val="21"/>
              </w:rPr>
            </w:pPr>
          </w:p>
        </w:tc>
        <w:tc>
          <w:tcPr>
            <w:tcW w:w="447" w:type="pct"/>
          </w:tcPr>
          <w:p w14:paraId="51212B56">
            <w:pPr>
              <w:adjustRightInd w:val="0"/>
              <w:snapToGrid w:val="0"/>
              <w:spacing w:line="360" w:lineRule="auto"/>
              <w:rPr>
                <w:rFonts w:ascii="宋体" w:hAnsi="宋体" w:eastAsia="宋体"/>
                <w:szCs w:val="21"/>
              </w:rPr>
            </w:pPr>
          </w:p>
        </w:tc>
        <w:tc>
          <w:tcPr>
            <w:tcW w:w="340" w:type="pct"/>
          </w:tcPr>
          <w:p w14:paraId="61EE3CC9">
            <w:pPr>
              <w:adjustRightInd w:val="0"/>
              <w:snapToGrid w:val="0"/>
              <w:spacing w:line="360" w:lineRule="auto"/>
              <w:rPr>
                <w:rFonts w:ascii="宋体" w:hAnsi="宋体" w:eastAsia="宋体"/>
                <w:szCs w:val="21"/>
              </w:rPr>
            </w:pPr>
          </w:p>
        </w:tc>
      </w:tr>
      <w:tr w14:paraId="478D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5BD01F72">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19</w:t>
            </w:r>
          </w:p>
        </w:tc>
        <w:tc>
          <w:tcPr>
            <w:tcW w:w="2582" w:type="pct"/>
            <w:vAlign w:val="top"/>
          </w:tcPr>
          <w:p w14:paraId="4AC61AC1">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投标人货物经过双方检验认可后，签署验收报告，产品保修期自验收合格之日起算，由投标人提供产品保修文件。</w:t>
            </w:r>
          </w:p>
        </w:tc>
        <w:tc>
          <w:tcPr>
            <w:tcW w:w="1222" w:type="pct"/>
          </w:tcPr>
          <w:p w14:paraId="44C8DF1E">
            <w:pPr>
              <w:adjustRightInd w:val="0"/>
              <w:snapToGrid w:val="0"/>
              <w:spacing w:line="360" w:lineRule="auto"/>
              <w:rPr>
                <w:rFonts w:ascii="宋体" w:hAnsi="宋体" w:eastAsia="宋体"/>
                <w:szCs w:val="21"/>
              </w:rPr>
            </w:pPr>
          </w:p>
        </w:tc>
        <w:tc>
          <w:tcPr>
            <w:tcW w:w="447" w:type="pct"/>
          </w:tcPr>
          <w:p w14:paraId="620C51DD">
            <w:pPr>
              <w:adjustRightInd w:val="0"/>
              <w:snapToGrid w:val="0"/>
              <w:spacing w:line="360" w:lineRule="auto"/>
              <w:rPr>
                <w:rFonts w:ascii="宋体" w:hAnsi="宋体" w:eastAsia="宋体"/>
                <w:szCs w:val="21"/>
              </w:rPr>
            </w:pPr>
          </w:p>
        </w:tc>
        <w:tc>
          <w:tcPr>
            <w:tcW w:w="340" w:type="pct"/>
          </w:tcPr>
          <w:p w14:paraId="28B18BA1">
            <w:pPr>
              <w:adjustRightInd w:val="0"/>
              <w:snapToGrid w:val="0"/>
              <w:spacing w:line="360" w:lineRule="auto"/>
              <w:rPr>
                <w:rFonts w:ascii="宋体" w:hAnsi="宋体" w:eastAsia="宋体"/>
                <w:szCs w:val="21"/>
              </w:rPr>
            </w:pPr>
          </w:p>
        </w:tc>
      </w:tr>
      <w:tr w14:paraId="36AF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BA1D0F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20</w:t>
            </w:r>
          </w:p>
        </w:tc>
        <w:tc>
          <w:tcPr>
            <w:tcW w:w="2582" w:type="pct"/>
            <w:vAlign w:val="top"/>
          </w:tcPr>
          <w:p w14:paraId="5843FCE5">
            <w:pPr>
              <w:rPr>
                <w:rFonts w:hint="eastAsia" w:ascii="宋体" w:hAnsi="宋体" w:eastAsia="宋体"/>
                <w:sz w:val="18"/>
                <w:szCs w:val="18"/>
              </w:rPr>
            </w:pPr>
            <w:r>
              <w:rPr>
                <w:rFonts w:hint="eastAsia" w:ascii="宋体" w:hAnsi="宋体" w:eastAsia="宋体"/>
                <w:sz w:val="18"/>
                <w:szCs w:val="18"/>
              </w:rPr>
              <w:t>当满足以下条件时，采购人才向中标人签发货物验收报告：</w:t>
            </w:r>
          </w:p>
          <w:p w14:paraId="3311920D">
            <w:pPr>
              <w:rPr>
                <w:rFonts w:hint="eastAsia" w:ascii="宋体" w:hAnsi="宋体" w:eastAsia="宋体"/>
                <w:sz w:val="18"/>
                <w:szCs w:val="18"/>
              </w:rPr>
            </w:pPr>
            <w:r>
              <w:rPr>
                <w:rFonts w:hint="eastAsia" w:ascii="宋体" w:hAnsi="宋体" w:eastAsia="宋体"/>
                <w:sz w:val="18"/>
                <w:szCs w:val="18"/>
              </w:rPr>
              <w:t>（1）设备全新,外观无伤痕变形或明显修饰痕迹。</w:t>
            </w:r>
          </w:p>
          <w:p w14:paraId="6F16B958">
            <w:pPr>
              <w:rPr>
                <w:rFonts w:hint="eastAsia" w:ascii="宋体" w:hAnsi="宋体" w:eastAsia="宋体"/>
                <w:sz w:val="18"/>
                <w:szCs w:val="18"/>
              </w:rPr>
            </w:pPr>
            <w:r>
              <w:rPr>
                <w:rFonts w:hint="eastAsia" w:ascii="宋体" w:hAnsi="宋体" w:eastAsia="宋体"/>
                <w:sz w:val="18"/>
                <w:szCs w:val="18"/>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384CE0DA">
            <w:pPr>
              <w:rPr>
                <w:rFonts w:hint="eastAsia" w:ascii="宋体" w:hAnsi="宋体" w:eastAsia="宋体"/>
                <w:sz w:val="18"/>
                <w:szCs w:val="18"/>
              </w:rPr>
            </w:pPr>
            <w:r>
              <w:rPr>
                <w:rFonts w:hint="eastAsia" w:ascii="宋体" w:hAnsi="宋体" w:eastAsia="宋体"/>
                <w:sz w:val="18"/>
                <w:szCs w:val="18"/>
              </w:rPr>
              <w:t>（3）技术文件资料、备件等已按规定数量移交完毕。</w:t>
            </w:r>
          </w:p>
          <w:p w14:paraId="641989CD">
            <w:pPr>
              <w:rPr>
                <w:rFonts w:hint="eastAsia" w:ascii="宋体" w:hAnsi="宋体" w:eastAsia="宋体"/>
                <w:sz w:val="18"/>
                <w:szCs w:val="18"/>
              </w:rPr>
            </w:pPr>
            <w:r>
              <w:rPr>
                <w:rFonts w:hint="eastAsia" w:ascii="宋体" w:hAnsi="宋体" w:eastAsia="宋体"/>
                <w:sz w:val="18"/>
                <w:szCs w:val="18"/>
              </w:rPr>
              <w:t>（4）按照招标书要求及投标文件提供的技术要求验收必须合格。</w:t>
            </w:r>
          </w:p>
          <w:p w14:paraId="4ECDA95E">
            <w:pPr>
              <w:rPr>
                <w:rFonts w:hint="eastAsia" w:ascii="宋体" w:hAnsi="宋体" w:eastAsia="宋体"/>
                <w:sz w:val="18"/>
                <w:szCs w:val="18"/>
              </w:rPr>
            </w:pPr>
            <w:r>
              <w:rPr>
                <w:rFonts w:hint="eastAsia" w:ascii="宋体" w:hAnsi="宋体" w:eastAsia="宋体"/>
                <w:sz w:val="18"/>
                <w:szCs w:val="18"/>
              </w:rPr>
              <w:t>（5）投标人提供的各种文件载明的内容必须真实，其技术数据采购人有权要求投标人无偿提供采购人认可的第三方按照双方同意的试验方法进行检测。检测结果必须证明投标人提供的技术数据是真实的，否则视为不合格。</w:t>
            </w:r>
          </w:p>
          <w:p w14:paraId="40C8303E">
            <w:pPr>
              <w:rPr>
                <w:rFonts w:hint="eastAsia" w:ascii="宋体" w:hAnsi="宋体" w:eastAsia="宋体"/>
                <w:sz w:val="18"/>
                <w:szCs w:val="18"/>
              </w:rPr>
            </w:pPr>
            <w:r>
              <w:rPr>
                <w:rFonts w:hint="eastAsia" w:ascii="宋体" w:hAnsi="宋体" w:eastAsia="宋体"/>
                <w:sz w:val="18"/>
                <w:szCs w:val="18"/>
              </w:rPr>
              <w:t>（6）货物具备产品合格证。</w:t>
            </w:r>
          </w:p>
          <w:p w14:paraId="4FC1BDF4">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（7）在货物安装调试过程中须保留安装调试记录，安装调试合格及安装调试记录归档后，所有技术指标达到技术规范书要求，经验收合格后，双方共同签署验收报告。</w:t>
            </w:r>
          </w:p>
        </w:tc>
        <w:tc>
          <w:tcPr>
            <w:tcW w:w="1222" w:type="pct"/>
          </w:tcPr>
          <w:p w14:paraId="36AA1512">
            <w:pPr>
              <w:adjustRightInd w:val="0"/>
              <w:snapToGrid w:val="0"/>
              <w:spacing w:line="360" w:lineRule="auto"/>
              <w:rPr>
                <w:rFonts w:ascii="宋体" w:hAnsi="宋体" w:eastAsia="宋体"/>
                <w:szCs w:val="21"/>
              </w:rPr>
            </w:pPr>
          </w:p>
        </w:tc>
        <w:tc>
          <w:tcPr>
            <w:tcW w:w="447" w:type="pct"/>
          </w:tcPr>
          <w:p w14:paraId="22C86F03">
            <w:pPr>
              <w:adjustRightInd w:val="0"/>
              <w:snapToGrid w:val="0"/>
              <w:spacing w:line="360" w:lineRule="auto"/>
              <w:rPr>
                <w:rFonts w:ascii="宋体" w:hAnsi="宋体" w:eastAsia="宋体"/>
                <w:szCs w:val="21"/>
              </w:rPr>
            </w:pPr>
          </w:p>
        </w:tc>
        <w:tc>
          <w:tcPr>
            <w:tcW w:w="340" w:type="pct"/>
          </w:tcPr>
          <w:p w14:paraId="2DD0250E">
            <w:pPr>
              <w:adjustRightInd w:val="0"/>
              <w:snapToGrid w:val="0"/>
              <w:spacing w:line="360" w:lineRule="auto"/>
              <w:rPr>
                <w:rFonts w:ascii="宋体" w:hAnsi="宋体" w:eastAsia="宋体"/>
                <w:szCs w:val="21"/>
              </w:rPr>
            </w:pPr>
          </w:p>
        </w:tc>
      </w:tr>
      <w:tr w14:paraId="5B5C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57D8C8FD">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21</w:t>
            </w:r>
          </w:p>
        </w:tc>
        <w:tc>
          <w:tcPr>
            <w:tcW w:w="2582" w:type="pct"/>
            <w:vAlign w:val="top"/>
          </w:tcPr>
          <w:p w14:paraId="4D108531">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中标人应充分掌握项目全过程风险，建立风险研判机制和切实可行的风险处置预案，并及时报送甲方止损。因中标人原因造成损失的，应由中标人承担相应责任。</w:t>
            </w:r>
          </w:p>
        </w:tc>
        <w:tc>
          <w:tcPr>
            <w:tcW w:w="1222" w:type="pct"/>
          </w:tcPr>
          <w:p w14:paraId="2CDB3B82">
            <w:pPr>
              <w:adjustRightInd w:val="0"/>
              <w:snapToGrid w:val="0"/>
              <w:spacing w:line="360" w:lineRule="auto"/>
              <w:rPr>
                <w:rFonts w:ascii="宋体" w:hAnsi="宋体" w:eastAsia="宋体"/>
                <w:szCs w:val="21"/>
              </w:rPr>
            </w:pPr>
          </w:p>
        </w:tc>
        <w:tc>
          <w:tcPr>
            <w:tcW w:w="447" w:type="pct"/>
          </w:tcPr>
          <w:p w14:paraId="3075D16A">
            <w:pPr>
              <w:adjustRightInd w:val="0"/>
              <w:snapToGrid w:val="0"/>
              <w:spacing w:line="360" w:lineRule="auto"/>
              <w:rPr>
                <w:rFonts w:ascii="宋体" w:hAnsi="宋体" w:eastAsia="宋体"/>
                <w:szCs w:val="21"/>
              </w:rPr>
            </w:pPr>
          </w:p>
        </w:tc>
        <w:tc>
          <w:tcPr>
            <w:tcW w:w="340" w:type="pct"/>
          </w:tcPr>
          <w:p w14:paraId="4B1EA415">
            <w:pPr>
              <w:adjustRightInd w:val="0"/>
              <w:snapToGrid w:val="0"/>
              <w:spacing w:line="360" w:lineRule="auto"/>
              <w:rPr>
                <w:rFonts w:ascii="宋体" w:hAnsi="宋体" w:eastAsia="宋体"/>
                <w:szCs w:val="21"/>
              </w:rPr>
            </w:pPr>
          </w:p>
        </w:tc>
      </w:tr>
      <w:tr w14:paraId="5EBA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0F593BE3">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22</w:t>
            </w:r>
          </w:p>
        </w:tc>
        <w:tc>
          <w:tcPr>
            <w:tcW w:w="2582" w:type="pct"/>
            <w:vAlign w:val="top"/>
          </w:tcPr>
          <w:p w14:paraId="49776739">
            <w:pPr>
              <w:rPr>
                <w:rFonts w:hint="eastAsia" w:ascii="宋体" w:hAnsi="宋体" w:eastAsia="宋体"/>
                <w:sz w:val="18"/>
                <w:szCs w:val="18"/>
              </w:rPr>
            </w:pPr>
            <w:r>
              <w:rPr>
                <w:rFonts w:hint="eastAsia" w:ascii="宋体" w:hAnsi="宋体" w:eastAsia="宋体"/>
                <w:sz w:val="18"/>
                <w:szCs w:val="18"/>
              </w:rPr>
              <w:t>在无不可抗力影响的前提下，中标人将按时完成合同内容并确保所有工作均符合行业标准及本合同规定的质量标准。若因中标人导致设备工期延误或无法完成，进而影响中标人按时完成合同约定建设内容，中标人应在知晓此类情况后，立即通知甲方，详细说明延误或无法完成的原因、预计影响程度及已采取或拟采取的补救措施，并承担由此造成的甲方的相应损失：</w:t>
            </w:r>
          </w:p>
          <w:p w14:paraId="75F26918">
            <w:pPr>
              <w:rPr>
                <w:rFonts w:hint="eastAsia" w:ascii="宋体" w:hAnsi="宋体" w:eastAsia="宋体"/>
                <w:sz w:val="18"/>
                <w:szCs w:val="18"/>
              </w:rPr>
            </w:pPr>
            <w:r>
              <w:rPr>
                <w:rFonts w:hint="eastAsia" w:ascii="宋体" w:hAnsi="宋体" w:eastAsia="宋体"/>
                <w:sz w:val="18"/>
                <w:szCs w:val="18"/>
              </w:rPr>
              <w:t>（1）中标人不能交货的，需退回已支付货款并偿付全部货款的  10 %作为违约金。同时，采购人有权单方面解除合同，投标人应当退还采购人已支付的合同款。如上述违约金金额仍不足以补偿采购人因投标人违约造成的损失，采购人有权进一步向投标人提出索赔。</w:t>
            </w:r>
          </w:p>
          <w:p w14:paraId="0DB76D44">
            <w:pPr>
              <w:rPr>
                <w:rFonts w:hint="eastAsia" w:ascii="宋体" w:hAnsi="宋体" w:eastAsia="宋体"/>
                <w:sz w:val="18"/>
                <w:szCs w:val="18"/>
              </w:rPr>
            </w:pPr>
            <w:r>
              <w:rPr>
                <w:rFonts w:hint="eastAsia" w:ascii="宋体" w:hAnsi="宋体" w:eastAsia="宋体"/>
                <w:sz w:val="18"/>
                <w:szCs w:val="18"/>
              </w:rPr>
              <w:t>（2）中标人应充分掌握逾期风险，若中标人未按期完成合同所有系统及设备的到货、安装、调试及验收的，构成工程验收逾期，每逾期一日，甲方每日按合同暂定总金额万分之五向中标人计收违约金。违约金最高不超过合同总价的【5】%。</w:t>
            </w:r>
          </w:p>
          <w:p w14:paraId="64195126">
            <w:pPr>
              <w:rPr>
                <w:rFonts w:hint="eastAsia" w:ascii="宋体" w:hAnsi="宋体" w:eastAsia="宋体"/>
                <w:sz w:val="18"/>
                <w:szCs w:val="18"/>
              </w:rPr>
            </w:pPr>
            <w:r>
              <w:rPr>
                <w:rFonts w:hint="eastAsia" w:ascii="宋体" w:hAnsi="宋体" w:eastAsia="宋体"/>
                <w:sz w:val="18"/>
                <w:szCs w:val="18"/>
              </w:rPr>
              <w:t>（3）中标人因自身原因导致设备到货、验收、安装、调试联机逾期、逾期超过【30个日历日】的，甲方有权向中标人发出书面催告，经催告后30个日历日，中标人仍未恢复履行的，甲方有权书面通知中标人解除本合同，合同剩余款项不予支付，中标人应赔偿甲方因此导致的相应损失。本合同自甲方书面解除通知送达中标人之日终止。</w:t>
            </w:r>
          </w:p>
          <w:p w14:paraId="764B5710">
            <w:pPr>
              <w:rPr>
                <w:rFonts w:hint="eastAsia" w:ascii="宋体" w:hAnsi="宋体" w:eastAsia="宋体"/>
                <w:sz w:val="18"/>
                <w:szCs w:val="18"/>
              </w:rPr>
            </w:pPr>
            <w:r>
              <w:rPr>
                <w:rFonts w:hint="eastAsia" w:ascii="宋体" w:hAnsi="宋体" w:eastAsia="宋体"/>
                <w:sz w:val="18"/>
                <w:szCs w:val="18"/>
              </w:rPr>
              <w:t>（4）中标人应保证提交档案的准确性、真实性、完整性、及时性，如因中标人提交档案的原因造成档案验收、设施项目验收无法通过或延迟的，中标人应赔偿甲方因此产生的全部直接经济损失；造成严重后果的，甲方有权解除本合同，合同剩余款项不予支付，中标人应赔偿甲方因此导致的相应损失。</w:t>
            </w:r>
          </w:p>
          <w:p w14:paraId="3B6B14A5">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（5）本合同履行过程中，若中标人有违反与本合同相关的国家、省、市各级法律法规、规章制度、办法条例、行业规范及深圳大设施相关规定的，由中标人承担责任并负责整改。</w:t>
            </w:r>
          </w:p>
        </w:tc>
        <w:tc>
          <w:tcPr>
            <w:tcW w:w="1222" w:type="pct"/>
          </w:tcPr>
          <w:p w14:paraId="16EF9BBF">
            <w:pPr>
              <w:adjustRightInd w:val="0"/>
              <w:snapToGrid w:val="0"/>
              <w:spacing w:line="360" w:lineRule="auto"/>
              <w:rPr>
                <w:rFonts w:ascii="宋体" w:hAnsi="宋体" w:eastAsia="宋体"/>
                <w:szCs w:val="21"/>
              </w:rPr>
            </w:pPr>
          </w:p>
        </w:tc>
        <w:tc>
          <w:tcPr>
            <w:tcW w:w="447" w:type="pct"/>
          </w:tcPr>
          <w:p w14:paraId="3AF98024">
            <w:pPr>
              <w:adjustRightInd w:val="0"/>
              <w:snapToGrid w:val="0"/>
              <w:spacing w:line="360" w:lineRule="auto"/>
              <w:rPr>
                <w:rFonts w:ascii="宋体" w:hAnsi="宋体" w:eastAsia="宋体"/>
                <w:szCs w:val="21"/>
              </w:rPr>
            </w:pPr>
          </w:p>
        </w:tc>
        <w:tc>
          <w:tcPr>
            <w:tcW w:w="340" w:type="pct"/>
          </w:tcPr>
          <w:p w14:paraId="5EE38055">
            <w:pPr>
              <w:adjustRightInd w:val="0"/>
              <w:snapToGrid w:val="0"/>
              <w:spacing w:line="360" w:lineRule="auto"/>
              <w:rPr>
                <w:rFonts w:ascii="宋体" w:hAnsi="宋体" w:eastAsia="宋体"/>
                <w:szCs w:val="21"/>
              </w:rPr>
            </w:pPr>
          </w:p>
        </w:tc>
      </w:tr>
      <w:tr w14:paraId="4A76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A01D859">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23</w:t>
            </w:r>
          </w:p>
        </w:tc>
        <w:tc>
          <w:tcPr>
            <w:tcW w:w="2582" w:type="pct"/>
            <w:vAlign w:val="top"/>
          </w:tcPr>
          <w:p w14:paraId="0BC7A8AF">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若投标人未按本合同的约定提供保修等售后服务，采购人有权自行委托第三方提供采购人所需要的技术支持和售后服务，所发生的一切费用均由投标人承担，如因此造成采购人损失的，投标人应承担赔偿责任。投标人在履行售后服务过程中，因整改造成采购人损失的，应承担修复和赔偿责任。</w:t>
            </w:r>
          </w:p>
        </w:tc>
        <w:tc>
          <w:tcPr>
            <w:tcW w:w="1222" w:type="pct"/>
          </w:tcPr>
          <w:p w14:paraId="0214D149">
            <w:pPr>
              <w:adjustRightInd w:val="0"/>
              <w:snapToGrid w:val="0"/>
              <w:spacing w:line="360" w:lineRule="auto"/>
              <w:rPr>
                <w:rFonts w:ascii="宋体" w:hAnsi="宋体" w:eastAsia="宋体"/>
                <w:szCs w:val="21"/>
              </w:rPr>
            </w:pPr>
          </w:p>
        </w:tc>
        <w:tc>
          <w:tcPr>
            <w:tcW w:w="447" w:type="pct"/>
          </w:tcPr>
          <w:p w14:paraId="479FCAC6">
            <w:pPr>
              <w:adjustRightInd w:val="0"/>
              <w:snapToGrid w:val="0"/>
              <w:spacing w:line="360" w:lineRule="auto"/>
              <w:rPr>
                <w:rFonts w:ascii="宋体" w:hAnsi="宋体" w:eastAsia="宋体"/>
                <w:szCs w:val="21"/>
              </w:rPr>
            </w:pPr>
          </w:p>
        </w:tc>
        <w:tc>
          <w:tcPr>
            <w:tcW w:w="340" w:type="pct"/>
          </w:tcPr>
          <w:p w14:paraId="7D89EC1F">
            <w:pPr>
              <w:adjustRightInd w:val="0"/>
              <w:snapToGrid w:val="0"/>
              <w:spacing w:line="360" w:lineRule="auto"/>
              <w:rPr>
                <w:rFonts w:ascii="宋体" w:hAnsi="宋体" w:eastAsia="宋体"/>
                <w:szCs w:val="21"/>
              </w:rPr>
            </w:pPr>
          </w:p>
        </w:tc>
      </w:tr>
      <w:tr w14:paraId="0EE9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01391F6F">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24</w:t>
            </w:r>
          </w:p>
        </w:tc>
        <w:tc>
          <w:tcPr>
            <w:tcW w:w="2582" w:type="pct"/>
            <w:vAlign w:val="top"/>
          </w:tcPr>
          <w:p w14:paraId="0952C144">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违约方未能履行本协议给守约方造成任何经济损失、使守约方遭受第三方追索或受到行政机关处罚的，违约方应当赔偿守约方全部损失，包括但不限于实际损失、因维权或追索而产生的全部开支、律师费、诉讼费、保全费、担保费、差旅费以及其他相关费用等。</w:t>
            </w:r>
          </w:p>
        </w:tc>
        <w:tc>
          <w:tcPr>
            <w:tcW w:w="1222" w:type="pct"/>
          </w:tcPr>
          <w:p w14:paraId="0D161DFA">
            <w:pPr>
              <w:adjustRightInd w:val="0"/>
              <w:snapToGrid w:val="0"/>
              <w:spacing w:line="360" w:lineRule="auto"/>
              <w:rPr>
                <w:rFonts w:ascii="宋体" w:hAnsi="宋体" w:eastAsia="宋体"/>
                <w:szCs w:val="21"/>
              </w:rPr>
            </w:pPr>
          </w:p>
        </w:tc>
        <w:tc>
          <w:tcPr>
            <w:tcW w:w="447" w:type="pct"/>
          </w:tcPr>
          <w:p w14:paraId="50136C23">
            <w:pPr>
              <w:adjustRightInd w:val="0"/>
              <w:snapToGrid w:val="0"/>
              <w:spacing w:line="360" w:lineRule="auto"/>
              <w:rPr>
                <w:rFonts w:ascii="宋体" w:hAnsi="宋体" w:eastAsia="宋体"/>
                <w:szCs w:val="21"/>
              </w:rPr>
            </w:pPr>
          </w:p>
        </w:tc>
        <w:tc>
          <w:tcPr>
            <w:tcW w:w="340" w:type="pct"/>
          </w:tcPr>
          <w:p w14:paraId="21294DAE">
            <w:pPr>
              <w:adjustRightInd w:val="0"/>
              <w:snapToGrid w:val="0"/>
              <w:spacing w:line="360" w:lineRule="auto"/>
              <w:rPr>
                <w:rFonts w:ascii="宋体" w:hAnsi="宋体" w:eastAsia="宋体"/>
                <w:szCs w:val="21"/>
              </w:rPr>
            </w:pPr>
          </w:p>
        </w:tc>
      </w:tr>
      <w:tr w14:paraId="7054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73E0186">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25</w:t>
            </w:r>
          </w:p>
        </w:tc>
        <w:tc>
          <w:tcPr>
            <w:tcW w:w="2582" w:type="pct"/>
            <w:vAlign w:val="top"/>
          </w:tcPr>
          <w:p w14:paraId="33A2FEF8">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在项目验收前未将全部产品合格证、说明书、使用手册、关键节点交付文件、测试和验收报告等交付采购人的，采购人有权不予验收，并有权要求投标人赔偿采购人因此导致的相关损失。对研制类设备，具体交付资料以实际情况为准。</w:t>
            </w:r>
          </w:p>
        </w:tc>
        <w:tc>
          <w:tcPr>
            <w:tcW w:w="1222" w:type="pct"/>
          </w:tcPr>
          <w:p w14:paraId="7AFD1237">
            <w:pPr>
              <w:adjustRightInd w:val="0"/>
              <w:snapToGrid w:val="0"/>
              <w:spacing w:line="360" w:lineRule="auto"/>
              <w:rPr>
                <w:rFonts w:ascii="宋体" w:hAnsi="宋体" w:eastAsia="宋体"/>
                <w:szCs w:val="21"/>
              </w:rPr>
            </w:pPr>
          </w:p>
        </w:tc>
        <w:tc>
          <w:tcPr>
            <w:tcW w:w="447" w:type="pct"/>
          </w:tcPr>
          <w:p w14:paraId="5BC67952">
            <w:pPr>
              <w:adjustRightInd w:val="0"/>
              <w:snapToGrid w:val="0"/>
              <w:spacing w:line="360" w:lineRule="auto"/>
              <w:rPr>
                <w:rFonts w:ascii="宋体" w:hAnsi="宋体" w:eastAsia="宋体"/>
                <w:szCs w:val="21"/>
              </w:rPr>
            </w:pPr>
          </w:p>
        </w:tc>
        <w:tc>
          <w:tcPr>
            <w:tcW w:w="340" w:type="pct"/>
          </w:tcPr>
          <w:p w14:paraId="7D72E210">
            <w:pPr>
              <w:adjustRightInd w:val="0"/>
              <w:snapToGrid w:val="0"/>
              <w:spacing w:line="360" w:lineRule="auto"/>
              <w:rPr>
                <w:rFonts w:ascii="宋体" w:hAnsi="宋体" w:eastAsia="宋体"/>
                <w:szCs w:val="21"/>
              </w:rPr>
            </w:pPr>
          </w:p>
        </w:tc>
      </w:tr>
      <w:tr w14:paraId="0C55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8F333E2">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26</w:t>
            </w:r>
          </w:p>
        </w:tc>
        <w:tc>
          <w:tcPr>
            <w:tcW w:w="2582" w:type="pct"/>
            <w:vAlign w:val="top"/>
          </w:tcPr>
          <w:p w14:paraId="564D604A">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中标人所交设备质量不能符合其投标承诺的技术要求及质量保证要求的，或在投标阶段为了中标而盲目虚假承诺、低价恶性竞争，在履约阶段则通过偷工减料、以次充好而获取利润的，采购人有权拒绝接收，并要求投标人在双方确定的合理期限内完成整改，整改工作不得延误合同规定的交货期限，若产生赶工费用，由投标人承担且投标人应额外赔偿采购人因此产生的全部经济损失。</w:t>
            </w:r>
          </w:p>
        </w:tc>
        <w:tc>
          <w:tcPr>
            <w:tcW w:w="1222" w:type="pct"/>
          </w:tcPr>
          <w:p w14:paraId="3AC44A8D">
            <w:pPr>
              <w:adjustRightInd w:val="0"/>
              <w:snapToGrid w:val="0"/>
              <w:spacing w:line="360" w:lineRule="auto"/>
              <w:rPr>
                <w:rFonts w:ascii="宋体" w:hAnsi="宋体" w:eastAsia="宋体"/>
                <w:szCs w:val="21"/>
              </w:rPr>
            </w:pPr>
          </w:p>
        </w:tc>
        <w:tc>
          <w:tcPr>
            <w:tcW w:w="447" w:type="pct"/>
          </w:tcPr>
          <w:p w14:paraId="2305FBDA">
            <w:pPr>
              <w:adjustRightInd w:val="0"/>
              <w:snapToGrid w:val="0"/>
              <w:spacing w:line="360" w:lineRule="auto"/>
              <w:rPr>
                <w:rFonts w:ascii="宋体" w:hAnsi="宋体" w:eastAsia="宋体"/>
                <w:szCs w:val="21"/>
              </w:rPr>
            </w:pPr>
          </w:p>
        </w:tc>
        <w:tc>
          <w:tcPr>
            <w:tcW w:w="340" w:type="pct"/>
          </w:tcPr>
          <w:p w14:paraId="0483C90E">
            <w:pPr>
              <w:adjustRightInd w:val="0"/>
              <w:snapToGrid w:val="0"/>
              <w:spacing w:line="360" w:lineRule="auto"/>
              <w:rPr>
                <w:rFonts w:ascii="宋体" w:hAnsi="宋体" w:eastAsia="宋体"/>
                <w:szCs w:val="21"/>
              </w:rPr>
            </w:pPr>
          </w:p>
        </w:tc>
      </w:tr>
      <w:tr w14:paraId="2194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2480902">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27</w:t>
            </w:r>
          </w:p>
        </w:tc>
        <w:tc>
          <w:tcPr>
            <w:tcW w:w="2582" w:type="pct"/>
            <w:vAlign w:val="top"/>
          </w:tcPr>
          <w:p w14:paraId="13492150">
            <w:pPr>
              <w:rPr>
                <w:rFonts w:hint="eastAsia" w:ascii="宋体" w:hAnsi="宋体" w:eastAsia="宋体"/>
                <w:sz w:val="18"/>
                <w:szCs w:val="18"/>
              </w:rPr>
            </w:pPr>
            <w:r>
              <w:rPr>
                <w:rFonts w:hint="eastAsia" w:ascii="宋体" w:hAnsi="宋体" w:eastAsia="宋体"/>
                <w:sz w:val="18"/>
                <w:szCs w:val="18"/>
              </w:rPr>
              <w:t>中标人提供的货物不符合质量标准或存在货物质量缺陷，采购人有权根据法定质量检测部门出具的检验证书向中标人提出索赔。如在质量保证期内，中标人对缺陷货物负有责任而采购人提出索赔，中标人应按照采购人同意的下列一种或多种方式解决索赔事宜：</w:t>
            </w:r>
          </w:p>
          <w:p w14:paraId="1BF3635B">
            <w:pPr>
              <w:rPr>
                <w:rFonts w:hint="eastAsia" w:ascii="宋体" w:hAnsi="宋体" w:eastAsia="宋体"/>
                <w:sz w:val="18"/>
                <w:szCs w:val="18"/>
              </w:rPr>
            </w:pPr>
            <w:r>
              <w:rPr>
                <w:rFonts w:hint="eastAsia" w:ascii="宋体" w:hAnsi="宋体" w:eastAsia="宋体"/>
                <w:sz w:val="18"/>
                <w:szCs w:val="18"/>
              </w:rPr>
              <w:t>（1）中标人同意退货并将货款退还给采购人，由此发生的一切费用和损失由中标人承担。</w:t>
            </w:r>
          </w:p>
          <w:p w14:paraId="7325670F">
            <w:pPr>
              <w:rPr>
                <w:rFonts w:hint="eastAsia" w:ascii="宋体" w:hAnsi="宋体" w:eastAsia="宋体"/>
                <w:sz w:val="18"/>
                <w:szCs w:val="18"/>
              </w:rPr>
            </w:pPr>
            <w:r>
              <w:rPr>
                <w:rFonts w:hint="eastAsia" w:ascii="宋体" w:hAnsi="宋体" w:eastAsia="宋体"/>
                <w:sz w:val="18"/>
                <w:szCs w:val="18"/>
              </w:rPr>
              <w:t>（2）根据货物的质量状况以及采购人所遭受的损失，经过双方商定降低货物的价格。</w:t>
            </w:r>
          </w:p>
          <w:p w14:paraId="08EDF9E6">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3）中标人应在接到采购人通知后七天内负责采用符合合同规定的规格、质量和性能要求的新零件、部件和设备来替换有缺陷的部分或修补缺陷部分，其费用由中标人负担。同时，中标人应在约定的质量保证期基础上相应延长修补和/或替换件的质量保证期。</w:t>
            </w:r>
          </w:p>
        </w:tc>
        <w:tc>
          <w:tcPr>
            <w:tcW w:w="1222" w:type="pct"/>
          </w:tcPr>
          <w:p w14:paraId="34833B16">
            <w:pPr>
              <w:adjustRightInd w:val="0"/>
              <w:snapToGrid w:val="0"/>
              <w:spacing w:line="360" w:lineRule="auto"/>
              <w:rPr>
                <w:rFonts w:ascii="宋体" w:hAnsi="宋体" w:eastAsia="宋体"/>
                <w:szCs w:val="21"/>
              </w:rPr>
            </w:pPr>
          </w:p>
        </w:tc>
        <w:tc>
          <w:tcPr>
            <w:tcW w:w="447" w:type="pct"/>
          </w:tcPr>
          <w:p w14:paraId="0757F29B">
            <w:pPr>
              <w:adjustRightInd w:val="0"/>
              <w:snapToGrid w:val="0"/>
              <w:spacing w:line="360" w:lineRule="auto"/>
              <w:rPr>
                <w:rFonts w:ascii="宋体" w:hAnsi="宋体" w:eastAsia="宋体"/>
                <w:szCs w:val="21"/>
              </w:rPr>
            </w:pPr>
          </w:p>
        </w:tc>
        <w:tc>
          <w:tcPr>
            <w:tcW w:w="340" w:type="pct"/>
          </w:tcPr>
          <w:p w14:paraId="5A8CB51D">
            <w:pPr>
              <w:adjustRightInd w:val="0"/>
              <w:snapToGrid w:val="0"/>
              <w:spacing w:line="360" w:lineRule="auto"/>
              <w:rPr>
                <w:rFonts w:ascii="宋体" w:hAnsi="宋体" w:eastAsia="宋体"/>
                <w:szCs w:val="21"/>
              </w:rPr>
            </w:pPr>
          </w:p>
        </w:tc>
      </w:tr>
      <w:tr w14:paraId="7EFF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DDBE409">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28</w:t>
            </w:r>
          </w:p>
        </w:tc>
        <w:tc>
          <w:tcPr>
            <w:tcW w:w="2582" w:type="pct"/>
            <w:vAlign w:val="top"/>
          </w:tcPr>
          <w:p w14:paraId="71684B2A">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本合同项下，投标人应向采购人支付的全部款项，包括但不限于违约金、赔偿金、补偿金等，采购人均可从投标人的剩余货款中直接扣除（扣除顺序由采购人自行决定）。</w:t>
            </w:r>
          </w:p>
        </w:tc>
        <w:tc>
          <w:tcPr>
            <w:tcW w:w="1222" w:type="pct"/>
          </w:tcPr>
          <w:p w14:paraId="52E52504">
            <w:pPr>
              <w:adjustRightInd w:val="0"/>
              <w:snapToGrid w:val="0"/>
              <w:spacing w:line="360" w:lineRule="auto"/>
              <w:rPr>
                <w:rFonts w:ascii="宋体" w:hAnsi="宋体" w:eastAsia="宋体"/>
                <w:szCs w:val="21"/>
              </w:rPr>
            </w:pPr>
          </w:p>
        </w:tc>
        <w:tc>
          <w:tcPr>
            <w:tcW w:w="447" w:type="pct"/>
          </w:tcPr>
          <w:p w14:paraId="73F2313C">
            <w:pPr>
              <w:adjustRightInd w:val="0"/>
              <w:snapToGrid w:val="0"/>
              <w:spacing w:line="360" w:lineRule="auto"/>
              <w:rPr>
                <w:rFonts w:ascii="宋体" w:hAnsi="宋体" w:eastAsia="宋体"/>
                <w:szCs w:val="21"/>
              </w:rPr>
            </w:pPr>
          </w:p>
        </w:tc>
        <w:tc>
          <w:tcPr>
            <w:tcW w:w="340" w:type="pct"/>
          </w:tcPr>
          <w:p w14:paraId="57A68920">
            <w:pPr>
              <w:adjustRightInd w:val="0"/>
              <w:snapToGrid w:val="0"/>
              <w:spacing w:line="360" w:lineRule="auto"/>
              <w:rPr>
                <w:rFonts w:ascii="宋体" w:hAnsi="宋体" w:eastAsia="宋体"/>
                <w:szCs w:val="21"/>
              </w:rPr>
            </w:pPr>
          </w:p>
        </w:tc>
      </w:tr>
      <w:tr w14:paraId="45A7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D3A9A03">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29</w:t>
            </w:r>
          </w:p>
        </w:tc>
        <w:tc>
          <w:tcPr>
            <w:tcW w:w="2582" w:type="pct"/>
            <w:vAlign w:val="top"/>
          </w:tcPr>
          <w:p w14:paraId="470B7D4F">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支付合同款项时，一律不向中标人以外的任何第三方办理付款手续。开户行和帐号以合同签订的为准，如果中标人要求变更，则中标人必须提供加盖了单位公章、法定代表人签字的证明文件，报经采购人审查同意。</w:t>
            </w:r>
          </w:p>
        </w:tc>
        <w:tc>
          <w:tcPr>
            <w:tcW w:w="1222" w:type="pct"/>
          </w:tcPr>
          <w:p w14:paraId="17BD486E">
            <w:pPr>
              <w:adjustRightInd w:val="0"/>
              <w:snapToGrid w:val="0"/>
              <w:spacing w:line="360" w:lineRule="auto"/>
              <w:rPr>
                <w:rFonts w:ascii="宋体" w:hAnsi="宋体" w:eastAsia="宋体"/>
                <w:szCs w:val="21"/>
              </w:rPr>
            </w:pPr>
          </w:p>
        </w:tc>
        <w:tc>
          <w:tcPr>
            <w:tcW w:w="447" w:type="pct"/>
          </w:tcPr>
          <w:p w14:paraId="12CBB719">
            <w:pPr>
              <w:adjustRightInd w:val="0"/>
              <w:snapToGrid w:val="0"/>
              <w:spacing w:line="360" w:lineRule="auto"/>
              <w:rPr>
                <w:rFonts w:ascii="宋体" w:hAnsi="宋体" w:eastAsia="宋体"/>
                <w:szCs w:val="21"/>
              </w:rPr>
            </w:pPr>
          </w:p>
        </w:tc>
        <w:tc>
          <w:tcPr>
            <w:tcW w:w="340" w:type="pct"/>
          </w:tcPr>
          <w:p w14:paraId="38497E2D">
            <w:pPr>
              <w:adjustRightInd w:val="0"/>
              <w:snapToGrid w:val="0"/>
              <w:spacing w:line="360" w:lineRule="auto"/>
              <w:rPr>
                <w:rFonts w:ascii="宋体" w:hAnsi="宋体" w:eastAsia="宋体"/>
                <w:szCs w:val="21"/>
              </w:rPr>
            </w:pPr>
          </w:p>
        </w:tc>
      </w:tr>
      <w:tr w14:paraId="76F5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7BFAE9DA">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30</w:t>
            </w:r>
          </w:p>
        </w:tc>
        <w:tc>
          <w:tcPr>
            <w:tcW w:w="2582" w:type="pct"/>
            <w:vAlign w:val="top"/>
          </w:tcPr>
          <w:p w14:paraId="2B0F6E83">
            <w:pPr>
              <w:rPr>
                <w:rFonts w:hint="eastAsia" w:ascii="宋体" w:hAnsi="宋体" w:eastAsia="宋体"/>
                <w:sz w:val="18"/>
                <w:szCs w:val="18"/>
              </w:rPr>
            </w:pPr>
            <w:r>
              <w:rPr>
                <w:rFonts w:hint="eastAsia" w:ascii="宋体" w:hAnsi="宋体" w:eastAsia="宋体"/>
                <w:sz w:val="18"/>
                <w:szCs w:val="18"/>
              </w:rPr>
              <w:t>付款方式：</w:t>
            </w:r>
          </w:p>
          <w:p w14:paraId="575EB2FD">
            <w:pPr>
              <w:rPr>
                <w:rFonts w:hint="eastAsia" w:ascii="宋体" w:hAnsi="宋体" w:eastAsia="宋体"/>
                <w:sz w:val="18"/>
                <w:szCs w:val="18"/>
              </w:rPr>
            </w:pPr>
            <w:r>
              <w:rPr>
                <w:rFonts w:hint="eastAsia" w:ascii="宋体" w:hAnsi="宋体" w:eastAsia="宋体"/>
                <w:sz w:val="18"/>
                <w:szCs w:val="18"/>
              </w:rPr>
              <w:t>（1）合同签订后，中标人向采购方提交付款申请单及相应增值税专用发票后10个工作日内，采购方向乙方支付合同总价30%的款项；</w:t>
            </w:r>
          </w:p>
          <w:p w14:paraId="574D6615">
            <w:pPr>
              <w:rPr>
                <w:rFonts w:hint="eastAsia" w:ascii="宋体" w:hAnsi="宋体" w:eastAsia="宋体"/>
                <w:sz w:val="18"/>
                <w:szCs w:val="18"/>
              </w:rPr>
            </w:pPr>
            <w:r>
              <w:rPr>
                <w:rFonts w:hint="eastAsia" w:ascii="宋体" w:hAnsi="宋体" w:eastAsia="宋体"/>
                <w:sz w:val="18"/>
                <w:szCs w:val="18"/>
              </w:rPr>
              <w:t>（2）中标人完成详细设计方案，编制完成实施方案、质量计划、详细设计报告及图纸、零部件明细表、安装调试大纲及技术验收规范等文件，并通过专家评审后，提交付款申请单及相应增值税专用发票后10个工作日内，采购方向乙方支付合同总价20%的款项；</w:t>
            </w:r>
          </w:p>
          <w:p w14:paraId="27E39A29">
            <w:pPr>
              <w:rPr>
                <w:rFonts w:hint="eastAsia" w:ascii="宋体" w:hAnsi="宋体" w:eastAsia="宋体"/>
                <w:sz w:val="18"/>
                <w:szCs w:val="18"/>
              </w:rPr>
            </w:pPr>
            <w:r>
              <w:rPr>
                <w:rFonts w:hint="eastAsia" w:ascii="宋体" w:hAnsi="宋体" w:eastAsia="宋体"/>
                <w:sz w:val="18"/>
                <w:szCs w:val="18"/>
              </w:rPr>
              <w:t>（3）全部货物统一发货前，中标人提交货物运输单，完成项目实施过程中要求的质量控制点管控工作的检查及存档，提交付款申请单及相应增值税专用发票后10个工作日内支付合同总价30%款项；</w:t>
            </w:r>
          </w:p>
          <w:p w14:paraId="221F9117">
            <w:pPr>
              <w:rPr>
                <w:rFonts w:hint="eastAsia" w:ascii="宋体" w:hAnsi="宋体" w:eastAsia="宋体"/>
                <w:sz w:val="18"/>
                <w:szCs w:val="18"/>
              </w:rPr>
            </w:pPr>
            <w:r>
              <w:rPr>
                <w:rFonts w:hint="eastAsia" w:ascii="宋体" w:hAnsi="宋体" w:eastAsia="宋体"/>
                <w:sz w:val="18"/>
                <w:szCs w:val="18"/>
              </w:rPr>
              <w:t>（4）中标人将全部货物送到采购方指定地点、完成安装、各项指标达到合同指标要求，并通过专家验收，提交付款申请单及相应增值税专用发票后 10 个工作日内支付合同总价20%款项。</w:t>
            </w:r>
          </w:p>
          <w:p w14:paraId="7679B51F">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5）付款节点中涉及到的详细设计专家评审、阶段性验收测试评审、出厂验收评审、现场预验收评审、现场最终验收评审等费用由中标人支付。相关评审会议的流程需要遵循甲方管理要求，评审及测试结果由采购方确认认可后，方可通过。</w:t>
            </w:r>
          </w:p>
        </w:tc>
        <w:tc>
          <w:tcPr>
            <w:tcW w:w="1222" w:type="pct"/>
          </w:tcPr>
          <w:p w14:paraId="71D2367F">
            <w:pPr>
              <w:adjustRightInd w:val="0"/>
              <w:snapToGrid w:val="0"/>
              <w:spacing w:line="360" w:lineRule="auto"/>
              <w:rPr>
                <w:rFonts w:ascii="宋体" w:hAnsi="宋体" w:eastAsia="宋体"/>
                <w:szCs w:val="21"/>
              </w:rPr>
            </w:pPr>
          </w:p>
        </w:tc>
        <w:tc>
          <w:tcPr>
            <w:tcW w:w="447" w:type="pct"/>
          </w:tcPr>
          <w:p w14:paraId="0273CABD">
            <w:pPr>
              <w:adjustRightInd w:val="0"/>
              <w:snapToGrid w:val="0"/>
              <w:spacing w:line="360" w:lineRule="auto"/>
              <w:rPr>
                <w:rFonts w:ascii="宋体" w:hAnsi="宋体" w:eastAsia="宋体"/>
                <w:szCs w:val="21"/>
              </w:rPr>
            </w:pPr>
          </w:p>
        </w:tc>
        <w:tc>
          <w:tcPr>
            <w:tcW w:w="340" w:type="pct"/>
          </w:tcPr>
          <w:p w14:paraId="67D9A0AD">
            <w:pPr>
              <w:adjustRightInd w:val="0"/>
              <w:snapToGrid w:val="0"/>
              <w:spacing w:line="360" w:lineRule="auto"/>
              <w:rPr>
                <w:rFonts w:ascii="宋体" w:hAnsi="宋体" w:eastAsia="宋体"/>
                <w:szCs w:val="21"/>
              </w:rPr>
            </w:pPr>
          </w:p>
        </w:tc>
      </w:tr>
      <w:tr w14:paraId="7AF3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221C2DC">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31</w:t>
            </w:r>
          </w:p>
        </w:tc>
        <w:tc>
          <w:tcPr>
            <w:tcW w:w="2582" w:type="pct"/>
            <w:vAlign w:val="top"/>
          </w:tcPr>
          <w:p w14:paraId="5AB04285">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因财政资金拨款未到位而导致采购人未在约定期限内支付合同费用的，投标人不得要求采购人承担逾期付款的违约责任。每次付款前，投标人应需先提供相应额度的正规发票给采购人，以便办理支付手续。</w:t>
            </w:r>
          </w:p>
        </w:tc>
        <w:tc>
          <w:tcPr>
            <w:tcW w:w="1222" w:type="pct"/>
          </w:tcPr>
          <w:p w14:paraId="3D2688D0">
            <w:pPr>
              <w:adjustRightInd w:val="0"/>
              <w:snapToGrid w:val="0"/>
              <w:spacing w:line="360" w:lineRule="auto"/>
              <w:rPr>
                <w:rFonts w:ascii="宋体" w:hAnsi="宋体" w:eastAsia="宋体"/>
                <w:szCs w:val="21"/>
              </w:rPr>
            </w:pPr>
          </w:p>
        </w:tc>
        <w:tc>
          <w:tcPr>
            <w:tcW w:w="447" w:type="pct"/>
          </w:tcPr>
          <w:p w14:paraId="574A62E2">
            <w:pPr>
              <w:adjustRightInd w:val="0"/>
              <w:snapToGrid w:val="0"/>
              <w:spacing w:line="360" w:lineRule="auto"/>
              <w:rPr>
                <w:rFonts w:ascii="宋体" w:hAnsi="宋体" w:eastAsia="宋体"/>
                <w:szCs w:val="21"/>
              </w:rPr>
            </w:pPr>
          </w:p>
        </w:tc>
        <w:tc>
          <w:tcPr>
            <w:tcW w:w="340" w:type="pct"/>
          </w:tcPr>
          <w:p w14:paraId="3423E6E7">
            <w:pPr>
              <w:adjustRightInd w:val="0"/>
              <w:snapToGrid w:val="0"/>
              <w:spacing w:line="360" w:lineRule="auto"/>
              <w:rPr>
                <w:rFonts w:ascii="宋体" w:hAnsi="宋体" w:eastAsia="宋体"/>
                <w:szCs w:val="21"/>
              </w:rPr>
            </w:pPr>
          </w:p>
        </w:tc>
      </w:tr>
      <w:tr w14:paraId="7339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48B447CB">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32</w:t>
            </w:r>
          </w:p>
        </w:tc>
        <w:tc>
          <w:tcPr>
            <w:tcW w:w="2582" w:type="pct"/>
            <w:vAlign w:val="top"/>
          </w:tcPr>
          <w:p w14:paraId="46B312B1">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总价为包干价，必须是完成该项目的一切费用总和，包括设备费、设计制造费、评审费、检验检测费、包装运输费、装卸费、保险费、技术培训费、设备安装费、调试费（含设备调试期间产生的水、电等能源耗费）、售后服务费、中标服务费、国家规定的各项税费等全部费用及增值税；投标人所报的合同总价和各项单价价格在合同实施期间应保持不变并不因劳务、材料、机械等成本的价格变动而做任何调整。</w:t>
            </w:r>
          </w:p>
        </w:tc>
        <w:tc>
          <w:tcPr>
            <w:tcW w:w="1222" w:type="pct"/>
          </w:tcPr>
          <w:p w14:paraId="6562259C">
            <w:pPr>
              <w:adjustRightInd w:val="0"/>
              <w:snapToGrid w:val="0"/>
              <w:spacing w:line="360" w:lineRule="auto"/>
              <w:rPr>
                <w:rFonts w:ascii="宋体" w:hAnsi="宋体" w:eastAsia="宋体"/>
                <w:szCs w:val="21"/>
              </w:rPr>
            </w:pPr>
          </w:p>
        </w:tc>
        <w:tc>
          <w:tcPr>
            <w:tcW w:w="447" w:type="pct"/>
          </w:tcPr>
          <w:p w14:paraId="169B350C">
            <w:pPr>
              <w:adjustRightInd w:val="0"/>
              <w:snapToGrid w:val="0"/>
              <w:spacing w:line="360" w:lineRule="auto"/>
              <w:rPr>
                <w:rFonts w:ascii="宋体" w:hAnsi="宋体" w:eastAsia="宋体"/>
                <w:szCs w:val="21"/>
              </w:rPr>
            </w:pPr>
          </w:p>
        </w:tc>
        <w:tc>
          <w:tcPr>
            <w:tcW w:w="340" w:type="pct"/>
          </w:tcPr>
          <w:p w14:paraId="0290024C">
            <w:pPr>
              <w:adjustRightInd w:val="0"/>
              <w:snapToGrid w:val="0"/>
              <w:spacing w:line="360" w:lineRule="auto"/>
              <w:rPr>
                <w:rFonts w:ascii="宋体" w:hAnsi="宋体" w:eastAsia="宋体"/>
                <w:szCs w:val="21"/>
              </w:rPr>
            </w:pPr>
          </w:p>
        </w:tc>
      </w:tr>
      <w:tr w14:paraId="5786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EFC0C9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33</w:t>
            </w:r>
          </w:p>
        </w:tc>
        <w:tc>
          <w:tcPr>
            <w:tcW w:w="2582" w:type="pct"/>
            <w:vAlign w:val="top"/>
          </w:tcPr>
          <w:p w14:paraId="0F0FA1E3">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投标人需按照合同规定提供全部产品及完整的技术资料。</w:t>
            </w:r>
          </w:p>
        </w:tc>
        <w:tc>
          <w:tcPr>
            <w:tcW w:w="1222" w:type="pct"/>
          </w:tcPr>
          <w:p w14:paraId="3A884706">
            <w:pPr>
              <w:adjustRightInd w:val="0"/>
              <w:snapToGrid w:val="0"/>
              <w:spacing w:line="360" w:lineRule="auto"/>
              <w:rPr>
                <w:rFonts w:ascii="宋体" w:hAnsi="宋体" w:eastAsia="宋体"/>
                <w:szCs w:val="21"/>
              </w:rPr>
            </w:pPr>
          </w:p>
        </w:tc>
        <w:tc>
          <w:tcPr>
            <w:tcW w:w="447" w:type="pct"/>
          </w:tcPr>
          <w:p w14:paraId="0BF1990D">
            <w:pPr>
              <w:adjustRightInd w:val="0"/>
              <w:snapToGrid w:val="0"/>
              <w:spacing w:line="360" w:lineRule="auto"/>
              <w:rPr>
                <w:rFonts w:ascii="宋体" w:hAnsi="宋体" w:eastAsia="宋体"/>
                <w:szCs w:val="21"/>
              </w:rPr>
            </w:pPr>
          </w:p>
        </w:tc>
        <w:tc>
          <w:tcPr>
            <w:tcW w:w="340" w:type="pct"/>
          </w:tcPr>
          <w:p w14:paraId="7BE82F53">
            <w:pPr>
              <w:adjustRightInd w:val="0"/>
              <w:snapToGrid w:val="0"/>
              <w:spacing w:line="360" w:lineRule="auto"/>
              <w:rPr>
                <w:rFonts w:ascii="宋体" w:hAnsi="宋体" w:eastAsia="宋体"/>
                <w:szCs w:val="21"/>
              </w:rPr>
            </w:pPr>
          </w:p>
        </w:tc>
      </w:tr>
      <w:tr w14:paraId="3DAD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778DCA6C">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34</w:t>
            </w:r>
          </w:p>
        </w:tc>
        <w:tc>
          <w:tcPr>
            <w:tcW w:w="2582" w:type="pct"/>
            <w:vAlign w:val="top"/>
          </w:tcPr>
          <w:p w14:paraId="20265FC5">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中标人在约定的时间内未能弥补缺陷，采购人可采取必要的补救措施，但其风险和费用将由中标人承担，采购人根据合同规定对中标人行使的其他权利不受影响。</w:t>
            </w:r>
          </w:p>
        </w:tc>
        <w:tc>
          <w:tcPr>
            <w:tcW w:w="1222" w:type="pct"/>
          </w:tcPr>
          <w:p w14:paraId="62300058">
            <w:pPr>
              <w:adjustRightInd w:val="0"/>
              <w:snapToGrid w:val="0"/>
              <w:spacing w:line="360" w:lineRule="auto"/>
              <w:rPr>
                <w:rFonts w:ascii="宋体" w:hAnsi="宋体" w:eastAsia="宋体"/>
                <w:szCs w:val="21"/>
              </w:rPr>
            </w:pPr>
          </w:p>
        </w:tc>
        <w:tc>
          <w:tcPr>
            <w:tcW w:w="447" w:type="pct"/>
          </w:tcPr>
          <w:p w14:paraId="636ECD2B">
            <w:pPr>
              <w:adjustRightInd w:val="0"/>
              <w:snapToGrid w:val="0"/>
              <w:spacing w:line="360" w:lineRule="auto"/>
              <w:rPr>
                <w:rFonts w:ascii="宋体" w:hAnsi="宋体" w:eastAsia="宋体"/>
                <w:szCs w:val="21"/>
              </w:rPr>
            </w:pPr>
          </w:p>
        </w:tc>
        <w:tc>
          <w:tcPr>
            <w:tcW w:w="340" w:type="pct"/>
          </w:tcPr>
          <w:p w14:paraId="03460EC8">
            <w:pPr>
              <w:adjustRightInd w:val="0"/>
              <w:snapToGrid w:val="0"/>
              <w:spacing w:line="360" w:lineRule="auto"/>
              <w:rPr>
                <w:rFonts w:ascii="宋体" w:hAnsi="宋体" w:eastAsia="宋体"/>
                <w:szCs w:val="21"/>
              </w:rPr>
            </w:pPr>
          </w:p>
        </w:tc>
      </w:tr>
      <w:tr w14:paraId="532F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9DA4103">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35</w:t>
            </w:r>
          </w:p>
        </w:tc>
        <w:tc>
          <w:tcPr>
            <w:tcW w:w="2582" w:type="pct"/>
            <w:vAlign w:val="top"/>
          </w:tcPr>
          <w:p w14:paraId="3C6E4346">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投标人所出售的货物还应符合国家和行业设计制造标准、国家有关安全、环保、卫生等强制性规定。</w:t>
            </w:r>
          </w:p>
        </w:tc>
        <w:tc>
          <w:tcPr>
            <w:tcW w:w="1222" w:type="pct"/>
          </w:tcPr>
          <w:p w14:paraId="7DA123A5">
            <w:pPr>
              <w:adjustRightInd w:val="0"/>
              <w:snapToGrid w:val="0"/>
              <w:spacing w:line="360" w:lineRule="auto"/>
              <w:rPr>
                <w:rFonts w:ascii="宋体" w:hAnsi="宋体" w:eastAsia="宋体"/>
                <w:szCs w:val="21"/>
              </w:rPr>
            </w:pPr>
          </w:p>
        </w:tc>
        <w:tc>
          <w:tcPr>
            <w:tcW w:w="447" w:type="pct"/>
          </w:tcPr>
          <w:p w14:paraId="4894FFCB">
            <w:pPr>
              <w:adjustRightInd w:val="0"/>
              <w:snapToGrid w:val="0"/>
              <w:spacing w:line="360" w:lineRule="auto"/>
              <w:rPr>
                <w:rFonts w:ascii="宋体" w:hAnsi="宋体" w:eastAsia="宋体"/>
                <w:szCs w:val="21"/>
              </w:rPr>
            </w:pPr>
          </w:p>
        </w:tc>
        <w:tc>
          <w:tcPr>
            <w:tcW w:w="340" w:type="pct"/>
          </w:tcPr>
          <w:p w14:paraId="6C5A930E">
            <w:pPr>
              <w:adjustRightInd w:val="0"/>
              <w:snapToGrid w:val="0"/>
              <w:spacing w:line="360" w:lineRule="auto"/>
              <w:rPr>
                <w:rFonts w:ascii="宋体" w:hAnsi="宋体" w:eastAsia="宋体"/>
                <w:szCs w:val="21"/>
              </w:rPr>
            </w:pPr>
          </w:p>
        </w:tc>
      </w:tr>
      <w:tr w14:paraId="503B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4827046B">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36</w:t>
            </w:r>
          </w:p>
        </w:tc>
        <w:tc>
          <w:tcPr>
            <w:tcW w:w="2582" w:type="pct"/>
            <w:vAlign w:val="top"/>
          </w:tcPr>
          <w:p w14:paraId="0A19BA4C">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采购人、中标人双方在采购和履行合同过程中所获悉的所有信息都属于保密的内容，采购人中标人双方均有保密义务。</w:t>
            </w:r>
          </w:p>
        </w:tc>
        <w:tc>
          <w:tcPr>
            <w:tcW w:w="1222" w:type="pct"/>
          </w:tcPr>
          <w:p w14:paraId="4E17D220">
            <w:pPr>
              <w:adjustRightInd w:val="0"/>
              <w:snapToGrid w:val="0"/>
              <w:spacing w:line="360" w:lineRule="auto"/>
              <w:rPr>
                <w:rFonts w:ascii="宋体" w:hAnsi="宋体" w:eastAsia="宋体"/>
                <w:szCs w:val="21"/>
              </w:rPr>
            </w:pPr>
          </w:p>
        </w:tc>
        <w:tc>
          <w:tcPr>
            <w:tcW w:w="447" w:type="pct"/>
          </w:tcPr>
          <w:p w14:paraId="3C400612">
            <w:pPr>
              <w:adjustRightInd w:val="0"/>
              <w:snapToGrid w:val="0"/>
              <w:spacing w:line="360" w:lineRule="auto"/>
              <w:rPr>
                <w:rFonts w:ascii="宋体" w:hAnsi="宋体" w:eastAsia="宋体"/>
                <w:szCs w:val="21"/>
              </w:rPr>
            </w:pPr>
          </w:p>
        </w:tc>
        <w:tc>
          <w:tcPr>
            <w:tcW w:w="340" w:type="pct"/>
          </w:tcPr>
          <w:p w14:paraId="77069312">
            <w:pPr>
              <w:adjustRightInd w:val="0"/>
              <w:snapToGrid w:val="0"/>
              <w:spacing w:line="360" w:lineRule="auto"/>
              <w:rPr>
                <w:rFonts w:ascii="宋体" w:hAnsi="宋体" w:eastAsia="宋体"/>
                <w:szCs w:val="21"/>
              </w:rPr>
            </w:pPr>
          </w:p>
        </w:tc>
      </w:tr>
      <w:tr w14:paraId="0B28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A21191B">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37</w:t>
            </w:r>
          </w:p>
        </w:tc>
        <w:tc>
          <w:tcPr>
            <w:tcW w:w="2582" w:type="pct"/>
            <w:vAlign w:val="center"/>
          </w:tcPr>
          <w:p w14:paraId="2610A40F">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政府采购合同未约定或者约定不明的事项，采购人可以与供应商协商签订补充协议。补充协议不得变更采购合同的实质性内容。</w:t>
            </w:r>
          </w:p>
        </w:tc>
        <w:tc>
          <w:tcPr>
            <w:tcW w:w="1222" w:type="pct"/>
          </w:tcPr>
          <w:p w14:paraId="09E5A430">
            <w:pPr>
              <w:adjustRightInd w:val="0"/>
              <w:snapToGrid w:val="0"/>
              <w:spacing w:line="360" w:lineRule="auto"/>
              <w:rPr>
                <w:rFonts w:ascii="宋体" w:hAnsi="宋体" w:eastAsia="宋体"/>
                <w:szCs w:val="21"/>
              </w:rPr>
            </w:pPr>
          </w:p>
        </w:tc>
        <w:tc>
          <w:tcPr>
            <w:tcW w:w="447" w:type="pct"/>
          </w:tcPr>
          <w:p w14:paraId="0FDC5B93">
            <w:pPr>
              <w:adjustRightInd w:val="0"/>
              <w:snapToGrid w:val="0"/>
              <w:spacing w:line="360" w:lineRule="auto"/>
              <w:rPr>
                <w:rFonts w:ascii="宋体" w:hAnsi="宋体" w:eastAsia="宋体"/>
                <w:szCs w:val="21"/>
              </w:rPr>
            </w:pPr>
          </w:p>
        </w:tc>
        <w:tc>
          <w:tcPr>
            <w:tcW w:w="340" w:type="pct"/>
          </w:tcPr>
          <w:p w14:paraId="4201DC77">
            <w:pPr>
              <w:adjustRightInd w:val="0"/>
              <w:snapToGrid w:val="0"/>
              <w:spacing w:line="360" w:lineRule="auto"/>
              <w:rPr>
                <w:rFonts w:ascii="宋体" w:hAnsi="宋体" w:eastAsia="宋体"/>
                <w:szCs w:val="21"/>
              </w:rPr>
            </w:pPr>
          </w:p>
        </w:tc>
      </w:tr>
      <w:tr w14:paraId="1E05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6B8391E">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38</w:t>
            </w:r>
          </w:p>
        </w:tc>
        <w:tc>
          <w:tcPr>
            <w:tcW w:w="2582" w:type="pct"/>
            <w:vAlign w:val="center"/>
          </w:tcPr>
          <w:p w14:paraId="7C28BAC3">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除了双方签署书面协议，并成为合同不可分割的一部分之外，本合同条件不得有任何变更。</w:t>
            </w:r>
          </w:p>
        </w:tc>
        <w:tc>
          <w:tcPr>
            <w:tcW w:w="1222" w:type="pct"/>
          </w:tcPr>
          <w:p w14:paraId="5198F325">
            <w:pPr>
              <w:adjustRightInd w:val="0"/>
              <w:snapToGrid w:val="0"/>
              <w:spacing w:line="360" w:lineRule="auto"/>
              <w:rPr>
                <w:rFonts w:ascii="宋体" w:hAnsi="宋体" w:eastAsia="宋体"/>
                <w:szCs w:val="21"/>
              </w:rPr>
            </w:pPr>
          </w:p>
        </w:tc>
        <w:tc>
          <w:tcPr>
            <w:tcW w:w="447" w:type="pct"/>
          </w:tcPr>
          <w:p w14:paraId="52EEF2EA">
            <w:pPr>
              <w:adjustRightInd w:val="0"/>
              <w:snapToGrid w:val="0"/>
              <w:spacing w:line="360" w:lineRule="auto"/>
              <w:rPr>
                <w:rFonts w:ascii="宋体" w:hAnsi="宋体" w:eastAsia="宋体"/>
                <w:szCs w:val="21"/>
              </w:rPr>
            </w:pPr>
          </w:p>
        </w:tc>
        <w:tc>
          <w:tcPr>
            <w:tcW w:w="340" w:type="pct"/>
          </w:tcPr>
          <w:p w14:paraId="18C45C66">
            <w:pPr>
              <w:adjustRightInd w:val="0"/>
              <w:snapToGrid w:val="0"/>
              <w:spacing w:line="360" w:lineRule="auto"/>
              <w:rPr>
                <w:rFonts w:ascii="宋体" w:hAnsi="宋体" w:eastAsia="宋体"/>
                <w:szCs w:val="21"/>
              </w:rPr>
            </w:pPr>
          </w:p>
        </w:tc>
      </w:tr>
      <w:tr w14:paraId="0347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755BFE7">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39</w:t>
            </w:r>
          </w:p>
        </w:tc>
        <w:tc>
          <w:tcPr>
            <w:tcW w:w="2582" w:type="pct"/>
            <w:vAlign w:val="center"/>
          </w:tcPr>
          <w:p w14:paraId="620C813E">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投标人不得以任何形式部分或全部转让其应履行的合同义务。</w:t>
            </w:r>
          </w:p>
        </w:tc>
        <w:tc>
          <w:tcPr>
            <w:tcW w:w="1222" w:type="pct"/>
          </w:tcPr>
          <w:p w14:paraId="37E06B10">
            <w:pPr>
              <w:adjustRightInd w:val="0"/>
              <w:snapToGrid w:val="0"/>
              <w:spacing w:line="360" w:lineRule="auto"/>
              <w:rPr>
                <w:rFonts w:ascii="宋体" w:hAnsi="宋体" w:eastAsia="宋体"/>
                <w:szCs w:val="21"/>
              </w:rPr>
            </w:pPr>
          </w:p>
        </w:tc>
        <w:tc>
          <w:tcPr>
            <w:tcW w:w="447" w:type="pct"/>
          </w:tcPr>
          <w:p w14:paraId="367EF335">
            <w:pPr>
              <w:adjustRightInd w:val="0"/>
              <w:snapToGrid w:val="0"/>
              <w:spacing w:line="360" w:lineRule="auto"/>
              <w:rPr>
                <w:rFonts w:ascii="宋体" w:hAnsi="宋体" w:eastAsia="宋体"/>
                <w:szCs w:val="21"/>
              </w:rPr>
            </w:pPr>
          </w:p>
        </w:tc>
        <w:tc>
          <w:tcPr>
            <w:tcW w:w="340" w:type="pct"/>
          </w:tcPr>
          <w:p w14:paraId="4C26005A">
            <w:pPr>
              <w:adjustRightInd w:val="0"/>
              <w:snapToGrid w:val="0"/>
              <w:spacing w:line="360" w:lineRule="auto"/>
              <w:rPr>
                <w:rFonts w:ascii="宋体" w:hAnsi="宋体" w:eastAsia="宋体"/>
                <w:szCs w:val="21"/>
              </w:rPr>
            </w:pPr>
          </w:p>
        </w:tc>
      </w:tr>
      <w:tr w14:paraId="4C1A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6CD13CF">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40</w:t>
            </w:r>
          </w:p>
        </w:tc>
        <w:tc>
          <w:tcPr>
            <w:tcW w:w="2582" w:type="pct"/>
            <w:vAlign w:val="center"/>
          </w:tcPr>
          <w:p w14:paraId="1FDF9CB0">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因合同货物的质量问题而发生的争议，由质检部门进行质量鉴定。经检验，质量符合标准的，鉴定费用由采购人承担；质量不符合标准的，鉴定费用由投标人承担，并且投标人负责重新提供符合合同要求的货物给采购人，由此造成延期供货的，投标人承担延期供货的违约责任。</w:t>
            </w:r>
          </w:p>
        </w:tc>
        <w:tc>
          <w:tcPr>
            <w:tcW w:w="1222" w:type="pct"/>
          </w:tcPr>
          <w:p w14:paraId="4578F5F2">
            <w:pPr>
              <w:adjustRightInd w:val="0"/>
              <w:snapToGrid w:val="0"/>
              <w:spacing w:line="360" w:lineRule="auto"/>
              <w:rPr>
                <w:rFonts w:ascii="宋体" w:hAnsi="宋体" w:eastAsia="宋体"/>
                <w:szCs w:val="21"/>
              </w:rPr>
            </w:pPr>
          </w:p>
        </w:tc>
        <w:tc>
          <w:tcPr>
            <w:tcW w:w="447" w:type="pct"/>
          </w:tcPr>
          <w:p w14:paraId="26021143">
            <w:pPr>
              <w:adjustRightInd w:val="0"/>
              <w:snapToGrid w:val="0"/>
              <w:spacing w:line="360" w:lineRule="auto"/>
              <w:rPr>
                <w:rFonts w:ascii="宋体" w:hAnsi="宋体" w:eastAsia="宋体"/>
                <w:szCs w:val="21"/>
              </w:rPr>
            </w:pPr>
          </w:p>
        </w:tc>
        <w:tc>
          <w:tcPr>
            <w:tcW w:w="340" w:type="pct"/>
          </w:tcPr>
          <w:p w14:paraId="6012613E">
            <w:pPr>
              <w:adjustRightInd w:val="0"/>
              <w:snapToGrid w:val="0"/>
              <w:spacing w:line="360" w:lineRule="auto"/>
              <w:rPr>
                <w:rFonts w:ascii="宋体" w:hAnsi="宋体" w:eastAsia="宋体"/>
                <w:szCs w:val="21"/>
              </w:rPr>
            </w:pPr>
          </w:p>
        </w:tc>
      </w:tr>
      <w:tr w14:paraId="6718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55AFBB5F">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41</w:t>
            </w:r>
          </w:p>
        </w:tc>
        <w:tc>
          <w:tcPr>
            <w:tcW w:w="2582" w:type="pct"/>
            <w:vAlign w:val="center"/>
          </w:tcPr>
          <w:p w14:paraId="4C2D3784">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因本合同履行过程中所产生的纠纷和争议，应本着互谅互让、互相尊重、和平友好的原则协商解决。如从协商开始【30个日历日】内仍不能解决，任一方可向采购人所在地的人民法院提起诉讼。</w:t>
            </w:r>
          </w:p>
        </w:tc>
        <w:tc>
          <w:tcPr>
            <w:tcW w:w="1222" w:type="pct"/>
          </w:tcPr>
          <w:p w14:paraId="3E77972E">
            <w:pPr>
              <w:adjustRightInd w:val="0"/>
              <w:snapToGrid w:val="0"/>
              <w:spacing w:line="360" w:lineRule="auto"/>
              <w:rPr>
                <w:rFonts w:ascii="宋体" w:hAnsi="宋体" w:eastAsia="宋体"/>
                <w:szCs w:val="21"/>
              </w:rPr>
            </w:pPr>
          </w:p>
        </w:tc>
        <w:tc>
          <w:tcPr>
            <w:tcW w:w="447" w:type="pct"/>
          </w:tcPr>
          <w:p w14:paraId="11DFE677">
            <w:pPr>
              <w:adjustRightInd w:val="0"/>
              <w:snapToGrid w:val="0"/>
              <w:spacing w:line="360" w:lineRule="auto"/>
              <w:rPr>
                <w:rFonts w:ascii="宋体" w:hAnsi="宋体" w:eastAsia="宋体"/>
                <w:szCs w:val="21"/>
              </w:rPr>
            </w:pPr>
          </w:p>
        </w:tc>
        <w:tc>
          <w:tcPr>
            <w:tcW w:w="340" w:type="pct"/>
          </w:tcPr>
          <w:p w14:paraId="65E589E1">
            <w:pPr>
              <w:adjustRightInd w:val="0"/>
              <w:snapToGrid w:val="0"/>
              <w:spacing w:line="360" w:lineRule="auto"/>
              <w:rPr>
                <w:rFonts w:ascii="宋体" w:hAnsi="宋体" w:eastAsia="宋体"/>
                <w:szCs w:val="21"/>
              </w:rPr>
            </w:pPr>
          </w:p>
        </w:tc>
      </w:tr>
      <w:tr w14:paraId="1BCA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09C6DAD">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42</w:t>
            </w:r>
          </w:p>
        </w:tc>
        <w:tc>
          <w:tcPr>
            <w:tcW w:w="2582" w:type="pct"/>
            <w:vAlign w:val="center"/>
          </w:tcPr>
          <w:p w14:paraId="6BF62A6B">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在诉讼期间，除正在进行诉讼的部分外，合同的其他部分应继续执行。</w:t>
            </w:r>
          </w:p>
        </w:tc>
        <w:tc>
          <w:tcPr>
            <w:tcW w:w="1222" w:type="pct"/>
          </w:tcPr>
          <w:p w14:paraId="7257F5D7">
            <w:pPr>
              <w:adjustRightInd w:val="0"/>
              <w:snapToGrid w:val="0"/>
              <w:spacing w:line="360" w:lineRule="auto"/>
              <w:rPr>
                <w:rFonts w:ascii="宋体" w:hAnsi="宋体" w:eastAsia="宋体"/>
                <w:szCs w:val="21"/>
              </w:rPr>
            </w:pPr>
          </w:p>
        </w:tc>
        <w:tc>
          <w:tcPr>
            <w:tcW w:w="447" w:type="pct"/>
          </w:tcPr>
          <w:p w14:paraId="3D66A600">
            <w:pPr>
              <w:adjustRightInd w:val="0"/>
              <w:snapToGrid w:val="0"/>
              <w:spacing w:line="360" w:lineRule="auto"/>
              <w:rPr>
                <w:rFonts w:ascii="宋体" w:hAnsi="宋体" w:eastAsia="宋体"/>
                <w:szCs w:val="21"/>
              </w:rPr>
            </w:pPr>
          </w:p>
        </w:tc>
        <w:tc>
          <w:tcPr>
            <w:tcW w:w="340" w:type="pct"/>
          </w:tcPr>
          <w:p w14:paraId="5D5ECC7C">
            <w:pPr>
              <w:adjustRightInd w:val="0"/>
              <w:snapToGrid w:val="0"/>
              <w:spacing w:line="360" w:lineRule="auto"/>
              <w:rPr>
                <w:rFonts w:ascii="宋体" w:hAnsi="宋体" w:eastAsia="宋体"/>
                <w:szCs w:val="21"/>
              </w:rPr>
            </w:pPr>
          </w:p>
        </w:tc>
      </w:tr>
      <w:tr w14:paraId="6599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723F246">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43</w:t>
            </w:r>
          </w:p>
        </w:tc>
        <w:tc>
          <w:tcPr>
            <w:tcW w:w="2582" w:type="pct"/>
            <w:vAlign w:val="center"/>
          </w:tcPr>
          <w:p w14:paraId="13DB57DD">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投标人提供的所有软件必须为正版或取得合理使用授权，采购人不承担知识产权纠纷带来的任何侵权责任，由此造成的损失由投标人负责赔偿。</w:t>
            </w:r>
          </w:p>
        </w:tc>
        <w:tc>
          <w:tcPr>
            <w:tcW w:w="1222" w:type="pct"/>
          </w:tcPr>
          <w:p w14:paraId="7C6793FF">
            <w:pPr>
              <w:adjustRightInd w:val="0"/>
              <w:snapToGrid w:val="0"/>
              <w:spacing w:line="360" w:lineRule="auto"/>
              <w:rPr>
                <w:rFonts w:ascii="宋体" w:hAnsi="宋体" w:eastAsia="宋体"/>
                <w:szCs w:val="21"/>
              </w:rPr>
            </w:pPr>
          </w:p>
        </w:tc>
        <w:tc>
          <w:tcPr>
            <w:tcW w:w="447" w:type="pct"/>
          </w:tcPr>
          <w:p w14:paraId="4D9F4993">
            <w:pPr>
              <w:adjustRightInd w:val="0"/>
              <w:snapToGrid w:val="0"/>
              <w:spacing w:line="360" w:lineRule="auto"/>
              <w:rPr>
                <w:rFonts w:ascii="宋体" w:hAnsi="宋体" w:eastAsia="宋体"/>
                <w:szCs w:val="21"/>
              </w:rPr>
            </w:pPr>
          </w:p>
        </w:tc>
        <w:tc>
          <w:tcPr>
            <w:tcW w:w="340" w:type="pct"/>
          </w:tcPr>
          <w:p w14:paraId="7FA30212">
            <w:pPr>
              <w:adjustRightInd w:val="0"/>
              <w:snapToGrid w:val="0"/>
              <w:spacing w:line="360" w:lineRule="auto"/>
              <w:rPr>
                <w:rFonts w:ascii="宋体" w:hAnsi="宋体" w:eastAsia="宋体"/>
                <w:szCs w:val="21"/>
              </w:rPr>
            </w:pPr>
          </w:p>
        </w:tc>
      </w:tr>
      <w:tr w14:paraId="293F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50295C55">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44</w:t>
            </w:r>
          </w:p>
        </w:tc>
        <w:tc>
          <w:tcPr>
            <w:tcW w:w="2582" w:type="pct"/>
            <w:vAlign w:val="top"/>
          </w:tcPr>
          <w:p w14:paraId="41E28D7A">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本合同以及双方来住的与合同有关的信件、传真和其它文件应用中文书写。</w:t>
            </w:r>
          </w:p>
        </w:tc>
        <w:tc>
          <w:tcPr>
            <w:tcW w:w="1222" w:type="pct"/>
          </w:tcPr>
          <w:p w14:paraId="238C1995">
            <w:pPr>
              <w:adjustRightInd w:val="0"/>
              <w:snapToGrid w:val="0"/>
              <w:spacing w:line="360" w:lineRule="auto"/>
              <w:rPr>
                <w:rFonts w:ascii="宋体" w:hAnsi="宋体" w:eastAsia="宋体"/>
                <w:szCs w:val="21"/>
              </w:rPr>
            </w:pPr>
          </w:p>
        </w:tc>
        <w:tc>
          <w:tcPr>
            <w:tcW w:w="447" w:type="pct"/>
          </w:tcPr>
          <w:p w14:paraId="15BC48E1">
            <w:pPr>
              <w:adjustRightInd w:val="0"/>
              <w:snapToGrid w:val="0"/>
              <w:spacing w:line="360" w:lineRule="auto"/>
              <w:rPr>
                <w:rFonts w:ascii="宋体" w:hAnsi="宋体" w:eastAsia="宋体"/>
                <w:szCs w:val="21"/>
              </w:rPr>
            </w:pPr>
          </w:p>
        </w:tc>
        <w:tc>
          <w:tcPr>
            <w:tcW w:w="340" w:type="pct"/>
          </w:tcPr>
          <w:p w14:paraId="7E298EF9">
            <w:pPr>
              <w:adjustRightInd w:val="0"/>
              <w:snapToGrid w:val="0"/>
              <w:spacing w:line="360" w:lineRule="auto"/>
              <w:rPr>
                <w:rFonts w:ascii="宋体" w:hAnsi="宋体" w:eastAsia="宋体"/>
                <w:szCs w:val="21"/>
              </w:rPr>
            </w:pPr>
          </w:p>
        </w:tc>
      </w:tr>
      <w:tr w14:paraId="17D1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4DBF553">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45</w:t>
            </w:r>
          </w:p>
        </w:tc>
        <w:tc>
          <w:tcPr>
            <w:tcW w:w="2582" w:type="pct"/>
            <w:vAlign w:val="top"/>
          </w:tcPr>
          <w:p w14:paraId="5413CD3A">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本合同适用中华人民共和国现行法律、行政法规和规章，如合同条款与法律、行政法规和规章不一致的，按照法律、行政法规和规章修改本合同。</w:t>
            </w:r>
          </w:p>
        </w:tc>
        <w:tc>
          <w:tcPr>
            <w:tcW w:w="1222" w:type="pct"/>
          </w:tcPr>
          <w:p w14:paraId="1BC57D49">
            <w:pPr>
              <w:adjustRightInd w:val="0"/>
              <w:snapToGrid w:val="0"/>
              <w:spacing w:line="360" w:lineRule="auto"/>
              <w:rPr>
                <w:rFonts w:ascii="宋体" w:hAnsi="宋体" w:eastAsia="宋体"/>
                <w:szCs w:val="21"/>
              </w:rPr>
            </w:pPr>
          </w:p>
        </w:tc>
        <w:tc>
          <w:tcPr>
            <w:tcW w:w="447" w:type="pct"/>
          </w:tcPr>
          <w:p w14:paraId="58BAF2FF">
            <w:pPr>
              <w:adjustRightInd w:val="0"/>
              <w:snapToGrid w:val="0"/>
              <w:spacing w:line="360" w:lineRule="auto"/>
              <w:rPr>
                <w:rFonts w:ascii="宋体" w:hAnsi="宋体" w:eastAsia="宋体"/>
                <w:szCs w:val="21"/>
              </w:rPr>
            </w:pPr>
          </w:p>
        </w:tc>
        <w:tc>
          <w:tcPr>
            <w:tcW w:w="340" w:type="pct"/>
          </w:tcPr>
          <w:p w14:paraId="76785573">
            <w:pPr>
              <w:adjustRightInd w:val="0"/>
              <w:snapToGrid w:val="0"/>
              <w:spacing w:line="360" w:lineRule="auto"/>
              <w:rPr>
                <w:rFonts w:ascii="宋体" w:hAnsi="宋体" w:eastAsia="宋体"/>
                <w:szCs w:val="21"/>
              </w:rPr>
            </w:pPr>
          </w:p>
        </w:tc>
      </w:tr>
      <w:tr w14:paraId="0965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35672FA">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46</w:t>
            </w:r>
          </w:p>
        </w:tc>
        <w:tc>
          <w:tcPr>
            <w:tcW w:w="2582" w:type="pct"/>
            <w:vAlign w:val="center"/>
          </w:tcPr>
          <w:p w14:paraId="270076C8">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本合同一方给另一方的通知均应采用书面形式，传真或快递送到对方的地址和办理签收手续。</w:t>
            </w:r>
          </w:p>
        </w:tc>
        <w:tc>
          <w:tcPr>
            <w:tcW w:w="1222" w:type="pct"/>
          </w:tcPr>
          <w:p w14:paraId="3BC57D8E">
            <w:pPr>
              <w:adjustRightInd w:val="0"/>
              <w:snapToGrid w:val="0"/>
              <w:spacing w:line="360" w:lineRule="auto"/>
              <w:rPr>
                <w:rFonts w:ascii="宋体" w:hAnsi="宋体" w:eastAsia="宋体"/>
                <w:szCs w:val="21"/>
              </w:rPr>
            </w:pPr>
          </w:p>
        </w:tc>
        <w:tc>
          <w:tcPr>
            <w:tcW w:w="447" w:type="pct"/>
          </w:tcPr>
          <w:p w14:paraId="3D60C1B0">
            <w:pPr>
              <w:adjustRightInd w:val="0"/>
              <w:snapToGrid w:val="0"/>
              <w:spacing w:line="360" w:lineRule="auto"/>
              <w:rPr>
                <w:rFonts w:ascii="宋体" w:hAnsi="宋体" w:eastAsia="宋体"/>
                <w:szCs w:val="21"/>
              </w:rPr>
            </w:pPr>
          </w:p>
        </w:tc>
        <w:tc>
          <w:tcPr>
            <w:tcW w:w="340" w:type="pct"/>
          </w:tcPr>
          <w:p w14:paraId="19B4B7A9">
            <w:pPr>
              <w:adjustRightInd w:val="0"/>
              <w:snapToGrid w:val="0"/>
              <w:spacing w:line="360" w:lineRule="auto"/>
              <w:rPr>
                <w:rFonts w:ascii="宋体" w:hAnsi="宋体" w:eastAsia="宋体"/>
                <w:szCs w:val="21"/>
              </w:rPr>
            </w:pPr>
          </w:p>
        </w:tc>
      </w:tr>
      <w:tr w14:paraId="3E6F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7832EF3F">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47</w:t>
            </w:r>
          </w:p>
        </w:tc>
        <w:tc>
          <w:tcPr>
            <w:tcW w:w="2582" w:type="pct"/>
            <w:vAlign w:val="center"/>
          </w:tcPr>
          <w:p w14:paraId="12F8AB19">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通知以送到之日或通知书中规定的生效之日起生效，两者中以较迟之日为准。</w:t>
            </w:r>
          </w:p>
        </w:tc>
        <w:tc>
          <w:tcPr>
            <w:tcW w:w="1222" w:type="pct"/>
          </w:tcPr>
          <w:p w14:paraId="7E792CA2">
            <w:pPr>
              <w:adjustRightInd w:val="0"/>
              <w:snapToGrid w:val="0"/>
              <w:spacing w:line="360" w:lineRule="auto"/>
              <w:rPr>
                <w:rFonts w:ascii="宋体" w:hAnsi="宋体" w:eastAsia="宋体"/>
                <w:szCs w:val="21"/>
              </w:rPr>
            </w:pPr>
          </w:p>
        </w:tc>
        <w:tc>
          <w:tcPr>
            <w:tcW w:w="447" w:type="pct"/>
          </w:tcPr>
          <w:p w14:paraId="72B2A3B1">
            <w:pPr>
              <w:adjustRightInd w:val="0"/>
              <w:snapToGrid w:val="0"/>
              <w:spacing w:line="360" w:lineRule="auto"/>
              <w:rPr>
                <w:rFonts w:ascii="宋体" w:hAnsi="宋体" w:eastAsia="宋体"/>
                <w:szCs w:val="21"/>
              </w:rPr>
            </w:pPr>
          </w:p>
        </w:tc>
        <w:tc>
          <w:tcPr>
            <w:tcW w:w="340" w:type="pct"/>
          </w:tcPr>
          <w:p w14:paraId="1357CF37">
            <w:pPr>
              <w:adjustRightInd w:val="0"/>
              <w:snapToGrid w:val="0"/>
              <w:spacing w:line="360" w:lineRule="auto"/>
              <w:rPr>
                <w:rFonts w:ascii="宋体" w:hAnsi="宋体" w:eastAsia="宋体"/>
                <w:szCs w:val="21"/>
              </w:rPr>
            </w:pPr>
          </w:p>
        </w:tc>
      </w:tr>
      <w:tr w14:paraId="65D3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12A7DBFF">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48</w:t>
            </w:r>
          </w:p>
        </w:tc>
        <w:tc>
          <w:tcPr>
            <w:tcW w:w="2582" w:type="pct"/>
            <w:vAlign w:val="center"/>
          </w:tcPr>
          <w:p w14:paraId="27C5A29B">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投标人应保证采购人在使用该货物或其任何一部分时免受第三方提出侵犯其专利、商标、版权等知识产权或商品名称及其他权利的起诉及索赔。若采购人因此被第三方起诉或以其它方式追究责任，投标人应赔偿因采购人被第三方索赔所引起的一切损失，包括但不限于采购人所支付的侵权损害赔偿费、律师费、诉讼费、仲裁费、办案差旅费等因应诉、沟通协调所发的一切费用。</w:t>
            </w:r>
          </w:p>
        </w:tc>
        <w:tc>
          <w:tcPr>
            <w:tcW w:w="1222" w:type="pct"/>
          </w:tcPr>
          <w:p w14:paraId="58247052">
            <w:pPr>
              <w:adjustRightInd w:val="0"/>
              <w:snapToGrid w:val="0"/>
              <w:spacing w:line="360" w:lineRule="auto"/>
              <w:rPr>
                <w:rFonts w:ascii="宋体" w:hAnsi="宋体" w:eastAsia="宋体"/>
                <w:szCs w:val="21"/>
              </w:rPr>
            </w:pPr>
          </w:p>
        </w:tc>
        <w:tc>
          <w:tcPr>
            <w:tcW w:w="447" w:type="pct"/>
          </w:tcPr>
          <w:p w14:paraId="05E63833">
            <w:pPr>
              <w:adjustRightInd w:val="0"/>
              <w:snapToGrid w:val="0"/>
              <w:spacing w:line="360" w:lineRule="auto"/>
              <w:rPr>
                <w:rFonts w:ascii="宋体" w:hAnsi="宋体" w:eastAsia="宋体"/>
                <w:szCs w:val="21"/>
              </w:rPr>
            </w:pPr>
          </w:p>
        </w:tc>
        <w:tc>
          <w:tcPr>
            <w:tcW w:w="340" w:type="pct"/>
          </w:tcPr>
          <w:p w14:paraId="41EF9855">
            <w:pPr>
              <w:adjustRightInd w:val="0"/>
              <w:snapToGrid w:val="0"/>
              <w:spacing w:line="360" w:lineRule="auto"/>
              <w:rPr>
                <w:rFonts w:ascii="宋体" w:hAnsi="宋体" w:eastAsia="宋体"/>
                <w:szCs w:val="21"/>
              </w:rPr>
            </w:pPr>
          </w:p>
        </w:tc>
      </w:tr>
      <w:tr w14:paraId="4E18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4F237DE0">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49</w:t>
            </w:r>
          </w:p>
        </w:tc>
        <w:tc>
          <w:tcPr>
            <w:tcW w:w="2582" w:type="pct"/>
            <w:vAlign w:val="center"/>
          </w:tcPr>
          <w:p w14:paraId="5AF3F574">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除第三人依法享有知识产权的之外，中标人实施本项目所形成成果的知识产权归采购人所有，未经采购人许可，中标人不得随意使用。</w:t>
            </w:r>
          </w:p>
        </w:tc>
        <w:tc>
          <w:tcPr>
            <w:tcW w:w="1222" w:type="pct"/>
          </w:tcPr>
          <w:p w14:paraId="6777789F">
            <w:pPr>
              <w:adjustRightInd w:val="0"/>
              <w:snapToGrid w:val="0"/>
              <w:spacing w:line="360" w:lineRule="auto"/>
              <w:rPr>
                <w:rFonts w:ascii="宋体" w:hAnsi="宋体" w:eastAsia="宋体"/>
                <w:szCs w:val="21"/>
              </w:rPr>
            </w:pPr>
          </w:p>
        </w:tc>
        <w:tc>
          <w:tcPr>
            <w:tcW w:w="447" w:type="pct"/>
          </w:tcPr>
          <w:p w14:paraId="53AFDCDF">
            <w:pPr>
              <w:adjustRightInd w:val="0"/>
              <w:snapToGrid w:val="0"/>
              <w:spacing w:line="360" w:lineRule="auto"/>
              <w:rPr>
                <w:rFonts w:ascii="宋体" w:hAnsi="宋体" w:eastAsia="宋体"/>
                <w:szCs w:val="21"/>
              </w:rPr>
            </w:pPr>
          </w:p>
        </w:tc>
        <w:tc>
          <w:tcPr>
            <w:tcW w:w="340" w:type="pct"/>
          </w:tcPr>
          <w:p w14:paraId="3D2F0119">
            <w:pPr>
              <w:adjustRightInd w:val="0"/>
              <w:snapToGrid w:val="0"/>
              <w:spacing w:line="360" w:lineRule="auto"/>
              <w:rPr>
                <w:rFonts w:ascii="宋体" w:hAnsi="宋体" w:eastAsia="宋体"/>
                <w:szCs w:val="21"/>
              </w:rPr>
            </w:pPr>
          </w:p>
        </w:tc>
      </w:tr>
      <w:tr w14:paraId="62AC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318648C">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50</w:t>
            </w:r>
          </w:p>
        </w:tc>
        <w:tc>
          <w:tcPr>
            <w:tcW w:w="2582" w:type="pct"/>
            <w:vAlign w:val="top"/>
          </w:tcPr>
          <w:p w14:paraId="1AC540A5">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rPr>
              <w:t>合同解除和终止</w:t>
            </w:r>
            <w:r>
              <w:rPr>
                <w:rFonts w:hint="eastAsia" w:ascii="宋体" w:hAnsi="宋体" w:eastAsia="宋体"/>
                <w:sz w:val="18"/>
                <w:szCs w:val="18"/>
                <w:lang w:eastAsia="zh-CN"/>
              </w:rPr>
              <w:t>：</w:t>
            </w:r>
            <w:r>
              <w:rPr>
                <w:rFonts w:hint="eastAsia" w:ascii="宋体" w:hAnsi="宋体" w:eastAsia="宋体"/>
                <w:sz w:val="18"/>
                <w:szCs w:val="18"/>
              </w:rPr>
              <w:t>如果中标人未能在协议规定的限期或采购人同意延长的限期内提供部分或全部货物，采购人可向中标人发出书面的违约通知书，提出终止部份或全部协议。采购人可在任何时候出于自身的便利向中标人发出书面通知终止部分合同，采购人在合同总价中扣除该终止部分货物的价款，并不再对中标人作出额外赔偿。</w:t>
            </w:r>
          </w:p>
        </w:tc>
        <w:tc>
          <w:tcPr>
            <w:tcW w:w="1222" w:type="pct"/>
          </w:tcPr>
          <w:p w14:paraId="7022E402">
            <w:pPr>
              <w:adjustRightInd w:val="0"/>
              <w:snapToGrid w:val="0"/>
              <w:spacing w:line="360" w:lineRule="auto"/>
              <w:rPr>
                <w:rFonts w:ascii="宋体" w:hAnsi="宋体" w:eastAsia="宋体"/>
                <w:szCs w:val="21"/>
              </w:rPr>
            </w:pPr>
          </w:p>
        </w:tc>
        <w:tc>
          <w:tcPr>
            <w:tcW w:w="447" w:type="pct"/>
          </w:tcPr>
          <w:p w14:paraId="7143785A">
            <w:pPr>
              <w:adjustRightInd w:val="0"/>
              <w:snapToGrid w:val="0"/>
              <w:spacing w:line="360" w:lineRule="auto"/>
              <w:rPr>
                <w:rFonts w:ascii="宋体" w:hAnsi="宋体" w:eastAsia="宋体"/>
                <w:szCs w:val="21"/>
              </w:rPr>
            </w:pPr>
          </w:p>
        </w:tc>
        <w:tc>
          <w:tcPr>
            <w:tcW w:w="340" w:type="pct"/>
          </w:tcPr>
          <w:p w14:paraId="2838DFEC">
            <w:pPr>
              <w:adjustRightInd w:val="0"/>
              <w:snapToGrid w:val="0"/>
              <w:spacing w:line="360" w:lineRule="auto"/>
              <w:rPr>
                <w:rFonts w:ascii="宋体" w:hAnsi="宋体" w:eastAsia="宋体"/>
                <w:szCs w:val="21"/>
              </w:rPr>
            </w:pPr>
          </w:p>
        </w:tc>
      </w:tr>
      <w:tr w14:paraId="422D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3E0DC79F">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51</w:t>
            </w:r>
          </w:p>
        </w:tc>
        <w:tc>
          <w:tcPr>
            <w:tcW w:w="2582" w:type="pct"/>
            <w:vAlign w:val="top"/>
          </w:tcPr>
          <w:p w14:paraId="57F7C74E">
            <w:pPr>
              <w:rPr>
                <w:rFonts w:ascii="宋体" w:hAnsi="宋体" w:eastAsia="宋体"/>
                <w:color w:val="4F81BD" w:themeColor="accent1"/>
                <w:szCs w:val="21"/>
                <w14:textFill>
                  <w14:solidFill>
                    <w14:schemeClr w14:val="accent1"/>
                  </w14:solidFill>
                </w14:textFill>
              </w:rPr>
            </w:pPr>
            <w:r>
              <w:rPr>
                <w:rFonts w:hint="eastAsia" w:ascii="宋体" w:hAnsi="宋体" w:eastAsia="宋体"/>
                <w:sz w:val="18"/>
                <w:szCs w:val="18"/>
                <w:lang w:val="en-US" w:eastAsia="zh-CN"/>
              </w:rPr>
              <w:t>税费：</w:t>
            </w:r>
            <w:r>
              <w:rPr>
                <w:rFonts w:hint="eastAsia" w:ascii="宋体" w:hAnsi="宋体" w:eastAsia="宋体"/>
                <w:sz w:val="18"/>
                <w:szCs w:val="18"/>
              </w:rPr>
              <w:t>增值税专用发票。</w:t>
            </w:r>
          </w:p>
        </w:tc>
        <w:tc>
          <w:tcPr>
            <w:tcW w:w="1222" w:type="pct"/>
          </w:tcPr>
          <w:p w14:paraId="2F4FF2A4">
            <w:pPr>
              <w:adjustRightInd w:val="0"/>
              <w:snapToGrid w:val="0"/>
              <w:spacing w:line="360" w:lineRule="auto"/>
              <w:rPr>
                <w:rFonts w:ascii="宋体" w:hAnsi="宋体" w:eastAsia="宋体"/>
                <w:szCs w:val="21"/>
              </w:rPr>
            </w:pPr>
          </w:p>
        </w:tc>
        <w:tc>
          <w:tcPr>
            <w:tcW w:w="447" w:type="pct"/>
          </w:tcPr>
          <w:p w14:paraId="05F58180">
            <w:pPr>
              <w:adjustRightInd w:val="0"/>
              <w:snapToGrid w:val="0"/>
              <w:spacing w:line="360" w:lineRule="auto"/>
              <w:rPr>
                <w:rFonts w:ascii="宋体" w:hAnsi="宋体" w:eastAsia="宋体"/>
                <w:szCs w:val="21"/>
              </w:rPr>
            </w:pPr>
          </w:p>
        </w:tc>
        <w:tc>
          <w:tcPr>
            <w:tcW w:w="340" w:type="pct"/>
          </w:tcPr>
          <w:p w14:paraId="47EC27A9">
            <w:pPr>
              <w:adjustRightInd w:val="0"/>
              <w:snapToGrid w:val="0"/>
              <w:spacing w:line="360" w:lineRule="auto"/>
              <w:rPr>
                <w:rFonts w:ascii="宋体" w:hAnsi="宋体" w:eastAsia="宋体"/>
                <w:szCs w:val="21"/>
              </w:rPr>
            </w:pPr>
          </w:p>
        </w:tc>
      </w:tr>
    </w:tbl>
    <w:p w14:paraId="473D1FEF">
      <w:pPr>
        <w:ind w:firstLine="482" w:firstLineChars="200"/>
        <w:rPr>
          <w:rFonts w:ascii="宋体" w:hAnsi="宋体" w:eastAsia="宋体"/>
          <w:b/>
          <w:szCs w:val="22"/>
        </w:rPr>
      </w:pPr>
    </w:p>
    <w:p w14:paraId="3C4CED3C">
      <w:pPr>
        <w:ind w:firstLine="482" w:firstLineChars="200"/>
        <w:rPr>
          <w:rFonts w:ascii="宋体" w:hAnsi="宋体" w:eastAsia="宋体"/>
          <w:b/>
          <w:szCs w:val="22"/>
        </w:rPr>
      </w:pPr>
      <w:r>
        <w:rPr>
          <w:rFonts w:hint="eastAsia" w:ascii="宋体" w:hAnsi="宋体" w:eastAsia="宋体"/>
          <w:b/>
          <w:szCs w:val="22"/>
        </w:rPr>
        <w:t>注：1. 上表所列各项均为不可负偏离条款。</w:t>
      </w:r>
    </w:p>
    <w:p w14:paraId="5361BF69">
      <w:pPr>
        <w:ind w:firstLine="482" w:firstLineChars="200"/>
        <w:rPr>
          <w:rFonts w:ascii="宋体" w:hAnsi="宋体" w:eastAsia="宋体"/>
          <w:b/>
          <w:szCs w:val="22"/>
        </w:rPr>
      </w:pPr>
      <w:r>
        <w:rPr>
          <w:rFonts w:hint="eastAsia" w:ascii="宋体" w:hAnsi="宋体" w:eastAsia="宋体"/>
          <w:b/>
          <w:szCs w:val="22"/>
        </w:rPr>
        <w:t>2.“投标响应”一栏应当详细填写投标人自身响应情况，而不能不合理照搬照抄招实质性条款具体内容。</w:t>
      </w:r>
    </w:p>
    <w:p w14:paraId="2F22AA5A">
      <w:pPr>
        <w:ind w:firstLine="482" w:firstLineChars="200"/>
        <w:rPr>
          <w:rFonts w:ascii="宋体" w:hAnsi="宋体" w:eastAsia="宋体"/>
          <w:b/>
          <w:szCs w:val="22"/>
        </w:rPr>
      </w:pPr>
      <w:r>
        <w:rPr>
          <w:rFonts w:hint="eastAsia" w:ascii="宋体" w:hAnsi="宋体" w:eastAsia="宋体"/>
          <w:b/>
          <w:szCs w:val="22"/>
        </w:rPr>
        <w:t>3</w:t>
      </w:r>
      <w:r>
        <w:rPr>
          <w:rFonts w:ascii="宋体" w:hAnsi="宋体" w:eastAsia="宋体"/>
          <w:b/>
          <w:szCs w:val="22"/>
        </w:rPr>
        <w:t>.</w:t>
      </w:r>
      <w:r>
        <w:rPr>
          <w:rFonts w:hint="eastAsia" w:ascii="宋体" w:hAnsi="宋体" w:eastAsia="宋体"/>
          <w:b/>
          <w:szCs w:val="22"/>
        </w:rPr>
        <w:t>“偏离情况”一栏应填写“正偏离”、“负偏离”或“无偏离”，</w:t>
      </w:r>
      <w:r>
        <w:rPr>
          <w:rFonts w:hint="eastAsia" w:ascii="宋体" w:hAnsi="宋体" w:eastAsia="宋体"/>
          <w:b/>
        </w:rPr>
        <w:t>“正偏离”表示“投标响应优于实质性条款具体内容要求”，“负偏离”表示“投标响应不满足实质性条款具体内容要求”，“无偏离”表示“投标响应与实质性条款具体内容要求一致”。</w:t>
      </w:r>
    </w:p>
    <w:p w14:paraId="7F5C3DD1">
      <w:pPr>
        <w:ind w:firstLine="482" w:firstLineChars="200"/>
        <w:rPr>
          <w:rFonts w:ascii="宋体" w:hAnsi="宋体" w:eastAsia="宋体"/>
          <w:b/>
        </w:rPr>
      </w:pPr>
      <w:r>
        <w:rPr>
          <w:rFonts w:ascii="宋体" w:hAnsi="宋体" w:eastAsia="宋体"/>
          <w:b/>
        </w:rPr>
        <w:t>4.</w:t>
      </w:r>
      <w:r>
        <w:rPr>
          <w:rFonts w:hint="eastAsia" w:ascii="宋体" w:hAnsi="宋体" w:eastAsia="宋体"/>
          <w:b/>
        </w:rPr>
        <w:t>评审委员会有权对投标响应情况作出判断（作出评审结论）。</w:t>
      </w:r>
    </w:p>
    <w:p w14:paraId="1DFE3874">
      <w:pPr>
        <w:ind w:firstLine="482" w:firstLineChars="200"/>
        <w:rPr>
          <w:rFonts w:ascii="宋体" w:hAnsi="宋体" w:eastAsia="宋体"/>
          <w:b/>
          <w:szCs w:val="22"/>
        </w:rPr>
      </w:pPr>
      <w:r>
        <w:rPr>
          <w:rFonts w:ascii="宋体" w:hAnsi="宋体" w:eastAsia="宋体"/>
          <w:b/>
          <w:szCs w:val="22"/>
        </w:rPr>
        <w:t>5</w:t>
      </w:r>
      <w:r>
        <w:rPr>
          <w:rFonts w:hint="eastAsia" w:ascii="宋体" w:hAnsi="宋体" w:eastAsia="宋体"/>
          <w:b/>
          <w:szCs w:val="22"/>
        </w:rPr>
        <w:t>.实质性响应条款“投标响应情况”与投标文件其它内容冲突的，以实质性响应条款“投标响应情况”为准。</w:t>
      </w:r>
      <w:bookmarkEnd w:id="66"/>
    </w:p>
    <w:p w14:paraId="16F33E9E">
      <w:pPr>
        <w:rPr>
          <w:rFonts w:ascii="宋体" w:hAnsi="宋体" w:eastAsia="宋体"/>
        </w:rPr>
      </w:pPr>
    </w:p>
    <w:p w14:paraId="48A4C539">
      <w:pPr>
        <w:pStyle w:val="3"/>
        <w:numPr>
          <w:ilvl w:val="0"/>
          <w:numId w:val="0"/>
        </w:numPr>
        <w:jc w:val="center"/>
        <w:rPr>
          <w:rFonts w:hint="eastAsia"/>
          <w:b w:val="0"/>
          <w:sz w:val="24"/>
          <w:szCs w:val="24"/>
        </w:rPr>
      </w:pPr>
      <w:r>
        <w:rPr>
          <w:rFonts w:hint="eastAsia" w:cs="Times New Roman"/>
          <w:b w:val="0"/>
          <w:bCs/>
          <w:sz w:val="24"/>
          <w:szCs w:val="24"/>
          <w:lang w:val="en-US" w:eastAsia="zh-CN" w:bidi="ar-SA"/>
        </w:rPr>
        <w:t>六</w:t>
      </w:r>
      <w:r>
        <w:rPr>
          <w:rFonts w:hint="eastAsia" w:ascii="宋体" w:hAnsi="宋体" w:eastAsia="宋体" w:cs="Times New Roman"/>
          <w:b w:val="0"/>
          <w:bCs/>
          <w:sz w:val="24"/>
          <w:szCs w:val="24"/>
          <w:lang w:val="en-US" w:eastAsia="zh-CN" w:bidi="ar-SA"/>
        </w:rPr>
        <w:t>、</w:t>
      </w:r>
      <w:r>
        <w:rPr>
          <w:rFonts w:hint="eastAsia"/>
          <w:b w:val="0"/>
          <w:sz w:val="24"/>
          <w:szCs w:val="24"/>
        </w:rPr>
        <w:t>技术要求偏离表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9"/>
        <w:gridCol w:w="3335"/>
        <w:gridCol w:w="1279"/>
        <w:gridCol w:w="1279"/>
        <w:gridCol w:w="1279"/>
      </w:tblGrid>
      <w:tr w14:paraId="1E8F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18" w:type="pct"/>
            <w:tcBorders>
              <w:top w:val="single" w:color="auto" w:sz="4" w:space="0"/>
              <w:left w:val="single" w:color="auto" w:sz="4" w:space="0"/>
              <w:bottom w:val="single" w:color="auto" w:sz="4" w:space="0"/>
              <w:right w:val="single" w:color="auto" w:sz="4" w:space="0"/>
            </w:tcBorders>
            <w:vAlign w:val="center"/>
          </w:tcPr>
          <w:p w14:paraId="688C11D0">
            <w:pPr>
              <w:jc w:val="center"/>
              <w:rPr>
                <w:rFonts w:ascii="Calibri" w:hAnsi="Calibri" w:eastAsia="宋体" w:cs="Times New Roman"/>
                <w:szCs w:val="21"/>
              </w:rPr>
            </w:pPr>
            <w:r>
              <w:rPr>
                <w:rFonts w:hint="eastAsia" w:ascii="宋体" w:hAnsi="宋体"/>
              </w:rPr>
              <w:t>序号</w:t>
            </w:r>
          </w:p>
        </w:tc>
        <w:tc>
          <w:tcPr>
            <w:tcW w:w="425" w:type="pct"/>
            <w:tcBorders>
              <w:top w:val="single" w:color="auto" w:sz="4" w:space="0"/>
              <w:left w:val="single" w:color="auto" w:sz="4" w:space="0"/>
              <w:bottom w:val="single" w:color="auto" w:sz="4" w:space="0"/>
              <w:right w:val="single" w:color="auto" w:sz="4" w:space="0"/>
            </w:tcBorders>
            <w:vAlign w:val="center"/>
          </w:tcPr>
          <w:p w14:paraId="44AD7C85">
            <w:pPr>
              <w:widowControl/>
              <w:jc w:val="center"/>
            </w:pPr>
            <w:r>
              <w:rPr>
                <w:rFonts w:hint="eastAsia" w:ascii="宋体" w:hAnsi="宋体"/>
              </w:rPr>
              <w:t>货物名称</w:t>
            </w:r>
          </w:p>
        </w:tc>
        <w:tc>
          <w:tcPr>
            <w:tcW w:w="1597" w:type="pct"/>
            <w:tcBorders>
              <w:top w:val="single" w:color="auto" w:sz="4" w:space="0"/>
              <w:left w:val="single" w:color="auto" w:sz="4" w:space="0"/>
              <w:bottom w:val="single" w:color="auto" w:sz="4" w:space="0"/>
              <w:right w:val="single" w:color="auto" w:sz="4" w:space="0"/>
            </w:tcBorders>
            <w:vAlign w:val="center"/>
          </w:tcPr>
          <w:p w14:paraId="09C741B4">
            <w:pPr>
              <w:jc w:val="center"/>
            </w:pPr>
            <w:r>
              <w:rPr>
                <w:rFonts w:hint="eastAsia" w:ascii="宋体" w:hAnsi="宋体"/>
              </w:rPr>
              <w:t>招标技术要求</w:t>
            </w:r>
          </w:p>
        </w:tc>
        <w:tc>
          <w:tcPr>
            <w:tcW w:w="1279" w:type="dxa"/>
            <w:tcBorders>
              <w:top w:val="single" w:color="auto" w:sz="4" w:space="0"/>
              <w:left w:val="single" w:color="auto" w:sz="4" w:space="0"/>
              <w:bottom w:val="single" w:color="auto" w:sz="4" w:space="0"/>
              <w:right w:val="single" w:color="auto" w:sz="4" w:space="0"/>
            </w:tcBorders>
            <w:vAlign w:val="center"/>
          </w:tcPr>
          <w:p w14:paraId="2C46BD26">
            <w:pPr>
              <w:jc w:val="center"/>
              <w:rPr>
                <w:rFonts w:hint="eastAsia" w:ascii="宋体" w:hAnsi="宋体"/>
              </w:rPr>
            </w:pPr>
            <w:r>
              <w:rPr>
                <w:rFonts w:hint="eastAsia" w:ascii="宋体" w:hAnsi="宋体" w:eastAsia="宋体"/>
              </w:rPr>
              <w:t>投标技术响应</w:t>
            </w:r>
          </w:p>
        </w:tc>
        <w:tc>
          <w:tcPr>
            <w:tcW w:w="1279" w:type="dxa"/>
            <w:tcBorders>
              <w:top w:val="single" w:color="auto" w:sz="4" w:space="0"/>
              <w:left w:val="single" w:color="auto" w:sz="4" w:space="0"/>
              <w:bottom w:val="single" w:color="auto" w:sz="4" w:space="0"/>
              <w:right w:val="single" w:color="auto" w:sz="4" w:space="0"/>
            </w:tcBorders>
            <w:vAlign w:val="center"/>
          </w:tcPr>
          <w:p w14:paraId="3ACC3048">
            <w:pPr>
              <w:jc w:val="center"/>
              <w:rPr>
                <w:rFonts w:hint="eastAsia" w:ascii="宋体" w:hAnsi="宋体"/>
              </w:rPr>
            </w:pPr>
            <w:r>
              <w:rPr>
                <w:rFonts w:hint="eastAsia" w:ascii="宋体" w:hAnsi="宋体" w:eastAsia="宋体"/>
              </w:rPr>
              <w:t>偏离情况</w:t>
            </w:r>
          </w:p>
        </w:tc>
        <w:tc>
          <w:tcPr>
            <w:tcW w:w="1279" w:type="dxa"/>
            <w:tcBorders>
              <w:top w:val="single" w:color="auto" w:sz="4" w:space="0"/>
              <w:left w:val="single" w:color="auto" w:sz="4" w:space="0"/>
              <w:bottom w:val="single" w:color="auto" w:sz="4" w:space="0"/>
              <w:right w:val="single" w:color="auto" w:sz="4" w:space="0"/>
            </w:tcBorders>
            <w:vAlign w:val="center"/>
          </w:tcPr>
          <w:p w14:paraId="099FF101">
            <w:pPr>
              <w:jc w:val="center"/>
              <w:rPr>
                <w:rFonts w:hint="eastAsia" w:ascii="宋体" w:hAnsi="宋体"/>
              </w:rPr>
            </w:pPr>
            <w:r>
              <w:rPr>
                <w:rFonts w:hint="eastAsia" w:ascii="宋体" w:hAnsi="宋体" w:eastAsia="宋体"/>
              </w:rPr>
              <w:t>说明</w:t>
            </w:r>
          </w:p>
        </w:tc>
      </w:tr>
      <w:tr w14:paraId="0E7E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restart"/>
            <w:tcBorders>
              <w:top w:val="nil"/>
              <w:left w:val="single" w:color="auto" w:sz="4" w:space="0"/>
              <w:right w:val="single" w:color="auto" w:sz="4" w:space="0"/>
            </w:tcBorders>
            <w:vAlign w:val="center"/>
          </w:tcPr>
          <w:p w14:paraId="5E7432AD">
            <w:pPr>
              <w:jc w:val="center"/>
              <w:rPr>
                <w:rFonts w:ascii="Times New Roman" w:hAnsi="Times New Roman"/>
                <w:b/>
              </w:rPr>
            </w:pPr>
            <w:r>
              <w:rPr>
                <w:rFonts w:hint="eastAsia" w:ascii="Times New Roman" w:hAnsi="Times New Roman"/>
                <w:b/>
              </w:rPr>
              <w:t>1</w:t>
            </w:r>
          </w:p>
        </w:tc>
        <w:tc>
          <w:tcPr>
            <w:tcW w:w="425" w:type="pct"/>
            <w:vMerge w:val="restart"/>
            <w:tcBorders>
              <w:top w:val="nil"/>
              <w:left w:val="single" w:color="auto" w:sz="4" w:space="0"/>
              <w:right w:val="single" w:color="auto" w:sz="4" w:space="0"/>
            </w:tcBorders>
            <w:vAlign w:val="center"/>
          </w:tcPr>
          <w:p w14:paraId="2628ED50">
            <w:pPr>
              <w:jc w:val="center"/>
              <w:rPr>
                <w:rFonts w:ascii="宋体" w:hAnsi="宋体"/>
                <w:color w:val="000000"/>
                <w:sz w:val="20"/>
                <w:szCs w:val="20"/>
              </w:rPr>
            </w:pPr>
            <w:r>
              <w:rPr>
                <w:rFonts w:hint="eastAsia" w:ascii="宋体" w:hAnsi="宋体"/>
                <w:sz w:val="20"/>
                <w:szCs w:val="20"/>
              </w:rPr>
              <w:t>1</w:t>
            </w:r>
            <w:r>
              <w:rPr>
                <w:rFonts w:ascii="宋体" w:hAnsi="宋体"/>
                <w:sz w:val="20"/>
                <w:szCs w:val="20"/>
              </w:rPr>
              <w:t>.</w:t>
            </w:r>
            <w:r>
              <w:rPr>
                <w:rFonts w:hint="eastAsia" w:ascii="宋体" w:hAnsi="宋体"/>
                <w:sz w:val="20"/>
                <w:szCs w:val="20"/>
              </w:rPr>
              <w:t>千米级深海ROV主体</w:t>
            </w:r>
          </w:p>
        </w:tc>
        <w:tc>
          <w:tcPr>
            <w:tcW w:w="1597" w:type="pct"/>
            <w:tcBorders>
              <w:top w:val="single" w:color="auto" w:sz="4" w:space="0"/>
              <w:left w:val="single" w:color="auto" w:sz="4" w:space="0"/>
              <w:bottom w:val="single" w:color="auto" w:sz="4" w:space="0"/>
              <w:right w:val="single" w:color="auto" w:sz="4" w:space="0"/>
            </w:tcBorders>
            <w:vAlign w:val="center"/>
          </w:tcPr>
          <w:p w14:paraId="6A34C1D2">
            <w:pPr>
              <w:rPr>
                <w:rFonts w:ascii="Times New Roman" w:hAnsi="Times New Roman" w:cs="Times New Roman"/>
                <w:sz w:val="20"/>
                <w:szCs w:val="20"/>
              </w:rPr>
            </w:pPr>
            <w:r>
              <w:rPr>
                <w:rFonts w:hint="eastAsia" w:ascii="Times New Roman" w:hAnsi="Times New Roman" w:cs="Times New Roman"/>
                <w:sz w:val="20"/>
                <w:szCs w:val="20"/>
              </w:rPr>
              <w:t>1.1</w:t>
            </w:r>
            <w:r>
              <w:rPr>
                <w:rFonts w:ascii="Times New Roman" w:hAnsi="Times New Roman" w:cs="Times New Roman"/>
                <w:sz w:val="20"/>
                <w:szCs w:val="20"/>
              </w:rPr>
              <w:t xml:space="preserve"> </w:t>
            </w:r>
            <w:r>
              <w:rPr>
                <w:rFonts w:hint="eastAsia" w:ascii="Times New Roman" w:hAnsi="Times New Roman" w:cs="Times New Roman"/>
                <w:sz w:val="20"/>
                <w:szCs w:val="20"/>
              </w:rPr>
              <w:t>▲包括：</w:t>
            </w:r>
            <w:r>
              <w:rPr>
                <w:rFonts w:hint="eastAsia" w:ascii="宋体" w:hAnsi="宋体"/>
                <w:sz w:val="20"/>
                <w:szCs w:val="20"/>
              </w:rPr>
              <w:t>液压动力单元、水下电力单元、主体结构、水下控制单元、水下视频系统、水下照明系统、水下导航传感系统、水下支撑系统</w:t>
            </w:r>
          </w:p>
        </w:tc>
        <w:tc>
          <w:tcPr>
            <w:tcW w:w="919" w:type="pct"/>
            <w:tcBorders>
              <w:top w:val="single" w:color="auto" w:sz="4" w:space="0"/>
              <w:left w:val="single" w:color="auto" w:sz="4" w:space="0"/>
              <w:bottom w:val="single" w:color="auto" w:sz="4" w:space="0"/>
              <w:right w:val="single" w:color="auto" w:sz="4" w:space="0"/>
            </w:tcBorders>
            <w:vAlign w:val="center"/>
          </w:tcPr>
          <w:p w14:paraId="115EC413">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1285FBE">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16B44D2">
            <w:pPr>
              <w:rPr>
                <w:rFonts w:hint="eastAsia" w:ascii="Times New Roman" w:hAnsi="Times New Roman" w:cs="Times New Roman"/>
                <w:sz w:val="20"/>
                <w:szCs w:val="20"/>
              </w:rPr>
            </w:pPr>
          </w:p>
        </w:tc>
      </w:tr>
      <w:tr w14:paraId="618A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top w:val="nil"/>
              <w:left w:val="single" w:color="auto" w:sz="4" w:space="0"/>
              <w:right w:val="single" w:color="auto" w:sz="4" w:space="0"/>
            </w:tcBorders>
            <w:vAlign w:val="center"/>
          </w:tcPr>
          <w:p w14:paraId="1EFD1F57">
            <w:pPr>
              <w:jc w:val="center"/>
              <w:rPr>
                <w:rFonts w:ascii="Times New Roman" w:hAnsi="Times New Roman"/>
                <w:b/>
              </w:rPr>
            </w:pPr>
          </w:p>
        </w:tc>
        <w:tc>
          <w:tcPr>
            <w:tcW w:w="425" w:type="pct"/>
            <w:vMerge w:val="continue"/>
            <w:tcBorders>
              <w:top w:val="nil"/>
              <w:left w:val="single" w:color="auto" w:sz="4" w:space="0"/>
              <w:right w:val="single" w:color="auto" w:sz="4" w:space="0"/>
            </w:tcBorders>
            <w:vAlign w:val="center"/>
          </w:tcPr>
          <w:p w14:paraId="5E9DE842">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75153722">
            <w:pPr>
              <w:rPr>
                <w:rFonts w:ascii="Times New Roman" w:hAnsi="Times New Roman" w:cs="Times New Roman"/>
                <w:color w:val="FF0000"/>
                <w:sz w:val="20"/>
                <w:szCs w:val="20"/>
              </w:rPr>
            </w:pPr>
            <w:r>
              <w:rPr>
                <w:rFonts w:hint="eastAsia" w:ascii="宋体" w:hAnsi="宋体" w:eastAsia="Times New Roman" w:cs="Times New Roman"/>
                <w:b/>
                <w:bCs/>
                <w:color w:val="FF0000"/>
                <w:sz w:val="20"/>
                <w:szCs w:val="20"/>
              </w:rPr>
              <w:t xml:space="preserve">1.2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ROV水下作业深度：≥1000m；（提供详细技术方案和设计模型，资料要求：至少包括基于设计图或实物的参数示意资料。提供资料内容缺漏、示意不清、不充分的视作未提供证明。原件备查。）</w:t>
            </w:r>
          </w:p>
        </w:tc>
        <w:tc>
          <w:tcPr>
            <w:tcW w:w="919" w:type="pct"/>
            <w:tcBorders>
              <w:top w:val="single" w:color="auto" w:sz="4" w:space="0"/>
              <w:left w:val="single" w:color="auto" w:sz="4" w:space="0"/>
              <w:bottom w:val="single" w:color="auto" w:sz="4" w:space="0"/>
              <w:right w:val="single" w:color="auto" w:sz="4" w:space="0"/>
            </w:tcBorders>
            <w:vAlign w:val="center"/>
          </w:tcPr>
          <w:p w14:paraId="38C3A782">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EF843A0">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A3DD4B0">
            <w:pPr>
              <w:rPr>
                <w:rFonts w:hint="eastAsia" w:ascii="宋体" w:hAnsi="宋体" w:eastAsia="Times New Roman" w:cs="Times New Roman"/>
                <w:b/>
                <w:bCs/>
                <w:color w:val="FF0000"/>
                <w:sz w:val="20"/>
                <w:szCs w:val="20"/>
              </w:rPr>
            </w:pPr>
          </w:p>
        </w:tc>
      </w:tr>
      <w:tr w14:paraId="7B75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11132614">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781C7242">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02D1A5F4">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3 </w:t>
            </w:r>
            <w:r>
              <w:rPr>
                <w:rFonts w:hint="eastAsia" w:ascii="Times New Roman" w:hAnsi="Times New Roman" w:cs="Times New Roman"/>
                <w:sz w:val="20"/>
                <w:szCs w:val="20"/>
              </w:rPr>
              <w:t>★ ROV负载能力：≥150kg；</w:t>
            </w:r>
          </w:p>
        </w:tc>
        <w:tc>
          <w:tcPr>
            <w:tcW w:w="919" w:type="pct"/>
            <w:tcBorders>
              <w:top w:val="single" w:color="auto" w:sz="4" w:space="0"/>
              <w:left w:val="single" w:color="auto" w:sz="4" w:space="0"/>
              <w:bottom w:val="single" w:color="auto" w:sz="4" w:space="0"/>
              <w:right w:val="single" w:color="auto" w:sz="4" w:space="0"/>
            </w:tcBorders>
            <w:vAlign w:val="center"/>
          </w:tcPr>
          <w:p w14:paraId="218AA690">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66582B8">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D4F50B3">
            <w:pPr>
              <w:rPr>
                <w:rFonts w:hint="eastAsia" w:ascii="Times New Roman" w:hAnsi="Times New Roman" w:cs="Times New Roman"/>
                <w:sz w:val="20"/>
                <w:szCs w:val="20"/>
              </w:rPr>
            </w:pPr>
          </w:p>
        </w:tc>
      </w:tr>
      <w:tr w14:paraId="5FD5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136559E6">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39633782">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3D08C96B">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4 </w:t>
            </w:r>
            <w:r>
              <w:rPr>
                <w:rFonts w:hint="eastAsia" w:ascii="Times New Roman" w:hAnsi="Times New Roman" w:cs="Times New Roman"/>
                <w:sz w:val="20"/>
                <w:szCs w:val="20"/>
              </w:rPr>
              <w:t>★ ROV功率：≥125马力；</w:t>
            </w:r>
          </w:p>
        </w:tc>
        <w:tc>
          <w:tcPr>
            <w:tcW w:w="919" w:type="pct"/>
            <w:tcBorders>
              <w:top w:val="single" w:color="auto" w:sz="4" w:space="0"/>
              <w:left w:val="single" w:color="auto" w:sz="4" w:space="0"/>
              <w:bottom w:val="single" w:color="auto" w:sz="4" w:space="0"/>
              <w:right w:val="single" w:color="auto" w:sz="4" w:space="0"/>
            </w:tcBorders>
            <w:vAlign w:val="center"/>
          </w:tcPr>
          <w:p w14:paraId="6044772A">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429CCE8">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F704804">
            <w:pPr>
              <w:rPr>
                <w:rFonts w:hint="eastAsia" w:ascii="Times New Roman" w:hAnsi="Times New Roman" w:cs="Times New Roman"/>
                <w:sz w:val="20"/>
                <w:szCs w:val="20"/>
              </w:rPr>
            </w:pPr>
          </w:p>
        </w:tc>
      </w:tr>
      <w:tr w14:paraId="7A1E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0A359252">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279CFB77">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5947FB21">
            <w:pPr>
              <w:rPr>
                <w:rFonts w:ascii="Times New Roman" w:hAnsi="Times New Roman" w:cs="Times New Roman"/>
                <w:sz w:val="20"/>
                <w:szCs w:val="20"/>
              </w:rPr>
            </w:pPr>
            <w:r>
              <w:rPr>
                <w:rFonts w:hint="eastAsia" w:ascii="宋体" w:hAnsi="宋体" w:eastAsia="Times New Roman" w:cs="Times New Roman"/>
                <w:b/>
                <w:bCs/>
                <w:color w:val="FF0000"/>
                <w:sz w:val="20"/>
                <w:szCs w:val="20"/>
              </w:rPr>
              <w:t xml:space="preserve">1.5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ROV水下系桩推力：纵向≥150公斤力；横向≥150公斤力；垂向≥200公斤力。（提供证明材料，资料要求：至少包括液压系统详细设计图。提供资料内容缺漏、示意不清、不充分的视作未提供证明。原件备查。）</w:t>
            </w:r>
          </w:p>
        </w:tc>
        <w:tc>
          <w:tcPr>
            <w:tcW w:w="919" w:type="pct"/>
            <w:tcBorders>
              <w:top w:val="single" w:color="auto" w:sz="4" w:space="0"/>
              <w:left w:val="single" w:color="auto" w:sz="4" w:space="0"/>
              <w:bottom w:val="single" w:color="auto" w:sz="4" w:space="0"/>
              <w:right w:val="single" w:color="auto" w:sz="4" w:space="0"/>
            </w:tcBorders>
            <w:vAlign w:val="center"/>
          </w:tcPr>
          <w:p w14:paraId="23F4994C">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F0747CF">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F2D0B71">
            <w:pPr>
              <w:rPr>
                <w:rFonts w:hint="eastAsia" w:ascii="宋体" w:hAnsi="宋体" w:eastAsia="Times New Roman" w:cs="Times New Roman"/>
                <w:b/>
                <w:bCs/>
                <w:color w:val="FF0000"/>
                <w:sz w:val="20"/>
                <w:szCs w:val="20"/>
              </w:rPr>
            </w:pPr>
          </w:p>
        </w:tc>
      </w:tr>
      <w:tr w14:paraId="7F2B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2B4508A1">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4BA83A56">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0232DBB8">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6 </w:t>
            </w:r>
            <w:r>
              <w:rPr>
                <w:rFonts w:hint="eastAsia" w:ascii="Times New Roman" w:hAnsi="Times New Roman" w:cs="Times New Roman"/>
                <w:sz w:val="20"/>
                <w:szCs w:val="20"/>
              </w:rPr>
              <w:t>★ 搭载传感器类别数量：深度计1部；高度计1部；姿态传感器1部；成像声呐1部；高清摄像机不少于2组；</w:t>
            </w:r>
          </w:p>
        </w:tc>
        <w:tc>
          <w:tcPr>
            <w:tcW w:w="919" w:type="pct"/>
            <w:tcBorders>
              <w:top w:val="single" w:color="auto" w:sz="4" w:space="0"/>
              <w:left w:val="single" w:color="auto" w:sz="4" w:space="0"/>
              <w:bottom w:val="single" w:color="auto" w:sz="4" w:space="0"/>
              <w:right w:val="single" w:color="auto" w:sz="4" w:space="0"/>
            </w:tcBorders>
            <w:vAlign w:val="center"/>
          </w:tcPr>
          <w:p w14:paraId="547ED2AF">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E2ED9A1">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6266323">
            <w:pPr>
              <w:rPr>
                <w:rFonts w:hint="eastAsia" w:ascii="Times New Roman" w:hAnsi="Times New Roman" w:cs="Times New Roman"/>
                <w:sz w:val="20"/>
                <w:szCs w:val="20"/>
              </w:rPr>
            </w:pPr>
          </w:p>
        </w:tc>
      </w:tr>
      <w:tr w14:paraId="7539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4B24B351">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6FACA900">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1AF893DC">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7 </w:t>
            </w:r>
            <w:r>
              <w:rPr>
                <w:rFonts w:hint="eastAsia" w:ascii="Times New Roman" w:hAnsi="Times New Roman" w:cs="Times New Roman"/>
                <w:sz w:val="20"/>
                <w:szCs w:val="20"/>
              </w:rPr>
              <w:t>★ ROV液压系统流量：≥100升/分钟；</w:t>
            </w:r>
          </w:p>
        </w:tc>
        <w:tc>
          <w:tcPr>
            <w:tcW w:w="919" w:type="pct"/>
            <w:tcBorders>
              <w:top w:val="single" w:color="auto" w:sz="4" w:space="0"/>
              <w:left w:val="single" w:color="auto" w:sz="4" w:space="0"/>
              <w:bottom w:val="single" w:color="auto" w:sz="4" w:space="0"/>
              <w:right w:val="single" w:color="auto" w:sz="4" w:space="0"/>
            </w:tcBorders>
            <w:vAlign w:val="center"/>
          </w:tcPr>
          <w:p w14:paraId="6C514090">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5C1DE64">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A9DCCF3">
            <w:pPr>
              <w:rPr>
                <w:rFonts w:hint="eastAsia" w:ascii="Times New Roman" w:hAnsi="Times New Roman" w:cs="Times New Roman"/>
                <w:sz w:val="20"/>
                <w:szCs w:val="20"/>
              </w:rPr>
            </w:pPr>
          </w:p>
        </w:tc>
      </w:tr>
      <w:tr w14:paraId="6F3B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46328C68">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0B93C5D1">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269D01A5">
            <w:pPr>
              <w:rPr>
                <w:rFonts w:ascii="Times New Roman" w:hAnsi="Times New Roman" w:cs="Times New Roman"/>
                <w:sz w:val="20"/>
                <w:szCs w:val="20"/>
              </w:rPr>
            </w:pPr>
            <w:r>
              <w:rPr>
                <w:rFonts w:hint="eastAsia" w:ascii="宋体" w:hAnsi="宋体" w:eastAsia="Times New Roman" w:cs="Times New Roman"/>
                <w:b/>
                <w:bCs/>
                <w:color w:val="FF0000"/>
                <w:sz w:val="20"/>
                <w:szCs w:val="20"/>
              </w:rPr>
              <w:t xml:space="preserve">1.8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ROV高级控制功能：悬停定位精度≤30厘米；（提供证明材料，资料要求：至少包括基于设计图或实物的行程参数示意资料。提供资料内容缺漏、示意不清、不充分的视作未提供证明。原件备查。）</w:t>
            </w:r>
          </w:p>
        </w:tc>
        <w:tc>
          <w:tcPr>
            <w:tcW w:w="919" w:type="pct"/>
            <w:tcBorders>
              <w:top w:val="single" w:color="auto" w:sz="4" w:space="0"/>
              <w:left w:val="single" w:color="auto" w:sz="4" w:space="0"/>
              <w:bottom w:val="single" w:color="auto" w:sz="4" w:space="0"/>
              <w:right w:val="single" w:color="auto" w:sz="4" w:space="0"/>
            </w:tcBorders>
            <w:vAlign w:val="center"/>
          </w:tcPr>
          <w:p w14:paraId="39109565">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29DA457">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CB88CE8">
            <w:pPr>
              <w:rPr>
                <w:rFonts w:hint="eastAsia" w:ascii="宋体" w:hAnsi="宋体" w:eastAsia="Times New Roman" w:cs="Times New Roman"/>
                <w:b/>
                <w:bCs/>
                <w:color w:val="FF0000"/>
                <w:sz w:val="20"/>
                <w:szCs w:val="20"/>
              </w:rPr>
            </w:pPr>
          </w:p>
        </w:tc>
      </w:tr>
      <w:tr w14:paraId="23DA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5ED534D2">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30A9DC9D">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2751A77B">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9 </w:t>
            </w:r>
            <w:r>
              <w:rPr>
                <w:rFonts w:hint="eastAsia" w:ascii="Times New Roman" w:hAnsi="Times New Roman" w:cs="Times New Roman"/>
                <w:sz w:val="20"/>
                <w:szCs w:val="20"/>
              </w:rPr>
              <w:t>▲ 具有自动定向、定高、定深、定点、平衡等功能；</w:t>
            </w:r>
          </w:p>
        </w:tc>
        <w:tc>
          <w:tcPr>
            <w:tcW w:w="919" w:type="pct"/>
            <w:tcBorders>
              <w:top w:val="single" w:color="auto" w:sz="4" w:space="0"/>
              <w:left w:val="single" w:color="auto" w:sz="4" w:space="0"/>
              <w:bottom w:val="single" w:color="auto" w:sz="4" w:space="0"/>
              <w:right w:val="single" w:color="auto" w:sz="4" w:space="0"/>
            </w:tcBorders>
            <w:vAlign w:val="center"/>
          </w:tcPr>
          <w:p w14:paraId="3FBBAB20">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A2DFD87">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70B0EFD">
            <w:pPr>
              <w:rPr>
                <w:rFonts w:hint="eastAsia" w:ascii="Times New Roman" w:hAnsi="Times New Roman" w:cs="Times New Roman"/>
                <w:sz w:val="20"/>
                <w:szCs w:val="20"/>
              </w:rPr>
            </w:pPr>
          </w:p>
        </w:tc>
      </w:tr>
      <w:tr w14:paraId="3F69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bottom w:val="single" w:color="auto" w:sz="4" w:space="0"/>
              <w:right w:val="single" w:color="auto" w:sz="4" w:space="0"/>
            </w:tcBorders>
            <w:vAlign w:val="center"/>
          </w:tcPr>
          <w:p w14:paraId="1D520422">
            <w:pPr>
              <w:jc w:val="center"/>
              <w:rPr>
                <w:rFonts w:ascii="Times New Roman" w:hAnsi="Times New Roman"/>
                <w:b/>
              </w:rPr>
            </w:pPr>
          </w:p>
        </w:tc>
        <w:tc>
          <w:tcPr>
            <w:tcW w:w="425" w:type="pct"/>
            <w:vMerge w:val="continue"/>
            <w:tcBorders>
              <w:left w:val="single" w:color="auto" w:sz="4" w:space="0"/>
              <w:bottom w:val="single" w:color="auto" w:sz="4" w:space="0"/>
              <w:right w:val="single" w:color="auto" w:sz="4" w:space="0"/>
            </w:tcBorders>
            <w:vAlign w:val="center"/>
          </w:tcPr>
          <w:p w14:paraId="46BF3974">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0DC0F048">
            <w:pPr>
              <w:rPr>
                <w:rFonts w:ascii="Times New Roman" w:hAnsi="Times New Roman" w:cs="Times New Roman"/>
                <w:sz w:val="20"/>
                <w:szCs w:val="20"/>
              </w:rPr>
            </w:pPr>
            <w:r>
              <w:rPr>
                <w:rFonts w:hint="eastAsia" w:ascii="宋体" w:hAnsi="宋体" w:eastAsia="Times New Roman" w:cs="Times New Roman"/>
                <w:b/>
                <w:bCs/>
                <w:color w:val="FF0000"/>
                <w:sz w:val="20"/>
                <w:szCs w:val="20"/>
              </w:rPr>
              <w:t xml:space="preserve">1.10 </w:t>
            </w:r>
            <w:r>
              <w:rPr>
                <w:rFonts w:hint="eastAsia" w:ascii="Times New Roman" w:hAnsi="Times New Roman" w:cs="Times New Roman"/>
                <w:color w:val="FF0000"/>
                <w:sz w:val="20"/>
                <w:szCs w:val="20"/>
              </w:rPr>
              <w:t>★</w:t>
            </w:r>
            <w:r>
              <w:rPr>
                <w:rFonts w:hint="eastAsia" w:ascii="宋体" w:hAnsi="宋体" w:eastAsia="Times New Roman" w:cs="Times New Roman"/>
                <w:b/>
                <w:bCs/>
                <w:color w:val="FF0000"/>
                <w:sz w:val="20"/>
                <w:szCs w:val="20"/>
              </w:rPr>
              <w:t xml:space="preserve"> ROV性能验证：交货前需提供海试验证，试验区域水深不低于300米，总天数不少于30天。（提供详细验证方案，资料要求：至少包括基于验证条件和验证过程的示意资料。提供资料内容缺漏、示意不清、不充分的视作未提供证明。原件备查。） </w:t>
            </w:r>
            <w:r>
              <w:rPr>
                <w:rFonts w:hint="eastAsia" w:ascii="宋体" w:hAnsi="宋体" w:eastAsia="Times New Roman" w:cs="Times New Roman"/>
                <w:color w:val="FF0000"/>
                <w:sz w:val="20"/>
                <w:szCs w:val="20"/>
              </w:rPr>
              <w:t xml:space="preserve"> </w:t>
            </w:r>
            <w:r>
              <w:rPr>
                <w:rFonts w:ascii="Times New Roman" w:hAnsi="Times New Roman" w:cs="Times New Roman" w:eastAsiaTheme="majorEastAsia"/>
                <w:szCs w:val="21"/>
              </w:rPr>
              <w:t xml:space="preserve">                                  </w:t>
            </w:r>
            <w:r>
              <w:rPr>
                <w:rFonts w:ascii="Times New Roman" w:hAnsi="Times New Roman" w:cs="Times New Roman" w:eastAsiaTheme="majorEastAsia"/>
                <w:b/>
                <w:szCs w:val="21"/>
                <w:u w:val="double"/>
              </w:rPr>
              <w:t xml:space="preserve">                                                                                                                                                                                                                                                                                                                                                     </w:t>
            </w:r>
          </w:p>
        </w:tc>
        <w:tc>
          <w:tcPr>
            <w:tcW w:w="919" w:type="pct"/>
            <w:tcBorders>
              <w:top w:val="single" w:color="auto" w:sz="4" w:space="0"/>
              <w:left w:val="single" w:color="auto" w:sz="4" w:space="0"/>
              <w:bottom w:val="single" w:color="auto" w:sz="4" w:space="0"/>
              <w:right w:val="single" w:color="auto" w:sz="4" w:space="0"/>
            </w:tcBorders>
            <w:vAlign w:val="center"/>
          </w:tcPr>
          <w:p w14:paraId="7EFFDA53">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C5AAE97">
            <w:pPr>
              <w:rPr>
                <w:rFonts w:hint="eastAsia" w:ascii="宋体" w:hAnsi="宋体" w:eastAsia="Times New Roman" w:cs="Times New Roman"/>
                <w:b/>
                <w:bCs/>
                <w:color w:val="FF0000"/>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CFAC1FD">
            <w:pPr>
              <w:rPr>
                <w:rFonts w:hint="eastAsia" w:ascii="宋体" w:hAnsi="宋体" w:eastAsia="Times New Roman" w:cs="Times New Roman"/>
                <w:b/>
                <w:bCs/>
                <w:color w:val="FF0000"/>
                <w:sz w:val="20"/>
                <w:szCs w:val="20"/>
              </w:rPr>
            </w:pPr>
          </w:p>
        </w:tc>
      </w:tr>
      <w:tr w14:paraId="38E9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restart"/>
            <w:tcBorders>
              <w:top w:val="nil"/>
              <w:left w:val="single" w:color="auto" w:sz="4" w:space="0"/>
              <w:right w:val="single" w:color="auto" w:sz="4" w:space="0"/>
            </w:tcBorders>
            <w:vAlign w:val="center"/>
          </w:tcPr>
          <w:p w14:paraId="44E7C350">
            <w:pPr>
              <w:jc w:val="center"/>
              <w:rPr>
                <w:rFonts w:ascii="Times New Roman" w:hAnsi="Times New Roman"/>
                <w:b/>
              </w:rPr>
            </w:pPr>
            <w:r>
              <w:rPr>
                <w:rFonts w:hint="eastAsia" w:ascii="Times New Roman" w:hAnsi="Times New Roman"/>
                <w:b/>
              </w:rPr>
              <w:t>2</w:t>
            </w:r>
          </w:p>
        </w:tc>
        <w:tc>
          <w:tcPr>
            <w:tcW w:w="425" w:type="pct"/>
            <w:vMerge w:val="restart"/>
            <w:tcBorders>
              <w:top w:val="nil"/>
              <w:left w:val="single" w:color="auto" w:sz="4" w:space="0"/>
              <w:right w:val="single" w:color="auto" w:sz="4" w:space="0"/>
            </w:tcBorders>
            <w:vAlign w:val="center"/>
          </w:tcPr>
          <w:p w14:paraId="48C34717">
            <w:pPr>
              <w:jc w:val="center"/>
              <w:rPr>
                <w:rFonts w:ascii="宋体" w:hAnsi="宋体"/>
                <w:sz w:val="20"/>
                <w:szCs w:val="20"/>
              </w:rPr>
            </w:pPr>
            <w:r>
              <w:rPr>
                <w:rFonts w:hint="eastAsia" w:ascii="宋体" w:hAnsi="宋体"/>
                <w:sz w:val="20"/>
                <w:szCs w:val="20"/>
              </w:rPr>
              <w:t>1.1液压动力单元</w:t>
            </w:r>
          </w:p>
        </w:tc>
        <w:tc>
          <w:tcPr>
            <w:tcW w:w="1597" w:type="pct"/>
            <w:tcBorders>
              <w:top w:val="single" w:color="auto" w:sz="4" w:space="0"/>
              <w:left w:val="single" w:color="auto" w:sz="4" w:space="0"/>
              <w:bottom w:val="single" w:color="auto" w:sz="4" w:space="0"/>
              <w:right w:val="single" w:color="auto" w:sz="4" w:space="0"/>
            </w:tcBorders>
            <w:vAlign w:val="center"/>
          </w:tcPr>
          <w:p w14:paraId="340DD4E0">
            <w:pPr>
              <w:rPr>
                <w:rFonts w:ascii="Times New Roman" w:hAnsi="Times New Roman" w:cs="Times New Roman"/>
                <w:sz w:val="20"/>
                <w:szCs w:val="20"/>
              </w:rPr>
            </w:pPr>
            <w:r>
              <w:rPr>
                <w:rFonts w:ascii="Times New Roman" w:hAnsi="Times New Roman" w:cs="Times New Roman"/>
                <w:sz w:val="20"/>
                <w:szCs w:val="20"/>
              </w:rPr>
              <w:t xml:space="preserve">2.1 </w:t>
            </w:r>
            <w:r>
              <w:rPr>
                <w:rFonts w:hint="eastAsia" w:ascii="Times New Roman" w:hAnsi="Times New Roman" w:cs="Times New Roman"/>
                <w:sz w:val="20"/>
                <w:szCs w:val="20"/>
              </w:rPr>
              <w:t>★ ROV液压系统流量：≥100升/分钟，采用伺服阀控制模式；</w:t>
            </w:r>
          </w:p>
        </w:tc>
        <w:tc>
          <w:tcPr>
            <w:tcW w:w="919" w:type="pct"/>
            <w:tcBorders>
              <w:top w:val="single" w:color="auto" w:sz="4" w:space="0"/>
              <w:left w:val="single" w:color="auto" w:sz="4" w:space="0"/>
              <w:bottom w:val="single" w:color="auto" w:sz="4" w:space="0"/>
              <w:right w:val="single" w:color="auto" w:sz="4" w:space="0"/>
            </w:tcBorders>
            <w:vAlign w:val="center"/>
          </w:tcPr>
          <w:p w14:paraId="1496FC33">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1B25654">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DC05B48">
            <w:pPr>
              <w:rPr>
                <w:rFonts w:ascii="Times New Roman" w:hAnsi="Times New Roman" w:cs="Times New Roman"/>
                <w:sz w:val="20"/>
                <w:szCs w:val="20"/>
              </w:rPr>
            </w:pPr>
          </w:p>
        </w:tc>
      </w:tr>
      <w:tr w14:paraId="7900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0AD4C70B">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174C292F">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79305864">
            <w:pPr>
              <w:rPr>
                <w:rFonts w:ascii="Times New Roman" w:hAnsi="Times New Roman" w:cs="Times New Roman"/>
                <w:sz w:val="20"/>
                <w:szCs w:val="20"/>
              </w:rPr>
            </w:pPr>
            <w:r>
              <w:rPr>
                <w:rFonts w:hint="eastAsia" w:ascii="Times New Roman" w:hAnsi="Times New Roman" w:cs="Times New Roman"/>
                <w:sz w:val="20"/>
                <w:szCs w:val="20"/>
              </w:rPr>
              <w:t>2.2</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双泵配置：主泵用于推进器和机械手，工具泵用于工装阀组，工装阀组用工装泵；</w:t>
            </w:r>
          </w:p>
        </w:tc>
        <w:tc>
          <w:tcPr>
            <w:tcW w:w="919" w:type="pct"/>
            <w:tcBorders>
              <w:top w:val="single" w:color="auto" w:sz="4" w:space="0"/>
              <w:left w:val="single" w:color="auto" w:sz="4" w:space="0"/>
              <w:bottom w:val="single" w:color="auto" w:sz="4" w:space="0"/>
              <w:right w:val="single" w:color="auto" w:sz="4" w:space="0"/>
            </w:tcBorders>
            <w:vAlign w:val="center"/>
          </w:tcPr>
          <w:p w14:paraId="0365305B">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AD6BC29">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72BC672">
            <w:pPr>
              <w:rPr>
                <w:rFonts w:hint="eastAsia" w:ascii="Times New Roman" w:hAnsi="Times New Roman" w:cs="Times New Roman"/>
                <w:sz w:val="20"/>
                <w:szCs w:val="20"/>
              </w:rPr>
            </w:pPr>
          </w:p>
        </w:tc>
      </w:tr>
      <w:tr w14:paraId="3307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 w:type="pct"/>
            <w:vMerge w:val="continue"/>
            <w:tcBorders>
              <w:left w:val="single" w:color="auto" w:sz="4" w:space="0"/>
              <w:right w:val="single" w:color="auto" w:sz="4" w:space="0"/>
            </w:tcBorders>
            <w:vAlign w:val="center"/>
          </w:tcPr>
          <w:p w14:paraId="0704BEF2">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48C639B9">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7DA58C85">
            <w:pPr>
              <w:rPr>
                <w:rFonts w:ascii="Times New Roman" w:hAnsi="Times New Roman" w:cs="Times New Roman"/>
                <w:sz w:val="20"/>
                <w:szCs w:val="20"/>
              </w:rPr>
            </w:pPr>
            <w:r>
              <w:rPr>
                <w:rFonts w:hint="eastAsia" w:ascii="Times New Roman" w:hAnsi="Times New Roman" w:cs="Times New Roman"/>
                <w:sz w:val="20"/>
                <w:szCs w:val="20"/>
              </w:rPr>
              <w:t>2.3</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水下马达：≥150马力</w:t>
            </w:r>
          </w:p>
        </w:tc>
        <w:tc>
          <w:tcPr>
            <w:tcW w:w="919" w:type="pct"/>
            <w:tcBorders>
              <w:top w:val="single" w:color="auto" w:sz="4" w:space="0"/>
              <w:left w:val="single" w:color="auto" w:sz="4" w:space="0"/>
              <w:bottom w:val="single" w:color="auto" w:sz="4" w:space="0"/>
              <w:right w:val="single" w:color="auto" w:sz="4" w:space="0"/>
            </w:tcBorders>
            <w:vAlign w:val="center"/>
          </w:tcPr>
          <w:p w14:paraId="76CB03C6">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163861B">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68C1025">
            <w:pPr>
              <w:rPr>
                <w:rFonts w:hint="eastAsia" w:ascii="Times New Roman" w:hAnsi="Times New Roman" w:cs="Times New Roman"/>
                <w:sz w:val="20"/>
                <w:szCs w:val="20"/>
              </w:rPr>
            </w:pPr>
          </w:p>
        </w:tc>
      </w:tr>
      <w:tr w14:paraId="05E0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left w:val="single" w:color="auto" w:sz="4" w:space="0"/>
              <w:right w:val="single" w:color="auto" w:sz="4" w:space="0"/>
            </w:tcBorders>
            <w:vAlign w:val="center"/>
          </w:tcPr>
          <w:p w14:paraId="06CF603C">
            <w:pPr>
              <w:jc w:val="center"/>
              <w:rPr>
                <w:rFonts w:ascii="Times New Roman" w:hAnsi="Times New Roman"/>
                <w:b/>
              </w:rPr>
            </w:pPr>
          </w:p>
        </w:tc>
        <w:tc>
          <w:tcPr>
            <w:tcW w:w="425" w:type="pct"/>
            <w:vMerge w:val="continue"/>
            <w:tcBorders>
              <w:left w:val="single" w:color="auto" w:sz="4" w:space="0"/>
              <w:right w:val="single" w:color="auto" w:sz="4" w:space="0"/>
            </w:tcBorders>
            <w:vAlign w:val="center"/>
          </w:tcPr>
          <w:p w14:paraId="62381D14">
            <w:pPr>
              <w:jc w:val="center"/>
              <w:rPr>
                <w:rFonts w:ascii="宋体" w:hAnsi="宋体"/>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50DE402C">
            <w:pPr>
              <w:rPr>
                <w:rFonts w:ascii="Times New Roman" w:hAnsi="Times New Roman" w:cs="Times New Roman"/>
                <w:sz w:val="20"/>
                <w:szCs w:val="20"/>
              </w:rPr>
            </w:pPr>
            <w:r>
              <w:rPr>
                <w:rFonts w:ascii="Times New Roman" w:hAnsi="Times New Roman" w:cs="Times New Roman"/>
                <w:sz w:val="20"/>
                <w:szCs w:val="20"/>
              </w:rPr>
              <w:t>2</w:t>
            </w:r>
            <w:r>
              <w:rPr>
                <w:rFonts w:hint="eastAsia" w:ascii="Times New Roman" w:hAnsi="Times New Roman" w:cs="Times New Roman"/>
                <w:sz w:val="20"/>
                <w:szCs w:val="20"/>
              </w:rPr>
              <w:t>.</w:t>
            </w:r>
            <w:r>
              <w:rPr>
                <w:rFonts w:ascii="Times New Roman" w:hAnsi="Times New Roman" w:cs="Times New Roman"/>
                <w:sz w:val="20"/>
                <w:szCs w:val="20"/>
              </w:rPr>
              <w:t xml:space="preserve">4 </w:t>
            </w:r>
            <w:r>
              <w:rPr>
                <w:rFonts w:hint="eastAsia" w:ascii="Times New Roman" w:hAnsi="Times New Roman" w:cs="Times New Roman"/>
                <w:sz w:val="20"/>
                <w:szCs w:val="20"/>
              </w:rPr>
              <w:t>耐压水深：≥ 1000米；</w:t>
            </w:r>
          </w:p>
        </w:tc>
        <w:tc>
          <w:tcPr>
            <w:tcW w:w="919" w:type="pct"/>
            <w:tcBorders>
              <w:top w:val="single" w:color="auto" w:sz="4" w:space="0"/>
              <w:left w:val="single" w:color="auto" w:sz="4" w:space="0"/>
              <w:bottom w:val="single" w:color="auto" w:sz="4" w:space="0"/>
              <w:right w:val="single" w:color="auto" w:sz="4" w:space="0"/>
            </w:tcBorders>
            <w:vAlign w:val="center"/>
          </w:tcPr>
          <w:p w14:paraId="641AB352">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9A0D0ED">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B943FA9">
            <w:pPr>
              <w:rPr>
                <w:rFonts w:ascii="Times New Roman" w:hAnsi="Times New Roman" w:cs="Times New Roman"/>
                <w:sz w:val="20"/>
                <w:szCs w:val="20"/>
              </w:rPr>
            </w:pPr>
          </w:p>
        </w:tc>
      </w:tr>
      <w:tr w14:paraId="59D8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restart"/>
            <w:tcBorders>
              <w:top w:val="nil"/>
              <w:left w:val="single" w:color="auto" w:sz="4" w:space="0"/>
              <w:bottom w:val="single" w:color="auto" w:sz="4" w:space="0"/>
              <w:right w:val="single" w:color="auto" w:sz="4" w:space="0"/>
            </w:tcBorders>
            <w:vAlign w:val="center"/>
          </w:tcPr>
          <w:p w14:paraId="1E9C0156">
            <w:pPr>
              <w:jc w:val="center"/>
              <w:rPr>
                <w:rFonts w:ascii="Times New Roman" w:hAnsi="Times New Roman"/>
                <w:b/>
              </w:rPr>
            </w:pPr>
            <w:r>
              <w:rPr>
                <w:rFonts w:hint="eastAsia" w:ascii="Times New Roman" w:hAnsi="Times New Roman"/>
                <w:b/>
              </w:rPr>
              <w:t>3</w:t>
            </w:r>
          </w:p>
        </w:tc>
        <w:tc>
          <w:tcPr>
            <w:tcW w:w="425" w:type="pct"/>
            <w:vMerge w:val="restart"/>
            <w:tcBorders>
              <w:top w:val="nil"/>
              <w:left w:val="single" w:color="auto" w:sz="4" w:space="0"/>
              <w:bottom w:val="single" w:color="auto" w:sz="4" w:space="0"/>
              <w:right w:val="single" w:color="auto" w:sz="4" w:space="0"/>
            </w:tcBorders>
            <w:vAlign w:val="center"/>
          </w:tcPr>
          <w:p w14:paraId="53B779E2">
            <w:pPr>
              <w:jc w:val="center"/>
              <w:rPr>
                <w:rFonts w:ascii="Times New Roman" w:hAnsi="Times New Roman"/>
                <w:sz w:val="20"/>
                <w:szCs w:val="20"/>
              </w:rPr>
            </w:pPr>
            <w:r>
              <w:rPr>
                <w:rFonts w:hint="eastAsia" w:ascii="Times New Roman" w:hAnsi="Times New Roman" w:cs="Times New Roman"/>
                <w:sz w:val="18"/>
                <w:szCs w:val="18"/>
              </w:rPr>
              <w:t>1</w:t>
            </w:r>
            <w:r>
              <w:rPr>
                <w:rFonts w:ascii="Times New Roman" w:hAnsi="Times New Roman" w:cs="Times New Roman"/>
                <w:sz w:val="18"/>
                <w:szCs w:val="18"/>
              </w:rPr>
              <w:t>.2</w:t>
            </w:r>
            <w:r>
              <w:rPr>
                <w:rFonts w:hint="eastAsia" w:ascii="Times New Roman" w:hAnsi="Times New Roman" w:cs="Times New Roman"/>
                <w:sz w:val="18"/>
                <w:szCs w:val="18"/>
              </w:rPr>
              <w:t>水下电力单元</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5E6C5E34">
            <w:pPr>
              <w:rPr>
                <w:rFonts w:ascii="Times New Roman" w:hAnsi="Times New Roman" w:cs="Times New Roman"/>
                <w:sz w:val="20"/>
                <w:szCs w:val="20"/>
              </w:rPr>
            </w:pPr>
            <w:r>
              <w:rPr>
                <w:rFonts w:hint="eastAsia" w:ascii="Times New Roman" w:hAnsi="Times New Roman" w:cs="Times New Roman"/>
                <w:sz w:val="20"/>
                <w:szCs w:val="20"/>
              </w:rPr>
              <w:t>3.1</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潜水器功率：≥ 125马力</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D278ADC">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301714EA">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1E68386">
            <w:pPr>
              <w:rPr>
                <w:rFonts w:hint="eastAsia" w:ascii="Times New Roman" w:hAnsi="Times New Roman" w:cs="Times New Roman"/>
                <w:sz w:val="20"/>
                <w:szCs w:val="20"/>
              </w:rPr>
            </w:pPr>
          </w:p>
        </w:tc>
      </w:tr>
      <w:tr w14:paraId="2069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 w:type="pct"/>
            <w:vMerge w:val="continue"/>
            <w:tcBorders>
              <w:top w:val="nil"/>
              <w:left w:val="single" w:color="auto" w:sz="4" w:space="0"/>
              <w:bottom w:val="single" w:color="auto" w:sz="4" w:space="0"/>
              <w:right w:val="single" w:color="auto" w:sz="4" w:space="0"/>
            </w:tcBorders>
            <w:vAlign w:val="center"/>
          </w:tcPr>
          <w:p w14:paraId="755D204D">
            <w:pPr>
              <w:jc w:val="center"/>
              <w:rPr>
                <w:rFonts w:ascii="Times New Roman" w:hAnsi="Times New Roman"/>
                <w:b/>
              </w:rPr>
            </w:pPr>
          </w:p>
        </w:tc>
        <w:tc>
          <w:tcPr>
            <w:tcW w:w="425" w:type="pct"/>
            <w:vMerge w:val="continue"/>
            <w:tcBorders>
              <w:top w:val="nil"/>
              <w:left w:val="single" w:color="auto" w:sz="4" w:space="0"/>
              <w:bottom w:val="single" w:color="auto" w:sz="4" w:space="0"/>
              <w:right w:val="single" w:color="auto" w:sz="4" w:space="0"/>
            </w:tcBorders>
            <w:vAlign w:val="center"/>
          </w:tcPr>
          <w:p w14:paraId="788FD7C3">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7EDC6F1D">
            <w:pPr>
              <w:rPr>
                <w:rFonts w:ascii="Times New Roman" w:hAnsi="Times New Roman" w:cs="Times New Roman"/>
                <w:sz w:val="20"/>
                <w:szCs w:val="20"/>
              </w:rPr>
            </w:pPr>
            <w:r>
              <w:rPr>
                <w:rFonts w:hint="eastAsia" w:ascii="Times New Roman" w:hAnsi="Times New Roman" w:cs="Times New Roman"/>
                <w:sz w:val="20"/>
                <w:szCs w:val="20"/>
              </w:rPr>
              <w:t>3.2</w:t>
            </w:r>
            <w:r>
              <w:rPr>
                <w:rFonts w:ascii="Times New Roman" w:hAnsi="Times New Roman" w:cs="Times New Roman"/>
                <w:sz w:val="20"/>
                <w:szCs w:val="20"/>
              </w:rPr>
              <w:t xml:space="preserve"> </w:t>
            </w:r>
            <w:r>
              <w:rPr>
                <w:rFonts w:hint="eastAsia" w:ascii="Times New Roman" w:hAnsi="Times New Roman" w:cs="Times New Roman"/>
                <w:sz w:val="20"/>
                <w:szCs w:val="20"/>
              </w:rPr>
              <w:t>变压器：110VAC@35Amps,20VAC@40Amps</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392CD3E">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A979889">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B71A3EB">
            <w:pPr>
              <w:rPr>
                <w:rFonts w:hint="eastAsia" w:ascii="Times New Roman" w:hAnsi="Times New Roman" w:cs="Times New Roman"/>
                <w:sz w:val="20"/>
                <w:szCs w:val="20"/>
              </w:rPr>
            </w:pPr>
          </w:p>
        </w:tc>
      </w:tr>
      <w:tr w14:paraId="31C8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 w:type="pct"/>
            <w:vMerge w:val="continue"/>
            <w:tcBorders>
              <w:top w:val="nil"/>
              <w:left w:val="single" w:color="auto" w:sz="4" w:space="0"/>
              <w:bottom w:val="single" w:color="auto" w:sz="4" w:space="0"/>
              <w:right w:val="single" w:color="auto" w:sz="4" w:space="0"/>
            </w:tcBorders>
            <w:vAlign w:val="center"/>
          </w:tcPr>
          <w:p w14:paraId="652F1093">
            <w:pPr>
              <w:widowControl/>
              <w:jc w:val="center"/>
              <w:rPr>
                <w:rFonts w:ascii="Times New Roman" w:hAnsi="Times New Roman" w:eastAsia="宋体"/>
                <w:b/>
                <w:szCs w:val="21"/>
              </w:rPr>
            </w:pPr>
          </w:p>
        </w:tc>
        <w:tc>
          <w:tcPr>
            <w:tcW w:w="425" w:type="pct"/>
            <w:vMerge w:val="continue"/>
            <w:tcBorders>
              <w:top w:val="nil"/>
              <w:left w:val="single" w:color="auto" w:sz="4" w:space="0"/>
              <w:bottom w:val="single" w:color="auto" w:sz="4" w:space="0"/>
              <w:right w:val="single" w:color="auto" w:sz="4" w:space="0"/>
            </w:tcBorders>
            <w:vAlign w:val="center"/>
          </w:tcPr>
          <w:p w14:paraId="54508E23">
            <w:pPr>
              <w:widowControl/>
              <w:jc w:val="center"/>
              <w:rPr>
                <w:rFonts w:ascii="Times New Roman" w:hAnsi="Times New Roman" w:eastAsia="宋体"/>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39BB4FC5">
            <w:pPr>
              <w:rPr>
                <w:rFonts w:ascii="Times New Roman" w:hAnsi="Times New Roman" w:cs="Times New Roman"/>
                <w:sz w:val="20"/>
                <w:szCs w:val="20"/>
              </w:rPr>
            </w:pPr>
            <w:r>
              <w:rPr>
                <w:rFonts w:hint="eastAsia" w:ascii="Times New Roman" w:hAnsi="Times New Roman" w:cs="Times New Roman"/>
                <w:sz w:val="20"/>
                <w:szCs w:val="20"/>
              </w:rPr>
              <w:t>3.</w:t>
            </w:r>
            <w:r>
              <w:rPr>
                <w:rFonts w:ascii="Times New Roman" w:hAnsi="Times New Roman" w:cs="Times New Roman"/>
                <w:sz w:val="20"/>
                <w:szCs w:val="20"/>
              </w:rPr>
              <w:t xml:space="preserve">3 </w:t>
            </w:r>
            <w:r>
              <w:rPr>
                <w:rFonts w:hint="eastAsia" w:ascii="Times New Roman" w:hAnsi="Times New Roman" w:cs="Times New Roman"/>
                <w:sz w:val="20"/>
                <w:szCs w:val="20"/>
              </w:rPr>
              <w:t>耐压水深：≥ 1000米；</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CE1A860">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515166B">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525409B">
            <w:pPr>
              <w:rPr>
                <w:rFonts w:hint="eastAsia" w:ascii="Times New Roman" w:hAnsi="Times New Roman" w:cs="Times New Roman"/>
                <w:sz w:val="20"/>
                <w:szCs w:val="20"/>
              </w:rPr>
            </w:pPr>
          </w:p>
        </w:tc>
      </w:tr>
      <w:tr w14:paraId="692D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2987649D">
            <w:pPr>
              <w:jc w:val="center"/>
              <w:rPr>
                <w:rFonts w:ascii="Times New Roman" w:hAnsi="Times New Roman"/>
                <w:b/>
                <w:sz w:val="20"/>
                <w:szCs w:val="20"/>
              </w:rPr>
            </w:pPr>
            <w:r>
              <w:rPr>
                <w:rFonts w:hint="eastAsia" w:ascii="Times New Roman" w:hAnsi="Times New Roman"/>
                <w:b/>
                <w:sz w:val="20"/>
                <w:szCs w:val="20"/>
              </w:rPr>
              <w:t>4</w:t>
            </w:r>
          </w:p>
        </w:tc>
        <w:tc>
          <w:tcPr>
            <w:tcW w:w="425" w:type="pct"/>
            <w:vMerge w:val="restart"/>
            <w:tcBorders>
              <w:top w:val="nil"/>
              <w:left w:val="single" w:color="auto" w:sz="4" w:space="0"/>
              <w:right w:val="single" w:color="auto" w:sz="4" w:space="0"/>
            </w:tcBorders>
            <w:vAlign w:val="center"/>
          </w:tcPr>
          <w:p w14:paraId="511EA8D3">
            <w:pPr>
              <w:jc w:val="center"/>
              <w:rPr>
                <w:rFonts w:ascii="Times New Roman" w:hAnsi="Times New Roman"/>
                <w:bCs/>
                <w:sz w:val="20"/>
                <w:szCs w:val="20"/>
              </w:rPr>
            </w:pPr>
            <w:r>
              <w:rPr>
                <w:rFonts w:hint="eastAsia" w:ascii="Times New Roman" w:hAnsi="Times New Roman" w:cs="Times New Roman"/>
                <w:sz w:val="18"/>
                <w:szCs w:val="18"/>
              </w:rPr>
              <w:t>1</w:t>
            </w:r>
            <w:r>
              <w:rPr>
                <w:rFonts w:ascii="Times New Roman" w:hAnsi="Times New Roman" w:cs="Times New Roman"/>
                <w:sz w:val="18"/>
                <w:szCs w:val="18"/>
              </w:rPr>
              <w:t>.3</w:t>
            </w:r>
            <w:r>
              <w:rPr>
                <w:rFonts w:hint="eastAsia" w:ascii="Times New Roman" w:hAnsi="Times New Roman" w:cs="Times New Roman"/>
                <w:sz w:val="18"/>
                <w:szCs w:val="18"/>
              </w:rPr>
              <w:t>主体结构</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061D4406">
            <w:pPr>
              <w:rPr>
                <w:rFonts w:ascii="Times New Roman" w:hAnsi="Times New Roman" w:cs="Times New Roman"/>
                <w:sz w:val="20"/>
                <w:szCs w:val="20"/>
              </w:rPr>
            </w:pPr>
            <w:r>
              <w:rPr>
                <w:rFonts w:hint="eastAsia" w:ascii="Times New Roman" w:hAnsi="Times New Roman" w:cs="Times New Roman"/>
                <w:sz w:val="20"/>
                <w:szCs w:val="20"/>
              </w:rPr>
              <w:t>4.1</w:t>
            </w:r>
            <w:r>
              <w:rPr>
                <w:rFonts w:ascii="Times New Roman" w:hAnsi="Times New Roman" w:cs="Times New Roman"/>
                <w:sz w:val="20"/>
                <w:szCs w:val="20"/>
              </w:rPr>
              <w:t xml:space="preserve"> </w:t>
            </w:r>
            <w:r>
              <w:rPr>
                <w:rFonts w:hint="eastAsia" w:ascii="Times New Roman" w:hAnsi="Times New Roman" w:cs="Times New Roman"/>
                <w:sz w:val="20"/>
                <w:szCs w:val="20"/>
              </w:rPr>
              <w:t>尺寸：3.2米</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1.6米</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1.8米（长</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宽</w:t>
            </w:r>
            <w:r>
              <w:rPr>
                <w:rFonts w:hint="eastAsia" w:ascii="Times New Roman" w:hAnsi="Times New Roman" w:cs="Times New Roman"/>
                <w:sz w:val="20"/>
                <w:szCs w:val="20"/>
              </w:rPr>
              <w:sym w:font="Wingdings 2" w:char="F0CD"/>
            </w:r>
            <w:r>
              <w:rPr>
                <w:rFonts w:hint="eastAsia" w:ascii="Times New Roman" w:hAnsi="Times New Roman" w:cs="Times New Roman"/>
                <w:sz w:val="20"/>
                <w:szCs w:val="20"/>
              </w:rPr>
              <w:t>高）；</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7DBED4D">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7F1D174">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343DDE2">
            <w:pPr>
              <w:rPr>
                <w:rFonts w:hint="eastAsia" w:ascii="Times New Roman" w:hAnsi="Times New Roman" w:cs="Times New Roman"/>
                <w:sz w:val="20"/>
                <w:szCs w:val="20"/>
              </w:rPr>
            </w:pPr>
          </w:p>
        </w:tc>
      </w:tr>
      <w:tr w14:paraId="57BF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164ED9BC">
            <w:pPr>
              <w:jc w:val="center"/>
              <w:rPr>
                <w:rFonts w:ascii="Times New Roman" w:hAnsi="Times New Roman"/>
                <w:b/>
                <w:sz w:val="20"/>
                <w:szCs w:val="20"/>
              </w:rPr>
            </w:pPr>
          </w:p>
        </w:tc>
        <w:tc>
          <w:tcPr>
            <w:tcW w:w="425" w:type="pct"/>
            <w:vMerge w:val="continue"/>
            <w:tcBorders>
              <w:left w:val="single" w:color="auto" w:sz="4" w:space="0"/>
              <w:right w:val="single" w:color="auto" w:sz="4" w:space="0"/>
            </w:tcBorders>
            <w:vAlign w:val="center"/>
          </w:tcPr>
          <w:p w14:paraId="267A6FAC">
            <w:pPr>
              <w:rPr>
                <w:rFonts w:ascii="Times New Roman" w:hAnsi="Times New Roman"/>
                <w:bCs/>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30EE776D">
            <w:pPr>
              <w:rPr>
                <w:rFonts w:ascii="Times New Roman" w:hAnsi="Times New Roman" w:cs="Times New Roman"/>
                <w:sz w:val="20"/>
                <w:szCs w:val="20"/>
              </w:rPr>
            </w:pPr>
            <w:r>
              <w:rPr>
                <w:rFonts w:hint="eastAsia" w:ascii="Times New Roman" w:hAnsi="Times New Roman" w:cs="Times New Roman"/>
                <w:sz w:val="20"/>
                <w:szCs w:val="20"/>
              </w:rPr>
              <w:t>4.2</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耐压水深：≥ 1000米；</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12500F5">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C128E0C">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9C0ACEA">
            <w:pPr>
              <w:rPr>
                <w:rFonts w:hint="eastAsia" w:ascii="Times New Roman" w:hAnsi="Times New Roman" w:cs="Times New Roman"/>
                <w:sz w:val="20"/>
                <w:szCs w:val="20"/>
              </w:rPr>
            </w:pPr>
          </w:p>
        </w:tc>
      </w:tr>
      <w:tr w14:paraId="7B8C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59C68176">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52139346">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5C92D1B7">
            <w:pPr>
              <w:rPr>
                <w:rFonts w:ascii="Times New Roman" w:hAnsi="Times New Roman" w:cs="Times New Roman"/>
                <w:sz w:val="20"/>
                <w:szCs w:val="20"/>
              </w:rPr>
            </w:pPr>
            <w:r>
              <w:rPr>
                <w:rFonts w:hint="eastAsia" w:ascii="Times New Roman" w:hAnsi="Times New Roman" w:cs="Times New Roman"/>
                <w:sz w:val="20"/>
                <w:szCs w:val="20"/>
              </w:rPr>
              <w:t>4.3</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材质：UNS S316不锈钢或TC4 钛合金；</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331C5E8">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F849B1D">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6432FFC">
            <w:pPr>
              <w:rPr>
                <w:rFonts w:hint="eastAsia" w:ascii="Times New Roman" w:hAnsi="Times New Roman" w:cs="Times New Roman"/>
                <w:sz w:val="20"/>
                <w:szCs w:val="20"/>
              </w:rPr>
            </w:pPr>
          </w:p>
        </w:tc>
      </w:tr>
      <w:tr w14:paraId="2EAD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8" w:type="pct"/>
            <w:vMerge w:val="continue"/>
            <w:tcBorders>
              <w:left w:val="single" w:color="auto" w:sz="4" w:space="0"/>
              <w:right w:val="single" w:color="auto" w:sz="4" w:space="0"/>
            </w:tcBorders>
            <w:vAlign w:val="center"/>
          </w:tcPr>
          <w:p w14:paraId="4B833572">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098FC084">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2049174D">
            <w:pPr>
              <w:rPr>
                <w:rFonts w:ascii="Times New Roman" w:hAnsi="Times New Roman" w:cs="Times New Roman"/>
                <w:sz w:val="20"/>
                <w:szCs w:val="20"/>
              </w:rPr>
            </w:pPr>
            <w:r>
              <w:rPr>
                <w:rFonts w:hint="eastAsia" w:ascii="Times New Roman" w:hAnsi="Times New Roman" w:cs="Times New Roman"/>
                <w:sz w:val="20"/>
                <w:szCs w:val="20"/>
              </w:rPr>
              <w:t xml:space="preserve">4.4 </w:t>
            </w:r>
            <w:r>
              <w:rPr>
                <w:rFonts w:hint="eastAsia"/>
                <w:sz w:val="20"/>
              </w:rPr>
              <w:t>▲</w:t>
            </w:r>
            <w:r>
              <w:rPr>
                <w:rFonts w:hint="eastAsia" w:ascii="Times New Roman" w:hAnsi="Times New Roman" w:cs="Times New Roman"/>
                <w:sz w:val="20"/>
                <w:szCs w:val="20"/>
              </w:rPr>
              <w:t>UNDER SKID负载：≥2吨；</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0472622">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3B1E566F">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65223C9">
            <w:pPr>
              <w:rPr>
                <w:rFonts w:hint="eastAsia" w:ascii="Times New Roman" w:hAnsi="Times New Roman" w:cs="Times New Roman"/>
                <w:sz w:val="20"/>
                <w:szCs w:val="20"/>
              </w:rPr>
            </w:pPr>
          </w:p>
        </w:tc>
      </w:tr>
      <w:tr w14:paraId="21A4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left w:val="single" w:color="auto" w:sz="4" w:space="0"/>
              <w:right w:val="single" w:color="auto" w:sz="4" w:space="0"/>
            </w:tcBorders>
            <w:vAlign w:val="center"/>
          </w:tcPr>
          <w:p w14:paraId="77220B12">
            <w:pPr>
              <w:widowControl/>
              <w:jc w:val="center"/>
              <w:rPr>
                <w:rFonts w:ascii="Times New Roman" w:hAnsi="Times New Roman" w:eastAsia="宋体"/>
                <w:b/>
                <w:sz w:val="20"/>
                <w:szCs w:val="20"/>
              </w:rPr>
            </w:pPr>
            <w:r>
              <w:rPr>
                <w:rFonts w:hint="eastAsia" w:ascii="Times New Roman" w:hAnsi="Times New Roman" w:eastAsia="宋体"/>
                <w:b/>
                <w:sz w:val="20"/>
                <w:szCs w:val="20"/>
              </w:rPr>
              <w:t>5</w:t>
            </w:r>
          </w:p>
        </w:tc>
        <w:tc>
          <w:tcPr>
            <w:tcW w:w="425" w:type="pct"/>
            <w:vMerge w:val="restart"/>
            <w:tcBorders>
              <w:left w:val="single" w:color="auto" w:sz="4" w:space="0"/>
              <w:right w:val="single" w:color="auto" w:sz="4" w:space="0"/>
            </w:tcBorders>
            <w:vAlign w:val="center"/>
          </w:tcPr>
          <w:p w14:paraId="38BE3E7C">
            <w:pPr>
              <w:widowControl/>
              <w:jc w:val="center"/>
              <w:rPr>
                <w:rFonts w:ascii="Times New Roman" w:hAnsi="Times New Roman" w:eastAsia="宋体"/>
                <w:bCs/>
                <w:sz w:val="20"/>
                <w:szCs w:val="20"/>
              </w:rPr>
            </w:pPr>
            <w:r>
              <w:rPr>
                <w:rFonts w:ascii="Times New Roman" w:hAnsi="Times New Roman" w:cs="Times New Roman"/>
                <w:sz w:val="18"/>
                <w:szCs w:val="18"/>
              </w:rPr>
              <w:t>1.4</w:t>
            </w:r>
            <w:r>
              <w:rPr>
                <w:rFonts w:hint="eastAsia" w:ascii="Times New Roman" w:hAnsi="Times New Roman" w:cs="Times New Roman"/>
                <w:sz w:val="18"/>
                <w:szCs w:val="18"/>
              </w:rPr>
              <w:t>水下控制单元</w:t>
            </w:r>
          </w:p>
        </w:tc>
        <w:tc>
          <w:tcPr>
            <w:tcW w:w="1597" w:type="pct"/>
            <w:tcBorders>
              <w:top w:val="single" w:color="auto" w:sz="4" w:space="0"/>
              <w:left w:val="single" w:color="auto" w:sz="4" w:space="0"/>
              <w:bottom w:val="single" w:color="auto" w:sz="4" w:space="0"/>
              <w:right w:val="single" w:color="auto" w:sz="4" w:space="0"/>
            </w:tcBorders>
            <w:vAlign w:val="center"/>
          </w:tcPr>
          <w:p w14:paraId="70DD0278">
            <w:pPr>
              <w:rPr>
                <w:rFonts w:ascii="Times New Roman" w:hAnsi="Times New Roman" w:cs="Times New Roman"/>
                <w:sz w:val="20"/>
                <w:szCs w:val="20"/>
              </w:rPr>
            </w:pPr>
            <w:r>
              <w:rPr>
                <w:rFonts w:hint="eastAsia" w:ascii="Times New Roman" w:hAnsi="Times New Roman" w:cs="Times New Roman"/>
                <w:sz w:val="20"/>
                <w:szCs w:val="20"/>
              </w:rPr>
              <w:t>5.1</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 xml:space="preserve"> 高级控制功能：悬停定位精度≤30厘米；</w:t>
            </w:r>
          </w:p>
        </w:tc>
        <w:tc>
          <w:tcPr>
            <w:tcW w:w="919" w:type="pct"/>
            <w:tcBorders>
              <w:top w:val="single" w:color="auto" w:sz="4" w:space="0"/>
              <w:left w:val="single" w:color="auto" w:sz="4" w:space="0"/>
              <w:bottom w:val="single" w:color="auto" w:sz="4" w:space="0"/>
              <w:right w:val="single" w:color="auto" w:sz="4" w:space="0"/>
            </w:tcBorders>
            <w:vAlign w:val="center"/>
          </w:tcPr>
          <w:p w14:paraId="1F547DC2">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29AB47C">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E57EC97">
            <w:pPr>
              <w:rPr>
                <w:rFonts w:hint="eastAsia" w:ascii="Times New Roman" w:hAnsi="Times New Roman" w:cs="Times New Roman"/>
                <w:sz w:val="20"/>
                <w:szCs w:val="20"/>
              </w:rPr>
            </w:pPr>
          </w:p>
        </w:tc>
      </w:tr>
      <w:tr w14:paraId="22E1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70AE0293">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5B5D40CA">
            <w:pPr>
              <w:widowControl/>
              <w:jc w:val="center"/>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6EE8BBD3">
            <w:pPr>
              <w:rPr>
                <w:rFonts w:ascii="Times New Roman" w:hAnsi="Times New Roman" w:cs="Times New Roman"/>
                <w:sz w:val="20"/>
                <w:szCs w:val="20"/>
              </w:rPr>
            </w:pPr>
            <w:r>
              <w:rPr>
                <w:rFonts w:hint="eastAsia" w:ascii="Times New Roman" w:hAnsi="Times New Roman" w:cs="Times New Roman"/>
                <w:sz w:val="20"/>
                <w:szCs w:val="20"/>
              </w:rPr>
              <w:t>5.2</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 xml:space="preserve"> 具有自动定向、定高、定深、定深、定点、平衡功能；</w:t>
            </w:r>
          </w:p>
        </w:tc>
        <w:tc>
          <w:tcPr>
            <w:tcW w:w="919" w:type="pct"/>
            <w:tcBorders>
              <w:top w:val="single" w:color="auto" w:sz="4" w:space="0"/>
              <w:left w:val="single" w:color="auto" w:sz="4" w:space="0"/>
              <w:bottom w:val="single" w:color="auto" w:sz="4" w:space="0"/>
              <w:right w:val="single" w:color="auto" w:sz="4" w:space="0"/>
            </w:tcBorders>
            <w:vAlign w:val="center"/>
          </w:tcPr>
          <w:p w14:paraId="52911A4F">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B3BCE92">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8640F2C">
            <w:pPr>
              <w:rPr>
                <w:rFonts w:hint="eastAsia" w:ascii="Times New Roman" w:hAnsi="Times New Roman" w:cs="Times New Roman"/>
                <w:sz w:val="20"/>
                <w:szCs w:val="20"/>
              </w:rPr>
            </w:pPr>
          </w:p>
        </w:tc>
      </w:tr>
      <w:tr w14:paraId="14FA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4DFE8C83">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19949085">
            <w:pPr>
              <w:widowControl/>
              <w:jc w:val="center"/>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011A45C1">
            <w:pPr>
              <w:rPr>
                <w:rFonts w:ascii="Times New Roman" w:hAnsi="Times New Roman" w:cs="Times New Roman"/>
                <w:sz w:val="20"/>
                <w:szCs w:val="20"/>
              </w:rPr>
            </w:pPr>
            <w:r>
              <w:rPr>
                <w:rFonts w:hint="eastAsia" w:ascii="Times New Roman" w:hAnsi="Times New Roman" w:cs="Times New Roman"/>
                <w:sz w:val="20"/>
                <w:szCs w:val="20"/>
              </w:rPr>
              <w:t>5.3</w:t>
            </w:r>
            <w:r>
              <w:rPr>
                <w:rFonts w:ascii="Times New Roman" w:hAnsi="Times New Roman" w:cs="Times New Roman"/>
                <w:sz w:val="20"/>
                <w:szCs w:val="20"/>
              </w:rPr>
              <w:t xml:space="preserve"> </w:t>
            </w:r>
            <w:r>
              <w:rPr>
                <w:rFonts w:hint="eastAsia" w:ascii="Times New Roman" w:hAnsi="Times New Roman" w:cs="Times New Roman"/>
                <w:sz w:val="20"/>
                <w:szCs w:val="20"/>
              </w:rPr>
              <w:t>材质：铝合金、钛合金；</w:t>
            </w:r>
          </w:p>
        </w:tc>
        <w:tc>
          <w:tcPr>
            <w:tcW w:w="919" w:type="pct"/>
            <w:tcBorders>
              <w:top w:val="single" w:color="auto" w:sz="4" w:space="0"/>
              <w:left w:val="single" w:color="auto" w:sz="4" w:space="0"/>
              <w:bottom w:val="single" w:color="auto" w:sz="4" w:space="0"/>
              <w:right w:val="single" w:color="auto" w:sz="4" w:space="0"/>
            </w:tcBorders>
            <w:vAlign w:val="center"/>
          </w:tcPr>
          <w:p w14:paraId="5BBA175C">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BDE0D07">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593068C">
            <w:pPr>
              <w:rPr>
                <w:rFonts w:hint="eastAsia" w:ascii="Times New Roman" w:hAnsi="Times New Roman" w:cs="Times New Roman"/>
                <w:sz w:val="20"/>
                <w:szCs w:val="20"/>
              </w:rPr>
            </w:pPr>
          </w:p>
        </w:tc>
      </w:tr>
      <w:tr w14:paraId="3792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0F340E83">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66D06B18">
            <w:pPr>
              <w:widowControl/>
              <w:jc w:val="center"/>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43C39C2D">
            <w:pPr>
              <w:rPr>
                <w:rFonts w:ascii="Times New Roman" w:hAnsi="Times New Roman" w:cs="Times New Roman"/>
                <w:b/>
                <w:color w:val="000000" w:themeColor="text1"/>
                <w:sz w:val="20"/>
                <w:szCs w:val="20"/>
                <w14:textFill>
                  <w14:solidFill>
                    <w14:schemeClr w14:val="tx1"/>
                  </w14:solidFill>
                </w14:textFill>
              </w:rPr>
            </w:pPr>
            <w:r>
              <w:rPr>
                <w:rFonts w:hint="eastAsia" w:ascii="Times New Roman" w:hAnsi="Times New Roman" w:cs="Times New Roman"/>
                <w:bCs/>
                <w:sz w:val="20"/>
                <w:szCs w:val="20"/>
              </w:rPr>
              <w:t>5.4</w:t>
            </w:r>
            <w:r>
              <w:rPr>
                <w:rFonts w:ascii="Times New Roman" w:hAnsi="Times New Roman" w:cs="Times New Roman"/>
                <w:bCs/>
                <w:sz w:val="20"/>
                <w:szCs w:val="20"/>
              </w:rPr>
              <w:t xml:space="preserve"> </w:t>
            </w:r>
            <w:r>
              <w:rPr>
                <w:rFonts w:hint="eastAsia" w:ascii="Times New Roman" w:hAnsi="Times New Roman" w:cs="Times New Roman"/>
                <w:sz w:val="20"/>
                <w:szCs w:val="20"/>
              </w:rPr>
              <w:t>耐压水深：≥ 1000米</w:t>
            </w:r>
            <w:r>
              <w:rPr>
                <w:rFonts w:hint="eastAsia" w:ascii="Times New Roman" w:hAnsi="Times New Roman" w:cs="Times New Roman"/>
                <w:bCs/>
                <w:sz w:val="20"/>
                <w:szCs w:val="20"/>
              </w:rPr>
              <w:t>；</w:t>
            </w:r>
          </w:p>
        </w:tc>
        <w:tc>
          <w:tcPr>
            <w:tcW w:w="919" w:type="pct"/>
            <w:tcBorders>
              <w:top w:val="single" w:color="auto" w:sz="4" w:space="0"/>
              <w:left w:val="single" w:color="auto" w:sz="4" w:space="0"/>
              <w:bottom w:val="single" w:color="auto" w:sz="4" w:space="0"/>
              <w:right w:val="single" w:color="auto" w:sz="4" w:space="0"/>
            </w:tcBorders>
            <w:vAlign w:val="center"/>
          </w:tcPr>
          <w:p w14:paraId="35D3FD04">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6DEFBCF">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4DBF49A0">
            <w:pPr>
              <w:rPr>
                <w:rFonts w:hint="eastAsia" w:ascii="Times New Roman" w:hAnsi="Times New Roman" w:cs="Times New Roman"/>
                <w:bCs/>
                <w:sz w:val="20"/>
                <w:szCs w:val="20"/>
              </w:rPr>
            </w:pPr>
          </w:p>
        </w:tc>
      </w:tr>
      <w:tr w14:paraId="1A89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left w:val="single" w:color="auto" w:sz="4" w:space="0"/>
              <w:right w:val="single" w:color="auto" w:sz="4" w:space="0"/>
            </w:tcBorders>
            <w:vAlign w:val="center"/>
          </w:tcPr>
          <w:p w14:paraId="1EF71B4D">
            <w:pPr>
              <w:widowControl/>
              <w:jc w:val="center"/>
              <w:rPr>
                <w:rFonts w:ascii="Times New Roman" w:hAnsi="Times New Roman" w:eastAsia="宋体"/>
                <w:b/>
                <w:sz w:val="20"/>
                <w:szCs w:val="20"/>
              </w:rPr>
            </w:pPr>
            <w:r>
              <w:rPr>
                <w:rFonts w:hint="eastAsia" w:ascii="Times New Roman" w:hAnsi="Times New Roman" w:eastAsia="宋体"/>
                <w:b/>
                <w:sz w:val="20"/>
                <w:szCs w:val="20"/>
              </w:rPr>
              <w:t>6</w:t>
            </w:r>
          </w:p>
        </w:tc>
        <w:tc>
          <w:tcPr>
            <w:tcW w:w="425" w:type="pct"/>
            <w:vMerge w:val="restart"/>
            <w:tcBorders>
              <w:left w:val="single" w:color="auto" w:sz="4" w:space="0"/>
              <w:right w:val="single" w:color="auto" w:sz="4" w:space="0"/>
            </w:tcBorders>
            <w:vAlign w:val="center"/>
          </w:tcPr>
          <w:p w14:paraId="3009A977">
            <w:pPr>
              <w:widowControl/>
              <w:jc w:val="center"/>
              <w:rPr>
                <w:rFonts w:ascii="Times New Roman" w:hAnsi="Times New Roman" w:eastAsia="宋体"/>
                <w:bCs/>
                <w:sz w:val="20"/>
                <w:szCs w:val="20"/>
              </w:rPr>
            </w:pPr>
            <w:r>
              <w:rPr>
                <w:rFonts w:ascii="Times New Roman" w:hAnsi="Times New Roman" w:cs="Times New Roman"/>
                <w:sz w:val="18"/>
                <w:szCs w:val="18"/>
              </w:rPr>
              <w:t>1.5</w:t>
            </w:r>
            <w:r>
              <w:rPr>
                <w:rFonts w:hint="eastAsia" w:ascii="Times New Roman" w:hAnsi="Times New Roman" w:cs="Times New Roman"/>
                <w:sz w:val="18"/>
                <w:szCs w:val="18"/>
              </w:rPr>
              <w:t>水下视频系统</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1C610CF7">
            <w:pPr>
              <w:rPr>
                <w:rFonts w:ascii="Times New Roman" w:hAnsi="Times New Roman" w:cs="Times New Roman"/>
                <w:sz w:val="20"/>
                <w:szCs w:val="20"/>
              </w:rPr>
            </w:pPr>
            <w:r>
              <w:rPr>
                <w:rFonts w:hint="eastAsia" w:ascii="Times New Roman" w:hAnsi="Times New Roman" w:cs="Times New Roman"/>
                <w:sz w:val="20"/>
                <w:szCs w:val="20"/>
              </w:rPr>
              <w:t>6.1</w:t>
            </w:r>
            <w:r>
              <w:rPr>
                <w:rFonts w:ascii="Times New Roman" w:hAnsi="Times New Roman" w:cs="Times New Roman"/>
                <w:sz w:val="20"/>
                <w:szCs w:val="20"/>
              </w:rPr>
              <w:t xml:space="preserve"> </w:t>
            </w:r>
            <w:r>
              <w:rPr>
                <w:rFonts w:hint="eastAsia" w:ascii="Times New Roman" w:hAnsi="Times New Roman" w:cs="Times New Roman"/>
                <w:sz w:val="20"/>
                <w:szCs w:val="20"/>
              </w:rPr>
              <w:t>高清摄像机：水下摄像机不少于2组；</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E9FC4C6">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A3D788D">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3246A2C">
            <w:pPr>
              <w:rPr>
                <w:rFonts w:hint="eastAsia" w:ascii="Times New Roman" w:hAnsi="Times New Roman" w:cs="Times New Roman"/>
                <w:sz w:val="20"/>
                <w:szCs w:val="20"/>
              </w:rPr>
            </w:pPr>
          </w:p>
        </w:tc>
      </w:tr>
      <w:tr w14:paraId="61D8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20195551">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2D9292FD">
            <w:pPr>
              <w:widowControl/>
              <w:jc w:val="center"/>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19E654FC">
            <w:pPr>
              <w:rPr>
                <w:rFonts w:ascii="Times New Roman" w:hAnsi="Times New Roman" w:cs="Times New Roman"/>
                <w:sz w:val="20"/>
                <w:szCs w:val="20"/>
              </w:rPr>
            </w:pPr>
            <w:r>
              <w:rPr>
                <w:rFonts w:hint="eastAsia" w:ascii="Times New Roman" w:hAnsi="Times New Roman" w:cs="Times New Roman"/>
                <w:sz w:val="20"/>
                <w:szCs w:val="20"/>
              </w:rPr>
              <w:t>6.2</w:t>
            </w:r>
            <w:r>
              <w:rPr>
                <w:rFonts w:ascii="Times New Roman" w:hAnsi="Times New Roman" w:cs="Times New Roman"/>
                <w:sz w:val="20"/>
                <w:szCs w:val="20"/>
              </w:rPr>
              <w:t xml:space="preserve"> </w:t>
            </w:r>
            <w:r>
              <w:rPr>
                <w:rFonts w:hint="eastAsia" w:ascii="Times New Roman" w:hAnsi="Times New Roman" w:cs="Times New Roman"/>
                <w:sz w:val="20"/>
                <w:szCs w:val="20"/>
              </w:rPr>
              <w:t>标清摄像机：不少于</w:t>
            </w:r>
            <w:r>
              <w:rPr>
                <w:rFonts w:ascii="Times New Roman" w:hAnsi="Times New Roman" w:cs="Times New Roman"/>
                <w:sz w:val="20"/>
                <w:szCs w:val="20"/>
              </w:rPr>
              <w:t>6</w:t>
            </w:r>
            <w:r>
              <w:rPr>
                <w:rFonts w:hint="eastAsia" w:ascii="Times New Roman" w:hAnsi="Times New Roman" w:cs="Times New Roman"/>
                <w:sz w:val="20"/>
                <w:szCs w:val="20"/>
              </w:rPr>
              <w:t>组；</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65BAEE9">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A8B1FFC">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F937DDE">
            <w:pPr>
              <w:rPr>
                <w:rFonts w:hint="eastAsia" w:ascii="Times New Roman" w:hAnsi="Times New Roman" w:cs="Times New Roman"/>
                <w:sz w:val="20"/>
                <w:szCs w:val="20"/>
              </w:rPr>
            </w:pPr>
          </w:p>
        </w:tc>
      </w:tr>
      <w:tr w14:paraId="606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4BB0A1ED">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7408A2D0">
            <w:pPr>
              <w:widowControl/>
              <w:jc w:val="center"/>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6A2953E0">
            <w:pPr>
              <w:rPr>
                <w:rFonts w:ascii="Times New Roman" w:hAnsi="Times New Roman" w:cs="Times New Roman"/>
                <w:sz w:val="20"/>
                <w:szCs w:val="20"/>
              </w:rPr>
            </w:pPr>
            <w:r>
              <w:rPr>
                <w:rFonts w:hint="eastAsia" w:ascii="Times New Roman" w:hAnsi="Times New Roman" w:cs="Times New Roman"/>
                <w:sz w:val="20"/>
                <w:szCs w:val="20"/>
              </w:rPr>
              <w:t>6.3</w:t>
            </w:r>
            <w:r>
              <w:rPr>
                <w:rFonts w:ascii="Times New Roman" w:hAnsi="Times New Roman" w:cs="Times New Roman"/>
                <w:sz w:val="20"/>
                <w:szCs w:val="20"/>
              </w:rPr>
              <w:t xml:space="preserve"> </w:t>
            </w:r>
            <w:r>
              <w:rPr>
                <w:rFonts w:hint="eastAsia" w:ascii="Times New Roman" w:hAnsi="Times New Roman" w:cs="Times New Roman"/>
                <w:sz w:val="20"/>
                <w:szCs w:val="20"/>
              </w:rPr>
              <w:t>材质：铝合金、钛合金；</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FE62C3B">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2D089AE">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A0F9578">
            <w:pPr>
              <w:rPr>
                <w:rFonts w:hint="eastAsia" w:ascii="Times New Roman" w:hAnsi="Times New Roman" w:cs="Times New Roman"/>
                <w:sz w:val="20"/>
                <w:szCs w:val="20"/>
              </w:rPr>
            </w:pPr>
          </w:p>
        </w:tc>
      </w:tr>
      <w:tr w14:paraId="65A9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0A2AFAE4">
            <w:pPr>
              <w:widowControl/>
              <w:jc w:val="center"/>
              <w:rPr>
                <w:rFonts w:ascii="Times New Roman" w:hAnsi="Times New Roman" w:eastAsia="宋体"/>
                <w:bCs/>
                <w:sz w:val="20"/>
                <w:szCs w:val="20"/>
              </w:rPr>
            </w:pPr>
          </w:p>
        </w:tc>
        <w:tc>
          <w:tcPr>
            <w:tcW w:w="425" w:type="pct"/>
            <w:vMerge w:val="continue"/>
            <w:tcBorders>
              <w:left w:val="single" w:color="auto" w:sz="4" w:space="0"/>
              <w:right w:val="single" w:color="auto" w:sz="4" w:space="0"/>
            </w:tcBorders>
            <w:vAlign w:val="center"/>
          </w:tcPr>
          <w:p w14:paraId="69E83243">
            <w:pPr>
              <w:widowControl/>
              <w:jc w:val="center"/>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7EE49DE4">
            <w:pPr>
              <w:rPr>
                <w:rFonts w:ascii="Times New Roman" w:hAnsi="Times New Roman" w:cs="Times New Roman"/>
                <w:b/>
                <w:color w:val="000000" w:themeColor="text1"/>
                <w:sz w:val="20"/>
                <w:szCs w:val="20"/>
                <w14:textFill>
                  <w14:solidFill>
                    <w14:schemeClr w14:val="tx1"/>
                  </w14:solidFill>
                </w14:textFill>
              </w:rPr>
            </w:pPr>
            <w:r>
              <w:rPr>
                <w:rFonts w:hint="eastAsia" w:ascii="Times New Roman" w:hAnsi="Times New Roman" w:cs="Times New Roman"/>
                <w:bCs/>
                <w:sz w:val="20"/>
                <w:szCs w:val="20"/>
              </w:rPr>
              <w:t>6.4</w:t>
            </w:r>
            <w:r>
              <w:rPr>
                <w:rFonts w:ascii="Times New Roman" w:hAnsi="Times New Roman" w:cs="Times New Roman"/>
                <w:bCs/>
                <w:sz w:val="20"/>
                <w:szCs w:val="20"/>
              </w:rPr>
              <w:t xml:space="preserve"> </w:t>
            </w:r>
            <w:r>
              <w:rPr>
                <w:rFonts w:hint="eastAsia" w:ascii="Times New Roman" w:hAnsi="Times New Roman" w:cs="Times New Roman"/>
                <w:sz w:val="20"/>
                <w:szCs w:val="20"/>
              </w:rPr>
              <w:t>耐压水深：≥ 1000米；</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B678408">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F4A50EF">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292A0FD">
            <w:pPr>
              <w:rPr>
                <w:rFonts w:hint="eastAsia" w:ascii="Times New Roman" w:hAnsi="Times New Roman" w:cs="Times New Roman"/>
                <w:bCs/>
                <w:sz w:val="20"/>
                <w:szCs w:val="20"/>
              </w:rPr>
            </w:pPr>
          </w:p>
        </w:tc>
      </w:tr>
      <w:tr w14:paraId="2CE2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left w:val="single" w:color="auto" w:sz="4" w:space="0"/>
              <w:right w:val="single" w:color="auto" w:sz="4" w:space="0"/>
            </w:tcBorders>
            <w:vAlign w:val="center"/>
          </w:tcPr>
          <w:p w14:paraId="414AA0E9">
            <w:pPr>
              <w:widowControl/>
              <w:jc w:val="center"/>
              <w:rPr>
                <w:rFonts w:ascii="Times New Roman" w:hAnsi="Times New Roman" w:eastAsia="宋体"/>
                <w:b/>
                <w:sz w:val="20"/>
                <w:szCs w:val="20"/>
              </w:rPr>
            </w:pPr>
            <w:r>
              <w:rPr>
                <w:rFonts w:hint="eastAsia" w:ascii="Times New Roman" w:hAnsi="Times New Roman" w:eastAsia="宋体"/>
                <w:b/>
                <w:sz w:val="20"/>
                <w:szCs w:val="20"/>
              </w:rPr>
              <w:t>7</w:t>
            </w:r>
          </w:p>
        </w:tc>
        <w:tc>
          <w:tcPr>
            <w:tcW w:w="425" w:type="pct"/>
            <w:vMerge w:val="restart"/>
            <w:tcBorders>
              <w:left w:val="single" w:color="auto" w:sz="4" w:space="0"/>
              <w:right w:val="single" w:color="auto" w:sz="4" w:space="0"/>
            </w:tcBorders>
            <w:vAlign w:val="center"/>
          </w:tcPr>
          <w:p w14:paraId="5EA1158F">
            <w:pPr>
              <w:widowControl/>
              <w:jc w:val="center"/>
              <w:rPr>
                <w:rFonts w:ascii="Times New Roman" w:hAnsi="Times New Roman" w:eastAsia="宋体"/>
                <w:bCs/>
                <w:sz w:val="20"/>
                <w:szCs w:val="20"/>
              </w:rPr>
            </w:pPr>
            <w:r>
              <w:rPr>
                <w:rFonts w:ascii="Times New Roman" w:hAnsi="Times New Roman" w:cs="Times New Roman"/>
                <w:sz w:val="18"/>
                <w:szCs w:val="18"/>
              </w:rPr>
              <w:t>1.6</w:t>
            </w:r>
            <w:r>
              <w:rPr>
                <w:rFonts w:hint="eastAsia" w:ascii="Times New Roman" w:hAnsi="Times New Roman" w:cs="Times New Roman"/>
                <w:sz w:val="18"/>
                <w:szCs w:val="18"/>
              </w:rPr>
              <w:t>水下照明系统</w:t>
            </w:r>
          </w:p>
        </w:tc>
        <w:tc>
          <w:tcPr>
            <w:tcW w:w="1597" w:type="pct"/>
            <w:tcBorders>
              <w:top w:val="single" w:color="auto" w:sz="4" w:space="0"/>
              <w:left w:val="single" w:color="auto" w:sz="4" w:space="0"/>
              <w:bottom w:val="single" w:color="auto" w:sz="4" w:space="0"/>
              <w:right w:val="single" w:color="auto" w:sz="4" w:space="0"/>
            </w:tcBorders>
            <w:vAlign w:val="center"/>
          </w:tcPr>
          <w:p w14:paraId="71103669">
            <w:pPr>
              <w:rPr>
                <w:rFonts w:ascii="Times New Roman" w:hAnsi="Times New Roman" w:cs="Times New Roman"/>
                <w:sz w:val="20"/>
                <w:szCs w:val="20"/>
              </w:rPr>
            </w:pPr>
            <w:r>
              <w:rPr>
                <w:rFonts w:hint="eastAsia" w:ascii="Times New Roman" w:hAnsi="Times New Roman" w:cs="Times New Roman"/>
                <w:bCs/>
                <w:sz w:val="20"/>
                <w:szCs w:val="20"/>
              </w:rPr>
              <w:t>7.1 水下照明灯组：水下灯组8组；</w:t>
            </w:r>
          </w:p>
        </w:tc>
        <w:tc>
          <w:tcPr>
            <w:tcW w:w="919" w:type="pct"/>
            <w:tcBorders>
              <w:top w:val="single" w:color="auto" w:sz="4" w:space="0"/>
              <w:left w:val="single" w:color="auto" w:sz="4" w:space="0"/>
              <w:bottom w:val="single" w:color="auto" w:sz="4" w:space="0"/>
              <w:right w:val="single" w:color="auto" w:sz="4" w:space="0"/>
            </w:tcBorders>
            <w:vAlign w:val="center"/>
          </w:tcPr>
          <w:p w14:paraId="6FE47452">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CF59B77">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B49EB54">
            <w:pPr>
              <w:rPr>
                <w:rFonts w:hint="eastAsia" w:ascii="Times New Roman" w:hAnsi="Times New Roman" w:cs="Times New Roman"/>
                <w:bCs/>
                <w:sz w:val="20"/>
                <w:szCs w:val="20"/>
              </w:rPr>
            </w:pPr>
          </w:p>
        </w:tc>
      </w:tr>
      <w:tr w14:paraId="5144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40906F60">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743A34E2">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028A343F">
            <w:pPr>
              <w:rPr>
                <w:rFonts w:ascii="Times New Roman" w:hAnsi="Times New Roman" w:cs="Times New Roman"/>
                <w:sz w:val="20"/>
                <w:szCs w:val="20"/>
              </w:rPr>
            </w:pPr>
            <w:r>
              <w:rPr>
                <w:rFonts w:hint="eastAsia" w:ascii="Times New Roman" w:hAnsi="Times New Roman" w:cs="Times New Roman"/>
                <w:sz w:val="20"/>
                <w:szCs w:val="20"/>
              </w:rPr>
              <w:t>7.2 功能：</w:t>
            </w:r>
            <w:r>
              <w:rPr>
                <w:rFonts w:hint="eastAsia" w:ascii="Times New Roman" w:hAnsi="Times New Roman" w:cs="Times New Roman"/>
                <w:bCs/>
                <w:sz w:val="20"/>
                <w:szCs w:val="20"/>
              </w:rPr>
              <w:t>可调节亮度；</w:t>
            </w:r>
          </w:p>
        </w:tc>
        <w:tc>
          <w:tcPr>
            <w:tcW w:w="919" w:type="pct"/>
            <w:tcBorders>
              <w:top w:val="single" w:color="auto" w:sz="4" w:space="0"/>
              <w:left w:val="single" w:color="auto" w:sz="4" w:space="0"/>
              <w:bottom w:val="single" w:color="auto" w:sz="4" w:space="0"/>
              <w:right w:val="single" w:color="auto" w:sz="4" w:space="0"/>
            </w:tcBorders>
            <w:vAlign w:val="center"/>
          </w:tcPr>
          <w:p w14:paraId="0FFB3827">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87684D7">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9AE523E">
            <w:pPr>
              <w:rPr>
                <w:rFonts w:hint="eastAsia" w:ascii="Times New Roman" w:hAnsi="Times New Roman" w:cs="Times New Roman"/>
                <w:sz w:val="20"/>
                <w:szCs w:val="20"/>
              </w:rPr>
            </w:pPr>
          </w:p>
        </w:tc>
      </w:tr>
      <w:tr w14:paraId="500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620C96D5">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61513D36">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7651E7BC">
            <w:pPr>
              <w:rPr>
                <w:rFonts w:ascii="Times New Roman" w:hAnsi="Times New Roman" w:cs="Times New Roman"/>
                <w:sz w:val="20"/>
                <w:szCs w:val="20"/>
              </w:rPr>
            </w:pPr>
            <w:r>
              <w:rPr>
                <w:rFonts w:hint="eastAsia" w:ascii="Times New Roman" w:hAnsi="Times New Roman" w:cs="Times New Roman"/>
                <w:sz w:val="20"/>
                <w:szCs w:val="20"/>
              </w:rPr>
              <w:t>7.3</w:t>
            </w:r>
            <w:r>
              <w:rPr>
                <w:rFonts w:ascii="Times New Roman" w:hAnsi="Times New Roman" w:cs="Times New Roman"/>
                <w:sz w:val="20"/>
                <w:szCs w:val="20"/>
              </w:rPr>
              <w:t xml:space="preserve"> </w:t>
            </w:r>
            <w:r>
              <w:rPr>
                <w:rFonts w:hint="eastAsia" w:ascii="Times New Roman" w:hAnsi="Times New Roman" w:cs="Times New Roman"/>
                <w:sz w:val="20"/>
                <w:szCs w:val="20"/>
              </w:rPr>
              <w:t>耐压水深：≥ 1000米；</w:t>
            </w:r>
          </w:p>
        </w:tc>
        <w:tc>
          <w:tcPr>
            <w:tcW w:w="919" w:type="pct"/>
            <w:tcBorders>
              <w:top w:val="single" w:color="auto" w:sz="4" w:space="0"/>
              <w:left w:val="single" w:color="auto" w:sz="4" w:space="0"/>
              <w:bottom w:val="single" w:color="auto" w:sz="4" w:space="0"/>
              <w:right w:val="single" w:color="auto" w:sz="4" w:space="0"/>
            </w:tcBorders>
            <w:vAlign w:val="center"/>
          </w:tcPr>
          <w:p w14:paraId="540E6C81">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609579C">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4AFE963">
            <w:pPr>
              <w:rPr>
                <w:rFonts w:hint="eastAsia" w:ascii="Times New Roman" w:hAnsi="Times New Roman" w:cs="Times New Roman"/>
                <w:sz w:val="20"/>
                <w:szCs w:val="20"/>
              </w:rPr>
            </w:pPr>
          </w:p>
        </w:tc>
      </w:tr>
      <w:tr w14:paraId="7C08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left w:val="single" w:color="auto" w:sz="4" w:space="0"/>
              <w:right w:val="single" w:color="auto" w:sz="4" w:space="0"/>
            </w:tcBorders>
            <w:vAlign w:val="center"/>
          </w:tcPr>
          <w:p w14:paraId="5F97A457">
            <w:pPr>
              <w:widowControl/>
              <w:jc w:val="center"/>
              <w:rPr>
                <w:rFonts w:ascii="Times New Roman" w:hAnsi="Times New Roman" w:eastAsia="宋体"/>
                <w:b/>
                <w:sz w:val="20"/>
                <w:szCs w:val="20"/>
              </w:rPr>
            </w:pPr>
            <w:r>
              <w:rPr>
                <w:rFonts w:hint="eastAsia" w:ascii="Times New Roman" w:hAnsi="Times New Roman" w:eastAsia="宋体"/>
                <w:b/>
                <w:sz w:val="20"/>
                <w:szCs w:val="20"/>
              </w:rPr>
              <w:t>8</w:t>
            </w:r>
          </w:p>
        </w:tc>
        <w:tc>
          <w:tcPr>
            <w:tcW w:w="425" w:type="pct"/>
            <w:vMerge w:val="restart"/>
            <w:tcBorders>
              <w:left w:val="single" w:color="auto" w:sz="4" w:space="0"/>
              <w:right w:val="single" w:color="auto" w:sz="4" w:space="0"/>
            </w:tcBorders>
            <w:vAlign w:val="center"/>
          </w:tcPr>
          <w:p w14:paraId="2B8267FC">
            <w:pPr>
              <w:widowControl/>
              <w:jc w:val="center"/>
              <w:rPr>
                <w:rFonts w:ascii="Times New Roman" w:hAnsi="Times New Roman" w:eastAsia="宋体"/>
                <w:bCs/>
                <w:sz w:val="20"/>
                <w:szCs w:val="20"/>
              </w:rPr>
            </w:pPr>
            <w:r>
              <w:rPr>
                <w:rFonts w:ascii="Times New Roman" w:hAnsi="Times New Roman" w:cs="Times New Roman"/>
                <w:sz w:val="18"/>
                <w:szCs w:val="18"/>
              </w:rPr>
              <w:t>1.7</w:t>
            </w:r>
            <w:r>
              <w:rPr>
                <w:rFonts w:hint="eastAsia" w:ascii="Times New Roman" w:hAnsi="Times New Roman" w:cs="Times New Roman"/>
                <w:sz w:val="18"/>
                <w:szCs w:val="18"/>
              </w:rPr>
              <w:t>水下导航传感系统</w:t>
            </w:r>
          </w:p>
        </w:tc>
        <w:tc>
          <w:tcPr>
            <w:tcW w:w="1597" w:type="pct"/>
            <w:tcBorders>
              <w:top w:val="single" w:color="auto" w:sz="4" w:space="0"/>
              <w:left w:val="single" w:color="auto" w:sz="4" w:space="0"/>
              <w:bottom w:val="single" w:color="auto" w:sz="4" w:space="0"/>
              <w:right w:val="single" w:color="auto" w:sz="4" w:space="0"/>
            </w:tcBorders>
            <w:vAlign w:val="center"/>
          </w:tcPr>
          <w:p w14:paraId="22900145">
            <w:pPr>
              <w:rPr>
                <w:rFonts w:ascii="Times New Roman" w:hAnsi="Times New Roman" w:cs="Times New Roman"/>
                <w:sz w:val="20"/>
                <w:szCs w:val="20"/>
              </w:rPr>
            </w:pPr>
            <w:r>
              <w:rPr>
                <w:rFonts w:ascii="Times New Roman" w:hAnsi="Times New Roman" w:cs="Times New Roman"/>
                <w:sz w:val="20"/>
                <w:szCs w:val="20"/>
              </w:rPr>
              <w:t>8.1</w:t>
            </w:r>
            <w:r>
              <w:rPr>
                <w:rFonts w:hint="eastAsia" w:ascii="Times New Roman" w:hAnsi="Times New Roman" w:cs="Times New Roman"/>
                <w:sz w:val="20"/>
                <w:szCs w:val="20"/>
              </w:rPr>
              <w:t xml:space="preserve"> ★ 搭载传感器：深度计1部；高度计1部；姿态传感器1部；成像声呐1部；</w:t>
            </w:r>
          </w:p>
        </w:tc>
        <w:tc>
          <w:tcPr>
            <w:tcW w:w="919" w:type="pct"/>
            <w:tcBorders>
              <w:top w:val="single" w:color="auto" w:sz="4" w:space="0"/>
              <w:left w:val="single" w:color="auto" w:sz="4" w:space="0"/>
              <w:bottom w:val="single" w:color="auto" w:sz="4" w:space="0"/>
              <w:right w:val="single" w:color="auto" w:sz="4" w:space="0"/>
            </w:tcBorders>
            <w:vAlign w:val="center"/>
          </w:tcPr>
          <w:p w14:paraId="399684A7">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AB96F2A">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4057AF6E">
            <w:pPr>
              <w:rPr>
                <w:rFonts w:ascii="Times New Roman" w:hAnsi="Times New Roman" w:cs="Times New Roman"/>
                <w:sz w:val="20"/>
                <w:szCs w:val="20"/>
              </w:rPr>
            </w:pPr>
          </w:p>
        </w:tc>
      </w:tr>
      <w:tr w14:paraId="550B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5F44137F">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290C4F80">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6ECBAE21">
            <w:pPr>
              <w:widowControl/>
              <w:jc w:val="left"/>
              <w:rPr>
                <w:sz w:val="20"/>
                <w:szCs w:val="20"/>
              </w:rPr>
            </w:pPr>
            <w:r>
              <w:rPr>
                <w:bCs/>
                <w:sz w:val="20"/>
                <w:szCs w:val="20"/>
              </w:rPr>
              <w:t>8</w:t>
            </w:r>
            <w:r>
              <w:rPr>
                <w:sz w:val="20"/>
                <w:szCs w:val="20"/>
              </w:rPr>
              <w:t xml:space="preserve">.2 </w:t>
            </w:r>
            <w:r>
              <w:rPr>
                <w:rFonts w:hint="eastAsia"/>
                <w:sz w:val="20"/>
                <w:szCs w:val="20"/>
              </w:rPr>
              <w:t>深度计：数字石英压力深度计，作业水深≥1000米，精度</w:t>
            </w:r>
            <w:r>
              <w:rPr>
                <w:rFonts w:hint="eastAsia"/>
                <w:sz w:val="20"/>
                <w:szCs w:val="20"/>
                <w:lang w:bidi="ar"/>
              </w:rPr>
              <w:t>±0.05%量程</w:t>
            </w:r>
            <w:r>
              <w:rPr>
                <w:rFonts w:hint="eastAsia"/>
                <w:sz w:val="20"/>
                <w:szCs w:val="20"/>
              </w:rPr>
              <w:t>；</w:t>
            </w:r>
          </w:p>
        </w:tc>
        <w:tc>
          <w:tcPr>
            <w:tcW w:w="919" w:type="pct"/>
            <w:tcBorders>
              <w:top w:val="single" w:color="auto" w:sz="4" w:space="0"/>
              <w:left w:val="single" w:color="auto" w:sz="4" w:space="0"/>
              <w:bottom w:val="single" w:color="auto" w:sz="4" w:space="0"/>
              <w:right w:val="single" w:color="auto" w:sz="4" w:space="0"/>
            </w:tcBorders>
            <w:vAlign w:val="center"/>
          </w:tcPr>
          <w:p w14:paraId="3E8BC9F4">
            <w:pPr>
              <w:widowControl/>
              <w:jc w:val="left"/>
              <w:rPr>
                <w:bCs/>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9671C36">
            <w:pPr>
              <w:widowControl/>
              <w:jc w:val="left"/>
              <w:rPr>
                <w:bCs/>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ED18C17">
            <w:pPr>
              <w:widowControl/>
              <w:jc w:val="left"/>
              <w:rPr>
                <w:bCs/>
                <w:sz w:val="20"/>
                <w:szCs w:val="20"/>
              </w:rPr>
            </w:pPr>
          </w:p>
        </w:tc>
      </w:tr>
      <w:tr w14:paraId="6F49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4021EE56">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60A9A426">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32B1C1B8">
            <w:pPr>
              <w:pStyle w:val="6"/>
              <w:spacing w:before="0" w:beforeLines="0" w:after="0" w:afterLines="0"/>
              <w:ind w:firstLine="0" w:firstLineChars="0"/>
              <w:rPr>
                <w:bCs/>
                <w:sz w:val="20"/>
              </w:rPr>
            </w:pPr>
            <w:r>
              <w:rPr>
                <w:rFonts w:hint="eastAsia"/>
                <w:bCs/>
                <w:sz w:val="20"/>
              </w:rPr>
              <w:t>8.3</w:t>
            </w:r>
            <w:r>
              <w:rPr>
                <w:bCs/>
                <w:sz w:val="20"/>
              </w:rPr>
              <w:t xml:space="preserve"> </w:t>
            </w:r>
            <w:r>
              <w:rPr>
                <w:rFonts w:hint="eastAsia"/>
                <w:sz w:val="20"/>
              </w:rPr>
              <w:t>高度计：测高精度±1cm＋0.1%高度，工作距离0.5米-100米</w:t>
            </w:r>
            <w:r>
              <w:rPr>
                <w:rFonts w:hint="eastAsia"/>
                <w:bCs/>
                <w:sz w:val="20"/>
              </w:rPr>
              <w:t>；</w:t>
            </w:r>
          </w:p>
        </w:tc>
        <w:tc>
          <w:tcPr>
            <w:tcW w:w="919" w:type="pct"/>
            <w:tcBorders>
              <w:top w:val="single" w:color="auto" w:sz="4" w:space="0"/>
              <w:left w:val="single" w:color="auto" w:sz="4" w:space="0"/>
              <w:bottom w:val="single" w:color="auto" w:sz="4" w:space="0"/>
              <w:right w:val="single" w:color="auto" w:sz="4" w:space="0"/>
            </w:tcBorders>
            <w:vAlign w:val="center"/>
          </w:tcPr>
          <w:p w14:paraId="2A82A530">
            <w:pPr>
              <w:pStyle w:val="6"/>
              <w:spacing w:before="0" w:beforeLines="0" w:after="0" w:afterLines="0"/>
              <w:ind w:firstLine="0" w:firstLineChars="0"/>
              <w:rPr>
                <w:rFonts w:hint="eastAsia"/>
                <w:bCs/>
                <w:sz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44E16310">
            <w:pPr>
              <w:pStyle w:val="6"/>
              <w:spacing w:before="0" w:beforeLines="0" w:after="0" w:afterLines="0"/>
              <w:ind w:firstLine="0" w:firstLineChars="0"/>
              <w:rPr>
                <w:rFonts w:hint="eastAsia"/>
                <w:bCs/>
                <w:sz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1354E03">
            <w:pPr>
              <w:pStyle w:val="6"/>
              <w:spacing w:before="0" w:beforeLines="0" w:after="0" w:afterLines="0"/>
              <w:ind w:firstLine="0" w:firstLineChars="0"/>
              <w:rPr>
                <w:rFonts w:hint="eastAsia"/>
                <w:bCs/>
                <w:sz w:val="20"/>
              </w:rPr>
            </w:pPr>
          </w:p>
        </w:tc>
      </w:tr>
      <w:tr w14:paraId="7F8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3411E50E">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41B23841">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75E2AB47">
            <w:pPr>
              <w:pStyle w:val="6"/>
              <w:spacing w:before="0" w:beforeLines="0" w:after="0" w:afterLines="0" w:line="240" w:lineRule="auto"/>
              <w:ind w:firstLine="0" w:firstLineChars="0"/>
              <w:rPr>
                <w:bCs/>
                <w:sz w:val="20"/>
              </w:rPr>
            </w:pPr>
            <w:r>
              <w:rPr>
                <w:rFonts w:asciiTheme="minorHAnsi" w:hAnsiTheme="minorHAnsi" w:eastAsiaTheme="minorEastAsia" w:cstheme="minorBidi"/>
                <w:bCs/>
                <w:sz w:val="20"/>
              </w:rPr>
              <w:t>8</w:t>
            </w:r>
            <w:r>
              <w:rPr>
                <w:rFonts w:hint="eastAsia" w:asciiTheme="minorHAnsi" w:hAnsiTheme="minorHAnsi" w:eastAsiaTheme="minorEastAsia" w:cstheme="minorBidi"/>
                <w:bCs/>
                <w:sz w:val="20"/>
              </w:rPr>
              <w:t xml:space="preserve">.4 </w:t>
            </w:r>
            <w:r>
              <w:rPr>
                <w:rFonts w:asciiTheme="minorHAnsi" w:hAnsiTheme="minorHAnsi" w:eastAsiaTheme="minorEastAsia" w:cstheme="minorBidi"/>
                <w:bCs/>
                <w:sz w:val="20"/>
              </w:rPr>
              <w:t>姿态传感器：FOG光纤罗经，艏向精度≤0.5°横摇、纵摇精度≤0.1°；</w:t>
            </w:r>
          </w:p>
        </w:tc>
        <w:tc>
          <w:tcPr>
            <w:tcW w:w="919" w:type="pct"/>
            <w:tcBorders>
              <w:top w:val="single" w:color="auto" w:sz="4" w:space="0"/>
              <w:left w:val="single" w:color="auto" w:sz="4" w:space="0"/>
              <w:bottom w:val="single" w:color="auto" w:sz="4" w:space="0"/>
              <w:right w:val="single" w:color="auto" w:sz="4" w:space="0"/>
            </w:tcBorders>
            <w:vAlign w:val="center"/>
          </w:tcPr>
          <w:p w14:paraId="26C61925">
            <w:pPr>
              <w:pStyle w:val="6"/>
              <w:spacing w:before="0" w:beforeLines="0" w:after="0" w:afterLines="0" w:line="240" w:lineRule="auto"/>
              <w:ind w:firstLine="0" w:firstLineChars="0"/>
              <w:rPr>
                <w:rFonts w:asciiTheme="minorHAnsi" w:hAnsiTheme="minorHAnsi" w:eastAsiaTheme="minorEastAsia" w:cstheme="minorBidi"/>
                <w:bCs/>
                <w:sz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5768524">
            <w:pPr>
              <w:pStyle w:val="6"/>
              <w:spacing w:before="0" w:beforeLines="0" w:after="0" w:afterLines="0" w:line="240" w:lineRule="auto"/>
              <w:ind w:firstLine="0" w:firstLineChars="0"/>
              <w:rPr>
                <w:rFonts w:asciiTheme="minorHAnsi" w:hAnsiTheme="minorHAnsi" w:eastAsiaTheme="minorEastAsia" w:cstheme="minorBidi"/>
                <w:bCs/>
                <w:sz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D791A09">
            <w:pPr>
              <w:pStyle w:val="6"/>
              <w:spacing w:before="0" w:beforeLines="0" w:after="0" w:afterLines="0" w:line="240" w:lineRule="auto"/>
              <w:ind w:firstLine="0" w:firstLineChars="0"/>
              <w:rPr>
                <w:rFonts w:asciiTheme="minorHAnsi" w:hAnsiTheme="minorHAnsi" w:eastAsiaTheme="minorEastAsia" w:cstheme="minorBidi"/>
                <w:bCs/>
                <w:sz w:val="20"/>
              </w:rPr>
            </w:pPr>
          </w:p>
        </w:tc>
      </w:tr>
      <w:tr w14:paraId="6007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4B6F9F99">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3CE7C0E0">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7C59B34A">
            <w:pPr>
              <w:pStyle w:val="6"/>
              <w:spacing w:before="0" w:beforeLines="0" w:after="0" w:afterLines="0" w:line="240" w:lineRule="auto"/>
              <w:ind w:firstLine="0" w:firstLineChars="0"/>
              <w:rPr>
                <w:bCs/>
                <w:sz w:val="20"/>
              </w:rPr>
            </w:pPr>
            <w:r>
              <w:rPr>
                <w:rFonts w:asciiTheme="minorHAnsi" w:hAnsiTheme="minorHAnsi" w:eastAsiaTheme="minorEastAsia" w:cstheme="minorBidi"/>
                <w:bCs/>
                <w:sz w:val="20"/>
              </w:rPr>
              <w:t>8.5 成像声呐：双频彩色图像声呐，高频量程≥100米、分辨率5厘米，低频量程≥200米、分辨率</w:t>
            </w:r>
            <w:r>
              <w:rPr>
                <w:rFonts w:hint="eastAsia" w:asciiTheme="minorHAnsi" w:hAnsiTheme="minorHAnsi" w:eastAsiaTheme="minorEastAsia" w:cstheme="minorBidi"/>
                <w:bCs/>
                <w:sz w:val="20"/>
              </w:rPr>
              <w:t>不低于</w:t>
            </w:r>
            <w:r>
              <w:rPr>
                <w:rFonts w:asciiTheme="minorHAnsi" w:hAnsiTheme="minorHAnsi" w:eastAsiaTheme="minorEastAsia" w:cstheme="minorBidi"/>
                <w:bCs/>
                <w:sz w:val="20"/>
              </w:rPr>
              <w:t>8厘米；</w:t>
            </w:r>
          </w:p>
        </w:tc>
        <w:tc>
          <w:tcPr>
            <w:tcW w:w="919" w:type="pct"/>
            <w:tcBorders>
              <w:top w:val="single" w:color="auto" w:sz="4" w:space="0"/>
              <w:left w:val="single" w:color="auto" w:sz="4" w:space="0"/>
              <w:bottom w:val="single" w:color="auto" w:sz="4" w:space="0"/>
              <w:right w:val="single" w:color="auto" w:sz="4" w:space="0"/>
            </w:tcBorders>
            <w:vAlign w:val="center"/>
          </w:tcPr>
          <w:p w14:paraId="5EA83629">
            <w:pPr>
              <w:pStyle w:val="6"/>
              <w:spacing w:before="0" w:beforeLines="0" w:after="0" w:afterLines="0" w:line="240" w:lineRule="auto"/>
              <w:ind w:firstLine="0" w:firstLineChars="0"/>
              <w:rPr>
                <w:rFonts w:asciiTheme="minorHAnsi" w:hAnsiTheme="minorHAnsi" w:eastAsiaTheme="minorEastAsia" w:cstheme="minorBidi"/>
                <w:bCs/>
                <w:sz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563D004">
            <w:pPr>
              <w:pStyle w:val="6"/>
              <w:spacing w:before="0" w:beforeLines="0" w:after="0" w:afterLines="0" w:line="240" w:lineRule="auto"/>
              <w:ind w:firstLine="0" w:firstLineChars="0"/>
              <w:rPr>
                <w:rFonts w:asciiTheme="minorHAnsi" w:hAnsiTheme="minorHAnsi" w:eastAsiaTheme="minorEastAsia" w:cstheme="minorBidi"/>
                <w:bCs/>
                <w:sz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11D1A7F">
            <w:pPr>
              <w:pStyle w:val="6"/>
              <w:spacing w:before="0" w:beforeLines="0" w:after="0" w:afterLines="0" w:line="240" w:lineRule="auto"/>
              <w:ind w:firstLine="0" w:firstLineChars="0"/>
              <w:rPr>
                <w:rFonts w:asciiTheme="minorHAnsi" w:hAnsiTheme="minorHAnsi" w:eastAsiaTheme="minorEastAsia" w:cstheme="minorBidi"/>
                <w:bCs/>
                <w:sz w:val="20"/>
              </w:rPr>
            </w:pPr>
          </w:p>
        </w:tc>
      </w:tr>
      <w:tr w14:paraId="2FF5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bottom w:val="single" w:color="auto" w:sz="4" w:space="0"/>
              <w:right w:val="single" w:color="auto" w:sz="4" w:space="0"/>
            </w:tcBorders>
            <w:vAlign w:val="center"/>
          </w:tcPr>
          <w:p w14:paraId="4A83E01B">
            <w:pPr>
              <w:widowControl/>
              <w:jc w:val="center"/>
              <w:rPr>
                <w:rFonts w:ascii="Times New Roman" w:hAnsi="Times New Roman" w:eastAsia="宋体"/>
                <w:b/>
                <w:sz w:val="20"/>
                <w:szCs w:val="20"/>
              </w:rPr>
            </w:pPr>
          </w:p>
        </w:tc>
        <w:tc>
          <w:tcPr>
            <w:tcW w:w="425" w:type="pct"/>
            <w:vMerge w:val="continue"/>
            <w:tcBorders>
              <w:left w:val="single" w:color="auto" w:sz="4" w:space="0"/>
              <w:bottom w:val="single" w:color="auto" w:sz="4" w:space="0"/>
              <w:right w:val="single" w:color="auto" w:sz="4" w:space="0"/>
            </w:tcBorders>
            <w:vAlign w:val="center"/>
          </w:tcPr>
          <w:p w14:paraId="1BBB0C6B">
            <w:pPr>
              <w:widowControl/>
              <w:jc w:val="left"/>
              <w:rPr>
                <w:rFonts w:ascii="Times New Roman" w:hAnsi="Times New Roman" w:eastAsia="宋体"/>
                <w:bCs/>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21701C4C">
            <w:pPr>
              <w:rPr>
                <w:rFonts w:ascii="Times New Roman" w:hAnsi="Times New Roman" w:cs="Times New Roman"/>
                <w:bCs/>
                <w:sz w:val="20"/>
                <w:szCs w:val="20"/>
              </w:rPr>
            </w:pPr>
            <w:r>
              <w:rPr>
                <w:rFonts w:ascii="Times New Roman" w:hAnsi="Times New Roman" w:cs="Times New Roman"/>
                <w:sz w:val="20"/>
                <w:szCs w:val="20"/>
              </w:rPr>
              <w:t xml:space="preserve">8.6 </w:t>
            </w:r>
            <w:r>
              <w:rPr>
                <w:rFonts w:hint="eastAsia" w:ascii="Times New Roman" w:hAnsi="Times New Roman" w:cs="Times New Roman"/>
                <w:sz w:val="20"/>
                <w:szCs w:val="20"/>
              </w:rPr>
              <w:t>耐压水深：≥ 1000米；</w:t>
            </w:r>
          </w:p>
        </w:tc>
        <w:tc>
          <w:tcPr>
            <w:tcW w:w="919" w:type="pct"/>
            <w:tcBorders>
              <w:top w:val="single" w:color="auto" w:sz="4" w:space="0"/>
              <w:left w:val="single" w:color="auto" w:sz="4" w:space="0"/>
              <w:bottom w:val="single" w:color="auto" w:sz="4" w:space="0"/>
              <w:right w:val="single" w:color="auto" w:sz="4" w:space="0"/>
            </w:tcBorders>
            <w:vAlign w:val="center"/>
          </w:tcPr>
          <w:p w14:paraId="142C6D35">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7B5197A">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80E79D1">
            <w:pPr>
              <w:rPr>
                <w:rFonts w:ascii="Times New Roman" w:hAnsi="Times New Roman" w:cs="Times New Roman"/>
                <w:sz w:val="20"/>
                <w:szCs w:val="20"/>
              </w:rPr>
            </w:pPr>
          </w:p>
        </w:tc>
      </w:tr>
      <w:tr w14:paraId="26B0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bottom w:val="single" w:color="auto" w:sz="4" w:space="0"/>
              <w:right w:val="single" w:color="auto" w:sz="4" w:space="0"/>
            </w:tcBorders>
            <w:vAlign w:val="center"/>
          </w:tcPr>
          <w:p w14:paraId="7F48DA1A">
            <w:pPr>
              <w:jc w:val="center"/>
              <w:rPr>
                <w:rFonts w:ascii="Times New Roman" w:hAnsi="Times New Roman"/>
                <w:b/>
                <w:sz w:val="20"/>
                <w:szCs w:val="20"/>
              </w:rPr>
            </w:pPr>
            <w:r>
              <w:rPr>
                <w:rFonts w:hint="eastAsia" w:ascii="Times New Roman" w:hAnsi="Times New Roman"/>
                <w:b/>
                <w:sz w:val="20"/>
                <w:szCs w:val="20"/>
              </w:rPr>
              <w:t>9</w:t>
            </w:r>
          </w:p>
        </w:tc>
        <w:tc>
          <w:tcPr>
            <w:tcW w:w="425" w:type="pct"/>
            <w:vMerge w:val="restart"/>
            <w:tcBorders>
              <w:top w:val="nil"/>
              <w:left w:val="single" w:color="auto" w:sz="4" w:space="0"/>
              <w:bottom w:val="single" w:color="auto" w:sz="4" w:space="0"/>
              <w:right w:val="single" w:color="auto" w:sz="4" w:space="0"/>
            </w:tcBorders>
            <w:vAlign w:val="center"/>
          </w:tcPr>
          <w:p w14:paraId="4C9A8E59">
            <w:pPr>
              <w:jc w:val="center"/>
              <w:rPr>
                <w:rFonts w:ascii="Times New Roman" w:hAnsi="Times New Roman"/>
                <w:b/>
                <w:sz w:val="20"/>
                <w:szCs w:val="20"/>
              </w:rPr>
            </w:pPr>
            <w:r>
              <w:rPr>
                <w:rFonts w:ascii="Times New Roman" w:hAnsi="Times New Roman" w:cs="Times New Roman"/>
                <w:sz w:val="18"/>
                <w:szCs w:val="18"/>
              </w:rPr>
              <w:t>1.8</w:t>
            </w:r>
            <w:r>
              <w:rPr>
                <w:rFonts w:hint="eastAsia" w:ascii="Times New Roman" w:hAnsi="Times New Roman" w:cs="Times New Roman"/>
                <w:sz w:val="18"/>
                <w:szCs w:val="18"/>
              </w:rPr>
              <w:t>水下支撑系统</w:t>
            </w:r>
          </w:p>
        </w:tc>
        <w:tc>
          <w:tcPr>
            <w:tcW w:w="1597" w:type="pct"/>
            <w:tcBorders>
              <w:top w:val="single" w:color="auto" w:sz="4" w:space="0"/>
              <w:left w:val="single" w:color="auto" w:sz="4" w:space="0"/>
              <w:bottom w:val="single" w:color="auto" w:sz="4" w:space="0"/>
              <w:right w:val="single" w:color="auto" w:sz="4" w:space="0"/>
            </w:tcBorders>
            <w:vAlign w:val="center"/>
          </w:tcPr>
          <w:p w14:paraId="7C366398">
            <w:pPr>
              <w:rPr>
                <w:rFonts w:ascii="Times New Roman" w:hAnsi="Times New Roman" w:cs="Times New Roman"/>
                <w:b/>
                <w:sz w:val="20"/>
                <w:szCs w:val="20"/>
              </w:rPr>
            </w:pPr>
            <w:r>
              <w:rPr>
                <w:rFonts w:hint="eastAsia" w:ascii="Times New Roman" w:hAnsi="Times New Roman" w:cs="Times New Roman"/>
                <w:sz w:val="20"/>
                <w:szCs w:val="20"/>
              </w:rPr>
              <w:t>9.1 工具阀：不少于14组；</w:t>
            </w:r>
          </w:p>
        </w:tc>
        <w:tc>
          <w:tcPr>
            <w:tcW w:w="919" w:type="pct"/>
            <w:tcBorders>
              <w:top w:val="single" w:color="auto" w:sz="4" w:space="0"/>
              <w:left w:val="single" w:color="auto" w:sz="4" w:space="0"/>
              <w:bottom w:val="single" w:color="auto" w:sz="4" w:space="0"/>
              <w:right w:val="single" w:color="auto" w:sz="4" w:space="0"/>
            </w:tcBorders>
            <w:vAlign w:val="center"/>
          </w:tcPr>
          <w:p w14:paraId="77C45453">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5EE86CF">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FC133C2">
            <w:pPr>
              <w:rPr>
                <w:rFonts w:hint="eastAsia" w:ascii="Times New Roman" w:hAnsi="Times New Roman" w:cs="Times New Roman"/>
                <w:sz w:val="20"/>
                <w:szCs w:val="20"/>
              </w:rPr>
            </w:pPr>
          </w:p>
        </w:tc>
      </w:tr>
      <w:tr w14:paraId="4E63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top w:val="nil"/>
              <w:left w:val="single" w:color="auto" w:sz="4" w:space="0"/>
              <w:bottom w:val="single" w:color="auto" w:sz="4" w:space="0"/>
              <w:right w:val="single" w:color="auto" w:sz="4" w:space="0"/>
            </w:tcBorders>
            <w:vAlign w:val="center"/>
          </w:tcPr>
          <w:p w14:paraId="5EBF3D94">
            <w:pPr>
              <w:widowControl/>
              <w:jc w:val="center"/>
              <w:rPr>
                <w:rFonts w:ascii="Times New Roman" w:hAnsi="Times New Roman" w:eastAsia="宋体"/>
                <w:b/>
                <w:sz w:val="20"/>
                <w:szCs w:val="20"/>
              </w:rPr>
            </w:pPr>
          </w:p>
        </w:tc>
        <w:tc>
          <w:tcPr>
            <w:tcW w:w="425" w:type="pct"/>
            <w:vMerge w:val="continue"/>
            <w:tcBorders>
              <w:top w:val="nil"/>
              <w:left w:val="single" w:color="auto" w:sz="4" w:space="0"/>
              <w:bottom w:val="single" w:color="auto" w:sz="4" w:space="0"/>
              <w:right w:val="single" w:color="auto" w:sz="4" w:space="0"/>
            </w:tcBorders>
            <w:vAlign w:val="center"/>
          </w:tcPr>
          <w:p w14:paraId="48F1627F">
            <w:pPr>
              <w:widowControl/>
              <w:jc w:val="left"/>
              <w:rPr>
                <w:rFonts w:ascii="Times New Roman" w:hAnsi="Times New Roman" w:eastAsia="宋体"/>
                <w:b/>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5583A2A4">
            <w:pPr>
              <w:rPr>
                <w:rFonts w:ascii="Times New Roman" w:hAnsi="Times New Roman" w:cs="Times New Roman"/>
                <w:b/>
                <w:sz w:val="20"/>
                <w:szCs w:val="20"/>
              </w:rPr>
            </w:pPr>
            <w:r>
              <w:rPr>
                <w:rFonts w:hint="eastAsia" w:ascii="Times New Roman" w:hAnsi="Times New Roman" w:cs="Times New Roman"/>
                <w:sz w:val="20"/>
                <w:szCs w:val="20"/>
              </w:rPr>
              <w:t>9.2 液压传感器：最大测量值≥250bar；</w:t>
            </w:r>
          </w:p>
        </w:tc>
        <w:tc>
          <w:tcPr>
            <w:tcW w:w="919" w:type="pct"/>
            <w:tcBorders>
              <w:top w:val="single" w:color="auto" w:sz="4" w:space="0"/>
              <w:left w:val="single" w:color="auto" w:sz="4" w:space="0"/>
              <w:bottom w:val="single" w:color="auto" w:sz="4" w:space="0"/>
              <w:right w:val="single" w:color="auto" w:sz="4" w:space="0"/>
            </w:tcBorders>
            <w:vAlign w:val="center"/>
          </w:tcPr>
          <w:p w14:paraId="0DF8F32D">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BA45F38">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5A80360">
            <w:pPr>
              <w:rPr>
                <w:rFonts w:hint="eastAsia" w:ascii="Times New Roman" w:hAnsi="Times New Roman" w:cs="Times New Roman"/>
                <w:sz w:val="20"/>
                <w:szCs w:val="20"/>
              </w:rPr>
            </w:pPr>
          </w:p>
        </w:tc>
      </w:tr>
      <w:tr w14:paraId="4EAE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top w:val="nil"/>
              <w:left w:val="single" w:color="auto" w:sz="4" w:space="0"/>
              <w:bottom w:val="single" w:color="auto" w:sz="4" w:space="0"/>
              <w:right w:val="single" w:color="auto" w:sz="4" w:space="0"/>
            </w:tcBorders>
            <w:vAlign w:val="center"/>
          </w:tcPr>
          <w:p w14:paraId="0C052BB1">
            <w:pPr>
              <w:widowControl/>
              <w:jc w:val="center"/>
              <w:rPr>
                <w:rFonts w:ascii="Times New Roman" w:hAnsi="Times New Roman" w:eastAsia="宋体"/>
                <w:b/>
                <w:sz w:val="20"/>
                <w:szCs w:val="20"/>
              </w:rPr>
            </w:pPr>
          </w:p>
        </w:tc>
        <w:tc>
          <w:tcPr>
            <w:tcW w:w="425" w:type="pct"/>
            <w:vMerge w:val="continue"/>
            <w:tcBorders>
              <w:top w:val="nil"/>
              <w:left w:val="single" w:color="auto" w:sz="4" w:space="0"/>
              <w:bottom w:val="single" w:color="auto" w:sz="4" w:space="0"/>
              <w:right w:val="single" w:color="auto" w:sz="4" w:space="0"/>
            </w:tcBorders>
            <w:vAlign w:val="center"/>
          </w:tcPr>
          <w:p w14:paraId="2952E0FA">
            <w:pPr>
              <w:widowControl/>
              <w:jc w:val="left"/>
              <w:rPr>
                <w:rFonts w:ascii="Times New Roman" w:hAnsi="Times New Roman" w:eastAsia="宋体"/>
                <w:b/>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3C8FF6B1">
            <w:pPr>
              <w:rPr>
                <w:rFonts w:ascii="Times New Roman" w:hAnsi="Times New Roman" w:cs="Times New Roman"/>
                <w:sz w:val="20"/>
                <w:szCs w:val="20"/>
              </w:rPr>
            </w:pPr>
            <w:r>
              <w:rPr>
                <w:rFonts w:ascii="Times New Roman" w:hAnsi="Times New Roman" w:cs="Times New Roman"/>
                <w:sz w:val="20"/>
                <w:szCs w:val="20"/>
              </w:rPr>
              <w:t>9.</w:t>
            </w:r>
            <w:r>
              <w:rPr>
                <w:rFonts w:hint="eastAsia" w:ascii="Times New Roman" w:hAnsi="Times New Roman" w:cs="Times New Roman"/>
                <w:sz w:val="20"/>
                <w:szCs w:val="20"/>
              </w:rPr>
              <w:t>3 材质：铝合金、不锈钢；</w:t>
            </w:r>
          </w:p>
        </w:tc>
        <w:tc>
          <w:tcPr>
            <w:tcW w:w="919" w:type="pct"/>
            <w:tcBorders>
              <w:top w:val="single" w:color="auto" w:sz="4" w:space="0"/>
              <w:left w:val="single" w:color="auto" w:sz="4" w:space="0"/>
              <w:bottom w:val="single" w:color="auto" w:sz="4" w:space="0"/>
              <w:right w:val="single" w:color="auto" w:sz="4" w:space="0"/>
            </w:tcBorders>
            <w:vAlign w:val="center"/>
          </w:tcPr>
          <w:p w14:paraId="0AD1E0A8">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5B7D41D">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6EFFABD">
            <w:pPr>
              <w:rPr>
                <w:rFonts w:ascii="Times New Roman" w:hAnsi="Times New Roman" w:cs="Times New Roman"/>
                <w:sz w:val="20"/>
                <w:szCs w:val="20"/>
              </w:rPr>
            </w:pPr>
          </w:p>
        </w:tc>
      </w:tr>
      <w:tr w14:paraId="1219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78A33810">
            <w:pPr>
              <w:widowControl/>
              <w:jc w:val="center"/>
              <w:rPr>
                <w:rFonts w:ascii="Times New Roman" w:hAnsi="Times New Roman" w:eastAsia="宋体"/>
                <w:b/>
                <w:sz w:val="20"/>
                <w:szCs w:val="20"/>
              </w:rPr>
            </w:pPr>
            <w:r>
              <w:rPr>
                <w:rFonts w:hint="eastAsia" w:ascii="Times New Roman" w:hAnsi="Times New Roman" w:eastAsia="宋体"/>
                <w:b/>
                <w:sz w:val="20"/>
                <w:szCs w:val="20"/>
              </w:rPr>
              <w:t>10</w:t>
            </w:r>
          </w:p>
        </w:tc>
        <w:tc>
          <w:tcPr>
            <w:tcW w:w="425" w:type="pct"/>
            <w:vMerge w:val="restart"/>
            <w:tcBorders>
              <w:top w:val="nil"/>
              <w:left w:val="single" w:color="auto" w:sz="4" w:space="0"/>
              <w:right w:val="single" w:color="auto" w:sz="4" w:space="0"/>
            </w:tcBorders>
            <w:vAlign w:val="center"/>
          </w:tcPr>
          <w:p w14:paraId="0133E827">
            <w:pPr>
              <w:widowControl/>
              <w:jc w:val="center"/>
              <w:rPr>
                <w:rFonts w:ascii="Times New Roman" w:hAnsi="Times New Roman" w:eastAsia="宋体"/>
                <w:b/>
                <w:sz w:val="20"/>
                <w:szCs w:val="20"/>
              </w:rPr>
            </w:pPr>
            <w:r>
              <w:rPr>
                <w:rFonts w:ascii="Times New Roman" w:hAnsi="Times New Roman" w:cs="Times New Roman"/>
                <w:sz w:val="18"/>
                <w:szCs w:val="18"/>
              </w:rPr>
              <w:t>2</w:t>
            </w:r>
            <w:r>
              <w:rPr>
                <w:rFonts w:hint="eastAsia" w:ascii="Times New Roman" w:hAnsi="Times New Roman" w:cs="Times New Roman"/>
                <w:sz w:val="18"/>
                <w:szCs w:val="18"/>
              </w:rPr>
              <w:t>．深海多功能机械臂</w:t>
            </w:r>
          </w:p>
        </w:tc>
        <w:tc>
          <w:tcPr>
            <w:tcW w:w="1597" w:type="pct"/>
            <w:tcBorders>
              <w:top w:val="single" w:color="auto" w:sz="4" w:space="0"/>
              <w:left w:val="single" w:color="auto" w:sz="4" w:space="0"/>
              <w:bottom w:val="single" w:color="auto" w:sz="4" w:space="0"/>
              <w:right w:val="single" w:color="auto" w:sz="4" w:space="0"/>
            </w:tcBorders>
            <w:vAlign w:val="center"/>
          </w:tcPr>
          <w:p w14:paraId="05882111">
            <w:pPr>
              <w:rPr>
                <w:rFonts w:ascii="宋体" w:hAnsi="宋体"/>
                <w:sz w:val="20"/>
                <w:szCs w:val="20"/>
              </w:rPr>
            </w:pPr>
            <w:r>
              <w:rPr>
                <w:rFonts w:hint="eastAsia" w:ascii="Times New Roman" w:hAnsi="Times New Roman"/>
                <w:sz w:val="20"/>
                <w:szCs w:val="20"/>
              </w:rPr>
              <w:t>1</w:t>
            </w:r>
            <w:r>
              <w:rPr>
                <w:rFonts w:ascii="Times New Roman" w:hAnsi="Times New Roman"/>
                <w:sz w:val="20"/>
                <w:szCs w:val="20"/>
              </w:rPr>
              <w:t xml:space="preserve">0.1 </w:t>
            </w:r>
            <w:r>
              <w:rPr>
                <w:rFonts w:hint="eastAsia" w:ascii="Times New Roman" w:hAnsi="Times New Roman"/>
                <w:sz w:val="20"/>
                <w:szCs w:val="20"/>
              </w:rPr>
              <w:t>包括：</w:t>
            </w:r>
            <w:r>
              <w:rPr>
                <w:rFonts w:hint="eastAsia" w:ascii="Times New Roman" w:hAnsi="Times New Roman" w:cs="Times New Roman"/>
                <w:sz w:val="18"/>
                <w:szCs w:val="18"/>
              </w:rPr>
              <w:t>五功能机械臂、</w:t>
            </w:r>
            <w:r>
              <w:rPr>
                <w:rFonts w:ascii="Times New Roman" w:hAnsi="Times New Roman" w:cs="Times New Roman"/>
                <w:sz w:val="18"/>
                <w:szCs w:val="18"/>
              </w:rPr>
              <w:t>七功能机械臂</w:t>
            </w:r>
            <w:r>
              <w:rPr>
                <w:rFonts w:hint="eastAsia" w:ascii="Times New Roman" w:hAnsi="Times New Roman"/>
                <w:sz w:val="20"/>
                <w:szCs w:val="20"/>
              </w:rPr>
              <w:t>；</w:t>
            </w:r>
          </w:p>
        </w:tc>
        <w:tc>
          <w:tcPr>
            <w:tcW w:w="919" w:type="pct"/>
            <w:tcBorders>
              <w:top w:val="single" w:color="auto" w:sz="4" w:space="0"/>
              <w:left w:val="single" w:color="auto" w:sz="4" w:space="0"/>
              <w:bottom w:val="single" w:color="auto" w:sz="4" w:space="0"/>
              <w:right w:val="single" w:color="auto" w:sz="4" w:space="0"/>
            </w:tcBorders>
            <w:vAlign w:val="center"/>
          </w:tcPr>
          <w:p w14:paraId="545056FD">
            <w:pPr>
              <w:rPr>
                <w:rFonts w:hint="eastAsia" w:ascii="Times New Roman" w:hAnsi="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F35817A">
            <w:pPr>
              <w:rPr>
                <w:rFonts w:hint="eastAsia" w:ascii="Times New Roman" w:hAnsi="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0AC898F">
            <w:pPr>
              <w:rPr>
                <w:rFonts w:hint="eastAsia" w:ascii="Times New Roman" w:hAnsi="Times New Roman"/>
                <w:sz w:val="20"/>
                <w:szCs w:val="20"/>
              </w:rPr>
            </w:pPr>
          </w:p>
        </w:tc>
      </w:tr>
      <w:tr w14:paraId="3B33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1A21EF54">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095544A6">
            <w:pPr>
              <w:widowControl/>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vAlign w:val="center"/>
          </w:tcPr>
          <w:p w14:paraId="7EFD7098">
            <w:pPr>
              <w:rPr>
                <w:rFonts w:ascii="Times New Roman" w:hAnsi="Times New Roman"/>
                <w:sz w:val="20"/>
                <w:szCs w:val="20"/>
              </w:rPr>
            </w:pPr>
            <w:r>
              <w:rPr>
                <w:rFonts w:hint="eastAsia" w:ascii="Times New Roman" w:hAnsi="Times New Roman"/>
                <w:sz w:val="20"/>
                <w:szCs w:val="20"/>
              </w:rPr>
              <w:t>1</w:t>
            </w:r>
            <w:r>
              <w:rPr>
                <w:rFonts w:ascii="Times New Roman" w:hAnsi="Times New Roman"/>
                <w:sz w:val="20"/>
                <w:szCs w:val="20"/>
              </w:rPr>
              <w:t xml:space="preserve">0.2 </w:t>
            </w:r>
            <w:r>
              <w:rPr>
                <w:rFonts w:hint="eastAsia" w:ascii="Times New Roman" w:hAnsi="Times New Roman" w:cs="Times New Roman"/>
                <w:sz w:val="20"/>
                <w:szCs w:val="20"/>
              </w:rPr>
              <w:t xml:space="preserve">★ </w:t>
            </w:r>
            <w:r>
              <w:rPr>
                <w:rFonts w:hint="eastAsia" w:ascii="Times New Roman" w:hAnsi="Times New Roman"/>
                <w:sz w:val="20"/>
                <w:szCs w:val="20"/>
              </w:rPr>
              <w:t>搭载多功能机械手：</w:t>
            </w:r>
            <w:r>
              <w:rPr>
                <w:rFonts w:ascii="Times New Roman" w:hAnsi="Times New Roman"/>
                <w:sz w:val="20"/>
                <w:szCs w:val="20"/>
              </w:rPr>
              <w:t>4</w:t>
            </w:r>
            <w:r>
              <w:rPr>
                <w:rFonts w:hint="eastAsia" w:ascii="Times New Roman" w:hAnsi="Times New Roman"/>
                <w:sz w:val="20"/>
                <w:szCs w:val="20"/>
              </w:rPr>
              <w:t>套；</w:t>
            </w:r>
          </w:p>
        </w:tc>
        <w:tc>
          <w:tcPr>
            <w:tcW w:w="919" w:type="pct"/>
            <w:tcBorders>
              <w:top w:val="single" w:color="auto" w:sz="4" w:space="0"/>
              <w:left w:val="single" w:color="auto" w:sz="4" w:space="0"/>
              <w:bottom w:val="single" w:color="auto" w:sz="4" w:space="0"/>
              <w:right w:val="single" w:color="auto" w:sz="4" w:space="0"/>
            </w:tcBorders>
            <w:vAlign w:val="center"/>
          </w:tcPr>
          <w:p w14:paraId="44CC44FF">
            <w:pPr>
              <w:rPr>
                <w:rFonts w:hint="eastAsia" w:ascii="Times New Roman" w:hAnsi="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05CE389">
            <w:pPr>
              <w:rPr>
                <w:rFonts w:hint="eastAsia" w:ascii="Times New Roman" w:hAnsi="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9BEC8EA">
            <w:pPr>
              <w:rPr>
                <w:rFonts w:hint="eastAsia" w:ascii="Times New Roman" w:hAnsi="Times New Roman"/>
                <w:sz w:val="20"/>
                <w:szCs w:val="20"/>
              </w:rPr>
            </w:pPr>
          </w:p>
        </w:tc>
      </w:tr>
      <w:tr w14:paraId="0C50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bottom w:val="single" w:color="auto" w:sz="4" w:space="0"/>
              <w:right w:val="single" w:color="auto" w:sz="4" w:space="0"/>
            </w:tcBorders>
            <w:vAlign w:val="center"/>
          </w:tcPr>
          <w:p w14:paraId="03ECF8B7">
            <w:pPr>
              <w:jc w:val="center"/>
              <w:rPr>
                <w:rFonts w:ascii="Times New Roman" w:hAnsi="Times New Roman"/>
                <w:b/>
                <w:sz w:val="20"/>
                <w:szCs w:val="20"/>
              </w:rPr>
            </w:pPr>
            <w:r>
              <w:rPr>
                <w:rFonts w:hint="eastAsia" w:ascii="Times New Roman" w:hAnsi="Times New Roman"/>
                <w:b/>
                <w:sz w:val="20"/>
                <w:szCs w:val="20"/>
              </w:rPr>
              <w:t>11</w:t>
            </w:r>
          </w:p>
        </w:tc>
        <w:tc>
          <w:tcPr>
            <w:tcW w:w="425" w:type="pct"/>
            <w:vMerge w:val="restart"/>
            <w:tcBorders>
              <w:top w:val="nil"/>
              <w:left w:val="single" w:color="auto" w:sz="4" w:space="0"/>
              <w:bottom w:val="single" w:color="auto" w:sz="4" w:space="0"/>
              <w:right w:val="single" w:color="auto" w:sz="4" w:space="0"/>
            </w:tcBorders>
            <w:vAlign w:val="center"/>
          </w:tcPr>
          <w:p w14:paraId="0BA7121E">
            <w:pPr>
              <w:jc w:val="center"/>
              <w:rPr>
                <w:rFonts w:ascii="Times New Roman" w:hAnsi="Times New Roman" w:cs="Times New Roman"/>
                <w:sz w:val="18"/>
                <w:szCs w:val="18"/>
              </w:rPr>
            </w:pPr>
            <w:r>
              <w:rPr>
                <w:rFonts w:ascii="Times New Roman" w:hAnsi="Times New Roman" w:cs="Times New Roman"/>
                <w:sz w:val="18"/>
                <w:szCs w:val="18"/>
              </w:rPr>
              <w:t>2.1</w:t>
            </w:r>
            <w:r>
              <w:rPr>
                <w:rFonts w:hint="eastAsia" w:ascii="Times New Roman" w:hAnsi="Times New Roman" w:cs="Times New Roman"/>
                <w:sz w:val="18"/>
                <w:szCs w:val="18"/>
              </w:rPr>
              <w:t>五功能机械臂</w:t>
            </w:r>
          </w:p>
        </w:tc>
        <w:tc>
          <w:tcPr>
            <w:tcW w:w="1597" w:type="pct"/>
            <w:tcBorders>
              <w:top w:val="single" w:color="auto" w:sz="4" w:space="0"/>
              <w:left w:val="single" w:color="auto" w:sz="4" w:space="0"/>
              <w:bottom w:val="single" w:color="auto" w:sz="4" w:space="0"/>
              <w:right w:val="single" w:color="auto" w:sz="4" w:space="0"/>
            </w:tcBorders>
            <w:vAlign w:val="center"/>
          </w:tcPr>
          <w:p w14:paraId="5CF2B5F4">
            <w:pPr>
              <w:rPr>
                <w:rFonts w:ascii="Times New Roman" w:hAnsi="Times New Roman" w:cs="Times New Roman"/>
                <w:sz w:val="20"/>
                <w:szCs w:val="20"/>
              </w:rPr>
            </w:pPr>
            <w:r>
              <w:rPr>
                <w:rFonts w:hint="eastAsia" w:ascii="Times New Roman" w:hAnsi="Times New Roman" w:cs="Times New Roman"/>
                <w:sz w:val="20"/>
                <w:szCs w:val="20"/>
              </w:rPr>
              <w:t>11.1</w:t>
            </w:r>
            <w:r>
              <w:rPr>
                <w:rFonts w:ascii="Times New Roman" w:hAnsi="Times New Roman" w:cs="Times New Roman"/>
                <w:sz w:val="20"/>
                <w:szCs w:val="20"/>
              </w:rPr>
              <w:t xml:space="preserve"> </w:t>
            </w:r>
            <w:r>
              <w:rPr>
                <w:rFonts w:hint="eastAsia" w:ascii="Times New Roman" w:hAnsi="Times New Roman" w:cs="Times New Roman"/>
                <w:sz w:val="20"/>
                <w:szCs w:val="20"/>
              </w:rPr>
              <w:t>数量：2套</w:t>
            </w:r>
          </w:p>
        </w:tc>
        <w:tc>
          <w:tcPr>
            <w:tcW w:w="919" w:type="pct"/>
            <w:tcBorders>
              <w:top w:val="single" w:color="auto" w:sz="4" w:space="0"/>
              <w:left w:val="single" w:color="auto" w:sz="4" w:space="0"/>
              <w:bottom w:val="single" w:color="auto" w:sz="4" w:space="0"/>
              <w:right w:val="single" w:color="auto" w:sz="4" w:space="0"/>
            </w:tcBorders>
            <w:vAlign w:val="center"/>
          </w:tcPr>
          <w:p w14:paraId="28E3E524">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474E0377">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B5F0E7B">
            <w:pPr>
              <w:rPr>
                <w:rFonts w:hint="eastAsia" w:ascii="Times New Roman" w:hAnsi="Times New Roman" w:cs="Times New Roman"/>
                <w:sz w:val="20"/>
                <w:szCs w:val="20"/>
              </w:rPr>
            </w:pPr>
          </w:p>
        </w:tc>
      </w:tr>
      <w:tr w14:paraId="7286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top w:val="nil"/>
              <w:left w:val="single" w:color="auto" w:sz="4" w:space="0"/>
              <w:bottom w:val="single" w:color="auto" w:sz="4" w:space="0"/>
              <w:right w:val="single" w:color="auto" w:sz="4" w:space="0"/>
            </w:tcBorders>
            <w:vAlign w:val="center"/>
          </w:tcPr>
          <w:p w14:paraId="4EDD7774">
            <w:pPr>
              <w:jc w:val="center"/>
              <w:rPr>
                <w:rFonts w:ascii="Times New Roman" w:hAnsi="Times New Roman"/>
                <w:b/>
                <w:sz w:val="20"/>
                <w:szCs w:val="20"/>
              </w:rPr>
            </w:pPr>
          </w:p>
        </w:tc>
        <w:tc>
          <w:tcPr>
            <w:tcW w:w="425" w:type="pct"/>
            <w:vMerge w:val="continue"/>
            <w:tcBorders>
              <w:top w:val="nil"/>
              <w:left w:val="single" w:color="auto" w:sz="4" w:space="0"/>
              <w:bottom w:val="single" w:color="auto" w:sz="4" w:space="0"/>
              <w:right w:val="single" w:color="auto" w:sz="4" w:space="0"/>
            </w:tcBorders>
            <w:vAlign w:val="center"/>
          </w:tcPr>
          <w:p w14:paraId="7ADDB3F9">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vAlign w:val="center"/>
          </w:tcPr>
          <w:p w14:paraId="32293DF8">
            <w:pPr>
              <w:rPr>
                <w:rFonts w:ascii="Times New Roman" w:hAnsi="Times New Roman" w:cs="Times New Roman"/>
                <w:b/>
                <w:sz w:val="20"/>
                <w:szCs w:val="20"/>
              </w:rPr>
            </w:pPr>
            <w:r>
              <w:rPr>
                <w:rFonts w:hint="eastAsia" w:ascii="Times New Roman" w:hAnsi="Times New Roman" w:cs="Times New Roman"/>
                <w:sz w:val="20"/>
                <w:szCs w:val="20"/>
              </w:rPr>
              <w:t>11.2</w:t>
            </w:r>
            <w:r>
              <w:rPr>
                <w:rFonts w:ascii="Times New Roman" w:hAnsi="Times New Roman" w:cs="Times New Roman"/>
                <w:sz w:val="20"/>
                <w:szCs w:val="20"/>
              </w:rPr>
              <w:t xml:space="preserve"> </w:t>
            </w:r>
            <w:r>
              <w:rPr>
                <w:rFonts w:hint="eastAsia"/>
                <w:sz w:val="20"/>
              </w:rPr>
              <w:t>▲</w:t>
            </w:r>
            <w:r>
              <w:rPr>
                <w:rFonts w:hint="eastAsia" w:ascii="Times New Roman" w:hAnsi="Times New Roman" w:cs="Times New Roman"/>
                <w:sz w:val="20"/>
                <w:szCs w:val="20"/>
              </w:rPr>
              <w:t xml:space="preserve"> 水下最大负载：150kg；</w:t>
            </w:r>
          </w:p>
        </w:tc>
        <w:tc>
          <w:tcPr>
            <w:tcW w:w="919" w:type="pct"/>
            <w:tcBorders>
              <w:top w:val="single" w:color="auto" w:sz="4" w:space="0"/>
              <w:left w:val="single" w:color="auto" w:sz="4" w:space="0"/>
              <w:bottom w:val="single" w:color="auto" w:sz="4" w:space="0"/>
              <w:right w:val="single" w:color="auto" w:sz="4" w:space="0"/>
            </w:tcBorders>
            <w:vAlign w:val="center"/>
          </w:tcPr>
          <w:p w14:paraId="6D36B8E4">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714E0C54">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0C9629A">
            <w:pPr>
              <w:rPr>
                <w:rFonts w:hint="eastAsia" w:ascii="Times New Roman" w:hAnsi="Times New Roman" w:cs="Times New Roman"/>
                <w:sz w:val="20"/>
                <w:szCs w:val="20"/>
              </w:rPr>
            </w:pPr>
          </w:p>
        </w:tc>
      </w:tr>
      <w:tr w14:paraId="0E14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top w:val="nil"/>
              <w:left w:val="single" w:color="auto" w:sz="4" w:space="0"/>
              <w:bottom w:val="single" w:color="auto" w:sz="4" w:space="0"/>
              <w:right w:val="single" w:color="auto" w:sz="4" w:space="0"/>
            </w:tcBorders>
            <w:vAlign w:val="center"/>
          </w:tcPr>
          <w:p w14:paraId="62110B76">
            <w:pPr>
              <w:widowControl/>
              <w:jc w:val="center"/>
              <w:rPr>
                <w:rFonts w:ascii="Times New Roman" w:hAnsi="Times New Roman" w:eastAsia="宋体"/>
                <w:b/>
                <w:sz w:val="20"/>
                <w:szCs w:val="20"/>
              </w:rPr>
            </w:pPr>
          </w:p>
        </w:tc>
        <w:tc>
          <w:tcPr>
            <w:tcW w:w="425" w:type="pct"/>
            <w:vMerge w:val="continue"/>
            <w:tcBorders>
              <w:top w:val="nil"/>
              <w:left w:val="single" w:color="auto" w:sz="4" w:space="0"/>
              <w:bottom w:val="single" w:color="auto" w:sz="4" w:space="0"/>
              <w:right w:val="single" w:color="auto" w:sz="4" w:space="0"/>
            </w:tcBorders>
            <w:vAlign w:val="center"/>
          </w:tcPr>
          <w:p w14:paraId="2012B6C6">
            <w:pPr>
              <w:widowControl/>
              <w:jc w:val="left"/>
              <w:rPr>
                <w:rFonts w:ascii="Times New Roman" w:hAnsi="Times New Roman" w:eastAsia="宋体"/>
                <w:kern w:val="0"/>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12D77BE5">
            <w:pPr>
              <w:rPr>
                <w:rFonts w:ascii="Times New Roman" w:hAnsi="Times New Roman" w:cs="Times New Roman"/>
                <w:b/>
                <w:sz w:val="20"/>
                <w:szCs w:val="20"/>
              </w:rPr>
            </w:pPr>
            <w:r>
              <w:rPr>
                <w:rFonts w:hint="eastAsia" w:ascii="Times New Roman" w:hAnsi="Times New Roman" w:cs="Times New Roman"/>
                <w:sz w:val="20"/>
                <w:szCs w:val="20"/>
              </w:rPr>
              <w:t>11.3 材质：铝合金；</w:t>
            </w:r>
          </w:p>
        </w:tc>
        <w:tc>
          <w:tcPr>
            <w:tcW w:w="919" w:type="pct"/>
            <w:tcBorders>
              <w:top w:val="single" w:color="auto" w:sz="4" w:space="0"/>
              <w:left w:val="single" w:color="auto" w:sz="4" w:space="0"/>
              <w:bottom w:val="single" w:color="auto" w:sz="4" w:space="0"/>
              <w:right w:val="single" w:color="auto" w:sz="4" w:space="0"/>
            </w:tcBorders>
            <w:vAlign w:val="center"/>
          </w:tcPr>
          <w:p w14:paraId="07670548">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EE840F8">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B273AED">
            <w:pPr>
              <w:rPr>
                <w:rFonts w:hint="eastAsia" w:ascii="Times New Roman" w:hAnsi="Times New Roman" w:cs="Times New Roman"/>
                <w:sz w:val="20"/>
                <w:szCs w:val="20"/>
              </w:rPr>
            </w:pPr>
          </w:p>
        </w:tc>
      </w:tr>
      <w:tr w14:paraId="571E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top w:val="nil"/>
              <w:left w:val="single" w:color="auto" w:sz="4" w:space="0"/>
              <w:bottom w:val="single" w:color="auto" w:sz="4" w:space="0"/>
              <w:right w:val="single" w:color="auto" w:sz="4" w:space="0"/>
            </w:tcBorders>
            <w:vAlign w:val="center"/>
          </w:tcPr>
          <w:p w14:paraId="70F1E890">
            <w:pPr>
              <w:widowControl/>
              <w:jc w:val="center"/>
              <w:rPr>
                <w:rFonts w:ascii="Times New Roman" w:hAnsi="Times New Roman" w:eastAsia="宋体"/>
                <w:b/>
                <w:sz w:val="20"/>
                <w:szCs w:val="20"/>
              </w:rPr>
            </w:pPr>
          </w:p>
        </w:tc>
        <w:tc>
          <w:tcPr>
            <w:tcW w:w="425" w:type="pct"/>
            <w:vMerge w:val="continue"/>
            <w:tcBorders>
              <w:top w:val="nil"/>
              <w:left w:val="single" w:color="auto" w:sz="4" w:space="0"/>
              <w:bottom w:val="single" w:color="auto" w:sz="4" w:space="0"/>
              <w:right w:val="single" w:color="auto" w:sz="4" w:space="0"/>
            </w:tcBorders>
            <w:vAlign w:val="center"/>
          </w:tcPr>
          <w:p w14:paraId="6EE4A8DF">
            <w:pPr>
              <w:widowControl/>
              <w:jc w:val="left"/>
              <w:rPr>
                <w:rFonts w:ascii="Times New Roman" w:hAnsi="Times New Roman" w:eastAsia="宋体"/>
                <w:kern w:val="0"/>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5B7DEA75">
            <w:pPr>
              <w:rPr>
                <w:rFonts w:ascii="Times New Roman" w:hAnsi="Times New Roman" w:cs="Times New Roman"/>
                <w:sz w:val="20"/>
                <w:szCs w:val="20"/>
              </w:rPr>
            </w:pPr>
            <w:r>
              <w:rPr>
                <w:rFonts w:hint="eastAsia" w:ascii="Times New Roman" w:hAnsi="Times New Roman" w:cs="Times New Roman"/>
                <w:sz w:val="20"/>
                <w:szCs w:val="20"/>
              </w:rPr>
              <w:t>11.4</w:t>
            </w:r>
            <w:r>
              <w:rPr>
                <w:rFonts w:ascii="Times New Roman" w:hAnsi="Times New Roman" w:cs="Times New Roman"/>
                <w:sz w:val="20"/>
                <w:szCs w:val="20"/>
              </w:rPr>
              <w:t xml:space="preserve"> </w:t>
            </w:r>
            <w:r>
              <w:rPr>
                <w:rFonts w:hint="eastAsia" w:ascii="Times New Roman" w:hAnsi="Times New Roman" w:cs="Times New Roman"/>
                <w:sz w:val="20"/>
                <w:szCs w:val="20"/>
              </w:rPr>
              <w:t>耐压水深：≥ 1000米；</w:t>
            </w:r>
            <w:r>
              <w:rPr>
                <w:rFonts w:ascii="Times New Roman" w:hAnsi="Times New Roman" w:cs="Times New Roman"/>
                <w:sz w:val="20"/>
                <w:szCs w:val="20"/>
              </w:rPr>
              <w:t xml:space="preserve"> </w:t>
            </w:r>
          </w:p>
        </w:tc>
        <w:tc>
          <w:tcPr>
            <w:tcW w:w="919" w:type="pct"/>
            <w:tcBorders>
              <w:top w:val="single" w:color="auto" w:sz="4" w:space="0"/>
              <w:left w:val="single" w:color="auto" w:sz="4" w:space="0"/>
              <w:bottom w:val="single" w:color="auto" w:sz="4" w:space="0"/>
              <w:right w:val="single" w:color="auto" w:sz="4" w:space="0"/>
            </w:tcBorders>
            <w:vAlign w:val="center"/>
          </w:tcPr>
          <w:p w14:paraId="4F242541">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372A9D7">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C2B904F">
            <w:pPr>
              <w:rPr>
                <w:rFonts w:hint="eastAsia" w:ascii="Times New Roman" w:hAnsi="Times New Roman" w:cs="Times New Roman"/>
                <w:sz w:val="20"/>
                <w:szCs w:val="20"/>
              </w:rPr>
            </w:pPr>
          </w:p>
        </w:tc>
      </w:tr>
      <w:tr w14:paraId="3EE7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3760BE7A">
            <w:pPr>
              <w:widowControl/>
              <w:jc w:val="center"/>
              <w:rPr>
                <w:rFonts w:ascii="Times New Roman" w:hAnsi="Times New Roman" w:eastAsia="宋体"/>
                <w:b/>
                <w:sz w:val="20"/>
                <w:szCs w:val="20"/>
              </w:rPr>
            </w:pPr>
            <w:r>
              <w:rPr>
                <w:rFonts w:hint="eastAsia" w:ascii="Times New Roman" w:hAnsi="Times New Roman" w:eastAsia="宋体"/>
                <w:b/>
                <w:sz w:val="20"/>
                <w:szCs w:val="20"/>
              </w:rPr>
              <w:t>12</w:t>
            </w:r>
          </w:p>
        </w:tc>
        <w:tc>
          <w:tcPr>
            <w:tcW w:w="425" w:type="pct"/>
            <w:vMerge w:val="restart"/>
            <w:tcBorders>
              <w:top w:val="nil"/>
              <w:left w:val="single" w:color="auto" w:sz="4" w:space="0"/>
              <w:right w:val="single" w:color="auto" w:sz="4" w:space="0"/>
            </w:tcBorders>
            <w:vAlign w:val="center"/>
          </w:tcPr>
          <w:p w14:paraId="556FFDBA">
            <w:pPr>
              <w:widowControl/>
              <w:jc w:val="center"/>
              <w:rPr>
                <w:rFonts w:ascii="Times New Roman" w:hAnsi="Times New Roman" w:eastAsia="宋体"/>
                <w:kern w:val="0"/>
                <w:sz w:val="20"/>
                <w:szCs w:val="20"/>
              </w:rPr>
            </w:pPr>
            <w:r>
              <w:rPr>
                <w:rFonts w:ascii="Times New Roman" w:hAnsi="Times New Roman" w:cs="Times New Roman"/>
                <w:sz w:val="18"/>
                <w:szCs w:val="18"/>
              </w:rPr>
              <w:t>2.2七功能机械臂</w:t>
            </w:r>
          </w:p>
        </w:tc>
        <w:tc>
          <w:tcPr>
            <w:tcW w:w="1597" w:type="pct"/>
            <w:tcBorders>
              <w:top w:val="single" w:color="auto" w:sz="4" w:space="0"/>
              <w:left w:val="single" w:color="auto" w:sz="4" w:space="0"/>
              <w:bottom w:val="single" w:color="auto" w:sz="4" w:space="0"/>
              <w:right w:val="single" w:color="auto" w:sz="4" w:space="0"/>
            </w:tcBorders>
            <w:vAlign w:val="center"/>
          </w:tcPr>
          <w:p w14:paraId="6F3FEE79">
            <w:pPr>
              <w:rPr>
                <w:rFonts w:ascii="Times New Roman" w:hAnsi="Times New Roman" w:cs="Times New Roman"/>
                <w:sz w:val="20"/>
                <w:szCs w:val="20"/>
              </w:rPr>
            </w:pPr>
            <w:r>
              <w:rPr>
                <w:rFonts w:hint="eastAsia" w:ascii="Times New Roman" w:hAnsi="Times New Roman" w:cs="Times New Roman"/>
                <w:sz w:val="20"/>
                <w:szCs w:val="20"/>
              </w:rPr>
              <w:t>12.1</w:t>
            </w:r>
            <w:r>
              <w:rPr>
                <w:rFonts w:ascii="Times New Roman" w:hAnsi="Times New Roman" w:cs="Times New Roman"/>
                <w:sz w:val="20"/>
                <w:szCs w:val="20"/>
              </w:rPr>
              <w:t xml:space="preserve"> </w:t>
            </w:r>
            <w:r>
              <w:rPr>
                <w:rFonts w:hint="eastAsia" w:ascii="Times New Roman" w:hAnsi="Times New Roman" w:cs="Times New Roman"/>
                <w:sz w:val="20"/>
                <w:szCs w:val="20"/>
              </w:rPr>
              <w:t>数量：2套；</w:t>
            </w:r>
          </w:p>
        </w:tc>
        <w:tc>
          <w:tcPr>
            <w:tcW w:w="919" w:type="pct"/>
            <w:tcBorders>
              <w:top w:val="single" w:color="auto" w:sz="4" w:space="0"/>
              <w:left w:val="single" w:color="auto" w:sz="4" w:space="0"/>
              <w:bottom w:val="single" w:color="auto" w:sz="4" w:space="0"/>
              <w:right w:val="single" w:color="auto" w:sz="4" w:space="0"/>
            </w:tcBorders>
            <w:vAlign w:val="center"/>
          </w:tcPr>
          <w:p w14:paraId="63B7229B">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53D9382">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CB97E65">
            <w:pPr>
              <w:rPr>
                <w:rFonts w:hint="eastAsia" w:ascii="Times New Roman" w:hAnsi="Times New Roman" w:cs="Times New Roman"/>
                <w:sz w:val="20"/>
                <w:szCs w:val="20"/>
              </w:rPr>
            </w:pPr>
          </w:p>
        </w:tc>
      </w:tr>
      <w:tr w14:paraId="586B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492F4C59">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6C84AEC4">
            <w:pPr>
              <w:widowControl/>
              <w:jc w:val="left"/>
              <w:rPr>
                <w:rFonts w:ascii="Times New Roman" w:hAnsi="Times New Roman" w:eastAsia="宋体"/>
                <w:kern w:val="0"/>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570AB820">
            <w:pPr>
              <w:rPr>
                <w:rFonts w:ascii="Times New Roman" w:hAnsi="Times New Roman" w:cs="Times New Roman"/>
                <w:sz w:val="20"/>
                <w:szCs w:val="20"/>
              </w:rPr>
            </w:pPr>
            <w:r>
              <w:rPr>
                <w:rFonts w:hint="eastAsia" w:ascii="Times New Roman" w:hAnsi="Times New Roman" w:cs="Times New Roman"/>
                <w:sz w:val="20"/>
                <w:szCs w:val="20"/>
              </w:rPr>
              <w:t>12.2</w:t>
            </w:r>
            <w:r>
              <w:rPr>
                <w:rFonts w:ascii="Times New Roman" w:hAnsi="Times New Roman" w:cs="Times New Roman"/>
                <w:sz w:val="20"/>
                <w:szCs w:val="20"/>
              </w:rPr>
              <w:t xml:space="preserve"> </w:t>
            </w:r>
            <w:r>
              <w:rPr>
                <w:rFonts w:hint="eastAsia"/>
                <w:sz w:val="20"/>
              </w:rPr>
              <w:t xml:space="preserve">▲ </w:t>
            </w:r>
            <w:r>
              <w:rPr>
                <w:rFonts w:hint="eastAsia" w:ascii="Times New Roman" w:hAnsi="Times New Roman" w:cs="Times New Roman"/>
                <w:sz w:val="20"/>
                <w:szCs w:val="20"/>
              </w:rPr>
              <w:t>水下最大负载：200kg；</w:t>
            </w:r>
          </w:p>
        </w:tc>
        <w:tc>
          <w:tcPr>
            <w:tcW w:w="919" w:type="pct"/>
            <w:tcBorders>
              <w:top w:val="single" w:color="auto" w:sz="4" w:space="0"/>
              <w:left w:val="single" w:color="auto" w:sz="4" w:space="0"/>
              <w:bottom w:val="single" w:color="auto" w:sz="4" w:space="0"/>
              <w:right w:val="single" w:color="auto" w:sz="4" w:space="0"/>
            </w:tcBorders>
            <w:vAlign w:val="center"/>
          </w:tcPr>
          <w:p w14:paraId="5C99F752">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429C3105">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8065076">
            <w:pPr>
              <w:rPr>
                <w:rFonts w:hint="eastAsia" w:ascii="Times New Roman" w:hAnsi="Times New Roman" w:cs="Times New Roman"/>
                <w:sz w:val="20"/>
                <w:szCs w:val="20"/>
              </w:rPr>
            </w:pPr>
          </w:p>
        </w:tc>
      </w:tr>
      <w:tr w14:paraId="730E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2894E9AA">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5B42C26F">
            <w:pPr>
              <w:widowControl/>
              <w:jc w:val="left"/>
              <w:rPr>
                <w:rFonts w:ascii="Times New Roman" w:hAnsi="Times New Roman" w:eastAsia="宋体"/>
                <w:kern w:val="0"/>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0C8C8C12">
            <w:pPr>
              <w:rPr>
                <w:rFonts w:ascii="Times New Roman" w:hAnsi="Times New Roman" w:cs="Times New Roman"/>
                <w:sz w:val="20"/>
                <w:szCs w:val="20"/>
              </w:rPr>
            </w:pPr>
            <w:r>
              <w:rPr>
                <w:rFonts w:hint="eastAsia" w:ascii="Times New Roman" w:hAnsi="Times New Roman" w:cs="Times New Roman"/>
                <w:sz w:val="20"/>
                <w:szCs w:val="20"/>
              </w:rPr>
              <w:t xml:space="preserve">12.3 </w:t>
            </w:r>
            <w:r>
              <w:rPr>
                <w:rFonts w:hint="eastAsia"/>
                <w:sz w:val="20"/>
              </w:rPr>
              <w:t xml:space="preserve">▲ </w:t>
            </w:r>
            <w:r>
              <w:rPr>
                <w:rFonts w:hint="eastAsia" w:ascii="Times New Roman" w:hAnsi="Times New Roman" w:cs="Times New Roman"/>
                <w:sz w:val="20"/>
                <w:szCs w:val="20"/>
              </w:rPr>
              <w:t>功能：7自由度、主从控制液压机械臂；</w:t>
            </w:r>
          </w:p>
        </w:tc>
        <w:tc>
          <w:tcPr>
            <w:tcW w:w="919" w:type="pct"/>
            <w:tcBorders>
              <w:top w:val="single" w:color="auto" w:sz="4" w:space="0"/>
              <w:left w:val="single" w:color="auto" w:sz="4" w:space="0"/>
              <w:bottom w:val="single" w:color="auto" w:sz="4" w:space="0"/>
              <w:right w:val="single" w:color="auto" w:sz="4" w:space="0"/>
            </w:tcBorders>
            <w:vAlign w:val="center"/>
          </w:tcPr>
          <w:p w14:paraId="7164C801">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4E97750">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50311AE">
            <w:pPr>
              <w:rPr>
                <w:rFonts w:hint="eastAsia" w:ascii="Times New Roman" w:hAnsi="Times New Roman" w:cs="Times New Roman"/>
                <w:sz w:val="20"/>
                <w:szCs w:val="20"/>
              </w:rPr>
            </w:pPr>
          </w:p>
        </w:tc>
      </w:tr>
      <w:tr w14:paraId="24E7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59A32599">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1D6A39CF">
            <w:pPr>
              <w:widowControl/>
              <w:jc w:val="left"/>
              <w:rPr>
                <w:rFonts w:ascii="Times New Roman" w:hAnsi="Times New Roman" w:eastAsia="宋体"/>
                <w:kern w:val="0"/>
                <w:sz w:val="20"/>
                <w:szCs w:val="20"/>
              </w:rPr>
            </w:pPr>
          </w:p>
        </w:tc>
        <w:tc>
          <w:tcPr>
            <w:tcW w:w="1597" w:type="pct"/>
            <w:tcBorders>
              <w:top w:val="single" w:color="auto" w:sz="4" w:space="0"/>
              <w:left w:val="single" w:color="auto" w:sz="4" w:space="0"/>
              <w:bottom w:val="single" w:color="auto" w:sz="4" w:space="0"/>
              <w:right w:val="single" w:color="auto" w:sz="4" w:space="0"/>
            </w:tcBorders>
            <w:vAlign w:val="center"/>
          </w:tcPr>
          <w:p w14:paraId="75B440C8">
            <w:pPr>
              <w:rPr>
                <w:rFonts w:ascii="Times New Roman" w:hAnsi="Times New Roman" w:cs="Times New Roman"/>
                <w:sz w:val="20"/>
                <w:szCs w:val="20"/>
              </w:rPr>
            </w:pPr>
            <w:r>
              <w:rPr>
                <w:rFonts w:hint="eastAsia" w:ascii="Times New Roman" w:hAnsi="Times New Roman" w:cs="Times New Roman"/>
                <w:sz w:val="20"/>
                <w:szCs w:val="20"/>
              </w:rPr>
              <w:t>12.4</w:t>
            </w:r>
            <w:r>
              <w:rPr>
                <w:rFonts w:ascii="Times New Roman" w:hAnsi="Times New Roman" w:cs="Times New Roman"/>
                <w:sz w:val="20"/>
                <w:szCs w:val="20"/>
              </w:rPr>
              <w:t xml:space="preserve"> </w:t>
            </w:r>
            <w:r>
              <w:rPr>
                <w:rFonts w:hint="eastAsia" w:ascii="Times New Roman" w:hAnsi="Times New Roman" w:cs="Times New Roman"/>
                <w:sz w:val="20"/>
                <w:szCs w:val="20"/>
              </w:rPr>
              <w:t>耐压水深：≥ 1000米；</w:t>
            </w:r>
          </w:p>
        </w:tc>
        <w:tc>
          <w:tcPr>
            <w:tcW w:w="919" w:type="pct"/>
            <w:tcBorders>
              <w:top w:val="single" w:color="auto" w:sz="4" w:space="0"/>
              <w:left w:val="single" w:color="auto" w:sz="4" w:space="0"/>
              <w:bottom w:val="single" w:color="auto" w:sz="4" w:space="0"/>
              <w:right w:val="single" w:color="auto" w:sz="4" w:space="0"/>
            </w:tcBorders>
            <w:vAlign w:val="center"/>
          </w:tcPr>
          <w:p w14:paraId="7555D780">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6873C825">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B33A9C8">
            <w:pPr>
              <w:rPr>
                <w:rFonts w:hint="eastAsia" w:ascii="Times New Roman" w:hAnsi="Times New Roman" w:cs="Times New Roman"/>
                <w:sz w:val="20"/>
                <w:szCs w:val="20"/>
              </w:rPr>
            </w:pPr>
          </w:p>
        </w:tc>
      </w:tr>
      <w:tr w14:paraId="5DCD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tcBorders>
              <w:top w:val="nil"/>
              <w:left w:val="single" w:color="auto" w:sz="4" w:space="0"/>
              <w:right w:val="single" w:color="auto" w:sz="4" w:space="0"/>
            </w:tcBorders>
            <w:shd w:val="clear" w:color="auto" w:fill="auto"/>
            <w:vAlign w:val="center"/>
          </w:tcPr>
          <w:p w14:paraId="63FB90A6">
            <w:pPr>
              <w:jc w:val="center"/>
              <w:rPr>
                <w:rFonts w:ascii="Times New Roman" w:hAnsi="Times New Roman"/>
                <w:b/>
                <w:sz w:val="20"/>
                <w:szCs w:val="20"/>
              </w:rPr>
            </w:pPr>
            <w:r>
              <w:rPr>
                <w:rFonts w:hint="eastAsia" w:ascii="Times New Roman" w:hAnsi="Times New Roman"/>
                <w:b/>
                <w:sz w:val="20"/>
                <w:szCs w:val="20"/>
              </w:rPr>
              <w:t>13</w:t>
            </w:r>
          </w:p>
        </w:tc>
        <w:tc>
          <w:tcPr>
            <w:tcW w:w="425" w:type="pct"/>
            <w:tcBorders>
              <w:top w:val="nil"/>
              <w:left w:val="single" w:color="auto" w:sz="4" w:space="0"/>
              <w:right w:val="single" w:color="auto" w:sz="4" w:space="0"/>
            </w:tcBorders>
            <w:shd w:val="clear" w:color="auto" w:fill="auto"/>
            <w:vAlign w:val="center"/>
          </w:tcPr>
          <w:p w14:paraId="04546829">
            <w:pPr>
              <w:widowControl/>
              <w:jc w:val="center"/>
              <w:rPr>
                <w:rFonts w:ascii="Times New Roman" w:hAnsi="Times New Roman"/>
              </w:rPr>
            </w:pPr>
            <w:r>
              <w:rPr>
                <w:rFonts w:ascii="Times New Roman" w:hAnsi="Times New Roman" w:cs="Times New Roman"/>
                <w:sz w:val="18"/>
                <w:szCs w:val="18"/>
              </w:rPr>
              <w:t>3</w:t>
            </w:r>
            <w:r>
              <w:rPr>
                <w:rFonts w:hint="eastAsia" w:ascii="Times New Roman" w:hAnsi="Times New Roman" w:cs="Times New Roman"/>
                <w:sz w:val="18"/>
                <w:szCs w:val="18"/>
              </w:rPr>
              <w:t>．控制系统</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112CD229">
            <w:pPr>
              <w:rPr>
                <w:rFonts w:ascii="Times New Roman" w:hAnsi="Times New Roman" w:cs="Times New Roman"/>
                <w:bCs/>
                <w:sz w:val="20"/>
                <w:szCs w:val="20"/>
              </w:rPr>
            </w:pPr>
            <w:r>
              <w:rPr>
                <w:rFonts w:hint="eastAsia" w:ascii="Times New Roman" w:hAnsi="Times New Roman" w:cs="Times New Roman"/>
                <w:bCs/>
                <w:sz w:val="20"/>
                <w:szCs w:val="20"/>
              </w:rPr>
              <w:t>13.1包括：供电系统、水面控制系统、水面视频转化系统</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0E7036D">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362432F9">
            <w:pPr>
              <w:rPr>
                <w:rFonts w:hint="eastAsia" w:ascii="Times New Roman" w:hAnsi="Times New Roman" w:cs="Times New Roman"/>
                <w:bCs/>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5433AAD">
            <w:pPr>
              <w:rPr>
                <w:rFonts w:hint="eastAsia" w:ascii="Times New Roman" w:hAnsi="Times New Roman" w:cs="Times New Roman"/>
                <w:bCs/>
                <w:sz w:val="20"/>
                <w:szCs w:val="20"/>
              </w:rPr>
            </w:pPr>
          </w:p>
        </w:tc>
      </w:tr>
      <w:tr w14:paraId="0FDD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65BCFC00">
            <w:pPr>
              <w:jc w:val="center"/>
              <w:rPr>
                <w:rFonts w:ascii="Times New Roman" w:hAnsi="Times New Roman"/>
                <w:bCs/>
                <w:sz w:val="20"/>
                <w:szCs w:val="20"/>
              </w:rPr>
            </w:pPr>
            <w:r>
              <w:rPr>
                <w:rFonts w:hint="eastAsia" w:ascii="Times New Roman" w:hAnsi="Times New Roman"/>
                <w:b/>
                <w:sz w:val="20"/>
                <w:szCs w:val="20"/>
              </w:rPr>
              <w:t>14</w:t>
            </w:r>
          </w:p>
        </w:tc>
        <w:tc>
          <w:tcPr>
            <w:tcW w:w="425" w:type="pct"/>
            <w:vMerge w:val="restart"/>
            <w:tcBorders>
              <w:left w:val="single" w:color="auto" w:sz="4" w:space="0"/>
              <w:right w:val="single" w:color="auto" w:sz="4" w:space="0"/>
            </w:tcBorders>
            <w:vAlign w:val="center"/>
          </w:tcPr>
          <w:p w14:paraId="208D457C">
            <w:pPr>
              <w:jc w:val="center"/>
              <w:rPr>
                <w:rFonts w:ascii="宋体" w:hAnsi="宋体"/>
                <w:sz w:val="20"/>
                <w:szCs w:val="20"/>
              </w:rPr>
            </w:pPr>
            <w:r>
              <w:rPr>
                <w:rFonts w:ascii="Times New Roman" w:hAnsi="Times New Roman" w:cs="Times New Roman"/>
                <w:sz w:val="18"/>
                <w:szCs w:val="18"/>
              </w:rPr>
              <w:t>3.1供电系统</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7E002E04">
            <w:pPr>
              <w:rPr>
                <w:rFonts w:ascii="Times New Roman" w:hAnsi="Times New Roman" w:cs="Times New Roman"/>
                <w:bCs/>
                <w:sz w:val="20"/>
                <w:szCs w:val="20"/>
              </w:rPr>
            </w:pPr>
            <w:r>
              <w:rPr>
                <w:rFonts w:hint="eastAsia" w:ascii="Times New Roman" w:hAnsi="Times New Roman" w:cs="Times New Roman"/>
                <w:color w:val="000000"/>
                <w:sz w:val="20"/>
                <w:szCs w:val="20"/>
              </w:rPr>
              <w:t>14</w:t>
            </w:r>
            <w:r>
              <w:rPr>
                <w:rFonts w:hint="eastAsia" w:ascii="Times New Roman" w:hAnsi="Times New Roman" w:cs="Times New Roman"/>
                <w:bCs/>
                <w:sz w:val="20"/>
                <w:szCs w:val="20"/>
              </w:rPr>
              <w:t>.</w:t>
            </w:r>
            <w:r>
              <w:rPr>
                <w:rFonts w:hint="eastAsia" w:ascii="Times New Roman" w:hAnsi="Times New Roman" w:cs="Times New Roman"/>
                <w:color w:val="000000"/>
                <w:sz w:val="20"/>
                <w:szCs w:val="20"/>
              </w:rPr>
              <w:t>1</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输入：380-500</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VAC 50/60Hz；</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F2FD11C">
            <w:pPr>
              <w:rPr>
                <w:rFonts w:hint="eastAsia" w:ascii="Times New Roman" w:hAnsi="Times New Roman" w:cs="Times New Roman"/>
                <w:color w:val="000000"/>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B865E1E">
            <w:pPr>
              <w:rPr>
                <w:rFonts w:hint="eastAsia" w:ascii="Times New Roman" w:hAnsi="Times New Roman" w:cs="Times New Roman"/>
                <w:color w:val="000000"/>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E6FE3EB">
            <w:pPr>
              <w:rPr>
                <w:rFonts w:hint="eastAsia" w:ascii="Times New Roman" w:hAnsi="Times New Roman" w:cs="Times New Roman"/>
                <w:color w:val="000000"/>
                <w:sz w:val="20"/>
                <w:szCs w:val="20"/>
              </w:rPr>
            </w:pPr>
          </w:p>
        </w:tc>
      </w:tr>
      <w:tr w14:paraId="0645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bottom w:val="single" w:color="auto" w:sz="4" w:space="0"/>
              <w:right w:val="single" w:color="auto" w:sz="4" w:space="0"/>
            </w:tcBorders>
            <w:vAlign w:val="center"/>
          </w:tcPr>
          <w:p w14:paraId="6DC16491">
            <w:pPr>
              <w:jc w:val="center"/>
              <w:rPr>
                <w:rFonts w:ascii="Times New Roman" w:hAnsi="Times New Roman"/>
                <w:b/>
                <w:sz w:val="20"/>
                <w:szCs w:val="20"/>
              </w:rPr>
            </w:pPr>
          </w:p>
        </w:tc>
        <w:tc>
          <w:tcPr>
            <w:tcW w:w="425" w:type="pct"/>
            <w:vMerge w:val="continue"/>
            <w:tcBorders>
              <w:left w:val="single" w:color="auto" w:sz="4" w:space="0"/>
              <w:bottom w:val="single" w:color="auto" w:sz="4" w:space="0"/>
              <w:right w:val="single" w:color="auto" w:sz="4" w:space="0"/>
            </w:tcBorders>
            <w:vAlign w:val="center"/>
          </w:tcPr>
          <w:p w14:paraId="1326F9FF">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29E0B71F">
            <w:pPr>
              <w:rPr>
                <w:rFonts w:ascii="Times New Roman" w:hAnsi="Times New Roman" w:cs="Times New Roman"/>
                <w:color w:val="000000"/>
                <w:sz w:val="20"/>
                <w:szCs w:val="20"/>
              </w:rPr>
            </w:pPr>
            <w:r>
              <w:rPr>
                <w:rFonts w:hint="eastAsia" w:ascii="Times New Roman" w:hAnsi="Times New Roman" w:cs="Times New Roman"/>
                <w:color w:val="000000"/>
                <w:sz w:val="20"/>
                <w:szCs w:val="20"/>
              </w:rPr>
              <w:t>14</w:t>
            </w:r>
            <w:r>
              <w:rPr>
                <w:rFonts w:hint="eastAsia" w:ascii="Times New Roman" w:hAnsi="Times New Roman" w:cs="Times New Roman"/>
                <w:bCs/>
                <w:sz w:val="20"/>
                <w:szCs w:val="20"/>
              </w:rPr>
              <w:t>.2</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功率：150</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kW；</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F563763">
            <w:pPr>
              <w:rPr>
                <w:rFonts w:hint="eastAsia" w:ascii="Times New Roman" w:hAnsi="Times New Roman" w:cs="Times New Roman"/>
                <w:color w:val="000000"/>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EC3848C">
            <w:pPr>
              <w:rPr>
                <w:rFonts w:hint="eastAsia" w:ascii="Times New Roman" w:hAnsi="Times New Roman" w:cs="Times New Roman"/>
                <w:color w:val="000000"/>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1FBBDA8">
            <w:pPr>
              <w:rPr>
                <w:rFonts w:hint="eastAsia" w:ascii="Times New Roman" w:hAnsi="Times New Roman" w:cs="Times New Roman"/>
                <w:color w:val="000000"/>
                <w:sz w:val="20"/>
                <w:szCs w:val="20"/>
              </w:rPr>
            </w:pPr>
          </w:p>
        </w:tc>
      </w:tr>
      <w:tr w14:paraId="7A07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459FA449">
            <w:pPr>
              <w:jc w:val="center"/>
              <w:rPr>
                <w:rFonts w:ascii="Times New Roman" w:hAnsi="Times New Roman"/>
                <w:bCs/>
                <w:sz w:val="20"/>
                <w:szCs w:val="20"/>
              </w:rPr>
            </w:pPr>
            <w:r>
              <w:rPr>
                <w:rFonts w:hint="eastAsia" w:ascii="Times New Roman" w:hAnsi="Times New Roman"/>
                <w:b/>
                <w:sz w:val="20"/>
                <w:szCs w:val="20"/>
              </w:rPr>
              <w:t>15</w:t>
            </w:r>
          </w:p>
        </w:tc>
        <w:tc>
          <w:tcPr>
            <w:tcW w:w="425" w:type="pct"/>
            <w:vMerge w:val="restart"/>
            <w:tcBorders>
              <w:left w:val="single" w:color="auto" w:sz="4" w:space="0"/>
              <w:right w:val="single" w:color="auto" w:sz="4" w:space="0"/>
            </w:tcBorders>
            <w:vAlign w:val="center"/>
          </w:tcPr>
          <w:p w14:paraId="3994AC3C">
            <w:pPr>
              <w:jc w:val="center"/>
              <w:rPr>
                <w:rFonts w:ascii="宋体" w:hAnsi="宋体"/>
                <w:color w:val="000000"/>
                <w:sz w:val="20"/>
                <w:szCs w:val="20"/>
              </w:rPr>
            </w:pPr>
            <w:r>
              <w:rPr>
                <w:rFonts w:ascii="Times New Roman" w:hAnsi="Times New Roman" w:cs="Times New Roman"/>
                <w:sz w:val="18"/>
                <w:szCs w:val="18"/>
              </w:rPr>
              <w:t>3.2水面</w:t>
            </w:r>
            <w:r>
              <w:rPr>
                <w:rFonts w:ascii="宋体" w:hAnsi="宋体"/>
                <w:sz w:val="20"/>
                <w:szCs w:val="20"/>
              </w:rPr>
              <w:t>控制系统</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5260FBA0">
            <w:pPr>
              <w:pStyle w:val="6"/>
              <w:spacing w:before="0" w:beforeLines="0" w:after="0" w:afterLines="0"/>
              <w:ind w:firstLine="0" w:firstLineChars="0"/>
              <w:rPr>
                <w:sz w:val="20"/>
              </w:rPr>
            </w:pPr>
            <w:r>
              <w:rPr>
                <w:sz w:val="20"/>
              </w:rPr>
              <w:t xml:space="preserve">15.1 </w:t>
            </w:r>
            <w:r>
              <w:rPr>
                <w:rFonts w:hint="eastAsia"/>
                <w:sz w:val="20"/>
              </w:rPr>
              <w:t>包含光纤传输系统和控制软件；</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2FE47EB">
            <w:pPr>
              <w:pStyle w:val="6"/>
              <w:spacing w:before="0" w:beforeLines="0" w:after="0" w:afterLines="0"/>
              <w:ind w:firstLine="0" w:firstLineChars="0"/>
              <w:rPr>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DB32808">
            <w:pPr>
              <w:pStyle w:val="6"/>
              <w:spacing w:before="0" w:beforeLines="0" w:after="0" w:afterLines="0"/>
              <w:ind w:firstLine="0" w:firstLineChars="0"/>
              <w:rPr>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8704B2F">
            <w:pPr>
              <w:pStyle w:val="6"/>
              <w:spacing w:before="0" w:beforeLines="0" w:after="0" w:afterLines="0"/>
              <w:ind w:firstLine="0" w:firstLineChars="0"/>
              <w:rPr>
                <w:sz w:val="20"/>
              </w:rPr>
            </w:pPr>
          </w:p>
        </w:tc>
      </w:tr>
      <w:tr w14:paraId="456F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2BCB3A33">
            <w:pPr>
              <w:jc w:val="center"/>
              <w:rPr>
                <w:rFonts w:ascii="Times New Roman" w:hAnsi="Times New Roman"/>
                <w:b/>
                <w:sz w:val="20"/>
                <w:szCs w:val="20"/>
              </w:rPr>
            </w:pPr>
          </w:p>
        </w:tc>
        <w:tc>
          <w:tcPr>
            <w:tcW w:w="425" w:type="pct"/>
            <w:vMerge w:val="continue"/>
            <w:tcBorders>
              <w:left w:val="single" w:color="auto" w:sz="4" w:space="0"/>
              <w:right w:val="single" w:color="auto" w:sz="4" w:space="0"/>
            </w:tcBorders>
            <w:vAlign w:val="center"/>
          </w:tcPr>
          <w:p w14:paraId="3FC1FAF6">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2C0AE27E">
            <w:pPr>
              <w:pStyle w:val="6"/>
              <w:spacing w:before="0" w:beforeLines="0" w:after="0" w:afterLines="0"/>
              <w:ind w:firstLine="0" w:firstLineChars="0"/>
              <w:rPr>
                <w:sz w:val="20"/>
              </w:rPr>
            </w:pPr>
            <w:r>
              <w:rPr>
                <w:rFonts w:hint="eastAsia"/>
                <w:sz w:val="20"/>
              </w:rPr>
              <w:t>1</w:t>
            </w:r>
            <w:r>
              <w:rPr>
                <w:sz w:val="20"/>
              </w:rPr>
              <w:t xml:space="preserve">5.2 </w:t>
            </w:r>
            <w:r>
              <w:rPr>
                <w:rFonts w:hint="eastAsia"/>
                <w:sz w:val="20"/>
              </w:rPr>
              <w:t>光纤传输系统：2路；</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F72EFF4">
            <w:pPr>
              <w:pStyle w:val="6"/>
              <w:spacing w:before="0" w:beforeLines="0" w:after="0" w:afterLines="0"/>
              <w:ind w:firstLine="0" w:firstLineChars="0"/>
              <w:rPr>
                <w:rFonts w:hint="eastAsia"/>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7239452">
            <w:pPr>
              <w:pStyle w:val="6"/>
              <w:spacing w:before="0" w:beforeLines="0" w:after="0" w:afterLines="0"/>
              <w:ind w:firstLine="0" w:firstLineChars="0"/>
              <w:rPr>
                <w:rFonts w:hint="eastAsia"/>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EF11E33">
            <w:pPr>
              <w:pStyle w:val="6"/>
              <w:spacing w:before="0" w:beforeLines="0" w:after="0" w:afterLines="0"/>
              <w:ind w:firstLine="0" w:firstLineChars="0"/>
              <w:rPr>
                <w:rFonts w:hint="eastAsia"/>
                <w:sz w:val="20"/>
              </w:rPr>
            </w:pPr>
          </w:p>
        </w:tc>
      </w:tr>
      <w:tr w14:paraId="32BB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5E305B6F">
            <w:pPr>
              <w:jc w:val="center"/>
              <w:rPr>
                <w:rFonts w:ascii="Times New Roman" w:hAnsi="Times New Roman"/>
                <w:b/>
                <w:sz w:val="20"/>
                <w:szCs w:val="20"/>
              </w:rPr>
            </w:pPr>
          </w:p>
        </w:tc>
        <w:tc>
          <w:tcPr>
            <w:tcW w:w="425" w:type="pct"/>
            <w:vMerge w:val="continue"/>
            <w:tcBorders>
              <w:left w:val="single" w:color="auto" w:sz="4" w:space="0"/>
              <w:right w:val="single" w:color="auto" w:sz="4" w:space="0"/>
            </w:tcBorders>
            <w:vAlign w:val="center"/>
          </w:tcPr>
          <w:p w14:paraId="009D5096">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58FAF1CE">
            <w:pPr>
              <w:pStyle w:val="6"/>
              <w:spacing w:before="0" w:beforeLines="0" w:after="0" w:afterLines="0"/>
              <w:ind w:firstLine="0" w:firstLineChars="0"/>
              <w:rPr>
                <w:sz w:val="20"/>
              </w:rPr>
            </w:pPr>
            <w:r>
              <w:rPr>
                <w:rFonts w:hint="eastAsia"/>
                <w:sz w:val="20"/>
              </w:rPr>
              <w:t>15.3</w:t>
            </w:r>
            <w:r>
              <w:rPr>
                <w:rFonts w:hint="eastAsia"/>
                <w:bCs/>
                <w:sz w:val="20"/>
              </w:rPr>
              <w:t>控制间：高电压配电箱与ROV操作台分区隔离</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B3150EE">
            <w:pPr>
              <w:pStyle w:val="6"/>
              <w:spacing w:before="0" w:beforeLines="0" w:after="0" w:afterLines="0"/>
              <w:ind w:firstLine="0" w:firstLineChars="0"/>
              <w:rPr>
                <w:rFonts w:hint="eastAsia"/>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6D9B5D1">
            <w:pPr>
              <w:pStyle w:val="6"/>
              <w:spacing w:before="0" w:beforeLines="0" w:after="0" w:afterLines="0"/>
              <w:ind w:firstLine="0" w:firstLineChars="0"/>
              <w:rPr>
                <w:rFonts w:hint="eastAsia"/>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E76FB9B">
            <w:pPr>
              <w:pStyle w:val="6"/>
              <w:spacing w:before="0" w:beforeLines="0" w:after="0" w:afterLines="0"/>
              <w:ind w:firstLine="0" w:firstLineChars="0"/>
              <w:rPr>
                <w:rFonts w:hint="eastAsia"/>
                <w:sz w:val="20"/>
              </w:rPr>
            </w:pPr>
          </w:p>
        </w:tc>
      </w:tr>
      <w:tr w14:paraId="3982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539B5D02">
            <w:pPr>
              <w:jc w:val="center"/>
              <w:rPr>
                <w:rFonts w:ascii="Times New Roman" w:hAnsi="Times New Roman"/>
                <w:b/>
                <w:sz w:val="20"/>
                <w:szCs w:val="20"/>
              </w:rPr>
            </w:pPr>
          </w:p>
        </w:tc>
        <w:tc>
          <w:tcPr>
            <w:tcW w:w="425" w:type="pct"/>
            <w:vMerge w:val="continue"/>
            <w:tcBorders>
              <w:left w:val="single" w:color="auto" w:sz="4" w:space="0"/>
              <w:right w:val="single" w:color="auto" w:sz="4" w:space="0"/>
            </w:tcBorders>
            <w:vAlign w:val="center"/>
          </w:tcPr>
          <w:p w14:paraId="7FF30503">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66699409">
            <w:pPr>
              <w:pStyle w:val="6"/>
              <w:spacing w:before="0" w:beforeLines="0" w:after="0" w:afterLines="0"/>
              <w:ind w:firstLine="0" w:firstLineChars="0"/>
              <w:rPr>
                <w:sz w:val="20"/>
              </w:rPr>
            </w:pPr>
            <w:r>
              <w:rPr>
                <w:rFonts w:hint="eastAsia"/>
                <w:sz w:val="20"/>
              </w:rPr>
              <w:t>15.4</w:t>
            </w:r>
            <w:r>
              <w:rPr>
                <w:rFonts w:hint="eastAsia"/>
                <w:bCs/>
                <w:sz w:val="20"/>
              </w:rPr>
              <w:t>操作台：配备两个ROV操作台，互为备用，并且一键切换</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3E58825">
            <w:pPr>
              <w:pStyle w:val="6"/>
              <w:spacing w:before="0" w:beforeLines="0" w:after="0" w:afterLines="0"/>
              <w:ind w:firstLine="0" w:firstLineChars="0"/>
              <w:rPr>
                <w:rFonts w:hint="eastAsia"/>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3B470D1D">
            <w:pPr>
              <w:pStyle w:val="6"/>
              <w:spacing w:before="0" w:beforeLines="0" w:after="0" w:afterLines="0"/>
              <w:ind w:firstLine="0" w:firstLineChars="0"/>
              <w:rPr>
                <w:rFonts w:hint="eastAsia"/>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7AF7E94">
            <w:pPr>
              <w:pStyle w:val="6"/>
              <w:spacing w:before="0" w:beforeLines="0" w:after="0" w:afterLines="0"/>
              <w:ind w:firstLine="0" w:firstLineChars="0"/>
              <w:rPr>
                <w:rFonts w:hint="eastAsia"/>
                <w:sz w:val="20"/>
              </w:rPr>
            </w:pPr>
          </w:p>
        </w:tc>
      </w:tr>
      <w:tr w14:paraId="7A7F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7C16FB02">
            <w:pPr>
              <w:jc w:val="center"/>
              <w:rPr>
                <w:rFonts w:ascii="Times New Roman" w:hAnsi="Times New Roman"/>
                <w:b/>
                <w:sz w:val="20"/>
                <w:szCs w:val="20"/>
              </w:rPr>
            </w:pPr>
          </w:p>
        </w:tc>
        <w:tc>
          <w:tcPr>
            <w:tcW w:w="425" w:type="pct"/>
            <w:vMerge w:val="continue"/>
            <w:tcBorders>
              <w:left w:val="single" w:color="auto" w:sz="4" w:space="0"/>
              <w:right w:val="single" w:color="auto" w:sz="4" w:space="0"/>
            </w:tcBorders>
            <w:vAlign w:val="center"/>
          </w:tcPr>
          <w:p w14:paraId="04800243">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188B2B4B">
            <w:pPr>
              <w:pStyle w:val="6"/>
              <w:spacing w:before="0" w:beforeLines="0" w:after="0" w:afterLines="0"/>
              <w:ind w:firstLine="0" w:firstLineChars="0"/>
              <w:rPr>
                <w:sz w:val="20"/>
              </w:rPr>
            </w:pPr>
            <w:r>
              <w:rPr>
                <w:rFonts w:hint="eastAsia"/>
                <w:bCs/>
                <w:sz w:val="20"/>
              </w:rPr>
              <w:t>15.5应急启停开关：1个控制间供电启停开关。2个ROV供电启停开关（主副操作台各1个）</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EF19AF0">
            <w:pPr>
              <w:pStyle w:val="6"/>
              <w:spacing w:before="0" w:beforeLines="0" w:after="0" w:afterLines="0"/>
              <w:ind w:firstLine="0" w:firstLineChars="0"/>
              <w:rPr>
                <w:rFonts w:hint="eastAsia"/>
                <w:bCs/>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A033E5C">
            <w:pPr>
              <w:pStyle w:val="6"/>
              <w:spacing w:before="0" w:beforeLines="0" w:after="0" w:afterLines="0"/>
              <w:ind w:firstLine="0" w:firstLineChars="0"/>
              <w:rPr>
                <w:rFonts w:hint="eastAsia"/>
                <w:bCs/>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162456D">
            <w:pPr>
              <w:pStyle w:val="6"/>
              <w:spacing w:before="0" w:beforeLines="0" w:after="0" w:afterLines="0"/>
              <w:ind w:firstLine="0" w:firstLineChars="0"/>
              <w:rPr>
                <w:rFonts w:hint="eastAsia"/>
                <w:bCs/>
                <w:sz w:val="20"/>
              </w:rPr>
            </w:pPr>
          </w:p>
        </w:tc>
      </w:tr>
      <w:tr w14:paraId="238A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bottom w:val="single" w:color="auto" w:sz="4" w:space="0"/>
              <w:right w:val="single" w:color="auto" w:sz="4" w:space="0"/>
            </w:tcBorders>
            <w:vAlign w:val="center"/>
          </w:tcPr>
          <w:p w14:paraId="50EE2F41">
            <w:pPr>
              <w:jc w:val="center"/>
              <w:rPr>
                <w:rFonts w:ascii="Times New Roman" w:hAnsi="Times New Roman"/>
                <w:b/>
                <w:sz w:val="20"/>
                <w:szCs w:val="20"/>
              </w:rPr>
            </w:pPr>
          </w:p>
        </w:tc>
        <w:tc>
          <w:tcPr>
            <w:tcW w:w="425" w:type="pct"/>
            <w:vMerge w:val="continue"/>
            <w:tcBorders>
              <w:left w:val="single" w:color="auto" w:sz="4" w:space="0"/>
              <w:bottom w:val="single" w:color="auto" w:sz="4" w:space="0"/>
              <w:right w:val="single" w:color="auto" w:sz="4" w:space="0"/>
            </w:tcBorders>
            <w:vAlign w:val="center"/>
          </w:tcPr>
          <w:p w14:paraId="186D9D6A">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53A82C24">
            <w:pPr>
              <w:pStyle w:val="6"/>
              <w:spacing w:before="0" w:beforeLines="0" w:after="0" w:afterLines="0"/>
              <w:ind w:firstLine="0" w:firstLineChars="0"/>
              <w:rPr>
                <w:bCs/>
                <w:sz w:val="20"/>
              </w:rPr>
            </w:pPr>
            <w:r>
              <w:rPr>
                <w:rFonts w:hint="eastAsia"/>
                <w:bCs/>
                <w:sz w:val="20"/>
              </w:rPr>
              <w:t>15.6外接设备接口：16个LAN接口（通过转接线转换成RS232/422/485等不同信号格式）</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362F1F40">
            <w:pPr>
              <w:pStyle w:val="6"/>
              <w:spacing w:before="0" w:beforeLines="0" w:after="0" w:afterLines="0"/>
              <w:ind w:firstLine="0" w:firstLineChars="0"/>
              <w:rPr>
                <w:rFonts w:hint="eastAsia"/>
                <w:bCs/>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773EFCF">
            <w:pPr>
              <w:pStyle w:val="6"/>
              <w:spacing w:before="0" w:beforeLines="0" w:after="0" w:afterLines="0"/>
              <w:ind w:firstLine="0" w:firstLineChars="0"/>
              <w:rPr>
                <w:rFonts w:hint="eastAsia"/>
                <w:bCs/>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A5C48FD">
            <w:pPr>
              <w:pStyle w:val="6"/>
              <w:spacing w:before="0" w:beforeLines="0" w:after="0" w:afterLines="0"/>
              <w:ind w:firstLine="0" w:firstLineChars="0"/>
              <w:rPr>
                <w:rFonts w:hint="eastAsia"/>
                <w:bCs/>
                <w:sz w:val="20"/>
              </w:rPr>
            </w:pPr>
          </w:p>
        </w:tc>
      </w:tr>
      <w:tr w14:paraId="5D48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4A84E4CE">
            <w:pPr>
              <w:jc w:val="center"/>
              <w:rPr>
                <w:rFonts w:ascii="Times New Roman" w:hAnsi="Times New Roman"/>
                <w:b/>
                <w:sz w:val="20"/>
                <w:szCs w:val="20"/>
              </w:rPr>
            </w:pPr>
            <w:r>
              <w:rPr>
                <w:rFonts w:hint="eastAsia" w:ascii="Times New Roman" w:hAnsi="Times New Roman"/>
                <w:b/>
                <w:sz w:val="20"/>
                <w:szCs w:val="20"/>
              </w:rPr>
              <w:t>16</w:t>
            </w:r>
          </w:p>
        </w:tc>
        <w:tc>
          <w:tcPr>
            <w:tcW w:w="425" w:type="pct"/>
            <w:vMerge w:val="restart"/>
            <w:tcBorders>
              <w:top w:val="nil"/>
              <w:left w:val="single" w:color="auto" w:sz="4" w:space="0"/>
              <w:right w:val="single" w:color="auto" w:sz="4" w:space="0"/>
            </w:tcBorders>
            <w:vAlign w:val="center"/>
          </w:tcPr>
          <w:p w14:paraId="7F460A9E">
            <w:pPr>
              <w:jc w:val="center"/>
              <w:rPr>
                <w:rFonts w:ascii="Times New Roman" w:hAnsi="Times New Roman" w:cs="Times New Roman"/>
                <w:sz w:val="18"/>
                <w:szCs w:val="18"/>
              </w:rPr>
            </w:pPr>
            <w:r>
              <w:rPr>
                <w:rFonts w:ascii="Times New Roman" w:hAnsi="Times New Roman" w:cs="Times New Roman"/>
                <w:sz w:val="18"/>
                <w:szCs w:val="18"/>
              </w:rPr>
              <w:t>3.3水面视频转化系统</w:t>
            </w:r>
          </w:p>
        </w:tc>
        <w:tc>
          <w:tcPr>
            <w:tcW w:w="1597" w:type="pct"/>
            <w:tcBorders>
              <w:top w:val="single" w:color="auto" w:sz="4" w:space="0"/>
              <w:left w:val="single" w:color="auto" w:sz="4" w:space="0"/>
              <w:bottom w:val="single" w:color="auto" w:sz="4" w:space="0"/>
              <w:right w:val="single" w:color="auto" w:sz="4" w:space="0"/>
            </w:tcBorders>
            <w:vAlign w:val="center"/>
          </w:tcPr>
          <w:p w14:paraId="6A1F6AC7">
            <w:pPr>
              <w:rPr>
                <w:rFonts w:ascii="Times New Roman" w:hAnsi="Times New Roman" w:cs="Times New Roman"/>
                <w:bCs/>
                <w:sz w:val="20"/>
                <w:szCs w:val="20"/>
              </w:rPr>
            </w:pPr>
            <w:r>
              <w:rPr>
                <w:rFonts w:ascii="Times New Roman" w:hAnsi="Times New Roman" w:cs="Times New Roman"/>
                <w:sz w:val="20"/>
                <w:szCs w:val="20"/>
              </w:rPr>
              <w:t>16.1</w:t>
            </w:r>
            <w:r>
              <w:rPr>
                <w:rFonts w:hint="eastAsia" w:ascii="Times New Roman" w:hAnsi="Times New Roman" w:cs="Times New Roman"/>
                <w:sz w:val="20"/>
                <w:szCs w:val="20"/>
              </w:rPr>
              <w:t xml:space="preserve"> </w:t>
            </w:r>
            <w:r>
              <w:rPr>
                <w:rFonts w:hint="eastAsia" w:ascii="Times New Roman" w:hAnsi="Times New Roman" w:cs="Times New Roman"/>
                <w:color w:val="000000"/>
                <w:sz w:val="20"/>
                <w:szCs w:val="20"/>
              </w:rPr>
              <w:t>包含多路视频分配系统、视频录像机和电视墙</w:t>
            </w:r>
            <w:r>
              <w:rPr>
                <w:rFonts w:hint="eastAsia" w:ascii="Times New Roman" w:hAnsi="Times New Roman" w:cs="Times New Roman"/>
                <w:bCs/>
                <w:sz w:val="20"/>
                <w:szCs w:val="20"/>
              </w:rPr>
              <w:t>；</w:t>
            </w:r>
          </w:p>
        </w:tc>
        <w:tc>
          <w:tcPr>
            <w:tcW w:w="919" w:type="pct"/>
            <w:tcBorders>
              <w:top w:val="single" w:color="auto" w:sz="4" w:space="0"/>
              <w:left w:val="single" w:color="auto" w:sz="4" w:space="0"/>
              <w:bottom w:val="single" w:color="auto" w:sz="4" w:space="0"/>
              <w:right w:val="single" w:color="auto" w:sz="4" w:space="0"/>
            </w:tcBorders>
            <w:vAlign w:val="center"/>
          </w:tcPr>
          <w:p w14:paraId="047EAFEC">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1550CF7">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5C567D08">
            <w:pPr>
              <w:rPr>
                <w:rFonts w:ascii="Times New Roman" w:hAnsi="Times New Roman" w:cs="Times New Roman"/>
                <w:sz w:val="20"/>
                <w:szCs w:val="20"/>
              </w:rPr>
            </w:pPr>
          </w:p>
        </w:tc>
      </w:tr>
      <w:tr w14:paraId="6AD1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8" w:type="pct"/>
            <w:vMerge w:val="continue"/>
            <w:tcBorders>
              <w:left w:val="single" w:color="auto" w:sz="4" w:space="0"/>
              <w:right w:val="single" w:color="auto" w:sz="4" w:space="0"/>
            </w:tcBorders>
            <w:vAlign w:val="center"/>
          </w:tcPr>
          <w:p w14:paraId="07644645">
            <w:pPr>
              <w:widowControl/>
              <w:jc w:val="center"/>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77A3421D">
            <w:pPr>
              <w:widowControl/>
              <w:jc w:val="left"/>
              <w:rPr>
                <w:rFonts w:ascii="Times New Roman" w:hAnsi="Times New Roman" w:eastAsia="宋体"/>
                <w:color w:val="000000"/>
                <w:kern w:val="0"/>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20D9EC32">
            <w:pPr>
              <w:pStyle w:val="6"/>
              <w:spacing w:before="0" w:beforeLines="0" w:after="0" w:afterLines="0"/>
              <w:ind w:firstLine="0" w:firstLineChars="0"/>
              <w:rPr>
                <w:sz w:val="20"/>
              </w:rPr>
            </w:pPr>
            <w:r>
              <w:rPr>
                <w:sz w:val="20"/>
              </w:rPr>
              <w:t xml:space="preserve">16.2 </w:t>
            </w:r>
            <w:r>
              <w:rPr>
                <w:rFonts w:hint="eastAsia"/>
                <w:sz w:val="20"/>
              </w:rPr>
              <w:t>视频录像机规格：720P，1080P，1080i，NMEA，带字幕叠加功能；</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B413F4E">
            <w:pPr>
              <w:pStyle w:val="6"/>
              <w:spacing w:before="0" w:beforeLines="0" w:after="0" w:afterLines="0"/>
              <w:ind w:firstLine="0" w:firstLineChars="0"/>
              <w:rPr>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C5A5ADC">
            <w:pPr>
              <w:pStyle w:val="6"/>
              <w:spacing w:before="0" w:beforeLines="0" w:after="0" w:afterLines="0"/>
              <w:ind w:firstLine="0" w:firstLineChars="0"/>
              <w:rPr>
                <w:sz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0CEBB9E7">
            <w:pPr>
              <w:pStyle w:val="6"/>
              <w:spacing w:before="0" w:beforeLines="0" w:after="0" w:afterLines="0"/>
              <w:ind w:firstLine="0" w:firstLineChars="0"/>
              <w:rPr>
                <w:sz w:val="20"/>
              </w:rPr>
            </w:pPr>
          </w:p>
        </w:tc>
      </w:tr>
      <w:tr w14:paraId="4F28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6F2AAA36">
            <w:pPr>
              <w:jc w:val="center"/>
              <w:rPr>
                <w:rFonts w:ascii="Times New Roman" w:hAnsi="Times New Roman"/>
                <w:b/>
                <w:sz w:val="20"/>
                <w:szCs w:val="20"/>
              </w:rPr>
            </w:pPr>
            <w:r>
              <w:rPr>
                <w:rFonts w:hint="eastAsia" w:ascii="Times New Roman" w:hAnsi="Times New Roman"/>
                <w:b/>
                <w:sz w:val="20"/>
                <w:szCs w:val="20"/>
              </w:rPr>
              <w:t>17</w:t>
            </w:r>
          </w:p>
        </w:tc>
        <w:tc>
          <w:tcPr>
            <w:tcW w:w="425" w:type="pct"/>
            <w:vMerge w:val="restart"/>
            <w:tcBorders>
              <w:top w:val="nil"/>
              <w:left w:val="single" w:color="auto" w:sz="4" w:space="0"/>
              <w:right w:val="single" w:color="auto" w:sz="4" w:space="0"/>
            </w:tcBorders>
            <w:vAlign w:val="center"/>
          </w:tcPr>
          <w:p w14:paraId="4DE685DC">
            <w:pPr>
              <w:jc w:val="center"/>
            </w:pPr>
            <w:r>
              <w:rPr>
                <w:rFonts w:ascii="Times New Roman" w:hAnsi="Times New Roman" w:cs="Times New Roman"/>
                <w:sz w:val="18"/>
                <w:szCs w:val="18"/>
              </w:rPr>
              <w:t>4</w:t>
            </w:r>
            <w:r>
              <w:rPr>
                <w:rFonts w:hint="eastAsia" w:ascii="Times New Roman" w:hAnsi="Times New Roman" w:cs="Times New Roman"/>
                <w:sz w:val="18"/>
                <w:szCs w:val="18"/>
              </w:rPr>
              <w:t>．柔性缆</w:t>
            </w:r>
          </w:p>
        </w:tc>
        <w:tc>
          <w:tcPr>
            <w:tcW w:w="1597" w:type="pct"/>
            <w:tcBorders>
              <w:top w:val="single" w:color="auto" w:sz="4" w:space="0"/>
              <w:left w:val="single" w:color="auto" w:sz="4" w:space="0"/>
              <w:bottom w:val="single" w:color="auto" w:sz="4" w:space="0"/>
              <w:right w:val="single" w:color="auto" w:sz="4" w:space="0"/>
            </w:tcBorders>
            <w:vAlign w:val="center"/>
          </w:tcPr>
          <w:p w14:paraId="63E7E400">
            <w:pPr>
              <w:rPr>
                <w:rFonts w:ascii="Times New Roman" w:hAnsi="Times New Roman" w:cs="Times New Roman"/>
                <w:sz w:val="20"/>
                <w:szCs w:val="20"/>
              </w:rPr>
            </w:pPr>
            <w:r>
              <w:rPr>
                <w:rFonts w:ascii="Times New Roman" w:hAnsi="Times New Roman" w:cs="Times New Roman"/>
                <w:sz w:val="20"/>
                <w:szCs w:val="20"/>
              </w:rPr>
              <w:t>17.1</w:t>
            </w:r>
            <w:r>
              <w:rPr>
                <w:rFonts w:hint="eastAsia" w:ascii="Times New Roman" w:hAnsi="Times New Roman" w:cs="Times New Roman"/>
                <w:sz w:val="20"/>
                <w:szCs w:val="20"/>
              </w:rPr>
              <w:t xml:space="preserve"> </w:t>
            </w:r>
            <w:r>
              <w:rPr>
                <w:rFonts w:hint="eastAsia"/>
                <w:b/>
                <w:bCs/>
                <w:sz w:val="20"/>
              </w:rPr>
              <w:t xml:space="preserve">▲ </w:t>
            </w:r>
            <w:r>
              <w:rPr>
                <w:rFonts w:hint="eastAsia" w:ascii="Times New Roman" w:hAnsi="Times New Roman" w:cs="Times New Roman"/>
                <w:sz w:val="20"/>
                <w:szCs w:val="20"/>
              </w:rPr>
              <w:t>强度：满足ROV自重到水深1000米作业强度，总长不少于1200米；</w:t>
            </w:r>
          </w:p>
        </w:tc>
        <w:tc>
          <w:tcPr>
            <w:tcW w:w="919" w:type="pct"/>
            <w:tcBorders>
              <w:top w:val="single" w:color="auto" w:sz="4" w:space="0"/>
              <w:left w:val="single" w:color="auto" w:sz="4" w:space="0"/>
              <w:bottom w:val="single" w:color="auto" w:sz="4" w:space="0"/>
              <w:right w:val="single" w:color="auto" w:sz="4" w:space="0"/>
            </w:tcBorders>
            <w:vAlign w:val="center"/>
          </w:tcPr>
          <w:p w14:paraId="1B6A00B6">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4BEE64BC">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C9E418E">
            <w:pPr>
              <w:rPr>
                <w:rFonts w:ascii="Times New Roman" w:hAnsi="Times New Roman" w:cs="Times New Roman"/>
                <w:sz w:val="20"/>
                <w:szCs w:val="20"/>
              </w:rPr>
            </w:pPr>
          </w:p>
        </w:tc>
      </w:tr>
      <w:tr w14:paraId="789A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top w:val="nil"/>
              <w:left w:val="single" w:color="auto" w:sz="4" w:space="0"/>
              <w:right w:val="single" w:color="auto" w:sz="4" w:space="0"/>
            </w:tcBorders>
            <w:vAlign w:val="center"/>
          </w:tcPr>
          <w:p w14:paraId="244FE61D">
            <w:pPr>
              <w:jc w:val="center"/>
              <w:rPr>
                <w:rFonts w:ascii="Times New Roman" w:hAnsi="Times New Roman"/>
                <w:b/>
                <w:sz w:val="20"/>
                <w:szCs w:val="20"/>
              </w:rPr>
            </w:pPr>
          </w:p>
        </w:tc>
        <w:tc>
          <w:tcPr>
            <w:tcW w:w="425" w:type="pct"/>
            <w:vMerge w:val="continue"/>
            <w:tcBorders>
              <w:top w:val="nil"/>
              <w:left w:val="single" w:color="auto" w:sz="4" w:space="0"/>
              <w:right w:val="single" w:color="auto" w:sz="4" w:space="0"/>
            </w:tcBorders>
            <w:vAlign w:val="center"/>
          </w:tcPr>
          <w:p w14:paraId="6E51183D">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vAlign w:val="center"/>
          </w:tcPr>
          <w:p w14:paraId="562C4A24">
            <w:pPr>
              <w:rPr>
                <w:rFonts w:ascii="Times New Roman" w:hAnsi="Times New Roman" w:cs="Times New Roman"/>
                <w:sz w:val="20"/>
                <w:szCs w:val="20"/>
              </w:rPr>
            </w:pPr>
            <w:r>
              <w:rPr>
                <w:rFonts w:ascii="Times New Roman" w:hAnsi="Times New Roman" w:cs="Times New Roman"/>
                <w:sz w:val="20"/>
                <w:szCs w:val="20"/>
              </w:rPr>
              <w:t xml:space="preserve">17.2 </w:t>
            </w:r>
            <w:r>
              <w:rPr>
                <w:rFonts w:hint="eastAsia" w:ascii="Times New Roman" w:hAnsi="Times New Roman" w:cs="Times New Roman"/>
                <w:sz w:val="20"/>
                <w:szCs w:val="20"/>
              </w:rPr>
              <w:t>结构：光电复合缆。铠装层采用芳纶丝材料，光纤类型：G.657A2光纤，1管12芯，电源线、控制线、射频线和通讯线采用铜绞线；</w:t>
            </w:r>
          </w:p>
        </w:tc>
        <w:tc>
          <w:tcPr>
            <w:tcW w:w="919" w:type="pct"/>
            <w:tcBorders>
              <w:top w:val="single" w:color="auto" w:sz="4" w:space="0"/>
              <w:left w:val="single" w:color="auto" w:sz="4" w:space="0"/>
              <w:bottom w:val="single" w:color="auto" w:sz="4" w:space="0"/>
              <w:right w:val="single" w:color="auto" w:sz="4" w:space="0"/>
            </w:tcBorders>
            <w:vAlign w:val="center"/>
          </w:tcPr>
          <w:p w14:paraId="3E96FC0C">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60CF1F6">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3E50CB85">
            <w:pPr>
              <w:rPr>
                <w:rFonts w:ascii="Times New Roman" w:hAnsi="Times New Roman" w:cs="Times New Roman"/>
                <w:sz w:val="20"/>
                <w:szCs w:val="20"/>
              </w:rPr>
            </w:pPr>
          </w:p>
        </w:tc>
      </w:tr>
      <w:tr w14:paraId="6F46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top w:val="nil"/>
              <w:left w:val="single" w:color="auto" w:sz="4" w:space="0"/>
              <w:right w:val="single" w:color="auto" w:sz="4" w:space="0"/>
            </w:tcBorders>
            <w:vAlign w:val="center"/>
          </w:tcPr>
          <w:p w14:paraId="38010D82">
            <w:pPr>
              <w:jc w:val="center"/>
              <w:rPr>
                <w:rFonts w:ascii="Times New Roman" w:hAnsi="Times New Roman"/>
                <w:b/>
                <w:sz w:val="20"/>
                <w:szCs w:val="20"/>
              </w:rPr>
            </w:pPr>
            <w:r>
              <w:rPr>
                <w:rFonts w:hint="eastAsia" w:ascii="Times New Roman" w:hAnsi="Times New Roman"/>
                <w:b/>
                <w:sz w:val="20"/>
                <w:szCs w:val="20"/>
              </w:rPr>
              <w:t>1</w:t>
            </w:r>
            <w:r>
              <w:rPr>
                <w:rFonts w:ascii="Times New Roman" w:hAnsi="Times New Roman"/>
                <w:b/>
                <w:sz w:val="20"/>
                <w:szCs w:val="20"/>
              </w:rPr>
              <w:t>8</w:t>
            </w:r>
          </w:p>
        </w:tc>
        <w:tc>
          <w:tcPr>
            <w:tcW w:w="425" w:type="pct"/>
            <w:vMerge w:val="restart"/>
            <w:tcBorders>
              <w:top w:val="nil"/>
              <w:left w:val="single" w:color="auto" w:sz="4" w:space="0"/>
              <w:right w:val="single" w:color="auto" w:sz="4" w:space="0"/>
            </w:tcBorders>
            <w:vAlign w:val="center"/>
          </w:tcPr>
          <w:p w14:paraId="03AD503A">
            <w:pPr>
              <w:jc w:val="center"/>
              <w:rPr>
                <w:rFonts w:ascii="Times New Roman" w:hAnsi="Times New Roman" w:cs="Times New Roman"/>
                <w:sz w:val="18"/>
                <w:szCs w:val="18"/>
              </w:rPr>
            </w:pPr>
            <w:r>
              <w:rPr>
                <w:rFonts w:ascii="Times New Roman" w:hAnsi="Times New Roman" w:cs="Times New Roman"/>
                <w:sz w:val="18"/>
                <w:szCs w:val="18"/>
              </w:rPr>
              <w:t>5</w:t>
            </w:r>
            <w:r>
              <w:rPr>
                <w:rFonts w:hint="eastAsia" w:ascii="Times New Roman" w:hAnsi="Times New Roman" w:cs="Times New Roman"/>
                <w:sz w:val="18"/>
                <w:szCs w:val="18"/>
              </w:rPr>
              <w:t>．缆收放系统</w:t>
            </w:r>
          </w:p>
        </w:tc>
        <w:tc>
          <w:tcPr>
            <w:tcW w:w="1597" w:type="pct"/>
            <w:tcBorders>
              <w:top w:val="single" w:color="auto" w:sz="4" w:space="0"/>
              <w:left w:val="single" w:color="auto" w:sz="4" w:space="0"/>
              <w:bottom w:val="single" w:color="auto" w:sz="4" w:space="0"/>
              <w:right w:val="single" w:color="auto" w:sz="4" w:space="0"/>
            </w:tcBorders>
            <w:vAlign w:val="center"/>
          </w:tcPr>
          <w:p w14:paraId="7CA53D8E">
            <w:pPr>
              <w:rPr>
                <w:rFonts w:ascii="Times New Roman" w:hAnsi="Times New Roman" w:cs="Times New Roman"/>
                <w:sz w:val="20"/>
                <w:szCs w:val="20"/>
              </w:rPr>
            </w:pPr>
            <w:r>
              <w:rPr>
                <w:rFonts w:ascii="Times New Roman" w:hAnsi="Times New Roman" w:cs="Times New Roman"/>
                <w:sz w:val="20"/>
                <w:szCs w:val="20"/>
              </w:rPr>
              <w:t>18.1</w:t>
            </w:r>
            <w:r>
              <w:rPr>
                <w:rFonts w:hint="eastAsia" w:ascii="Times New Roman" w:hAnsi="Times New Roman" w:cs="Times New Roman"/>
                <w:sz w:val="20"/>
                <w:szCs w:val="20"/>
              </w:rPr>
              <w:t xml:space="preserve"> 包括</w:t>
            </w:r>
            <w:r>
              <w:rPr>
                <w:rFonts w:ascii="Times New Roman" w:hAnsi="Times New Roman" w:cs="Times New Roman"/>
                <w:sz w:val="18"/>
                <w:szCs w:val="18"/>
              </w:rPr>
              <w:t>液压站</w:t>
            </w:r>
            <w:r>
              <w:rPr>
                <w:rFonts w:hint="eastAsia" w:ascii="Times New Roman" w:hAnsi="Times New Roman" w:cs="Times New Roman"/>
                <w:sz w:val="18"/>
                <w:szCs w:val="18"/>
              </w:rPr>
              <w:t>、</w:t>
            </w:r>
            <w:r>
              <w:rPr>
                <w:rFonts w:hint="eastAsia" w:ascii="Times New Roman" w:hAnsi="Times New Roman" w:cs="Times New Roman"/>
                <w:sz w:val="20"/>
                <w:szCs w:val="20"/>
              </w:rPr>
              <w:t>绞车、释放回收门架等</w:t>
            </w:r>
            <w:r>
              <w:rPr>
                <w:rFonts w:ascii="Times New Roman" w:hAnsi="Times New Roman" w:cs="Times New Roman"/>
                <w:sz w:val="20"/>
                <w:szCs w:val="20"/>
              </w:rPr>
              <w:t>；</w:t>
            </w:r>
          </w:p>
        </w:tc>
        <w:tc>
          <w:tcPr>
            <w:tcW w:w="919" w:type="pct"/>
            <w:tcBorders>
              <w:top w:val="single" w:color="auto" w:sz="4" w:space="0"/>
              <w:left w:val="single" w:color="auto" w:sz="4" w:space="0"/>
              <w:bottom w:val="single" w:color="auto" w:sz="4" w:space="0"/>
              <w:right w:val="single" w:color="auto" w:sz="4" w:space="0"/>
            </w:tcBorders>
            <w:vAlign w:val="center"/>
          </w:tcPr>
          <w:p w14:paraId="46FE286E">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7A0715A">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162D9A87">
            <w:pPr>
              <w:rPr>
                <w:rFonts w:ascii="Times New Roman" w:hAnsi="Times New Roman" w:cs="Times New Roman"/>
                <w:sz w:val="20"/>
                <w:szCs w:val="20"/>
              </w:rPr>
            </w:pPr>
          </w:p>
        </w:tc>
      </w:tr>
      <w:tr w14:paraId="6B69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1CBB7F5C">
            <w:pPr>
              <w:jc w:val="center"/>
              <w:rPr>
                <w:rFonts w:ascii="Times New Roman" w:hAnsi="Times New Roman"/>
                <w:b/>
                <w:sz w:val="20"/>
                <w:szCs w:val="20"/>
              </w:rPr>
            </w:pPr>
          </w:p>
        </w:tc>
        <w:tc>
          <w:tcPr>
            <w:tcW w:w="425" w:type="pct"/>
            <w:vMerge w:val="continue"/>
            <w:tcBorders>
              <w:left w:val="single" w:color="auto" w:sz="4" w:space="0"/>
              <w:right w:val="single" w:color="auto" w:sz="4" w:space="0"/>
            </w:tcBorders>
            <w:vAlign w:val="center"/>
          </w:tcPr>
          <w:p w14:paraId="6DA113B6">
            <w:pPr>
              <w:jc w:val="center"/>
              <w:rPr>
                <w:rFonts w:ascii="Times New Roman" w:hAnsi="Times New Roman" w:cs="Times New Roman"/>
                <w:sz w:val="18"/>
                <w:szCs w:val="18"/>
              </w:rPr>
            </w:pPr>
          </w:p>
        </w:tc>
        <w:tc>
          <w:tcPr>
            <w:tcW w:w="1597" w:type="pct"/>
            <w:tcBorders>
              <w:top w:val="single" w:color="auto" w:sz="4" w:space="0"/>
              <w:left w:val="single" w:color="auto" w:sz="4" w:space="0"/>
              <w:bottom w:val="single" w:color="auto" w:sz="4" w:space="0"/>
              <w:right w:val="single" w:color="auto" w:sz="4" w:space="0"/>
            </w:tcBorders>
            <w:vAlign w:val="center"/>
          </w:tcPr>
          <w:p w14:paraId="5077266E">
            <w:pP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 xml:space="preserve">8.2 </w:t>
            </w:r>
            <w:r>
              <w:rPr>
                <w:rFonts w:hint="eastAsia" w:ascii="Times New Roman" w:hAnsi="Times New Roman" w:cs="Times New Roman"/>
                <w:sz w:val="20"/>
                <w:szCs w:val="20"/>
              </w:rPr>
              <w:t>有效容缆量大于1000米（37mm），具备刹车和自动排缆功能；</w:t>
            </w:r>
          </w:p>
        </w:tc>
        <w:tc>
          <w:tcPr>
            <w:tcW w:w="919" w:type="pct"/>
            <w:tcBorders>
              <w:top w:val="single" w:color="auto" w:sz="4" w:space="0"/>
              <w:left w:val="single" w:color="auto" w:sz="4" w:space="0"/>
              <w:bottom w:val="single" w:color="auto" w:sz="4" w:space="0"/>
              <w:right w:val="single" w:color="auto" w:sz="4" w:space="0"/>
            </w:tcBorders>
            <w:vAlign w:val="center"/>
          </w:tcPr>
          <w:p w14:paraId="19100826">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09D14BD2">
            <w:pPr>
              <w:rPr>
                <w:rFonts w:hint="eastAsia"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vAlign w:val="center"/>
          </w:tcPr>
          <w:p w14:paraId="23B21475">
            <w:pPr>
              <w:rPr>
                <w:rFonts w:hint="eastAsia" w:ascii="Times New Roman" w:hAnsi="Times New Roman" w:cs="Times New Roman"/>
                <w:sz w:val="20"/>
                <w:szCs w:val="20"/>
              </w:rPr>
            </w:pPr>
          </w:p>
        </w:tc>
      </w:tr>
      <w:tr w14:paraId="4AD7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left w:val="single" w:color="auto" w:sz="4" w:space="0"/>
              <w:right w:val="single" w:color="auto" w:sz="4" w:space="0"/>
            </w:tcBorders>
            <w:vAlign w:val="center"/>
          </w:tcPr>
          <w:p w14:paraId="0906CC1B">
            <w:pPr>
              <w:widowControl/>
              <w:jc w:val="center"/>
              <w:rPr>
                <w:rFonts w:ascii="Times New Roman" w:hAnsi="Times New Roman" w:eastAsia="宋体"/>
                <w:b/>
                <w:sz w:val="20"/>
                <w:szCs w:val="20"/>
              </w:rPr>
            </w:pPr>
            <w:r>
              <w:rPr>
                <w:rFonts w:hint="eastAsia" w:ascii="Times New Roman" w:hAnsi="Times New Roman" w:eastAsia="宋体"/>
                <w:b/>
                <w:sz w:val="20"/>
                <w:szCs w:val="20"/>
              </w:rPr>
              <w:t>1</w:t>
            </w:r>
            <w:r>
              <w:rPr>
                <w:rFonts w:ascii="Times New Roman" w:hAnsi="Times New Roman" w:eastAsia="宋体"/>
                <w:b/>
                <w:sz w:val="20"/>
                <w:szCs w:val="20"/>
              </w:rPr>
              <w:t>9</w:t>
            </w:r>
          </w:p>
        </w:tc>
        <w:tc>
          <w:tcPr>
            <w:tcW w:w="425" w:type="pct"/>
            <w:vMerge w:val="restart"/>
            <w:tcBorders>
              <w:left w:val="single" w:color="auto" w:sz="4" w:space="0"/>
              <w:right w:val="single" w:color="auto" w:sz="4" w:space="0"/>
            </w:tcBorders>
            <w:shd w:val="clear" w:color="auto" w:fill="auto"/>
            <w:vAlign w:val="center"/>
          </w:tcPr>
          <w:p w14:paraId="2B040D44">
            <w:pPr>
              <w:jc w:val="center"/>
              <w:rPr>
                <w:rFonts w:ascii="Times New Roman" w:hAnsi="Times New Roman" w:cs="Times New Roman"/>
                <w:sz w:val="20"/>
                <w:szCs w:val="20"/>
              </w:rPr>
            </w:pPr>
            <w:r>
              <w:rPr>
                <w:rFonts w:ascii="Times New Roman" w:hAnsi="Times New Roman" w:cs="Times New Roman"/>
                <w:sz w:val="18"/>
                <w:szCs w:val="18"/>
              </w:rPr>
              <w:t>5.1液压站</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4592F3F1">
            <w:pPr>
              <w:rPr>
                <w:rFonts w:ascii="Times New Roman" w:hAnsi="Times New Roman" w:cs="Times New Roman"/>
                <w:sz w:val="20"/>
                <w:szCs w:val="20"/>
              </w:rPr>
            </w:pPr>
            <w:r>
              <w:rPr>
                <w:rFonts w:ascii="Times New Roman" w:hAnsi="Times New Roman" w:cs="Times New Roman"/>
                <w:sz w:val="20"/>
                <w:szCs w:val="20"/>
              </w:rPr>
              <w:t xml:space="preserve">19.1 </w:t>
            </w:r>
            <w:r>
              <w:rPr>
                <w:rFonts w:hint="eastAsia" w:ascii="Times New Roman" w:hAnsi="Times New Roman" w:cs="Times New Roman"/>
                <w:sz w:val="20"/>
                <w:szCs w:val="20"/>
              </w:rPr>
              <w:t>功率：90kW；</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56715C8">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9A249F3">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CC04E1A">
            <w:pPr>
              <w:rPr>
                <w:rFonts w:ascii="Times New Roman" w:hAnsi="Times New Roman" w:cs="Times New Roman"/>
                <w:sz w:val="20"/>
                <w:szCs w:val="20"/>
              </w:rPr>
            </w:pPr>
          </w:p>
        </w:tc>
      </w:tr>
      <w:tr w14:paraId="5587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2A5D591E">
            <w:pPr>
              <w:widowControl/>
              <w:jc w:val="left"/>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619B5BC0">
            <w:pPr>
              <w:widowControl/>
              <w:jc w:val="left"/>
              <w:rPr>
                <w:rFonts w:ascii="Times New Roman" w:hAnsi="Times New Roman" w:eastAsia="宋体"/>
                <w:color w:val="000000"/>
                <w:kern w:val="0"/>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18C18234">
            <w:pPr>
              <w:rPr>
                <w:rFonts w:ascii="Times New Roman" w:hAnsi="Times New Roman" w:cs="Times New Roman"/>
                <w:sz w:val="20"/>
                <w:szCs w:val="20"/>
              </w:rPr>
            </w:pPr>
            <w:r>
              <w:rPr>
                <w:rFonts w:ascii="Times New Roman" w:hAnsi="Times New Roman" w:cs="Times New Roman"/>
                <w:sz w:val="20"/>
                <w:szCs w:val="20"/>
              </w:rPr>
              <w:t xml:space="preserve">19.2 </w:t>
            </w:r>
            <w:r>
              <w:rPr>
                <w:rFonts w:hint="eastAsia" w:ascii="Times New Roman" w:hAnsi="Times New Roman" w:cs="Times New Roman"/>
                <w:sz w:val="20"/>
                <w:szCs w:val="20"/>
              </w:rPr>
              <w:t>油箱容量：1200L；</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DCC4CE9">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0440C12">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D7BFD63">
            <w:pPr>
              <w:rPr>
                <w:rFonts w:ascii="Times New Roman" w:hAnsi="Times New Roman" w:cs="Times New Roman"/>
                <w:sz w:val="20"/>
                <w:szCs w:val="20"/>
              </w:rPr>
            </w:pPr>
          </w:p>
        </w:tc>
      </w:tr>
      <w:tr w14:paraId="7FBF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036DD802">
            <w:pPr>
              <w:widowControl/>
              <w:jc w:val="left"/>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6937BE2B">
            <w:pPr>
              <w:widowControl/>
              <w:jc w:val="left"/>
              <w:rPr>
                <w:rFonts w:ascii="Times New Roman" w:hAnsi="Times New Roman" w:eastAsia="宋体"/>
                <w:color w:val="000000"/>
                <w:kern w:val="0"/>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6DDE0843">
            <w:pPr>
              <w:rPr>
                <w:rFonts w:ascii="Times New Roman" w:hAnsi="Times New Roman" w:cs="Times New Roman"/>
                <w:sz w:val="20"/>
                <w:szCs w:val="20"/>
              </w:rPr>
            </w:pPr>
            <w:r>
              <w:rPr>
                <w:rFonts w:ascii="Times New Roman" w:hAnsi="Times New Roman" w:cs="Times New Roman"/>
                <w:sz w:val="20"/>
                <w:szCs w:val="20"/>
              </w:rPr>
              <w:t xml:space="preserve">19.3 </w:t>
            </w:r>
            <w:r>
              <w:rPr>
                <w:rFonts w:hint="eastAsia" w:ascii="Times New Roman" w:hAnsi="Times New Roman" w:cs="Times New Roman"/>
                <w:sz w:val="20"/>
                <w:szCs w:val="20"/>
              </w:rPr>
              <w:t>系统最大操作压力：</w:t>
            </w:r>
            <w:r>
              <w:rPr>
                <w:rFonts w:ascii="Times New Roman" w:hAnsi="Times New Roman" w:cs="Times New Roman"/>
                <w:sz w:val="20"/>
                <w:szCs w:val="20"/>
              </w:rPr>
              <w:t>260Bar</w:t>
            </w:r>
            <w:r>
              <w:rPr>
                <w:rFonts w:hint="eastAsia" w:ascii="Times New Roman" w:hAnsi="Times New Roman" w:cs="Times New Roman"/>
                <w:sz w:val="20"/>
                <w:szCs w:val="20"/>
              </w:rPr>
              <w:t>；</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8B842A6">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27B1904">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C522637">
            <w:pPr>
              <w:rPr>
                <w:rFonts w:ascii="Times New Roman" w:hAnsi="Times New Roman" w:cs="Times New Roman"/>
                <w:sz w:val="20"/>
                <w:szCs w:val="20"/>
              </w:rPr>
            </w:pPr>
          </w:p>
        </w:tc>
      </w:tr>
      <w:tr w14:paraId="6B79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vAlign w:val="center"/>
          </w:tcPr>
          <w:p w14:paraId="6CCA5458">
            <w:pPr>
              <w:widowControl/>
              <w:jc w:val="left"/>
              <w:rPr>
                <w:rFonts w:ascii="Times New Roman" w:hAnsi="Times New Roman" w:eastAsia="宋体"/>
                <w:b/>
                <w:sz w:val="20"/>
                <w:szCs w:val="20"/>
              </w:rPr>
            </w:pPr>
          </w:p>
        </w:tc>
        <w:tc>
          <w:tcPr>
            <w:tcW w:w="425" w:type="pct"/>
            <w:vMerge w:val="continue"/>
            <w:tcBorders>
              <w:left w:val="single" w:color="auto" w:sz="4" w:space="0"/>
              <w:right w:val="single" w:color="auto" w:sz="4" w:space="0"/>
            </w:tcBorders>
            <w:vAlign w:val="center"/>
          </w:tcPr>
          <w:p w14:paraId="165B940B">
            <w:pPr>
              <w:widowControl/>
              <w:jc w:val="left"/>
              <w:rPr>
                <w:rFonts w:ascii="Times New Roman" w:hAnsi="Times New Roman" w:eastAsia="宋体"/>
                <w:color w:val="000000"/>
                <w:kern w:val="0"/>
                <w:sz w:val="20"/>
                <w:szCs w:val="20"/>
              </w:rPr>
            </w:pP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5C247BA8">
            <w:pPr>
              <w:rPr>
                <w:rFonts w:ascii="Times New Roman" w:hAnsi="Times New Roman" w:cs="Times New Roman"/>
                <w:sz w:val="20"/>
                <w:szCs w:val="20"/>
              </w:rPr>
            </w:pPr>
            <w:r>
              <w:rPr>
                <w:rFonts w:ascii="Times New Roman" w:hAnsi="Times New Roman" w:cs="Times New Roman"/>
                <w:sz w:val="20"/>
                <w:szCs w:val="20"/>
              </w:rPr>
              <w:t>19.4</w:t>
            </w:r>
            <w:r>
              <w:rPr>
                <w:rFonts w:hint="eastAsia" w:ascii="Times New Roman" w:hAnsi="Times New Roman" w:cs="Times New Roman"/>
                <w:sz w:val="20"/>
                <w:szCs w:val="20"/>
              </w:rPr>
              <w:t xml:space="preserve"> 储油箱材质：316不锈钢；</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763FB2E">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0061F45">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574D3AB">
            <w:pPr>
              <w:rPr>
                <w:rFonts w:ascii="Times New Roman" w:hAnsi="Times New Roman" w:cs="Times New Roman"/>
                <w:sz w:val="20"/>
                <w:szCs w:val="20"/>
              </w:rPr>
            </w:pPr>
          </w:p>
        </w:tc>
      </w:tr>
      <w:tr w14:paraId="44AD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left w:val="single" w:color="auto" w:sz="4" w:space="0"/>
              <w:right w:val="single" w:color="auto" w:sz="4" w:space="0"/>
            </w:tcBorders>
            <w:shd w:val="clear" w:color="auto" w:fill="auto"/>
            <w:vAlign w:val="center"/>
          </w:tcPr>
          <w:p w14:paraId="4C428C77">
            <w:pPr>
              <w:jc w:val="center"/>
              <w:rPr>
                <w:rFonts w:ascii="Times New Roman" w:hAnsi="Times New Roman"/>
                <w:bCs/>
                <w:color w:val="558ED5" w:themeColor="text2" w:themeTint="99"/>
                <w:sz w:val="20"/>
                <w:szCs w:val="20"/>
                <w14:textFill>
                  <w14:solidFill>
                    <w14:schemeClr w14:val="tx2">
                      <w14:lumMod w14:val="60000"/>
                      <w14:lumOff w14:val="40000"/>
                    </w14:schemeClr>
                  </w14:solidFill>
                </w14:textFill>
              </w:rPr>
            </w:pPr>
            <w:r>
              <w:rPr>
                <w:rFonts w:ascii="Times New Roman" w:hAnsi="Times New Roman" w:eastAsia="宋体"/>
                <w:b/>
                <w:sz w:val="20"/>
                <w:szCs w:val="20"/>
              </w:rPr>
              <w:t>20</w:t>
            </w:r>
          </w:p>
        </w:tc>
        <w:tc>
          <w:tcPr>
            <w:tcW w:w="425" w:type="pct"/>
            <w:vMerge w:val="restart"/>
            <w:tcBorders>
              <w:left w:val="single" w:color="auto" w:sz="4" w:space="0"/>
              <w:right w:val="single" w:color="auto" w:sz="4" w:space="0"/>
            </w:tcBorders>
            <w:shd w:val="clear" w:color="auto" w:fill="auto"/>
            <w:vAlign w:val="center"/>
          </w:tcPr>
          <w:p w14:paraId="709E4928">
            <w:pPr>
              <w:jc w:val="center"/>
              <w:rPr>
                <w:rFonts w:ascii="Times New Roman" w:hAnsi="Times New Roman" w:cs="Times New Roman"/>
              </w:rPr>
            </w:pPr>
            <w:r>
              <w:rPr>
                <w:rFonts w:ascii="Times New Roman" w:hAnsi="Times New Roman" w:cs="Times New Roman"/>
                <w:sz w:val="18"/>
                <w:szCs w:val="18"/>
              </w:rPr>
              <w:t>5.2绞车</w:t>
            </w:r>
          </w:p>
        </w:tc>
        <w:tc>
          <w:tcPr>
            <w:tcW w:w="1597" w:type="pct"/>
            <w:tcBorders>
              <w:top w:val="single" w:color="auto" w:sz="4" w:space="0"/>
              <w:left w:val="single" w:color="auto" w:sz="4" w:space="0"/>
              <w:bottom w:val="single" w:color="auto" w:sz="4" w:space="0"/>
              <w:right w:val="single" w:color="auto" w:sz="4" w:space="0"/>
            </w:tcBorders>
            <w:shd w:val="clear" w:color="auto" w:fill="auto"/>
            <w:vAlign w:val="center"/>
          </w:tcPr>
          <w:p w14:paraId="0D9EA8CC">
            <w:pPr>
              <w:rPr>
                <w:rFonts w:ascii="Times New Roman" w:hAnsi="Times New Roman" w:cs="Times New Roman"/>
                <w:sz w:val="20"/>
                <w:szCs w:val="20"/>
              </w:rPr>
            </w:pPr>
            <w:r>
              <w:rPr>
                <w:rFonts w:ascii="Times New Roman" w:hAnsi="Times New Roman" w:cs="Times New Roman"/>
                <w:sz w:val="20"/>
                <w:szCs w:val="20"/>
              </w:rPr>
              <w:t xml:space="preserve">20.1 </w:t>
            </w:r>
            <w:r>
              <w:rPr>
                <w:rFonts w:hint="eastAsia" w:ascii="Times New Roman" w:hAnsi="Times New Roman" w:cs="Times New Roman"/>
                <w:sz w:val="20"/>
                <w:szCs w:val="20"/>
              </w:rPr>
              <w:t>滚筒表层拉力：大于</w:t>
            </w:r>
            <w:r>
              <w:rPr>
                <w:rFonts w:ascii="Times New Roman" w:hAnsi="Times New Roman" w:cs="Times New Roman"/>
                <w:sz w:val="20"/>
                <w:szCs w:val="20"/>
              </w:rPr>
              <w:t>9</w:t>
            </w:r>
            <w:r>
              <w:rPr>
                <w:rFonts w:hint="eastAsia" w:ascii="Times New Roman" w:hAnsi="Times New Roman" w:cs="Times New Roman"/>
                <w:sz w:val="20"/>
                <w:szCs w:val="20"/>
              </w:rPr>
              <w:t>吨；</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4F5B915">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451A555">
            <w:pPr>
              <w:rPr>
                <w:rFonts w:ascii="Times New Roman" w:hAnsi="Times New Roman" w:cs="Times New Roman"/>
                <w:sz w:val="20"/>
                <w:szCs w:val="20"/>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C1BE366">
            <w:pPr>
              <w:rPr>
                <w:rFonts w:ascii="Times New Roman" w:hAnsi="Times New Roman" w:cs="Times New Roman"/>
                <w:sz w:val="20"/>
                <w:szCs w:val="20"/>
              </w:rPr>
            </w:pPr>
          </w:p>
        </w:tc>
      </w:tr>
      <w:tr w14:paraId="52E5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tcPr>
          <w:p w14:paraId="40CEC03F">
            <w:pPr>
              <w:widowControl/>
              <w:jc w:val="left"/>
              <w:rPr>
                <w:rFonts w:ascii="Times New Roman" w:hAnsi="Times New Roman" w:eastAsia="宋体"/>
                <w:b/>
                <w:sz w:val="20"/>
                <w:szCs w:val="20"/>
              </w:rPr>
            </w:pPr>
          </w:p>
        </w:tc>
        <w:tc>
          <w:tcPr>
            <w:tcW w:w="425" w:type="pct"/>
            <w:vMerge w:val="continue"/>
            <w:tcBorders>
              <w:left w:val="single" w:color="auto" w:sz="4" w:space="0"/>
              <w:right w:val="single" w:color="auto" w:sz="4" w:space="0"/>
            </w:tcBorders>
          </w:tcPr>
          <w:p w14:paraId="2E5A2E11">
            <w:pPr>
              <w:rPr>
                <w:rFonts w:ascii="Times New Roman" w:hAnsi="Times New Roman" w:cs="Times New Roman"/>
              </w:rPr>
            </w:pPr>
          </w:p>
        </w:tc>
        <w:tc>
          <w:tcPr>
            <w:tcW w:w="1597" w:type="pct"/>
            <w:shd w:val="clear" w:color="auto" w:fill="auto"/>
            <w:vAlign w:val="center"/>
          </w:tcPr>
          <w:p w14:paraId="624940CA">
            <w:pPr>
              <w:rPr>
                <w:rFonts w:ascii="Times New Roman" w:hAnsi="Times New Roman" w:cs="Times New Roman"/>
                <w:sz w:val="20"/>
                <w:szCs w:val="20"/>
              </w:rPr>
            </w:pPr>
            <w:r>
              <w:rPr>
                <w:rFonts w:ascii="Times New Roman" w:hAnsi="Times New Roman" w:cs="Times New Roman"/>
                <w:sz w:val="20"/>
                <w:szCs w:val="20"/>
              </w:rPr>
              <w:t>20.2</w:t>
            </w:r>
            <w:r>
              <w:rPr>
                <w:rFonts w:hint="eastAsia" w:ascii="Times New Roman" w:hAnsi="Times New Roman" w:cs="Times New Roman"/>
                <w:sz w:val="20"/>
                <w:szCs w:val="20"/>
              </w:rPr>
              <w:t xml:space="preserve"> 制动：12吨；</w:t>
            </w:r>
          </w:p>
        </w:tc>
        <w:tc>
          <w:tcPr>
            <w:tcW w:w="919" w:type="pct"/>
            <w:shd w:val="clear" w:color="auto" w:fill="auto"/>
            <w:vAlign w:val="center"/>
          </w:tcPr>
          <w:p w14:paraId="0D88A653">
            <w:pPr>
              <w:rPr>
                <w:rFonts w:ascii="Times New Roman" w:hAnsi="Times New Roman" w:cs="Times New Roman"/>
                <w:sz w:val="20"/>
                <w:szCs w:val="20"/>
              </w:rPr>
            </w:pPr>
          </w:p>
        </w:tc>
        <w:tc>
          <w:tcPr>
            <w:tcW w:w="919" w:type="pct"/>
            <w:shd w:val="clear" w:color="auto" w:fill="auto"/>
            <w:vAlign w:val="center"/>
          </w:tcPr>
          <w:p w14:paraId="6549232C">
            <w:pPr>
              <w:rPr>
                <w:rFonts w:ascii="Times New Roman" w:hAnsi="Times New Roman" w:cs="Times New Roman"/>
                <w:sz w:val="20"/>
                <w:szCs w:val="20"/>
              </w:rPr>
            </w:pPr>
          </w:p>
        </w:tc>
        <w:tc>
          <w:tcPr>
            <w:tcW w:w="919" w:type="pct"/>
            <w:shd w:val="clear" w:color="auto" w:fill="auto"/>
            <w:vAlign w:val="center"/>
          </w:tcPr>
          <w:p w14:paraId="01FF301B">
            <w:pPr>
              <w:rPr>
                <w:rFonts w:ascii="Times New Roman" w:hAnsi="Times New Roman" w:cs="Times New Roman"/>
                <w:sz w:val="20"/>
                <w:szCs w:val="20"/>
              </w:rPr>
            </w:pPr>
          </w:p>
        </w:tc>
      </w:tr>
      <w:tr w14:paraId="0B2E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tcPr>
          <w:p w14:paraId="250A9E2F">
            <w:pPr>
              <w:widowControl/>
              <w:jc w:val="left"/>
              <w:rPr>
                <w:rFonts w:ascii="Times New Roman" w:hAnsi="Times New Roman" w:eastAsia="宋体"/>
                <w:b/>
                <w:sz w:val="20"/>
                <w:szCs w:val="20"/>
              </w:rPr>
            </w:pPr>
          </w:p>
        </w:tc>
        <w:tc>
          <w:tcPr>
            <w:tcW w:w="425" w:type="pct"/>
            <w:vMerge w:val="continue"/>
            <w:tcBorders>
              <w:left w:val="single" w:color="auto" w:sz="4" w:space="0"/>
              <w:right w:val="single" w:color="auto" w:sz="4" w:space="0"/>
            </w:tcBorders>
          </w:tcPr>
          <w:p w14:paraId="30D4C20D">
            <w:pPr>
              <w:rPr>
                <w:rFonts w:ascii="Times New Roman" w:hAnsi="Times New Roman" w:cs="Times New Roman"/>
              </w:rPr>
            </w:pPr>
          </w:p>
        </w:tc>
        <w:tc>
          <w:tcPr>
            <w:tcW w:w="1597" w:type="pct"/>
            <w:shd w:val="clear" w:color="auto" w:fill="auto"/>
            <w:vAlign w:val="center"/>
          </w:tcPr>
          <w:p w14:paraId="264098DB">
            <w:pPr>
              <w:rPr>
                <w:rFonts w:ascii="Times New Roman" w:hAnsi="Times New Roman" w:cs="Times New Roman"/>
                <w:sz w:val="20"/>
                <w:szCs w:val="20"/>
              </w:rPr>
            </w:pPr>
            <w:r>
              <w:rPr>
                <w:rFonts w:ascii="Times New Roman" w:hAnsi="Times New Roman" w:cs="Times New Roman"/>
                <w:sz w:val="20"/>
                <w:szCs w:val="20"/>
              </w:rPr>
              <w:t>20.3</w:t>
            </w:r>
            <w:r>
              <w:rPr>
                <w:rFonts w:hint="eastAsia" w:ascii="Times New Roman" w:hAnsi="Times New Roman" w:cs="Times New Roman"/>
                <w:sz w:val="20"/>
                <w:szCs w:val="20"/>
              </w:rPr>
              <w:t>平均收放电缆速度：40米/分钟；</w:t>
            </w:r>
          </w:p>
        </w:tc>
        <w:tc>
          <w:tcPr>
            <w:tcW w:w="919" w:type="pct"/>
            <w:shd w:val="clear" w:color="auto" w:fill="auto"/>
            <w:vAlign w:val="center"/>
          </w:tcPr>
          <w:p w14:paraId="5FF59887">
            <w:pPr>
              <w:rPr>
                <w:rFonts w:ascii="Times New Roman" w:hAnsi="Times New Roman" w:cs="Times New Roman"/>
                <w:sz w:val="20"/>
                <w:szCs w:val="20"/>
              </w:rPr>
            </w:pPr>
          </w:p>
        </w:tc>
        <w:tc>
          <w:tcPr>
            <w:tcW w:w="919" w:type="pct"/>
            <w:shd w:val="clear" w:color="auto" w:fill="auto"/>
            <w:vAlign w:val="center"/>
          </w:tcPr>
          <w:p w14:paraId="24CA9870">
            <w:pPr>
              <w:rPr>
                <w:rFonts w:ascii="Times New Roman" w:hAnsi="Times New Roman" w:cs="Times New Roman"/>
                <w:sz w:val="20"/>
                <w:szCs w:val="20"/>
              </w:rPr>
            </w:pPr>
          </w:p>
        </w:tc>
        <w:tc>
          <w:tcPr>
            <w:tcW w:w="919" w:type="pct"/>
            <w:shd w:val="clear" w:color="auto" w:fill="auto"/>
            <w:vAlign w:val="center"/>
          </w:tcPr>
          <w:p w14:paraId="2047C256">
            <w:pPr>
              <w:rPr>
                <w:rFonts w:ascii="Times New Roman" w:hAnsi="Times New Roman" w:cs="Times New Roman"/>
                <w:sz w:val="20"/>
                <w:szCs w:val="20"/>
              </w:rPr>
            </w:pPr>
          </w:p>
        </w:tc>
      </w:tr>
      <w:tr w14:paraId="4884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tcPr>
          <w:p w14:paraId="46C39EA8">
            <w:pPr>
              <w:widowControl/>
              <w:jc w:val="left"/>
              <w:rPr>
                <w:rFonts w:ascii="Times New Roman" w:hAnsi="Times New Roman" w:eastAsia="宋体"/>
                <w:b/>
                <w:sz w:val="20"/>
                <w:szCs w:val="20"/>
              </w:rPr>
            </w:pPr>
          </w:p>
        </w:tc>
        <w:tc>
          <w:tcPr>
            <w:tcW w:w="425" w:type="pct"/>
            <w:vMerge w:val="continue"/>
            <w:tcBorders>
              <w:left w:val="single" w:color="auto" w:sz="4" w:space="0"/>
              <w:right w:val="single" w:color="auto" w:sz="4" w:space="0"/>
            </w:tcBorders>
          </w:tcPr>
          <w:p w14:paraId="344C46DF">
            <w:pPr>
              <w:rPr>
                <w:rFonts w:ascii="Times New Roman" w:hAnsi="Times New Roman" w:cs="Times New Roman"/>
              </w:rPr>
            </w:pPr>
          </w:p>
        </w:tc>
        <w:tc>
          <w:tcPr>
            <w:tcW w:w="1597" w:type="pct"/>
            <w:shd w:val="clear" w:color="auto" w:fill="auto"/>
            <w:vAlign w:val="center"/>
          </w:tcPr>
          <w:p w14:paraId="777A5BCD">
            <w:pPr>
              <w:rPr>
                <w:rFonts w:ascii="Times New Roman" w:hAnsi="Times New Roman" w:cs="Times New Roman"/>
                <w:sz w:val="20"/>
                <w:szCs w:val="20"/>
              </w:rPr>
            </w:pPr>
            <w:r>
              <w:rPr>
                <w:rFonts w:hint="eastAsia" w:ascii="Times New Roman" w:hAnsi="Times New Roman" w:cs="Times New Roman"/>
                <w:sz w:val="20"/>
                <w:szCs w:val="20"/>
              </w:rPr>
              <w:t>20.4 配备5吨钢丝绞车</w:t>
            </w:r>
          </w:p>
        </w:tc>
        <w:tc>
          <w:tcPr>
            <w:tcW w:w="919" w:type="pct"/>
            <w:shd w:val="clear" w:color="auto" w:fill="auto"/>
            <w:vAlign w:val="center"/>
          </w:tcPr>
          <w:p w14:paraId="296CAD04">
            <w:pPr>
              <w:rPr>
                <w:rFonts w:hint="eastAsia" w:ascii="Times New Roman" w:hAnsi="Times New Roman" w:cs="Times New Roman"/>
                <w:sz w:val="20"/>
                <w:szCs w:val="20"/>
              </w:rPr>
            </w:pPr>
          </w:p>
        </w:tc>
        <w:tc>
          <w:tcPr>
            <w:tcW w:w="919" w:type="pct"/>
            <w:shd w:val="clear" w:color="auto" w:fill="auto"/>
            <w:vAlign w:val="center"/>
          </w:tcPr>
          <w:p w14:paraId="52A9E3C9">
            <w:pPr>
              <w:rPr>
                <w:rFonts w:hint="eastAsia" w:ascii="Times New Roman" w:hAnsi="Times New Roman" w:cs="Times New Roman"/>
                <w:sz w:val="20"/>
                <w:szCs w:val="20"/>
              </w:rPr>
            </w:pPr>
          </w:p>
        </w:tc>
        <w:tc>
          <w:tcPr>
            <w:tcW w:w="919" w:type="pct"/>
            <w:shd w:val="clear" w:color="auto" w:fill="auto"/>
            <w:vAlign w:val="center"/>
          </w:tcPr>
          <w:p w14:paraId="6137E1C1">
            <w:pPr>
              <w:rPr>
                <w:rFonts w:hint="eastAsia" w:ascii="Times New Roman" w:hAnsi="Times New Roman" w:cs="Times New Roman"/>
                <w:sz w:val="20"/>
                <w:szCs w:val="20"/>
              </w:rPr>
            </w:pPr>
          </w:p>
        </w:tc>
      </w:tr>
      <w:tr w14:paraId="005D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restart"/>
            <w:tcBorders>
              <w:left w:val="single" w:color="auto" w:sz="4" w:space="0"/>
              <w:right w:val="single" w:color="auto" w:sz="4" w:space="0"/>
            </w:tcBorders>
            <w:vAlign w:val="center"/>
          </w:tcPr>
          <w:p w14:paraId="3E40A737">
            <w:pPr>
              <w:jc w:val="center"/>
              <w:rPr>
                <w:rFonts w:ascii="Times New Roman" w:hAnsi="Times New Roman"/>
                <w:sz w:val="20"/>
                <w:szCs w:val="20"/>
              </w:rPr>
            </w:pPr>
            <w:r>
              <w:rPr>
                <w:rFonts w:hint="eastAsia" w:ascii="Times New Roman" w:hAnsi="Times New Roman"/>
                <w:b/>
                <w:bCs/>
                <w:sz w:val="20"/>
                <w:szCs w:val="20"/>
              </w:rPr>
              <w:t>2</w:t>
            </w:r>
            <w:r>
              <w:rPr>
                <w:rFonts w:ascii="Times New Roman" w:hAnsi="Times New Roman"/>
                <w:b/>
                <w:bCs/>
                <w:sz w:val="20"/>
                <w:szCs w:val="20"/>
              </w:rPr>
              <w:t>1</w:t>
            </w:r>
          </w:p>
        </w:tc>
        <w:tc>
          <w:tcPr>
            <w:tcW w:w="425" w:type="pct"/>
            <w:vMerge w:val="restart"/>
            <w:tcBorders>
              <w:left w:val="single" w:color="auto" w:sz="4" w:space="0"/>
              <w:right w:val="single" w:color="auto" w:sz="4" w:space="0"/>
            </w:tcBorders>
            <w:vAlign w:val="center"/>
          </w:tcPr>
          <w:p w14:paraId="57D10F0F">
            <w:pPr>
              <w:jc w:val="center"/>
              <w:rPr>
                <w:rFonts w:ascii="Times New Roman" w:hAnsi="Times New Roman"/>
                <w:sz w:val="20"/>
                <w:szCs w:val="20"/>
              </w:rPr>
            </w:pPr>
            <w:r>
              <w:rPr>
                <w:rFonts w:ascii="Times New Roman" w:hAnsi="Times New Roman"/>
                <w:sz w:val="20"/>
                <w:szCs w:val="20"/>
              </w:rPr>
              <w:t>5.3</w:t>
            </w:r>
            <w:r>
              <w:rPr>
                <w:rFonts w:hint="eastAsia" w:ascii="Times New Roman" w:hAnsi="Times New Roman"/>
                <w:sz w:val="20"/>
                <w:szCs w:val="20"/>
              </w:rPr>
              <w:t>ROV释放回收</w:t>
            </w:r>
            <w:r>
              <w:rPr>
                <w:rFonts w:ascii="Times New Roman" w:hAnsi="Times New Roman"/>
                <w:sz w:val="20"/>
                <w:szCs w:val="20"/>
              </w:rPr>
              <w:t>门架</w:t>
            </w:r>
          </w:p>
        </w:tc>
        <w:tc>
          <w:tcPr>
            <w:tcW w:w="1597" w:type="pct"/>
            <w:shd w:val="clear" w:color="auto" w:fill="auto"/>
            <w:vAlign w:val="center"/>
          </w:tcPr>
          <w:p w14:paraId="713A1BFA">
            <w:pP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 xml:space="preserve">1.1 </w:t>
            </w:r>
            <w:r>
              <w:rPr>
                <w:rFonts w:hint="eastAsia" w:ascii="Times New Roman" w:hAnsi="Times New Roman" w:cs="Times New Roman"/>
                <w:sz w:val="20"/>
                <w:szCs w:val="20"/>
              </w:rPr>
              <w:t>功能：具备锁死、释放与回收功能，具备前后止荡功能；</w:t>
            </w:r>
          </w:p>
        </w:tc>
        <w:tc>
          <w:tcPr>
            <w:tcW w:w="919" w:type="pct"/>
            <w:shd w:val="clear" w:color="auto" w:fill="auto"/>
            <w:vAlign w:val="center"/>
          </w:tcPr>
          <w:p w14:paraId="423CA661">
            <w:pPr>
              <w:rPr>
                <w:rFonts w:hint="eastAsia" w:ascii="Times New Roman" w:hAnsi="Times New Roman" w:cs="Times New Roman"/>
                <w:sz w:val="20"/>
                <w:szCs w:val="20"/>
              </w:rPr>
            </w:pPr>
          </w:p>
        </w:tc>
        <w:tc>
          <w:tcPr>
            <w:tcW w:w="919" w:type="pct"/>
            <w:shd w:val="clear" w:color="auto" w:fill="auto"/>
            <w:vAlign w:val="center"/>
          </w:tcPr>
          <w:p w14:paraId="6A3DFE96">
            <w:pPr>
              <w:rPr>
                <w:rFonts w:hint="eastAsia" w:ascii="Times New Roman" w:hAnsi="Times New Roman" w:cs="Times New Roman"/>
                <w:sz w:val="20"/>
                <w:szCs w:val="20"/>
              </w:rPr>
            </w:pPr>
          </w:p>
        </w:tc>
        <w:tc>
          <w:tcPr>
            <w:tcW w:w="919" w:type="pct"/>
            <w:shd w:val="clear" w:color="auto" w:fill="auto"/>
            <w:vAlign w:val="center"/>
          </w:tcPr>
          <w:p w14:paraId="3C5522ED">
            <w:pPr>
              <w:rPr>
                <w:rFonts w:hint="eastAsia" w:ascii="Times New Roman" w:hAnsi="Times New Roman" w:cs="Times New Roman"/>
                <w:sz w:val="20"/>
                <w:szCs w:val="20"/>
              </w:rPr>
            </w:pPr>
          </w:p>
        </w:tc>
      </w:tr>
      <w:tr w14:paraId="7A91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 w:type="pct"/>
            <w:vMerge w:val="continue"/>
            <w:tcBorders>
              <w:left w:val="single" w:color="auto" w:sz="4" w:space="0"/>
              <w:right w:val="single" w:color="auto" w:sz="4" w:space="0"/>
            </w:tcBorders>
          </w:tcPr>
          <w:p w14:paraId="6AEA74B5">
            <w:pPr>
              <w:widowControl/>
              <w:jc w:val="left"/>
              <w:rPr>
                <w:rFonts w:ascii="Times New Roman" w:hAnsi="Times New Roman" w:eastAsia="宋体"/>
                <w:b/>
                <w:sz w:val="20"/>
                <w:szCs w:val="20"/>
              </w:rPr>
            </w:pPr>
          </w:p>
        </w:tc>
        <w:tc>
          <w:tcPr>
            <w:tcW w:w="425" w:type="pct"/>
            <w:vMerge w:val="continue"/>
            <w:tcBorders>
              <w:left w:val="single" w:color="auto" w:sz="4" w:space="0"/>
              <w:right w:val="single" w:color="auto" w:sz="4" w:space="0"/>
            </w:tcBorders>
          </w:tcPr>
          <w:p w14:paraId="2586319F">
            <w:pPr>
              <w:rPr>
                <w:rFonts w:ascii="Times New Roman" w:hAnsi="Times New Roman" w:cs="Times New Roman"/>
              </w:rPr>
            </w:pPr>
          </w:p>
        </w:tc>
        <w:tc>
          <w:tcPr>
            <w:tcW w:w="1597" w:type="pct"/>
            <w:shd w:val="clear" w:color="auto" w:fill="auto"/>
            <w:vAlign w:val="center"/>
          </w:tcPr>
          <w:p w14:paraId="4574E45D">
            <w:pP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 xml:space="preserve">1.2 </w:t>
            </w:r>
            <w:r>
              <w:rPr>
                <w:rFonts w:hint="eastAsia" w:ascii="Times New Roman" w:hAnsi="Times New Roman" w:cs="Times New Roman"/>
                <w:sz w:val="20"/>
                <w:szCs w:val="20"/>
              </w:rPr>
              <w:t>材质：Q345D高强度钢。</w:t>
            </w:r>
          </w:p>
        </w:tc>
        <w:tc>
          <w:tcPr>
            <w:tcW w:w="919" w:type="pct"/>
            <w:shd w:val="clear" w:color="auto" w:fill="auto"/>
            <w:vAlign w:val="center"/>
          </w:tcPr>
          <w:p w14:paraId="4453C2C2">
            <w:pPr>
              <w:rPr>
                <w:rFonts w:hint="eastAsia" w:ascii="Times New Roman" w:hAnsi="Times New Roman" w:cs="Times New Roman"/>
                <w:sz w:val="20"/>
                <w:szCs w:val="20"/>
              </w:rPr>
            </w:pPr>
          </w:p>
        </w:tc>
        <w:tc>
          <w:tcPr>
            <w:tcW w:w="919" w:type="pct"/>
            <w:shd w:val="clear" w:color="auto" w:fill="auto"/>
            <w:vAlign w:val="center"/>
          </w:tcPr>
          <w:p w14:paraId="6CC5BF56">
            <w:pPr>
              <w:rPr>
                <w:rFonts w:hint="eastAsia" w:ascii="Times New Roman" w:hAnsi="Times New Roman" w:cs="Times New Roman"/>
                <w:sz w:val="20"/>
                <w:szCs w:val="20"/>
              </w:rPr>
            </w:pPr>
          </w:p>
        </w:tc>
        <w:tc>
          <w:tcPr>
            <w:tcW w:w="919" w:type="pct"/>
            <w:shd w:val="clear" w:color="auto" w:fill="auto"/>
            <w:vAlign w:val="center"/>
          </w:tcPr>
          <w:p w14:paraId="6B041E30">
            <w:pPr>
              <w:rPr>
                <w:rFonts w:hint="eastAsia" w:ascii="Times New Roman" w:hAnsi="Times New Roman" w:cs="Times New Roman"/>
                <w:sz w:val="20"/>
                <w:szCs w:val="20"/>
              </w:rPr>
            </w:pPr>
          </w:p>
        </w:tc>
      </w:tr>
    </w:tbl>
    <w:p w14:paraId="4F290C62">
      <w:pPr>
        <w:numPr>
          <w:ilvl w:val="0"/>
          <w:numId w:val="0"/>
        </w:numPr>
      </w:pPr>
    </w:p>
    <w:p w14:paraId="3F5BA98B">
      <w:pPr>
        <w:rPr>
          <w:rFonts w:ascii="宋体" w:hAnsi="宋体" w:eastAsia="宋体"/>
        </w:rPr>
      </w:pPr>
      <w:bookmarkStart w:id="70" w:name="_Hlk72095977"/>
      <w:r>
        <w:rPr>
          <w:rFonts w:hint="eastAsia" w:ascii="宋体" w:hAnsi="宋体" w:eastAsia="宋体"/>
        </w:rPr>
        <w:t>证明资料【如有的话，供应商提供的证明资料应统一编号（排序），格式自定】</w:t>
      </w:r>
      <w:bookmarkEnd w:id="70"/>
      <w:r>
        <w:rPr>
          <w:rFonts w:hint="eastAsia" w:ascii="宋体" w:hAnsi="宋体" w:eastAsia="宋体"/>
        </w:rPr>
        <w:t>：</w:t>
      </w:r>
    </w:p>
    <w:p w14:paraId="1DF0E0C2">
      <w:pPr>
        <w:ind w:firstLine="482" w:firstLineChars="200"/>
        <w:rPr>
          <w:rFonts w:ascii="宋体" w:hAnsi="宋体" w:eastAsia="宋体"/>
          <w:b/>
        </w:rPr>
      </w:pPr>
      <w:r>
        <w:rPr>
          <w:rFonts w:hint="eastAsia" w:ascii="宋体" w:hAnsi="宋体" w:eastAsia="宋体"/>
          <w:b/>
        </w:rPr>
        <w:t>《技术要求偏离表》编制指引：</w:t>
      </w:r>
    </w:p>
    <w:p w14:paraId="4D3D5864">
      <w:pPr>
        <w:ind w:firstLine="482" w:firstLineChars="200"/>
        <w:rPr>
          <w:rFonts w:ascii="宋体" w:hAnsi="宋体" w:eastAsia="宋体"/>
          <w:b/>
        </w:rPr>
      </w:pPr>
      <w:r>
        <w:rPr>
          <w:rFonts w:hint="eastAsia" w:ascii="宋体" w:hAnsi="宋体" w:eastAsia="宋体"/>
          <w:b/>
        </w:rPr>
        <w:t>1.技术要求偏离表的序号、货物名称、招标技术要求等栏目</w:t>
      </w:r>
      <w:bookmarkStart w:id="71" w:name="_Hlk72094407"/>
      <w:r>
        <w:rPr>
          <w:rFonts w:hint="eastAsia" w:ascii="宋体" w:hAnsi="宋体" w:eastAsia="宋体"/>
          <w:b/>
        </w:rPr>
        <w:t>对应“用户需求书”中的“技术要求”章节</w:t>
      </w:r>
      <w:bookmarkEnd w:id="71"/>
      <w:r>
        <w:rPr>
          <w:rFonts w:hint="eastAsia" w:ascii="宋体" w:hAnsi="宋体" w:eastAsia="宋体"/>
          <w:b/>
        </w:rPr>
        <w:t>相关内容。</w:t>
      </w:r>
    </w:p>
    <w:p w14:paraId="6DA8874F">
      <w:pPr>
        <w:ind w:firstLine="482" w:firstLineChars="200"/>
        <w:rPr>
          <w:rFonts w:ascii="宋体" w:hAnsi="宋体" w:eastAsia="宋体"/>
          <w:b/>
        </w:rPr>
      </w:pPr>
      <w:r>
        <w:rPr>
          <w:rFonts w:ascii="宋体" w:hAnsi="宋体" w:eastAsia="宋体"/>
          <w:b/>
        </w:rPr>
        <w:t>2</w:t>
      </w:r>
      <w:r>
        <w:rPr>
          <w:rFonts w:hint="eastAsia" w:ascii="宋体" w:hAnsi="宋体" w:eastAsia="宋体"/>
          <w:b/>
        </w:rPr>
        <w:t>.“投标技术响应”一栏必须一一对照“招标技术要求”，详细填写投标人自身投标货物的具体参数，而不能不合理照搬照抄招标文件的技术要求，以体现具体响应情况。</w:t>
      </w:r>
    </w:p>
    <w:p w14:paraId="3CADFCB9">
      <w:pPr>
        <w:ind w:firstLine="482" w:firstLineChars="200"/>
        <w:rPr>
          <w:rFonts w:ascii="宋体" w:hAnsi="宋体" w:eastAsia="宋体"/>
          <w:b/>
        </w:rPr>
      </w:pPr>
      <w:r>
        <w:rPr>
          <w:rFonts w:ascii="宋体" w:hAnsi="宋体" w:eastAsia="宋体"/>
          <w:b/>
        </w:rPr>
        <w:t>3</w:t>
      </w:r>
      <w:bookmarkStart w:id="72" w:name="_Hlk72158270"/>
      <w:r>
        <w:rPr>
          <w:rFonts w:hint="eastAsia" w:ascii="宋体" w:hAnsi="宋体" w:eastAsia="宋体"/>
          <w:b/>
        </w:rPr>
        <w:t>.“偏离情况”</w:t>
      </w:r>
      <w:bookmarkEnd w:id="72"/>
      <w:r>
        <w:rPr>
          <w:rFonts w:hint="eastAsia" w:ascii="宋体" w:hAnsi="宋体" w:eastAsia="宋体"/>
          <w:b/>
        </w:rPr>
        <w:t>一栏填写如实填写“正偏离”、“负偏离”或“无偏离”，其中：</w:t>
      </w:r>
      <w:bookmarkStart w:id="73" w:name="_Hlk72093866"/>
      <w:r>
        <w:rPr>
          <w:rFonts w:hint="eastAsia" w:ascii="宋体" w:hAnsi="宋体" w:eastAsia="宋体"/>
          <w:b/>
        </w:rPr>
        <w:t>“正偏离”表示“投标响应优于招标技术要求”，“负偏离”表示“投标响应不满足招标技术要求”，“无偏离”表示“投标响应与招标技术要求一致”</w:t>
      </w:r>
      <w:bookmarkEnd w:id="73"/>
      <w:r>
        <w:rPr>
          <w:rFonts w:hint="eastAsia" w:ascii="宋体" w:hAnsi="宋体" w:eastAsia="宋体"/>
          <w:b/>
        </w:rPr>
        <w:t>。“投标技术响应”对比“招标技术要求”存在响应不全（包括未响应整项招标技术要求或者未响应一项招标技术要求的部分内容），均视为“负偏离”。</w:t>
      </w:r>
    </w:p>
    <w:p w14:paraId="66C80436">
      <w:pPr>
        <w:ind w:firstLine="482" w:firstLineChars="200"/>
        <w:rPr>
          <w:rFonts w:ascii="宋体" w:hAnsi="宋体" w:eastAsia="宋体"/>
          <w:b/>
          <w:color w:val="FF0000"/>
        </w:rPr>
      </w:pPr>
      <w:r>
        <w:rPr>
          <w:rFonts w:ascii="宋体" w:hAnsi="宋体" w:eastAsia="宋体"/>
          <w:b/>
        </w:rPr>
        <w:t>4</w:t>
      </w:r>
      <w:r>
        <w:rPr>
          <w:rFonts w:hint="eastAsia" w:ascii="宋体" w:hAnsi="宋体" w:eastAsia="宋体"/>
          <w:b/>
        </w:rPr>
        <w:t>.未要求提供证明资料的招标技术要求，可以不提供证明资料（如实响应即可）；</w:t>
      </w:r>
      <w:r>
        <w:rPr>
          <w:rFonts w:hint="eastAsia" w:ascii="宋体" w:hAnsi="宋体" w:eastAsia="宋体"/>
          <w:b/>
          <w:color w:val="FF0000"/>
        </w:rPr>
        <w:t>如额外提供了证明资料，且证明资料显示不符合招标技术要求的，经评审委员会认定，该项招标技术要求将被判定为负偏离。</w:t>
      </w:r>
    </w:p>
    <w:p w14:paraId="62382826">
      <w:pPr>
        <w:ind w:firstLine="482" w:firstLineChars="200"/>
        <w:rPr>
          <w:rFonts w:ascii="宋体" w:hAnsi="宋体" w:eastAsia="宋体"/>
          <w:b/>
        </w:rPr>
      </w:pPr>
      <w:r>
        <w:rPr>
          <w:rFonts w:hint="eastAsia" w:ascii="宋体" w:hAnsi="宋体" w:eastAsia="宋体"/>
          <w:b/>
        </w:rPr>
        <w:t>5</w:t>
      </w:r>
      <w:bookmarkStart w:id="74" w:name="_Hlk72096106"/>
      <w:r>
        <w:rPr>
          <w:rFonts w:hint="eastAsia" w:ascii="宋体" w:hAnsi="宋体" w:eastAsia="宋体"/>
          <w:b/>
        </w:rPr>
        <w:t>.证明资料条款响应要求</w:t>
      </w:r>
      <w:bookmarkEnd w:id="74"/>
      <w:r>
        <w:rPr>
          <w:rFonts w:hint="eastAsia" w:ascii="宋体" w:hAnsi="宋体" w:eastAsia="宋体"/>
          <w:b/>
        </w:rPr>
        <w:t>：要求提供证明资料（且已对证明资料的形式、内容作出明确要求）进行响应的条款，应当在“说明”一栏中列明是否提供了符合要求的证明资料，以及所提供证明资料在投标文件中的页码（位置）,以便评审；</w:t>
      </w:r>
      <w:bookmarkStart w:id="75" w:name="_Hlk73558782"/>
      <w:r>
        <w:rPr>
          <w:rFonts w:hint="eastAsia" w:ascii="宋体" w:hAnsi="宋体" w:eastAsia="宋体"/>
          <w:b/>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6" w:name="_Hlk73558164"/>
      <w:r>
        <w:rPr>
          <w:rFonts w:hint="eastAsia" w:ascii="宋体" w:hAnsi="宋体" w:eastAsia="宋体"/>
          <w:b/>
        </w:rPr>
        <w:t>且投标人在“偏离情况”一栏响应为“正偏离”或“无偏离”的，经评审委员会认定，将判定为负偏离。</w:t>
      </w:r>
      <w:bookmarkEnd w:id="75"/>
      <w:bookmarkEnd w:id="76"/>
    </w:p>
    <w:p w14:paraId="3CF9D982">
      <w:pPr>
        <w:ind w:firstLine="482" w:firstLineChars="200"/>
        <w:rPr>
          <w:rFonts w:ascii="宋体" w:hAnsi="宋体" w:eastAsia="宋体"/>
          <w:b/>
        </w:rPr>
      </w:pPr>
      <w:r>
        <w:rPr>
          <w:rFonts w:hint="eastAsia" w:ascii="宋体" w:hAnsi="宋体" w:eastAsia="宋体"/>
          <w:b/>
        </w:rPr>
        <w:t>6</w:t>
      </w:r>
      <w:bookmarkStart w:id="77" w:name="_Hlk72096176"/>
      <w:r>
        <w:rPr>
          <w:rFonts w:hint="eastAsia" w:ascii="宋体" w:hAnsi="宋体" w:eastAsia="宋体"/>
          <w:b/>
        </w:rPr>
        <w:t>.证明资料的形式及其它具体要求</w:t>
      </w:r>
      <w:bookmarkEnd w:id="77"/>
      <w:r>
        <w:rPr>
          <w:rFonts w:hint="eastAsia" w:ascii="宋体" w:hAnsi="宋体" w:eastAsia="宋体"/>
          <w:b/>
        </w:rPr>
        <w:t>：</w:t>
      </w:r>
    </w:p>
    <w:p w14:paraId="297B0503">
      <w:pPr>
        <w:ind w:firstLine="482" w:firstLineChars="200"/>
        <w:rPr>
          <w:rFonts w:ascii="宋体" w:hAnsi="宋体" w:eastAsia="宋体"/>
          <w:b/>
        </w:rPr>
      </w:pPr>
      <w:r>
        <w:rPr>
          <w:rFonts w:hint="eastAsia" w:ascii="宋体" w:hAnsi="宋体" w:eastAsia="宋体"/>
          <w:b/>
        </w:rPr>
        <w:t>（1）除照片、图片（截图）及不需加盖公章的文字说明（技术说明）外，其它证明资料均要求为原件扫描件；</w:t>
      </w:r>
    </w:p>
    <w:p w14:paraId="1ECD0383">
      <w:pPr>
        <w:ind w:firstLine="482" w:firstLineChars="200"/>
        <w:rPr>
          <w:rFonts w:ascii="宋体" w:hAnsi="宋体" w:eastAsia="宋体"/>
          <w:b/>
        </w:rPr>
      </w:pPr>
      <w:r>
        <w:rPr>
          <w:rFonts w:hint="eastAsia" w:ascii="宋体" w:hAnsi="宋体" w:eastAsia="宋体"/>
          <w:b/>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3C05E1DC">
      <w:pPr>
        <w:ind w:firstLine="482" w:firstLineChars="200"/>
        <w:rPr>
          <w:rFonts w:ascii="宋体" w:hAnsi="宋体" w:eastAsia="宋体"/>
          <w:b/>
        </w:rPr>
      </w:pPr>
      <w:r>
        <w:rPr>
          <w:rFonts w:hint="eastAsia" w:ascii="宋体" w:hAnsi="宋体" w:eastAsia="宋体"/>
          <w:b/>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430EBAF3">
      <w:pPr>
        <w:ind w:firstLine="482" w:firstLineChars="200"/>
        <w:rPr>
          <w:rFonts w:ascii="宋体" w:hAnsi="宋体" w:eastAsia="宋体"/>
          <w:b/>
        </w:rPr>
      </w:pPr>
      <w:r>
        <w:rPr>
          <w:rFonts w:hint="eastAsia" w:ascii="宋体" w:hAnsi="宋体" w:eastAsia="宋体"/>
          <w:b/>
        </w:rPr>
        <w:t>我国政府机构出具的产品检验和核准证件应为证件正面、背面和附件标注的全部具体内容；产品检验和核准证件的尺寸和清晰度应该能够在电脑上被阅读、识别和判断；</w:t>
      </w:r>
    </w:p>
    <w:p w14:paraId="0FA67AED">
      <w:pPr>
        <w:ind w:firstLine="482" w:firstLineChars="200"/>
        <w:rPr>
          <w:rFonts w:ascii="宋体" w:hAnsi="宋体" w:eastAsia="宋体"/>
          <w:b/>
        </w:rPr>
      </w:pPr>
      <w:r>
        <w:rPr>
          <w:rFonts w:hint="eastAsia" w:ascii="宋体" w:hAnsi="宋体" w:eastAsia="宋体"/>
          <w:b/>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78C39A38">
      <w:pPr>
        <w:ind w:firstLine="482" w:firstLineChars="200"/>
        <w:rPr>
          <w:rFonts w:ascii="宋体" w:hAnsi="宋体" w:eastAsia="宋体"/>
          <w:b/>
        </w:rPr>
      </w:pPr>
      <w:r>
        <w:rPr>
          <w:rFonts w:hint="eastAsia" w:ascii="宋体" w:hAnsi="宋体" w:eastAsia="宋体"/>
          <w:b/>
        </w:rPr>
        <w:t>其它证明资料的形式要求参照以上要求执行；</w:t>
      </w:r>
    </w:p>
    <w:p w14:paraId="5B063370">
      <w:pPr>
        <w:ind w:firstLine="482" w:firstLineChars="200"/>
        <w:rPr>
          <w:rFonts w:ascii="宋体" w:hAnsi="宋体" w:eastAsia="宋体"/>
          <w:b/>
        </w:rPr>
      </w:pPr>
      <w:r>
        <w:rPr>
          <w:rFonts w:hint="eastAsia" w:ascii="宋体" w:hAnsi="宋体" w:eastAsia="宋体"/>
          <w:b/>
        </w:rPr>
        <w:t>（4）证明资料均要求原件备查。</w:t>
      </w:r>
    </w:p>
    <w:p w14:paraId="50A05B3C">
      <w:pPr>
        <w:ind w:firstLine="482" w:firstLineChars="200"/>
        <w:rPr>
          <w:rFonts w:ascii="宋体" w:hAnsi="宋体" w:eastAsia="宋体"/>
          <w:b/>
        </w:rPr>
      </w:pPr>
      <w:r>
        <w:rPr>
          <w:rFonts w:hint="eastAsia" w:ascii="宋体" w:hAnsi="宋体" w:eastAsia="宋体"/>
          <w:b/>
        </w:rPr>
        <w:t>7.其它注意事项：</w:t>
      </w:r>
    </w:p>
    <w:p w14:paraId="44360170">
      <w:pPr>
        <w:ind w:firstLine="482" w:firstLineChars="200"/>
        <w:rPr>
          <w:rFonts w:ascii="宋体" w:hAnsi="宋体" w:eastAsia="宋体"/>
          <w:b/>
        </w:rPr>
      </w:pPr>
      <w:r>
        <w:rPr>
          <w:rFonts w:hint="eastAsia" w:ascii="宋体" w:hAnsi="宋体" w:eastAsia="宋体"/>
          <w:b/>
        </w:rPr>
        <w:t>（1）评审委员会有权对投标人的响应情况作出判断（评审结论）；</w:t>
      </w:r>
    </w:p>
    <w:p w14:paraId="590C5DC1">
      <w:pPr>
        <w:ind w:firstLine="482" w:firstLineChars="200"/>
        <w:rPr>
          <w:rFonts w:ascii="宋体" w:hAnsi="宋体" w:eastAsia="宋体"/>
          <w:b/>
        </w:rPr>
      </w:pPr>
      <w:r>
        <w:rPr>
          <w:rFonts w:hint="eastAsia" w:ascii="宋体" w:hAnsi="宋体" w:eastAsia="宋体"/>
          <w:b/>
        </w:rPr>
        <w:t>（2）</w:t>
      </w:r>
      <w:bookmarkStart w:id="78" w:name="_Hlk72158213"/>
      <w:r>
        <w:rPr>
          <w:rFonts w:hint="eastAsia" w:ascii="宋体" w:hAnsi="宋体" w:eastAsia="宋体"/>
          <w:b/>
        </w:rPr>
        <w:t>评审委员会有权对以谋取中标为目的的技术规格模糊响应（如有意不合理照搬照抄招标文件的技术要求）或虚假响应予以认定，并视情况经招标机构报主管部门进行处理。</w:t>
      </w:r>
      <w:bookmarkEnd w:id="78"/>
    </w:p>
    <w:p w14:paraId="691814F0">
      <w:pPr>
        <w:ind w:firstLine="482" w:firstLineChars="200"/>
        <w:rPr>
          <w:rFonts w:ascii="宋体" w:hAnsi="宋体" w:eastAsia="宋体"/>
          <w:b/>
        </w:rPr>
      </w:pPr>
    </w:p>
    <w:p w14:paraId="685E9669">
      <w:pPr>
        <w:rPr>
          <w:rFonts w:ascii="宋体" w:hAnsi="宋体" w:eastAsia="宋体"/>
        </w:rPr>
      </w:pPr>
    </w:p>
    <w:p w14:paraId="78F9F148">
      <w:pPr>
        <w:pStyle w:val="3"/>
        <w:numPr>
          <w:ilvl w:val="0"/>
          <w:numId w:val="0"/>
        </w:numPr>
        <w:jc w:val="center"/>
        <w:rPr>
          <w:rFonts w:hint="eastAsia"/>
          <w:b w:val="0"/>
          <w:bCs w:val="0"/>
          <w:sz w:val="24"/>
          <w:szCs w:val="20"/>
        </w:rPr>
      </w:pPr>
      <w:r>
        <w:rPr>
          <w:rFonts w:hint="eastAsia" w:ascii="宋体" w:hAnsi="宋体" w:eastAsia="宋体" w:cs="Times New Roman"/>
          <w:b w:val="0"/>
          <w:bCs w:val="0"/>
          <w:sz w:val="24"/>
          <w:szCs w:val="20"/>
          <w:lang w:val="en-US" w:eastAsia="zh-CN" w:bidi="ar-SA"/>
        </w:rPr>
        <w:t>七、</w:t>
      </w:r>
      <w:r>
        <w:rPr>
          <w:rFonts w:hint="eastAsia"/>
          <w:b w:val="0"/>
          <w:bCs w:val="0"/>
          <w:sz w:val="24"/>
          <w:szCs w:val="20"/>
        </w:rPr>
        <w:t>商务要求偏离表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57"/>
        <w:gridCol w:w="1744"/>
        <w:gridCol w:w="1790"/>
        <w:gridCol w:w="1791"/>
        <w:gridCol w:w="1801"/>
      </w:tblGrid>
      <w:tr w14:paraId="0DE9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Align w:val="center"/>
          </w:tcPr>
          <w:p w14:paraId="61FD5619">
            <w:pPr>
              <w:jc w:val="center"/>
              <w:rPr>
                <w:b/>
              </w:rPr>
            </w:pPr>
            <w:r>
              <w:rPr>
                <w:rFonts w:hint="eastAsia"/>
                <w:b/>
              </w:rPr>
              <w:t>序号</w:t>
            </w:r>
          </w:p>
        </w:tc>
        <w:tc>
          <w:tcPr>
            <w:tcW w:w="268" w:type="pct"/>
            <w:vAlign w:val="center"/>
          </w:tcPr>
          <w:p w14:paraId="6D26A7EB">
            <w:pPr>
              <w:jc w:val="center"/>
              <w:rPr>
                <w:b/>
              </w:rPr>
            </w:pPr>
            <w:r>
              <w:rPr>
                <w:rFonts w:hint="eastAsia"/>
                <w:b/>
              </w:rPr>
              <w:t>目录</w:t>
            </w:r>
          </w:p>
        </w:tc>
        <w:tc>
          <w:tcPr>
            <w:tcW w:w="1024" w:type="pct"/>
            <w:vAlign w:val="center"/>
          </w:tcPr>
          <w:p w14:paraId="3DFB008F">
            <w:pPr>
              <w:jc w:val="center"/>
              <w:rPr>
                <w:b/>
              </w:rPr>
            </w:pPr>
            <w:r>
              <w:rPr>
                <w:rFonts w:hint="eastAsia"/>
                <w:b/>
              </w:rPr>
              <w:t>招标商务需求</w:t>
            </w:r>
          </w:p>
        </w:tc>
        <w:tc>
          <w:tcPr>
            <w:tcW w:w="1051" w:type="pct"/>
            <w:vAlign w:val="center"/>
          </w:tcPr>
          <w:p w14:paraId="36807B28">
            <w:pPr>
              <w:jc w:val="center"/>
              <w:rPr>
                <w:rFonts w:hint="eastAsia"/>
                <w:b/>
              </w:rPr>
            </w:pPr>
            <w:r>
              <w:rPr>
                <w:rFonts w:hint="eastAsia"/>
              </w:rPr>
              <w:t>投标商务响应</w:t>
            </w:r>
          </w:p>
        </w:tc>
        <w:tc>
          <w:tcPr>
            <w:tcW w:w="1051" w:type="pct"/>
            <w:vAlign w:val="center"/>
          </w:tcPr>
          <w:p w14:paraId="76A1C97A">
            <w:pPr>
              <w:jc w:val="center"/>
              <w:rPr>
                <w:rFonts w:hint="eastAsia"/>
                <w:b/>
              </w:rPr>
            </w:pPr>
            <w:r>
              <w:rPr>
                <w:rFonts w:hint="eastAsia"/>
              </w:rPr>
              <w:t>偏离情况</w:t>
            </w:r>
          </w:p>
        </w:tc>
        <w:tc>
          <w:tcPr>
            <w:tcW w:w="1055" w:type="pct"/>
            <w:vAlign w:val="center"/>
          </w:tcPr>
          <w:p w14:paraId="43F61FA7">
            <w:pPr>
              <w:jc w:val="center"/>
              <w:rPr>
                <w:rFonts w:hint="eastAsia"/>
                <w:b/>
              </w:rPr>
            </w:pPr>
            <w:r>
              <w:rPr>
                <w:rFonts w:hint="eastAsia"/>
              </w:rPr>
              <w:t>说明</w:t>
            </w:r>
          </w:p>
        </w:tc>
      </w:tr>
      <w:tr w14:paraId="678F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6"/>
          </w:tcPr>
          <w:p w14:paraId="48949944">
            <w:pPr>
              <w:rPr>
                <w:rFonts w:hint="eastAsia"/>
                <w:b/>
              </w:rPr>
            </w:pPr>
            <w:r>
              <w:rPr>
                <w:rFonts w:hint="eastAsia"/>
                <w:b/>
              </w:rPr>
              <w:t>（一）</w:t>
            </w:r>
            <w:r>
              <w:rPr>
                <w:rFonts w:ascii="Times New Roman" w:hAnsi="Times New Roman" w:cs="Times New Roman" w:eastAsiaTheme="majorEastAsia"/>
                <w:b/>
                <w:szCs w:val="21"/>
              </w:rPr>
              <w:t>保修期内售后服务要求（期间产生的费用均已包含在投标报价中）</w:t>
            </w:r>
          </w:p>
        </w:tc>
      </w:tr>
      <w:tr w14:paraId="2DC5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9" w:type="pct"/>
            <w:vAlign w:val="center"/>
          </w:tcPr>
          <w:p w14:paraId="385C8731">
            <w:pPr>
              <w:jc w:val="center"/>
              <w:rPr>
                <w:bCs/>
              </w:rPr>
            </w:pPr>
            <w:r>
              <w:rPr>
                <w:rFonts w:hint="eastAsia"/>
                <w:bCs/>
              </w:rPr>
              <w:t>1</w:t>
            </w:r>
          </w:p>
        </w:tc>
        <w:tc>
          <w:tcPr>
            <w:tcW w:w="268" w:type="pct"/>
          </w:tcPr>
          <w:p w14:paraId="07F52350">
            <w:r>
              <w:rPr>
                <w:rFonts w:hint="eastAsia"/>
              </w:rPr>
              <w:t>维修响应及故障解决时间</w:t>
            </w:r>
          </w:p>
        </w:tc>
        <w:tc>
          <w:tcPr>
            <w:tcW w:w="1024" w:type="pct"/>
          </w:tcPr>
          <w:p w14:paraId="72D5908A">
            <w:pPr>
              <w:rPr>
                <w:b/>
              </w:rPr>
            </w:pPr>
            <w:r>
              <w:rPr>
                <w:rFonts w:ascii="Times New Roman" w:hAnsi="Times New Roman" w:cs="Times New Roman" w:eastAsiaTheme="majorEastAsia"/>
                <w:bCs/>
                <w:szCs w:val="21"/>
              </w:rPr>
              <w:t>在保修期内，一旦发生质量问题，投标人保证在接到通知</w:t>
            </w:r>
            <w:r>
              <w:rPr>
                <w:rFonts w:ascii="Times New Roman" w:hAnsi="Times New Roman" w:cs="Times New Roman" w:eastAsiaTheme="majorEastAsia"/>
                <w:bCs/>
                <w:szCs w:val="21"/>
                <w:u w:val="single"/>
              </w:rPr>
              <w:t xml:space="preserve">2 </w:t>
            </w:r>
            <w:r>
              <w:rPr>
                <w:rFonts w:ascii="Times New Roman" w:hAnsi="Times New Roman" w:cs="Times New Roman" w:eastAsiaTheme="majorEastAsia"/>
                <w:bCs/>
                <w:szCs w:val="21"/>
              </w:rPr>
              <w:t>小时内</w:t>
            </w:r>
            <w:r>
              <w:rPr>
                <w:rFonts w:ascii="Times New Roman" w:hAnsi="Times New Roman" w:cs="Times New Roman" w:eastAsiaTheme="majorEastAsia"/>
                <w:szCs w:val="21"/>
              </w:rPr>
              <w:t>对采购人的服务要求作出响应。对于紧急故障（如设备停机），投标人需在</w:t>
            </w:r>
            <w:r>
              <w:rPr>
                <w:rFonts w:ascii="Times New Roman" w:hAnsi="Times New Roman" w:cs="Times New Roman" w:eastAsiaTheme="majorEastAsia"/>
                <w:szCs w:val="21"/>
                <w:u w:val="single"/>
              </w:rPr>
              <w:t xml:space="preserve"> 3 </w:t>
            </w:r>
            <w:r>
              <w:rPr>
                <w:rFonts w:ascii="Times New Roman" w:hAnsi="Times New Roman" w:cs="Times New Roman" w:eastAsiaTheme="majorEastAsia"/>
                <w:szCs w:val="21"/>
              </w:rPr>
              <w:t>天内到场排除故障；对于一般故障，投标人需在</w:t>
            </w:r>
            <w:r>
              <w:rPr>
                <w:rFonts w:ascii="Times New Roman" w:hAnsi="Times New Roman" w:cs="Times New Roman" w:eastAsiaTheme="majorEastAsia"/>
                <w:szCs w:val="21"/>
                <w:u w:val="single"/>
              </w:rPr>
              <w:t xml:space="preserve"> 10 </w:t>
            </w:r>
            <w:r>
              <w:rPr>
                <w:rFonts w:ascii="Times New Roman" w:hAnsi="Times New Roman" w:cs="Times New Roman" w:eastAsiaTheme="majorEastAsia"/>
                <w:szCs w:val="21"/>
              </w:rPr>
              <w:t>天内到场排除故障；若遇重大故障不能按期排除，则设备免费保修期顺延，但投标人应在</w:t>
            </w:r>
            <w:r>
              <w:rPr>
                <w:rFonts w:ascii="Times New Roman" w:hAnsi="Times New Roman" w:cs="Times New Roman" w:eastAsiaTheme="majorEastAsia"/>
                <w:szCs w:val="21"/>
                <w:u w:val="single"/>
              </w:rPr>
              <w:t xml:space="preserve"> 30 </w:t>
            </w:r>
            <w:r>
              <w:rPr>
                <w:rFonts w:ascii="Times New Roman" w:hAnsi="Times New Roman" w:cs="Times New Roman" w:eastAsiaTheme="majorEastAsia"/>
                <w:szCs w:val="21"/>
              </w:rPr>
              <w:t>个工作日内排除故障。保修期内，某项货物出现故障的次数达【5】次的，其保修时间延长【6】个月；延长期限内，该项部件出现故障的次数达【5】次的，保修期继续延长【6】个月，以后均按此规定执行。</w:t>
            </w:r>
          </w:p>
        </w:tc>
        <w:tc>
          <w:tcPr>
            <w:tcW w:w="1051" w:type="pct"/>
          </w:tcPr>
          <w:p w14:paraId="5CBDB9BC">
            <w:pPr>
              <w:rPr>
                <w:rFonts w:ascii="Times New Roman" w:hAnsi="Times New Roman" w:cs="Times New Roman" w:eastAsiaTheme="majorEastAsia"/>
                <w:bCs/>
                <w:szCs w:val="21"/>
              </w:rPr>
            </w:pPr>
          </w:p>
        </w:tc>
        <w:tc>
          <w:tcPr>
            <w:tcW w:w="1051" w:type="pct"/>
          </w:tcPr>
          <w:p w14:paraId="3CAB72CB">
            <w:pPr>
              <w:rPr>
                <w:rFonts w:ascii="Times New Roman" w:hAnsi="Times New Roman" w:cs="Times New Roman" w:eastAsiaTheme="majorEastAsia"/>
                <w:bCs/>
                <w:szCs w:val="21"/>
              </w:rPr>
            </w:pPr>
          </w:p>
        </w:tc>
        <w:tc>
          <w:tcPr>
            <w:tcW w:w="1055" w:type="pct"/>
          </w:tcPr>
          <w:p w14:paraId="1759E468">
            <w:pPr>
              <w:rPr>
                <w:rFonts w:ascii="Times New Roman" w:hAnsi="Times New Roman" w:cs="Times New Roman" w:eastAsiaTheme="majorEastAsia"/>
                <w:bCs/>
                <w:szCs w:val="21"/>
              </w:rPr>
            </w:pPr>
          </w:p>
        </w:tc>
      </w:tr>
      <w:tr w14:paraId="3F7B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9" w:type="pct"/>
            <w:vAlign w:val="center"/>
          </w:tcPr>
          <w:p w14:paraId="6027DDF0">
            <w:pPr>
              <w:jc w:val="center"/>
              <w:rPr>
                <w:bCs/>
                <w:szCs w:val="21"/>
              </w:rPr>
            </w:pPr>
            <w:r>
              <w:rPr>
                <w:rFonts w:hint="eastAsia"/>
                <w:bCs/>
                <w:szCs w:val="21"/>
              </w:rPr>
              <w:t>2</w:t>
            </w:r>
          </w:p>
        </w:tc>
        <w:tc>
          <w:tcPr>
            <w:tcW w:w="268" w:type="pct"/>
          </w:tcPr>
          <w:p w14:paraId="193B9CCC">
            <w:pPr>
              <w:rPr>
                <w:szCs w:val="21"/>
              </w:rPr>
            </w:pPr>
            <w:r>
              <w:rPr>
                <w:rFonts w:hint="eastAsia"/>
                <w:szCs w:val="21"/>
              </w:rPr>
              <w:t>关于免费保修期</w:t>
            </w:r>
          </w:p>
        </w:tc>
        <w:tc>
          <w:tcPr>
            <w:tcW w:w="1024" w:type="pct"/>
          </w:tcPr>
          <w:p w14:paraId="66CFBDCA">
            <w:pPr>
              <w:rPr>
                <w:b/>
                <w:szCs w:val="21"/>
              </w:rPr>
            </w:pPr>
            <w:r>
              <w:rPr>
                <w:rFonts w:hint="eastAsia"/>
                <w:bCs/>
                <w:szCs w:val="21"/>
              </w:rPr>
              <w:t>★货物免费保修期</w:t>
            </w:r>
            <w:r>
              <w:rPr>
                <w:rFonts w:hint="eastAsia"/>
                <w:bCs/>
                <w:szCs w:val="21"/>
                <w:u w:val="single"/>
              </w:rPr>
              <w:t xml:space="preserve">  </w:t>
            </w:r>
            <w:r>
              <w:rPr>
                <w:bCs/>
                <w:szCs w:val="21"/>
                <w:u w:val="single"/>
              </w:rPr>
              <w:t>1</w:t>
            </w:r>
            <w:r>
              <w:rPr>
                <w:rFonts w:hint="eastAsia"/>
                <w:bCs/>
                <w:szCs w:val="21"/>
                <w:u w:val="single"/>
              </w:rPr>
              <w:t xml:space="preserve">  </w:t>
            </w:r>
            <w:r>
              <w:rPr>
                <w:rFonts w:hint="eastAsia"/>
                <w:bCs/>
                <w:szCs w:val="21"/>
              </w:rPr>
              <w:t>年，时间自最终验收合格并交付使用之日起计算。</w:t>
            </w:r>
          </w:p>
        </w:tc>
        <w:tc>
          <w:tcPr>
            <w:tcW w:w="1051" w:type="pct"/>
          </w:tcPr>
          <w:p w14:paraId="419F697B">
            <w:pPr>
              <w:rPr>
                <w:rFonts w:hint="eastAsia"/>
                <w:bCs/>
                <w:szCs w:val="21"/>
              </w:rPr>
            </w:pPr>
          </w:p>
        </w:tc>
        <w:tc>
          <w:tcPr>
            <w:tcW w:w="1051" w:type="pct"/>
          </w:tcPr>
          <w:p w14:paraId="598867F2">
            <w:pPr>
              <w:rPr>
                <w:rFonts w:hint="eastAsia"/>
                <w:bCs/>
                <w:szCs w:val="21"/>
              </w:rPr>
            </w:pPr>
          </w:p>
        </w:tc>
        <w:tc>
          <w:tcPr>
            <w:tcW w:w="1055" w:type="pct"/>
          </w:tcPr>
          <w:p w14:paraId="5C0165E5">
            <w:pPr>
              <w:rPr>
                <w:rFonts w:hint="eastAsia"/>
                <w:bCs/>
                <w:szCs w:val="21"/>
              </w:rPr>
            </w:pPr>
          </w:p>
        </w:tc>
      </w:tr>
      <w:tr w14:paraId="736E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9" w:type="pct"/>
            <w:vAlign w:val="center"/>
          </w:tcPr>
          <w:p w14:paraId="1349DD41">
            <w:pPr>
              <w:jc w:val="center"/>
              <w:rPr>
                <w:bCs/>
                <w:szCs w:val="21"/>
              </w:rPr>
            </w:pPr>
            <w:r>
              <w:rPr>
                <w:rFonts w:hint="eastAsia"/>
                <w:bCs/>
              </w:rPr>
              <w:t>3</w:t>
            </w:r>
          </w:p>
        </w:tc>
        <w:tc>
          <w:tcPr>
            <w:tcW w:w="268" w:type="pct"/>
            <w:vAlign w:val="center"/>
          </w:tcPr>
          <w:p w14:paraId="6355F99F">
            <w:pPr>
              <w:rPr>
                <w:szCs w:val="21"/>
              </w:rPr>
            </w:pPr>
            <w:r>
              <w:rPr>
                <w:rFonts w:hint="eastAsia" w:ascii="宋体" w:hAnsi="宋体" w:eastAsia="宋体" w:cs="宋体"/>
                <w:szCs w:val="24"/>
              </w:rPr>
              <w:t>关于软件升级</w:t>
            </w:r>
          </w:p>
        </w:tc>
        <w:tc>
          <w:tcPr>
            <w:tcW w:w="1024" w:type="pct"/>
          </w:tcPr>
          <w:p w14:paraId="58729177">
            <w:pPr>
              <w:rPr>
                <w:bCs/>
                <w:szCs w:val="21"/>
              </w:rPr>
            </w:pPr>
            <w:r>
              <w:rPr>
                <w:rFonts w:hint="eastAsia" w:ascii="宋体" w:hAnsi="宋体" w:eastAsia="宋体" w:cs="宋体"/>
                <w:szCs w:val="24"/>
              </w:rPr>
              <w:t>中标人对设备控制软件提供5年免费升级服务，时间自最终验收合格并交付使用之日起计算。</w:t>
            </w:r>
          </w:p>
        </w:tc>
        <w:tc>
          <w:tcPr>
            <w:tcW w:w="1051" w:type="pct"/>
          </w:tcPr>
          <w:p w14:paraId="2DA01F36">
            <w:pPr>
              <w:rPr>
                <w:rFonts w:hint="eastAsia" w:ascii="宋体" w:hAnsi="宋体" w:eastAsia="宋体" w:cs="宋体"/>
                <w:szCs w:val="24"/>
              </w:rPr>
            </w:pPr>
          </w:p>
        </w:tc>
        <w:tc>
          <w:tcPr>
            <w:tcW w:w="1051" w:type="pct"/>
          </w:tcPr>
          <w:p w14:paraId="3208CEE4">
            <w:pPr>
              <w:rPr>
                <w:rFonts w:hint="eastAsia" w:ascii="宋体" w:hAnsi="宋体" w:eastAsia="宋体" w:cs="宋体"/>
                <w:szCs w:val="24"/>
              </w:rPr>
            </w:pPr>
          </w:p>
        </w:tc>
        <w:tc>
          <w:tcPr>
            <w:tcW w:w="1055" w:type="pct"/>
          </w:tcPr>
          <w:p w14:paraId="04157486">
            <w:pPr>
              <w:rPr>
                <w:rFonts w:hint="eastAsia" w:ascii="宋体" w:hAnsi="宋体" w:eastAsia="宋体" w:cs="宋体"/>
                <w:szCs w:val="24"/>
              </w:rPr>
            </w:pPr>
          </w:p>
        </w:tc>
      </w:tr>
      <w:tr w14:paraId="3E29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49" w:type="pct"/>
            <w:vAlign w:val="center"/>
          </w:tcPr>
          <w:p w14:paraId="4184C29B">
            <w:pPr>
              <w:jc w:val="center"/>
              <w:rPr>
                <w:bCs/>
              </w:rPr>
            </w:pPr>
            <w:r>
              <w:rPr>
                <w:bCs/>
              </w:rPr>
              <w:t>4</w:t>
            </w:r>
          </w:p>
        </w:tc>
        <w:tc>
          <w:tcPr>
            <w:tcW w:w="268" w:type="pct"/>
            <w:vAlign w:val="center"/>
          </w:tcPr>
          <w:p w14:paraId="2464E92D">
            <w:r>
              <w:rPr>
                <w:rFonts w:ascii="宋体" w:hAnsi="宋体"/>
              </w:rPr>
              <w:t>培训</w:t>
            </w:r>
            <w:r>
              <w:rPr>
                <w:rFonts w:hint="eastAsia" w:ascii="宋体" w:hAnsi="宋体"/>
              </w:rPr>
              <w:t>服务</w:t>
            </w:r>
            <w:r>
              <w:rPr>
                <w:rFonts w:ascii="宋体" w:hAnsi="宋体"/>
              </w:rPr>
              <w:t>要求</w:t>
            </w:r>
          </w:p>
        </w:tc>
        <w:tc>
          <w:tcPr>
            <w:tcW w:w="1024" w:type="pct"/>
            <w:vAlign w:val="center"/>
          </w:tcPr>
          <w:p w14:paraId="364DBAC8">
            <w:pPr>
              <w:rPr>
                <w:bCs/>
                <w:szCs w:val="21"/>
              </w:rPr>
            </w:pPr>
            <w:r>
              <w:rPr>
                <w:rFonts w:hint="eastAsia" w:ascii="宋体" w:hAnsi="宋体" w:eastAsia="宋体" w:cs="宋体"/>
                <w:szCs w:val="24"/>
              </w:rPr>
              <w:t>在仪器安装完成后，由仪器供应商派专业工程师对使用人员免费进行技术培训。包括仪器基本原理和结构介绍、仪器操作方法、仪器基本保养维护程序等内容。培训应包含基本培训和高级应用培训。根据用户实际需求，双方协商时间，参加培训的人员至少</w:t>
            </w:r>
            <w:r>
              <w:rPr>
                <w:rFonts w:hint="eastAsia" w:ascii="宋体" w:hAnsi="宋体" w:eastAsia="宋体" w:cs="宋体"/>
                <w:szCs w:val="24"/>
                <w:u w:val="single"/>
              </w:rPr>
              <w:t xml:space="preserve"> 5</w:t>
            </w:r>
            <w:r>
              <w:rPr>
                <w:rFonts w:ascii="宋体" w:hAnsi="宋体" w:eastAsia="宋体" w:cs="宋体"/>
                <w:szCs w:val="24"/>
                <w:u w:val="single"/>
              </w:rPr>
              <w:t xml:space="preserve"> </w:t>
            </w:r>
            <w:r>
              <w:rPr>
                <w:rFonts w:hint="eastAsia" w:ascii="宋体" w:hAnsi="宋体" w:eastAsia="宋体" w:cs="宋体"/>
                <w:szCs w:val="24"/>
              </w:rPr>
              <w:t>人次。</w:t>
            </w:r>
          </w:p>
        </w:tc>
        <w:tc>
          <w:tcPr>
            <w:tcW w:w="1051" w:type="pct"/>
            <w:vAlign w:val="center"/>
          </w:tcPr>
          <w:p w14:paraId="5F8B9017">
            <w:pPr>
              <w:rPr>
                <w:rFonts w:hint="eastAsia" w:ascii="宋体" w:hAnsi="宋体" w:eastAsia="宋体" w:cs="宋体"/>
                <w:szCs w:val="24"/>
              </w:rPr>
            </w:pPr>
          </w:p>
        </w:tc>
        <w:tc>
          <w:tcPr>
            <w:tcW w:w="1051" w:type="pct"/>
            <w:vAlign w:val="center"/>
          </w:tcPr>
          <w:p w14:paraId="0F8CD2A8">
            <w:pPr>
              <w:rPr>
                <w:rFonts w:hint="eastAsia" w:ascii="宋体" w:hAnsi="宋体" w:eastAsia="宋体" w:cs="宋体"/>
                <w:szCs w:val="24"/>
              </w:rPr>
            </w:pPr>
          </w:p>
        </w:tc>
        <w:tc>
          <w:tcPr>
            <w:tcW w:w="1055" w:type="pct"/>
            <w:vAlign w:val="center"/>
          </w:tcPr>
          <w:p w14:paraId="45708318">
            <w:pPr>
              <w:rPr>
                <w:rFonts w:hint="eastAsia" w:ascii="宋体" w:hAnsi="宋体" w:eastAsia="宋体" w:cs="宋体"/>
                <w:szCs w:val="24"/>
              </w:rPr>
            </w:pPr>
          </w:p>
        </w:tc>
      </w:tr>
      <w:tr w14:paraId="2EF1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49" w:type="pct"/>
            <w:vAlign w:val="center"/>
          </w:tcPr>
          <w:p w14:paraId="0A553198">
            <w:pPr>
              <w:jc w:val="center"/>
              <w:rPr>
                <w:bCs/>
              </w:rPr>
            </w:pPr>
            <w:r>
              <w:rPr>
                <w:rFonts w:hint="eastAsia"/>
                <w:bCs/>
              </w:rPr>
              <w:t>5</w:t>
            </w:r>
          </w:p>
        </w:tc>
        <w:tc>
          <w:tcPr>
            <w:tcW w:w="268" w:type="pct"/>
            <w:vAlign w:val="center"/>
          </w:tcPr>
          <w:p w14:paraId="675F9CAC">
            <w:pPr>
              <w:rPr>
                <w:rFonts w:ascii="宋体" w:hAnsi="宋体"/>
              </w:rPr>
            </w:pPr>
            <w:r>
              <w:rPr>
                <w:rFonts w:hint="eastAsia" w:ascii="宋体" w:hAnsi="宋体"/>
              </w:rPr>
              <w:t>海上作业服务</w:t>
            </w:r>
          </w:p>
        </w:tc>
        <w:tc>
          <w:tcPr>
            <w:tcW w:w="1024" w:type="pct"/>
            <w:vAlign w:val="center"/>
          </w:tcPr>
          <w:p w14:paraId="432969E1">
            <w:pPr>
              <w:rPr>
                <w:rFonts w:ascii="宋体" w:hAnsi="宋体" w:eastAsia="宋体" w:cs="宋体"/>
                <w:szCs w:val="24"/>
              </w:rPr>
            </w:pPr>
            <w:r>
              <w:rPr>
                <w:rFonts w:hint="eastAsia"/>
                <w:bCs/>
                <w:szCs w:val="21"/>
              </w:rPr>
              <w:t>★</w:t>
            </w:r>
            <w:r>
              <w:rPr>
                <w:rFonts w:hint="eastAsia" w:ascii="宋体" w:hAnsi="宋体" w:eastAsia="宋体" w:cs="宋体"/>
                <w:szCs w:val="24"/>
              </w:rPr>
              <w:t>在售后保修期内，投标人至少安排一个班组（3人）跟踪海上作业一个航次（30天），确保使用人员完全掌握整套ROV系统的使用。</w:t>
            </w:r>
          </w:p>
        </w:tc>
        <w:tc>
          <w:tcPr>
            <w:tcW w:w="1051" w:type="pct"/>
            <w:vAlign w:val="center"/>
          </w:tcPr>
          <w:p w14:paraId="29627710">
            <w:pPr>
              <w:rPr>
                <w:rFonts w:hint="eastAsia"/>
                <w:bCs/>
                <w:szCs w:val="21"/>
              </w:rPr>
            </w:pPr>
          </w:p>
        </w:tc>
        <w:tc>
          <w:tcPr>
            <w:tcW w:w="1051" w:type="pct"/>
            <w:vAlign w:val="center"/>
          </w:tcPr>
          <w:p w14:paraId="53CB2309">
            <w:pPr>
              <w:rPr>
                <w:rFonts w:hint="eastAsia"/>
                <w:bCs/>
                <w:szCs w:val="21"/>
              </w:rPr>
            </w:pPr>
          </w:p>
        </w:tc>
        <w:tc>
          <w:tcPr>
            <w:tcW w:w="1055" w:type="pct"/>
            <w:vAlign w:val="center"/>
          </w:tcPr>
          <w:p w14:paraId="767FB4E2">
            <w:pPr>
              <w:rPr>
                <w:rFonts w:hint="eastAsia"/>
                <w:bCs/>
                <w:szCs w:val="21"/>
              </w:rPr>
            </w:pPr>
          </w:p>
        </w:tc>
      </w:tr>
      <w:tr w14:paraId="378A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49" w:type="pct"/>
            <w:vAlign w:val="center"/>
          </w:tcPr>
          <w:p w14:paraId="5A3A5B24">
            <w:pPr>
              <w:jc w:val="center"/>
              <w:rPr>
                <w:bCs/>
              </w:rPr>
            </w:pPr>
            <w:r>
              <w:rPr>
                <w:rFonts w:hint="eastAsia"/>
                <w:bCs/>
              </w:rPr>
              <w:t>6</w:t>
            </w:r>
          </w:p>
        </w:tc>
        <w:tc>
          <w:tcPr>
            <w:tcW w:w="268" w:type="pct"/>
            <w:vAlign w:val="center"/>
          </w:tcPr>
          <w:p w14:paraId="7318B988">
            <w:pPr>
              <w:rPr>
                <w:b/>
              </w:rPr>
            </w:pPr>
            <w:r>
              <w:rPr>
                <w:rFonts w:ascii="宋体" w:hAnsi="宋体"/>
              </w:rPr>
              <w:t>其他</w:t>
            </w:r>
          </w:p>
        </w:tc>
        <w:tc>
          <w:tcPr>
            <w:tcW w:w="1024" w:type="pct"/>
            <w:vAlign w:val="center"/>
          </w:tcPr>
          <w:p w14:paraId="0E1FF8EE">
            <w:pPr>
              <w:rPr>
                <w:b/>
              </w:rPr>
            </w:pPr>
            <w:r>
              <w:rPr>
                <w:rFonts w:ascii="宋体" w:hAnsi="宋体"/>
              </w:rPr>
              <w:t>投标人应按其投标文件中的承诺，进行其他售后服务工作。</w:t>
            </w:r>
          </w:p>
        </w:tc>
        <w:tc>
          <w:tcPr>
            <w:tcW w:w="1051" w:type="pct"/>
            <w:vAlign w:val="center"/>
          </w:tcPr>
          <w:p w14:paraId="3682962E">
            <w:pPr>
              <w:rPr>
                <w:rFonts w:ascii="宋体" w:hAnsi="宋体"/>
              </w:rPr>
            </w:pPr>
          </w:p>
        </w:tc>
        <w:tc>
          <w:tcPr>
            <w:tcW w:w="1051" w:type="pct"/>
            <w:vAlign w:val="center"/>
          </w:tcPr>
          <w:p w14:paraId="17D16174">
            <w:pPr>
              <w:rPr>
                <w:rFonts w:ascii="宋体" w:hAnsi="宋体"/>
              </w:rPr>
            </w:pPr>
          </w:p>
        </w:tc>
        <w:tc>
          <w:tcPr>
            <w:tcW w:w="1055" w:type="pct"/>
            <w:vAlign w:val="center"/>
          </w:tcPr>
          <w:p w14:paraId="1E5EDB0B">
            <w:pPr>
              <w:rPr>
                <w:rFonts w:ascii="宋体" w:hAnsi="宋体"/>
              </w:rPr>
            </w:pPr>
          </w:p>
        </w:tc>
      </w:tr>
      <w:tr w14:paraId="6857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6"/>
          </w:tcPr>
          <w:p w14:paraId="19DB2954">
            <w:pPr>
              <w:rPr>
                <w:rFonts w:hint="eastAsia"/>
                <w:b/>
              </w:rPr>
            </w:pPr>
            <w:r>
              <w:rPr>
                <w:rFonts w:hint="eastAsia"/>
                <w:b/>
              </w:rPr>
              <w:t>（二）免费保修期外售后服务要求</w:t>
            </w:r>
          </w:p>
        </w:tc>
      </w:tr>
      <w:tr w14:paraId="7C45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026D2629">
            <w:pPr>
              <w:jc w:val="center"/>
              <w:rPr>
                <w:bCs/>
              </w:rPr>
            </w:pPr>
            <w:r>
              <w:rPr>
                <w:rFonts w:ascii="Times New Roman" w:hAnsi="Times New Roman"/>
              </w:rPr>
              <w:t>1</w:t>
            </w:r>
          </w:p>
        </w:tc>
        <w:tc>
          <w:tcPr>
            <w:tcW w:w="268" w:type="pct"/>
            <w:vAlign w:val="center"/>
          </w:tcPr>
          <w:p w14:paraId="4C85F3F7">
            <w:pPr>
              <w:rPr>
                <w:b/>
              </w:rPr>
            </w:pPr>
            <w:r>
              <w:rPr>
                <w:rFonts w:ascii="宋体" w:hAnsi="宋体"/>
              </w:rPr>
              <w:t>免费保修期外的</w:t>
            </w:r>
            <w:r>
              <w:rPr>
                <w:rFonts w:hint="eastAsia" w:ascii="宋体" w:hAnsi="宋体"/>
                <w:szCs w:val="21"/>
              </w:rPr>
              <w:t>售后维保方案</w:t>
            </w:r>
          </w:p>
        </w:tc>
        <w:tc>
          <w:tcPr>
            <w:tcW w:w="1024" w:type="pct"/>
            <w:vAlign w:val="center"/>
          </w:tcPr>
          <w:p w14:paraId="471EB4B7">
            <w:pPr>
              <w:pStyle w:val="7"/>
              <w:rPr>
                <w:b/>
              </w:rPr>
            </w:pPr>
            <w:r>
              <w:rPr>
                <w:rFonts w:ascii="宋体" w:hAnsi="宋体"/>
              </w:rPr>
              <w:t>投标人</w:t>
            </w:r>
            <w:r>
              <w:rPr>
                <w:rFonts w:hint="eastAsia" w:ascii="宋体" w:hAnsi="宋体"/>
              </w:rPr>
              <w:t>提供</w:t>
            </w:r>
            <w:r>
              <w:rPr>
                <w:rFonts w:hint="eastAsia" w:ascii="宋体" w:hAnsi="宋体"/>
                <w:szCs w:val="21"/>
              </w:rPr>
              <w:t>售后维保方案，</w:t>
            </w:r>
            <w:r>
              <w:rPr>
                <w:rFonts w:ascii="宋体" w:hAnsi="宋体"/>
              </w:rPr>
              <w:t>保证免费保修期外继续为用户提供相应的售后服务</w:t>
            </w:r>
            <w:r>
              <w:rPr>
                <w:rFonts w:hint="eastAsia" w:ascii="宋体" w:hAnsi="宋体"/>
              </w:rPr>
              <w:t>，</w:t>
            </w:r>
            <w:r>
              <w:rPr>
                <w:rFonts w:ascii="Times New Roman" w:hAnsi="Times New Roman" w:cs="Times New Roman" w:eastAsiaTheme="majorEastAsia"/>
                <w:szCs w:val="21"/>
              </w:rPr>
              <w:t>协助排除故障、修复或更换零部件</w:t>
            </w:r>
            <w:r>
              <w:rPr>
                <w:rFonts w:hint="eastAsia" w:ascii="Times New Roman" w:hAnsi="Times New Roman" w:cs="Times New Roman" w:eastAsiaTheme="majorEastAsia"/>
                <w:szCs w:val="21"/>
              </w:rPr>
              <w:t>等</w:t>
            </w:r>
            <w:r>
              <w:rPr>
                <w:rFonts w:ascii="Times New Roman" w:hAnsi="Times New Roman" w:cs="Times New Roman" w:eastAsiaTheme="majorEastAsia"/>
                <w:szCs w:val="21"/>
              </w:rPr>
              <w:t>。</w:t>
            </w:r>
          </w:p>
        </w:tc>
        <w:tc>
          <w:tcPr>
            <w:tcW w:w="1051" w:type="pct"/>
            <w:vAlign w:val="center"/>
          </w:tcPr>
          <w:p w14:paraId="3AE32921">
            <w:pPr>
              <w:pStyle w:val="7"/>
              <w:rPr>
                <w:rFonts w:ascii="宋体" w:hAnsi="宋体"/>
              </w:rPr>
            </w:pPr>
          </w:p>
        </w:tc>
        <w:tc>
          <w:tcPr>
            <w:tcW w:w="1051" w:type="pct"/>
            <w:vAlign w:val="center"/>
          </w:tcPr>
          <w:p w14:paraId="7C6B5B3C">
            <w:pPr>
              <w:pStyle w:val="7"/>
              <w:rPr>
                <w:rFonts w:ascii="宋体" w:hAnsi="宋体"/>
              </w:rPr>
            </w:pPr>
          </w:p>
        </w:tc>
        <w:tc>
          <w:tcPr>
            <w:tcW w:w="1055" w:type="pct"/>
            <w:vAlign w:val="center"/>
          </w:tcPr>
          <w:p w14:paraId="5E5290D1">
            <w:pPr>
              <w:pStyle w:val="7"/>
              <w:rPr>
                <w:rFonts w:ascii="宋体" w:hAnsi="宋体"/>
              </w:rPr>
            </w:pPr>
          </w:p>
        </w:tc>
      </w:tr>
      <w:tr w14:paraId="720A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1DDA534A">
            <w:pPr>
              <w:jc w:val="center"/>
              <w:rPr>
                <w:bCs/>
              </w:rPr>
            </w:pPr>
            <w:r>
              <w:rPr>
                <w:rFonts w:ascii="Times New Roman" w:hAnsi="Times New Roman"/>
              </w:rPr>
              <w:t>2</w:t>
            </w:r>
          </w:p>
        </w:tc>
        <w:tc>
          <w:tcPr>
            <w:tcW w:w="268" w:type="pct"/>
            <w:vAlign w:val="center"/>
          </w:tcPr>
          <w:p w14:paraId="7CD3D8E1">
            <w:pPr>
              <w:rPr>
                <w:b/>
              </w:rPr>
            </w:pPr>
            <w:r>
              <w:rPr>
                <w:rFonts w:ascii="宋体" w:hAnsi="宋体"/>
              </w:rPr>
              <w:t>维修响应及故障解决时间</w:t>
            </w:r>
          </w:p>
        </w:tc>
        <w:tc>
          <w:tcPr>
            <w:tcW w:w="1024" w:type="pct"/>
            <w:vAlign w:val="center"/>
          </w:tcPr>
          <w:p w14:paraId="28983926">
            <w:pPr>
              <w:rPr>
                <w:b/>
              </w:rPr>
            </w:pPr>
            <w:r>
              <w:rPr>
                <w:rFonts w:hint="eastAsia" w:ascii="宋体" w:hAnsi="宋体" w:eastAsia="宋体" w:cs="宋体"/>
                <w:szCs w:val="24"/>
              </w:rPr>
              <w:t>在免费保修期外，一旦发生质量问题，在</w:t>
            </w:r>
            <w:r>
              <w:rPr>
                <w:rFonts w:hint="eastAsia" w:ascii="宋体" w:hAnsi="宋体" w:eastAsia="宋体" w:cs="宋体"/>
                <w:szCs w:val="24"/>
                <w:u w:val="single"/>
              </w:rPr>
              <w:t>24</w:t>
            </w:r>
            <w:r>
              <w:rPr>
                <w:rFonts w:hint="eastAsia" w:ascii="宋体" w:hAnsi="宋体" w:eastAsia="宋体" w:cs="宋体"/>
                <w:szCs w:val="24"/>
              </w:rPr>
              <w:t>小时内对用户的服务要求作出响应，重大问题或其他无法迅速解决的问题，应在</w:t>
            </w:r>
            <w:r>
              <w:rPr>
                <w:rFonts w:hint="eastAsia" w:ascii="宋体" w:hAnsi="宋体" w:eastAsia="宋体" w:cs="宋体"/>
                <w:szCs w:val="24"/>
                <w:u w:val="single"/>
              </w:rPr>
              <w:t>5</w:t>
            </w:r>
            <w:r>
              <w:rPr>
                <w:rFonts w:hint="eastAsia" w:ascii="宋体" w:hAnsi="宋体" w:eastAsia="宋体" w:cs="宋体"/>
                <w:szCs w:val="24"/>
              </w:rPr>
              <w:t>个工作日内解决或提出明确的解决方案。</w:t>
            </w:r>
          </w:p>
        </w:tc>
        <w:tc>
          <w:tcPr>
            <w:tcW w:w="1051" w:type="pct"/>
            <w:vAlign w:val="center"/>
          </w:tcPr>
          <w:p w14:paraId="710946D0">
            <w:pPr>
              <w:rPr>
                <w:rFonts w:hint="eastAsia" w:ascii="宋体" w:hAnsi="宋体" w:eastAsia="宋体" w:cs="宋体"/>
                <w:szCs w:val="24"/>
              </w:rPr>
            </w:pPr>
          </w:p>
        </w:tc>
        <w:tc>
          <w:tcPr>
            <w:tcW w:w="1051" w:type="pct"/>
            <w:vAlign w:val="center"/>
          </w:tcPr>
          <w:p w14:paraId="4C9ABABB">
            <w:pPr>
              <w:rPr>
                <w:rFonts w:hint="eastAsia" w:ascii="宋体" w:hAnsi="宋体" w:eastAsia="宋体" w:cs="宋体"/>
                <w:szCs w:val="24"/>
              </w:rPr>
            </w:pPr>
          </w:p>
        </w:tc>
        <w:tc>
          <w:tcPr>
            <w:tcW w:w="1055" w:type="pct"/>
            <w:vAlign w:val="center"/>
          </w:tcPr>
          <w:p w14:paraId="6AF9A1FE">
            <w:pPr>
              <w:rPr>
                <w:rFonts w:hint="eastAsia" w:ascii="宋体" w:hAnsi="宋体" w:eastAsia="宋体" w:cs="宋体"/>
                <w:szCs w:val="24"/>
              </w:rPr>
            </w:pPr>
          </w:p>
        </w:tc>
      </w:tr>
      <w:tr w14:paraId="3DEF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5F870692">
            <w:pPr>
              <w:jc w:val="center"/>
              <w:rPr>
                <w:bCs/>
              </w:rPr>
            </w:pPr>
            <w:r>
              <w:rPr>
                <w:rFonts w:ascii="Times New Roman" w:hAnsi="Times New Roman"/>
              </w:rPr>
              <w:t>3</w:t>
            </w:r>
          </w:p>
        </w:tc>
        <w:tc>
          <w:tcPr>
            <w:tcW w:w="268" w:type="pct"/>
          </w:tcPr>
          <w:p w14:paraId="0B9B3487">
            <w:pPr>
              <w:rPr>
                <w:b/>
              </w:rPr>
            </w:pPr>
            <w:r>
              <w:rPr>
                <w:rFonts w:ascii="宋体" w:hAnsi="宋体"/>
              </w:rPr>
              <w:t>售后配件和人工费用</w:t>
            </w:r>
          </w:p>
        </w:tc>
        <w:tc>
          <w:tcPr>
            <w:tcW w:w="1024" w:type="pct"/>
          </w:tcPr>
          <w:p w14:paraId="3C2ECFC5">
            <w:pPr>
              <w:rPr>
                <w:b/>
              </w:rPr>
            </w:pPr>
            <w:r>
              <w:rPr>
                <w:rFonts w:ascii="宋体" w:hAnsi="宋体"/>
              </w:rPr>
              <w:t>在免费保修期外每次维修前，投标人需按成本价为售后配件和人工服务进行报价，用户购买完成后需尽快开具费用发票。</w:t>
            </w:r>
          </w:p>
        </w:tc>
        <w:tc>
          <w:tcPr>
            <w:tcW w:w="1051" w:type="pct"/>
          </w:tcPr>
          <w:p w14:paraId="1DDC2DD4">
            <w:pPr>
              <w:rPr>
                <w:rFonts w:ascii="宋体" w:hAnsi="宋体"/>
              </w:rPr>
            </w:pPr>
          </w:p>
        </w:tc>
        <w:tc>
          <w:tcPr>
            <w:tcW w:w="1051" w:type="pct"/>
          </w:tcPr>
          <w:p w14:paraId="590CA335">
            <w:pPr>
              <w:rPr>
                <w:rFonts w:ascii="宋体" w:hAnsi="宋体"/>
              </w:rPr>
            </w:pPr>
          </w:p>
        </w:tc>
        <w:tc>
          <w:tcPr>
            <w:tcW w:w="1055" w:type="pct"/>
          </w:tcPr>
          <w:p w14:paraId="294E115F">
            <w:pPr>
              <w:rPr>
                <w:rFonts w:ascii="宋体" w:hAnsi="宋体"/>
              </w:rPr>
            </w:pPr>
          </w:p>
        </w:tc>
      </w:tr>
      <w:tr w14:paraId="10AB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6"/>
          </w:tcPr>
          <w:p w14:paraId="69AC08BC">
            <w:pPr>
              <w:rPr>
                <w:rFonts w:hint="eastAsia"/>
                <w:b/>
              </w:rPr>
            </w:pPr>
            <w:r>
              <w:rPr>
                <w:rFonts w:hint="eastAsia"/>
                <w:b/>
              </w:rPr>
              <w:t>（三）其他商务要求</w:t>
            </w:r>
          </w:p>
        </w:tc>
      </w:tr>
      <w:tr w14:paraId="26DE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49" w:type="pct"/>
            <w:vMerge w:val="restart"/>
            <w:vAlign w:val="center"/>
          </w:tcPr>
          <w:p w14:paraId="5F112BF9">
            <w:pPr>
              <w:jc w:val="center"/>
              <w:rPr>
                <w:bCs/>
              </w:rPr>
            </w:pPr>
            <w:r>
              <w:rPr>
                <w:rFonts w:hint="eastAsia"/>
                <w:bCs/>
              </w:rPr>
              <w:t>1</w:t>
            </w:r>
          </w:p>
        </w:tc>
        <w:tc>
          <w:tcPr>
            <w:tcW w:w="268" w:type="pct"/>
            <w:vMerge w:val="restart"/>
            <w:vAlign w:val="center"/>
          </w:tcPr>
          <w:p w14:paraId="1005B71E">
            <w:r>
              <w:rPr>
                <w:rFonts w:hint="eastAsia"/>
                <w:bCs/>
                <w:color w:val="000000" w:themeColor="text1"/>
                <w:szCs w:val="21"/>
                <w14:textFill>
                  <w14:solidFill>
                    <w14:schemeClr w14:val="tx1"/>
                  </w14:solidFill>
                </w14:textFill>
              </w:rPr>
              <w:t>★</w:t>
            </w:r>
            <w:r>
              <w:rPr>
                <w:rFonts w:hint="eastAsia"/>
              </w:rPr>
              <w:t>关于交货</w:t>
            </w:r>
          </w:p>
        </w:tc>
        <w:tc>
          <w:tcPr>
            <w:tcW w:w="1024" w:type="pct"/>
          </w:tcPr>
          <w:p w14:paraId="10A90EA0">
            <w:pPr>
              <w:rPr>
                <w:bCs/>
                <w:szCs w:val="21"/>
              </w:rPr>
            </w:pPr>
            <w:r>
              <w:rPr>
                <w:rFonts w:ascii="Times New Roman" w:hAnsi="Times New Roman"/>
              </w:rPr>
              <w:t>1.1</w:t>
            </w:r>
            <w:r>
              <w:rPr>
                <w:rFonts w:ascii="宋体" w:hAnsi="宋体"/>
              </w:rPr>
              <w:t>交货地点：</w:t>
            </w:r>
            <w:r>
              <w:rPr>
                <w:rFonts w:ascii="Times New Roman" w:hAnsi="Times New Roman" w:cs="Times New Roman" w:eastAsiaTheme="majorEastAsia"/>
                <w:bCs/>
                <w:szCs w:val="21"/>
              </w:rPr>
              <w:t>深圳市内采购人指定地点</w:t>
            </w:r>
            <w:r>
              <w:rPr>
                <w:rFonts w:hint="eastAsia" w:ascii="Times New Roman" w:hAnsi="Times New Roman" w:cs="Times New Roman" w:eastAsiaTheme="majorEastAsia"/>
                <w:bCs/>
                <w:szCs w:val="21"/>
              </w:rPr>
              <w:t>。</w:t>
            </w:r>
          </w:p>
        </w:tc>
        <w:tc>
          <w:tcPr>
            <w:tcW w:w="1051" w:type="pct"/>
          </w:tcPr>
          <w:p w14:paraId="6EB5180B">
            <w:pPr>
              <w:rPr>
                <w:rFonts w:ascii="Times New Roman" w:hAnsi="Times New Roman"/>
              </w:rPr>
            </w:pPr>
          </w:p>
        </w:tc>
        <w:tc>
          <w:tcPr>
            <w:tcW w:w="1051" w:type="pct"/>
          </w:tcPr>
          <w:p w14:paraId="10D8A47F">
            <w:pPr>
              <w:rPr>
                <w:rFonts w:ascii="Times New Roman" w:hAnsi="Times New Roman"/>
              </w:rPr>
            </w:pPr>
          </w:p>
        </w:tc>
        <w:tc>
          <w:tcPr>
            <w:tcW w:w="1055" w:type="pct"/>
          </w:tcPr>
          <w:p w14:paraId="2FEC8834">
            <w:pPr>
              <w:rPr>
                <w:rFonts w:ascii="Times New Roman" w:hAnsi="Times New Roman"/>
              </w:rPr>
            </w:pPr>
          </w:p>
        </w:tc>
      </w:tr>
      <w:tr w14:paraId="574A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49" w:type="pct"/>
            <w:vMerge w:val="continue"/>
            <w:vAlign w:val="center"/>
          </w:tcPr>
          <w:p w14:paraId="6ADA5A76">
            <w:pPr>
              <w:jc w:val="center"/>
              <w:rPr>
                <w:bCs/>
              </w:rPr>
            </w:pPr>
          </w:p>
        </w:tc>
        <w:tc>
          <w:tcPr>
            <w:tcW w:w="268" w:type="pct"/>
            <w:vMerge w:val="continue"/>
            <w:vAlign w:val="center"/>
          </w:tcPr>
          <w:p w14:paraId="28E84ADF">
            <w:pPr>
              <w:jc w:val="center"/>
            </w:pPr>
          </w:p>
        </w:tc>
        <w:tc>
          <w:tcPr>
            <w:tcW w:w="1024" w:type="pct"/>
          </w:tcPr>
          <w:p w14:paraId="7724CA8C">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1.2投标人必须承担的设备运输、安装调试、验收检测、</w:t>
            </w:r>
            <w:r>
              <w:rPr>
                <w:rFonts w:hint="eastAsia" w:ascii="Segoe UI Symbol" w:hAnsi="Segoe UI Symbol" w:cs="Segoe UI Symbol"/>
                <w:bCs/>
                <w:szCs w:val="21"/>
              </w:rPr>
              <w:t>专家评审费</w:t>
            </w:r>
            <w:r>
              <w:rPr>
                <w:rFonts w:hint="eastAsia"/>
                <w:bCs/>
                <w:color w:val="000000" w:themeColor="text1"/>
                <w:szCs w:val="21"/>
                <w14:textFill>
                  <w14:solidFill>
                    <w14:schemeClr w14:val="tx1"/>
                  </w14:solidFill>
                </w14:textFill>
              </w:rPr>
              <w:t>等一切费用并提供下述文件交付清单中的文件、图纸等以及其他类似的义务。并需要配合招标人完成土建工程相关需求，提交货物与土建工程的接口文件等材料；在土建工程实施之前，配合招标人办理环境影响评价等相关手续，并提交相关需求资料；在货物进场安装、调试的过程中，配合招标人办理辐射安全许可等相关手续，并提交相关需求资料。</w:t>
            </w:r>
          </w:p>
          <w:p w14:paraId="527A5443">
            <w:pPr>
              <w:pStyle w:val="17"/>
              <w:ind w:left="0" w:leftChars="0" w:firstLine="0" w:firstLineChars="0"/>
            </w:pPr>
            <w:r>
              <w:rPr>
                <w:rFonts w:hint="eastAsia"/>
                <w:color w:val="000000" w:themeColor="text1"/>
                <w14:textFill>
                  <w14:solidFill>
                    <w14:schemeClr w14:val="tx1"/>
                  </w14:solidFill>
                </w14:textFill>
              </w:rPr>
              <w:t>（1）文档交付清单：</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006"/>
            </w:tblGrid>
            <w:tr w14:paraId="56D8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49C49E34">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序号</w:t>
                  </w:r>
                </w:p>
              </w:tc>
              <w:tc>
                <w:tcPr>
                  <w:tcW w:w="4185" w:type="dxa"/>
                  <w:vAlign w:val="center"/>
                </w:tcPr>
                <w:p w14:paraId="796DD2CB">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文件资料名称</w:t>
                  </w:r>
                </w:p>
              </w:tc>
            </w:tr>
            <w:tr w14:paraId="0477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26E3F48C">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一</w:t>
                  </w:r>
                </w:p>
              </w:tc>
              <w:tc>
                <w:tcPr>
                  <w:tcW w:w="4185" w:type="dxa"/>
                  <w:vAlign w:val="center"/>
                </w:tcPr>
                <w:p w14:paraId="5C61C442">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合同签订后提交</w:t>
                  </w:r>
                  <w:r>
                    <w:rPr>
                      <w:rFonts w:hint="eastAsia" w:ascii="Times New Roman" w:hAnsi="Times New Roman" w:cs="Times New Roman"/>
                      <w:b/>
                      <w:bCs/>
                      <w:szCs w:val="21"/>
                      <w14:ligatures w14:val="standardContextual"/>
                    </w:rPr>
                    <w:t>（合同签订1</w:t>
                  </w:r>
                  <w:r>
                    <w:rPr>
                      <w:rFonts w:ascii="Times New Roman" w:hAnsi="Times New Roman" w:cs="Times New Roman"/>
                      <w:b/>
                      <w:bCs/>
                      <w:szCs w:val="21"/>
                      <w14:ligatures w14:val="standardContextual"/>
                    </w:rPr>
                    <w:t>0</w:t>
                  </w:r>
                  <w:r>
                    <w:rPr>
                      <w:rFonts w:hint="eastAsia" w:ascii="Times New Roman" w:hAnsi="Times New Roman" w:cs="Times New Roman"/>
                      <w:b/>
                      <w:bCs/>
                      <w:szCs w:val="21"/>
                      <w14:ligatures w14:val="standardContextual"/>
                    </w:rPr>
                    <w:t>日历日）</w:t>
                  </w:r>
                </w:p>
              </w:tc>
            </w:tr>
            <w:tr w14:paraId="420C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93E47E1">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1</w:t>
                  </w:r>
                </w:p>
              </w:tc>
              <w:tc>
                <w:tcPr>
                  <w:tcW w:w="4185" w:type="dxa"/>
                  <w:vAlign w:val="center"/>
                </w:tcPr>
                <w:p w14:paraId="2D76B8D4">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加工制造</w:t>
                  </w:r>
                  <w:r>
                    <w:rPr>
                      <w:rFonts w:ascii="Times New Roman" w:hAnsi="Times New Roman" w:cs="Times New Roman"/>
                      <w:szCs w:val="21"/>
                      <w14:ligatures w14:val="standardContextual"/>
                    </w:rPr>
                    <w:t>实施方案</w:t>
                  </w:r>
                </w:p>
              </w:tc>
            </w:tr>
            <w:tr w14:paraId="6D8C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73883F99">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二</w:t>
                  </w:r>
                </w:p>
              </w:tc>
              <w:tc>
                <w:tcPr>
                  <w:tcW w:w="4185" w:type="dxa"/>
                  <w:vAlign w:val="center"/>
                </w:tcPr>
                <w:p w14:paraId="56F080C1">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详细设计</w:t>
                  </w:r>
                  <w:r>
                    <w:rPr>
                      <w:rFonts w:hint="eastAsia" w:ascii="Times New Roman" w:hAnsi="Times New Roman" w:cs="Times New Roman"/>
                      <w:b/>
                      <w:bCs/>
                      <w:szCs w:val="21"/>
                      <w14:ligatures w14:val="standardContextual"/>
                    </w:rPr>
                    <w:t>输出文件</w:t>
                  </w:r>
                  <w:r>
                    <w:rPr>
                      <w:rFonts w:ascii="Times New Roman" w:hAnsi="Times New Roman" w:cs="Times New Roman"/>
                      <w:b/>
                      <w:bCs/>
                      <w:szCs w:val="21"/>
                      <w14:ligatures w14:val="standardContextual"/>
                    </w:rPr>
                    <w:t>提交</w:t>
                  </w:r>
                  <w:r>
                    <w:rPr>
                      <w:rFonts w:hint="eastAsia" w:ascii="Times New Roman" w:hAnsi="Times New Roman" w:cs="Times New Roman"/>
                      <w:b/>
                      <w:bCs/>
                      <w:szCs w:val="21"/>
                      <w14:ligatures w14:val="standardContextual"/>
                    </w:rPr>
                    <w:t>（合同签订</w:t>
                  </w:r>
                  <w:r>
                    <w:rPr>
                      <w:rFonts w:ascii="Times New Roman" w:hAnsi="Times New Roman" w:cs="Times New Roman"/>
                      <w:b/>
                      <w:bCs/>
                      <w:szCs w:val="21"/>
                      <w14:ligatures w14:val="standardContextual"/>
                    </w:rPr>
                    <w:t>30</w:t>
                  </w:r>
                  <w:r>
                    <w:rPr>
                      <w:rFonts w:hint="eastAsia" w:ascii="Times New Roman" w:hAnsi="Times New Roman" w:cs="Times New Roman"/>
                      <w:b/>
                      <w:bCs/>
                      <w:szCs w:val="21"/>
                      <w14:ligatures w14:val="standardContextual"/>
                    </w:rPr>
                    <w:t>日历日）</w:t>
                  </w:r>
                </w:p>
              </w:tc>
            </w:tr>
            <w:tr w14:paraId="1398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48C6F779">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2</w:t>
                  </w:r>
                </w:p>
              </w:tc>
              <w:tc>
                <w:tcPr>
                  <w:tcW w:w="4185" w:type="dxa"/>
                  <w:vAlign w:val="center"/>
                </w:tcPr>
                <w:p w14:paraId="56678AD2">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szCs w:val="21"/>
                      <w14:ligatures w14:val="standardContextual"/>
                    </w:rPr>
                    <w:t>详细设计报告（含工程设计图纸）</w:t>
                  </w:r>
                </w:p>
              </w:tc>
            </w:tr>
            <w:tr w14:paraId="32FB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1F18BF9F">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3</w:t>
                  </w:r>
                </w:p>
              </w:tc>
              <w:tc>
                <w:tcPr>
                  <w:tcW w:w="4185" w:type="dxa"/>
                  <w:vAlign w:val="center"/>
                </w:tcPr>
                <w:p w14:paraId="6C431393">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零部件明细表</w:t>
                  </w:r>
                </w:p>
              </w:tc>
            </w:tr>
            <w:tr w14:paraId="3947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7F59FC3">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4</w:t>
                  </w:r>
                </w:p>
              </w:tc>
              <w:tc>
                <w:tcPr>
                  <w:tcW w:w="4185" w:type="dxa"/>
                  <w:shd w:val="clear" w:color="auto" w:fill="auto"/>
                  <w:vAlign w:val="center"/>
                </w:tcPr>
                <w:p w14:paraId="225FE5BD">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验收大纲</w:t>
                  </w:r>
                </w:p>
              </w:tc>
            </w:tr>
            <w:tr w14:paraId="1BF1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5580457">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5</w:t>
                  </w:r>
                </w:p>
              </w:tc>
              <w:tc>
                <w:tcPr>
                  <w:tcW w:w="4185" w:type="dxa"/>
                  <w:shd w:val="clear" w:color="auto" w:fill="auto"/>
                  <w:vAlign w:val="center"/>
                </w:tcPr>
                <w:p w14:paraId="5F8C4B0E">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经济性分析报告</w:t>
                  </w:r>
                </w:p>
              </w:tc>
            </w:tr>
            <w:tr w14:paraId="6007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6C926293">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三</w:t>
                  </w:r>
                </w:p>
              </w:tc>
              <w:tc>
                <w:tcPr>
                  <w:tcW w:w="4185" w:type="dxa"/>
                  <w:shd w:val="clear" w:color="auto" w:fill="auto"/>
                  <w:vAlign w:val="center"/>
                </w:tcPr>
                <w:p w14:paraId="385756BD">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研制生产过程中提交</w:t>
                  </w:r>
                </w:p>
              </w:tc>
            </w:tr>
            <w:tr w14:paraId="001D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482917F7">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6</w:t>
                  </w:r>
                </w:p>
              </w:tc>
              <w:tc>
                <w:tcPr>
                  <w:tcW w:w="4185" w:type="dxa"/>
                  <w:shd w:val="clear" w:color="auto" w:fill="auto"/>
                  <w:vAlign w:val="center"/>
                </w:tcPr>
                <w:p w14:paraId="26DA0500">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加工制造过程系列文件（</w:t>
                  </w:r>
                  <w:r>
                    <w:rPr>
                      <w:rFonts w:hint="eastAsia" w:ascii="Times New Roman" w:hAnsi="Times New Roman" w:cs="Times New Roman"/>
                      <w:szCs w:val="21"/>
                      <w14:ligatures w14:val="standardContextual"/>
                    </w:rPr>
                    <w:t>节点文件、</w:t>
                  </w:r>
                  <w:r>
                    <w:rPr>
                      <w:rFonts w:ascii="Times New Roman" w:hAnsi="Times New Roman" w:cs="Times New Roman"/>
                      <w:szCs w:val="21"/>
                      <w14:ligatures w14:val="standardContextual"/>
                    </w:rPr>
                    <w:t>阶段测试报告、总结、变更记录等）</w:t>
                  </w:r>
                </w:p>
              </w:tc>
            </w:tr>
            <w:tr w14:paraId="6F86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086C783C">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b/>
                      <w:bCs/>
                      <w:szCs w:val="21"/>
                      <w14:ligatures w14:val="standardContextual"/>
                    </w:rPr>
                    <w:t>四</w:t>
                  </w:r>
                </w:p>
              </w:tc>
              <w:tc>
                <w:tcPr>
                  <w:tcW w:w="4185" w:type="dxa"/>
                  <w:shd w:val="clear" w:color="auto" w:fill="auto"/>
                  <w:vAlign w:val="center"/>
                </w:tcPr>
                <w:p w14:paraId="6E791156">
                  <w:pPr>
                    <w:widowControl w:val="0"/>
                    <w:jc w:val="center"/>
                    <w:rPr>
                      <w:rFonts w:ascii="仿宋_GB2312" w:hAnsi="方正仿宋_GB2312" w:cs="方正仿宋_GB2312"/>
                      <w:sz w:val="24"/>
                      <w14:ligatures w14:val="standardContextual"/>
                    </w:rPr>
                  </w:pPr>
                  <w:r>
                    <w:rPr>
                      <w:rFonts w:ascii="Times New Roman" w:hAnsi="Times New Roman" w:cs="Times New Roman"/>
                      <w:b/>
                      <w:bCs/>
                      <w:szCs w:val="21"/>
                      <w14:ligatures w14:val="standardContextual"/>
                    </w:rPr>
                    <w:t>出厂验收、现场联调前</w:t>
                  </w:r>
                  <w:r>
                    <w:rPr>
                      <w:rFonts w:hint="eastAsia" w:ascii="Times New Roman" w:hAnsi="Times New Roman" w:cs="Times New Roman"/>
                      <w:b/>
                      <w:bCs/>
                      <w:szCs w:val="21"/>
                      <w14:ligatures w14:val="standardContextual"/>
                    </w:rPr>
                    <w:t>（2</w:t>
                  </w:r>
                  <w:r>
                    <w:rPr>
                      <w:rFonts w:ascii="Times New Roman" w:hAnsi="Times New Roman" w:cs="Times New Roman"/>
                      <w:b/>
                      <w:bCs/>
                      <w:szCs w:val="21"/>
                      <w14:ligatures w14:val="standardContextual"/>
                    </w:rPr>
                    <w:t>0</w:t>
                  </w:r>
                  <w:r>
                    <w:rPr>
                      <w:rFonts w:hint="eastAsia" w:ascii="Times New Roman" w:hAnsi="Times New Roman" w:cs="Times New Roman"/>
                      <w:b/>
                      <w:bCs/>
                      <w:szCs w:val="21"/>
                      <w14:ligatures w14:val="standardContextual"/>
                    </w:rPr>
                    <w:t>日历日）</w:t>
                  </w:r>
                  <w:r>
                    <w:rPr>
                      <w:rFonts w:ascii="Times New Roman" w:hAnsi="Times New Roman" w:cs="Times New Roman"/>
                      <w:b/>
                      <w:bCs/>
                      <w:szCs w:val="21"/>
                      <w14:ligatures w14:val="standardContextual"/>
                    </w:rPr>
                    <w:t>提交</w:t>
                  </w:r>
                </w:p>
              </w:tc>
            </w:tr>
            <w:tr w14:paraId="64DB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6A204DC3">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7</w:t>
                  </w:r>
                </w:p>
              </w:tc>
              <w:tc>
                <w:tcPr>
                  <w:tcW w:w="4185" w:type="dxa"/>
                  <w:vAlign w:val="center"/>
                </w:tcPr>
                <w:p w14:paraId="7764751F">
                  <w:pPr>
                    <w:widowControl w:val="0"/>
                    <w:jc w:val="center"/>
                    <w:rPr>
                      <w:rFonts w:ascii="仿宋_GB2312" w:hAnsi="方正仿宋_GB2312" w:cs="方正仿宋_GB2312"/>
                      <w:sz w:val="24"/>
                      <w14:ligatures w14:val="standardContextual"/>
                    </w:rPr>
                  </w:pPr>
                  <w:r>
                    <w:rPr>
                      <w:rFonts w:ascii="Times New Roman" w:hAnsi="Times New Roman" w:cs="Times New Roman"/>
                      <w:szCs w:val="21"/>
                      <w14:ligatures w14:val="standardContextual"/>
                    </w:rPr>
                    <w:t>现场安装调试实施方案（现场安装调试方案、发货计划、安装</w:t>
                  </w:r>
                  <w:r>
                    <w:rPr>
                      <w:rFonts w:hint="eastAsia" w:ascii="Times New Roman" w:hAnsi="Times New Roman" w:cs="Times New Roman"/>
                      <w:szCs w:val="21"/>
                      <w14:ligatures w14:val="standardContextual"/>
                    </w:rPr>
                    <w:t>调试</w:t>
                  </w:r>
                  <w:r>
                    <w:rPr>
                      <w:rFonts w:ascii="Times New Roman" w:hAnsi="Times New Roman" w:cs="Times New Roman"/>
                      <w:szCs w:val="21"/>
                      <w14:ligatures w14:val="standardContextual"/>
                    </w:rPr>
                    <w:t>计划等）</w:t>
                  </w:r>
                </w:p>
              </w:tc>
            </w:tr>
            <w:tr w14:paraId="4E6A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4BFDD29">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五</w:t>
                  </w:r>
                </w:p>
              </w:tc>
              <w:tc>
                <w:tcPr>
                  <w:tcW w:w="4185" w:type="dxa"/>
                  <w:vAlign w:val="center"/>
                </w:tcPr>
                <w:p w14:paraId="760BEEDB">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b/>
                      <w:bCs/>
                      <w:szCs w:val="21"/>
                      <w14:ligatures w14:val="standardContextual"/>
                    </w:rPr>
                    <w:t>最终验收前提交</w:t>
                  </w:r>
                </w:p>
              </w:tc>
            </w:tr>
            <w:tr w14:paraId="27FB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592DD131">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8</w:t>
                  </w:r>
                </w:p>
              </w:tc>
              <w:tc>
                <w:tcPr>
                  <w:tcW w:w="4185" w:type="dxa"/>
                  <w:vAlign w:val="center"/>
                </w:tcPr>
                <w:p w14:paraId="345380D3">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设备出厂测试报告或合格证明文件</w:t>
                  </w:r>
                </w:p>
              </w:tc>
            </w:tr>
            <w:tr w14:paraId="710D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7C1B9D6F">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9</w:t>
                  </w:r>
                </w:p>
              </w:tc>
              <w:tc>
                <w:tcPr>
                  <w:tcW w:w="4185" w:type="dxa"/>
                  <w:vAlign w:val="center"/>
                </w:tcPr>
                <w:p w14:paraId="4E5F5393">
                  <w:pPr>
                    <w:widowControl w:val="0"/>
                    <w:jc w:val="center"/>
                    <w:rPr>
                      <w:rFonts w:ascii="仿宋_GB2312" w:hAnsi="方正仿宋_GB2312" w:eastAsia="仿宋_GB2312" w:cs="方正仿宋_GB2312"/>
                      <w:b/>
                      <w:bCs/>
                      <w:sz w:val="24"/>
                      <w14:ligatures w14:val="standardContextual"/>
                    </w:rPr>
                  </w:pPr>
                  <w:r>
                    <w:rPr>
                      <w:rFonts w:ascii="Times New Roman" w:hAnsi="Times New Roman" w:cs="Times New Roman"/>
                      <w:szCs w:val="21"/>
                      <w14:ligatures w14:val="standardContextual"/>
                    </w:rPr>
                    <w:t>设备/软件使用说明书（含具体操作流程、安全规范）</w:t>
                  </w:r>
                </w:p>
              </w:tc>
            </w:tr>
            <w:tr w14:paraId="0CF2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7E400914">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0</w:t>
                  </w:r>
                </w:p>
              </w:tc>
              <w:tc>
                <w:tcPr>
                  <w:tcW w:w="4185" w:type="dxa"/>
                  <w:vAlign w:val="center"/>
                </w:tcPr>
                <w:p w14:paraId="39F438E3">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设备维护手册</w:t>
                  </w:r>
                </w:p>
              </w:tc>
            </w:tr>
            <w:tr w14:paraId="21C6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45BCA721">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1</w:t>
                  </w:r>
                </w:p>
              </w:tc>
              <w:tc>
                <w:tcPr>
                  <w:tcW w:w="4185" w:type="dxa"/>
                  <w:vAlign w:val="center"/>
                </w:tcPr>
                <w:p w14:paraId="0993E557">
                  <w:pPr>
                    <w:widowControl w:val="0"/>
                    <w:jc w:val="center"/>
                    <w:rPr>
                      <w:rFonts w:ascii="仿宋_GB2312" w:hAnsi="方正仿宋_GB2312" w:eastAsia="仿宋_GB2312" w:cs="方正仿宋_GB2312"/>
                      <w:b/>
                      <w:bCs/>
                      <w:sz w:val="24"/>
                      <w14:ligatures w14:val="standardContextual"/>
                    </w:rPr>
                  </w:pPr>
                  <w:r>
                    <w:rPr>
                      <w:rFonts w:hint="eastAsia" w:ascii="Times New Roman" w:hAnsi="Times New Roman" w:cs="Times New Roman"/>
                      <w:szCs w:val="21"/>
                      <w14:ligatures w14:val="standardContextual"/>
                    </w:rPr>
                    <w:t>安装调试运行记录</w:t>
                  </w:r>
                </w:p>
              </w:tc>
            </w:tr>
            <w:tr w14:paraId="35D7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18846A51">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2</w:t>
                  </w:r>
                </w:p>
              </w:tc>
              <w:tc>
                <w:tcPr>
                  <w:tcW w:w="4185" w:type="dxa"/>
                  <w:vAlign w:val="center"/>
                </w:tcPr>
                <w:p w14:paraId="2C9CF00F">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安装调试技术</w:t>
                  </w:r>
                  <w:r>
                    <w:rPr>
                      <w:rFonts w:hint="eastAsia"/>
                      <w:szCs w:val="21"/>
                      <w14:ligatures w14:val="standardContextual"/>
                    </w:rPr>
                    <w:t>总结报告</w:t>
                  </w:r>
                </w:p>
              </w:tc>
            </w:tr>
            <w:tr w14:paraId="4177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790084DA">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3</w:t>
                  </w:r>
                </w:p>
              </w:tc>
              <w:tc>
                <w:tcPr>
                  <w:tcW w:w="4185" w:type="dxa"/>
                  <w:vAlign w:val="center"/>
                </w:tcPr>
                <w:p w14:paraId="09A481B3">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保养记录</w:t>
                  </w:r>
                </w:p>
              </w:tc>
            </w:tr>
            <w:tr w14:paraId="6AAF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6FD4E039">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4</w:t>
                  </w:r>
                </w:p>
              </w:tc>
              <w:tc>
                <w:tcPr>
                  <w:tcW w:w="4185" w:type="dxa"/>
                  <w:vAlign w:val="center"/>
                </w:tcPr>
                <w:p w14:paraId="2C55E36D">
                  <w:pPr>
                    <w:widowControl w:val="0"/>
                    <w:jc w:val="center"/>
                    <w:rPr>
                      <w:rFonts w:ascii="仿宋_GB2312" w:hAnsi="方正仿宋_GB2312" w:eastAsia="仿宋_GB2312" w:cs="方正仿宋_GB2312"/>
                      <w:sz w:val="24"/>
                      <w14:ligatures w14:val="standardContextual"/>
                    </w:rPr>
                  </w:pPr>
                  <w:r>
                    <w:rPr>
                      <w:rFonts w:hint="eastAsia" w:ascii="宋体" w:hAnsi="宋体"/>
                      <w:szCs w:val="21"/>
                      <w14:ligatures w14:val="standardContextual"/>
                    </w:rPr>
                    <w:t>仪器设备履历书(使用、检修、故障、事故记录)</w:t>
                  </w:r>
                </w:p>
              </w:tc>
            </w:tr>
            <w:tr w14:paraId="7039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65693278">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5</w:t>
                  </w:r>
                </w:p>
              </w:tc>
              <w:tc>
                <w:tcPr>
                  <w:tcW w:w="4185" w:type="dxa"/>
                  <w:vAlign w:val="center"/>
                </w:tcPr>
                <w:p w14:paraId="72CF10AB">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出入库单</w:t>
                  </w:r>
                </w:p>
              </w:tc>
            </w:tr>
            <w:tr w14:paraId="10AD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7217488D">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6</w:t>
                  </w:r>
                </w:p>
              </w:tc>
              <w:tc>
                <w:tcPr>
                  <w:tcW w:w="4185" w:type="dxa"/>
                  <w:vAlign w:val="center"/>
                </w:tcPr>
                <w:p w14:paraId="4BD14388">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全套竣工图纸</w:t>
                  </w:r>
                </w:p>
              </w:tc>
            </w:tr>
            <w:tr w14:paraId="426B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7DBD3AA9">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7</w:t>
                  </w:r>
                </w:p>
              </w:tc>
              <w:tc>
                <w:tcPr>
                  <w:tcW w:w="4185" w:type="dxa"/>
                  <w:vAlign w:val="center"/>
                </w:tcPr>
                <w:p w14:paraId="717371E2">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控制软件可执行程序、源代码</w:t>
                  </w:r>
                  <w:r>
                    <w:rPr>
                      <w:rFonts w:hint="eastAsia" w:ascii="Times New Roman" w:hAnsi="Times New Roman" w:cs="Times New Roman"/>
                      <w:szCs w:val="21"/>
                      <w14:ligatures w14:val="standardContextual"/>
                    </w:rPr>
                    <w:t>、软件使用许可协议</w:t>
                  </w:r>
                </w:p>
              </w:tc>
            </w:tr>
            <w:tr w14:paraId="36F1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74" w:type="dxa"/>
                  <w:vAlign w:val="center"/>
                </w:tcPr>
                <w:p w14:paraId="292CDEC6">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8</w:t>
                  </w:r>
                </w:p>
              </w:tc>
              <w:tc>
                <w:tcPr>
                  <w:tcW w:w="4185" w:type="dxa"/>
                  <w:vAlign w:val="center"/>
                </w:tcPr>
                <w:p w14:paraId="455FC4E6">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产品及文件交付清单</w:t>
                  </w:r>
                </w:p>
              </w:tc>
            </w:tr>
            <w:tr w14:paraId="211B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6310260C">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1</w:t>
                  </w:r>
                  <w:r>
                    <w:rPr>
                      <w:rFonts w:ascii="Times New Roman" w:hAnsi="Times New Roman" w:cs="Times New Roman"/>
                      <w:szCs w:val="21"/>
                      <w14:ligatures w14:val="standardContextual"/>
                    </w:rPr>
                    <w:t>9</w:t>
                  </w:r>
                </w:p>
              </w:tc>
              <w:tc>
                <w:tcPr>
                  <w:tcW w:w="4185" w:type="dxa"/>
                  <w:vAlign w:val="center"/>
                </w:tcPr>
                <w:p w14:paraId="67AE4E4B">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电气元器件明细表</w:t>
                  </w:r>
                </w:p>
              </w:tc>
            </w:tr>
            <w:tr w14:paraId="25C2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5E69C30E">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2</w:t>
                  </w:r>
                  <w:r>
                    <w:rPr>
                      <w:rFonts w:ascii="Times New Roman" w:hAnsi="Times New Roman" w:cs="Times New Roman"/>
                      <w:szCs w:val="21"/>
                      <w14:ligatures w14:val="standardContextual"/>
                    </w:rPr>
                    <w:t>0</w:t>
                  </w:r>
                </w:p>
              </w:tc>
              <w:tc>
                <w:tcPr>
                  <w:tcW w:w="4185" w:type="dxa"/>
                  <w:vAlign w:val="center"/>
                </w:tcPr>
                <w:p w14:paraId="49398B5D">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电气接线图</w:t>
                  </w:r>
                </w:p>
              </w:tc>
            </w:tr>
            <w:tr w14:paraId="4953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5F5CDA25">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2</w:t>
                  </w:r>
                  <w:r>
                    <w:rPr>
                      <w:rFonts w:ascii="Times New Roman" w:hAnsi="Times New Roman" w:cs="Times New Roman"/>
                      <w:szCs w:val="21"/>
                      <w14:ligatures w14:val="standardContextual"/>
                    </w:rPr>
                    <w:t>1</w:t>
                  </w:r>
                </w:p>
              </w:tc>
              <w:tc>
                <w:tcPr>
                  <w:tcW w:w="4185" w:type="dxa"/>
                  <w:vAlign w:val="center"/>
                </w:tcPr>
                <w:p w14:paraId="4231C793">
                  <w:pPr>
                    <w:widowControl w:val="0"/>
                    <w:jc w:val="center"/>
                    <w:rPr>
                      <w:rFonts w:ascii="仿宋_GB2312" w:hAnsi="方正仿宋_GB2312" w:eastAsia="仿宋_GB2312" w:cs="方正仿宋_GB2312"/>
                      <w:sz w:val="24"/>
                      <w14:ligatures w14:val="standardContextual"/>
                    </w:rPr>
                  </w:pPr>
                  <w:r>
                    <w:rPr>
                      <w:rFonts w:ascii="Times New Roman" w:hAnsi="Times New Roman" w:cs="Times New Roman"/>
                      <w:szCs w:val="21"/>
                      <w14:ligatures w14:val="standardContextual"/>
                    </w:rPr>
                    <w:t>操作人员培训记录</w:t>
                  </w:r>
                </w:p>
              </w:tc>
            </w:tr>
            <w:tr w14:paraId="0CA0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74" w:type="dxa"/>
                  <w:vAlign w:val="center"/>
                </w:tcPr>
                <w:p w14:paraId="62622286">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szCs w:val="21"/>
                      <w14:ligatures w14:val="standardContextual"/>
                    </w:rPr>
                    <w:t>2</w:t>
                  </w:r>
                  <w:r>
                    <w:rPr>
                      <w:rFonts w:ascii="Times New Roman" w:hAnsi="Times New Roman" w:cs="Times New Roman"/>
                      <w:szCs w:val="21"/>
                      <w14:ligatures w14:val="standardContextual"/>
                    </w:rPr>
                    <w:t>2</w:t>
                  </w:r>
                </w:p>
              </w:tc>
              <w:tc>
                <w:tcPr>
                  <w:tcW w:w="4185" w:type="dxa"/>
                  <w:vAlign w:val="center"/>
                </w:tcPr>
                <w:p w14:paraId="60726C19">
                  <w:pPr>
                    <w:widowControl w:val="0"/>
                    <w:jc w:val="center"/>
                    <w:rPr>
                      <w:rFonts w:ascii="仿宋_GB2312" w:hAnsi="方正仿宋_GB2312" w:eastAsia="仿宋_GB2312" w:cs="方正仿宋_GB2312"/>
                      <w:sz w:val="24"/>
                      <w14:ligatures w14:val="standardContextual"/>
                    </w:rPr>
                  </w:pPr>
                  <w:r>
                    <w:rPr>
                      <w:rFonts w:hint="eastAsia" w:ascii="Times New Roman" w:hAnsi="Times New Roman" w:cs="Times New Roman"/>
                      <w14:ligatures w14:val="standardContextual"/>
                    </w:rPr>
                    <w:t>项目研制总结报告</w:t>
                  </w:r>
                </w:p>
              </w:tc>
            </w:tr>
          </w:tbl>
          <w:p w14:paraId="37B43C43">
            <w:pPr>
              <w:rPr>
                <w:bCs/>
                <w:szCs w:val="21"/>
              </w:rPr>
            </w:pPr>
          </w:p>
        </w:tc>
        <w:tc>
          <w:tcPr>
            <w:tcW w:w="1051" w:type="pct"/>
          </w:tcPr>
          <w:p w14:paraId="77E036BE">
            <w:pPr>
              <w:rPr>
                <w:bCs/>
                <w:szCs w:val="21"/>
              </w:rPr>
            </w:pPr>
          </w:p>
        </w:tc>
        <w:tc>
          <w:tcPr>
            <w:tcW w:w="1051" w:type="pct"/>
          </w:tcPr>
          <w:p w14:paraId="2C0D4CCC">
            <w:pPr>
              <w:rPr>
                <w:bCs/>
                <w:szCs w:val="21"/>
              </w:rPr>
            </w:pPr>
          </w:p>
        </w:tc>
        <w:tc>
          <w:tcPr>
            <w:tcW w:w="1055" w:type="pct"/>
          </w:tcPr>
          <w:p w14:paraId="7A90E1C0">
            <w:pPr>
              <w:rPr>
                <w:bCs/>
                <w:szCs w:val="21"/>
              </w:rPr>
            </w:pPr>
          </w:p>
        </w:tc>
      </w:tr>
      <w:tr w14:paraId="6D92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49" w:type="pct"/>
            <w:vMerge w:val="continue"/>
            <w:vAlign w:val="center"/>
          </w:tcPr>
          <w:p w14:paraId="5ED83C0E">
            <w:pPr>
              <w:jc w:val="center"/>
              <w:rPr>
                <w:bCs/>
              </w:rPr>
            </w:pPr>
          </w:p>
        </w:tc>
        <w:tc>
          <w:tcPr>
            <w:tcW w:w="268" w:type="pct"/>
            <w:vMerge w:val="continue"/>
            <w:vAlign w:val="center"/>
          </w:tcPr>
          <w:p w14:paraId="624AD885">
            <w:pPr>
              <w:jc w:val="center"/>
            </w:pPr>
          </w:p>
        </w:tc>
        <w:tc>
          <w:tcPr>
            <w:tcW w:w="1024" w:type="pct"/>
          </w:tcPr>
          <w:p w14:paraId="016135DF">
            <w:pPr>
              <w:rPr>
                <w:bCs/>
                <w:szCs w:val="21"/>
              </w:rPr>
            </w:pPr>
            <w:r>
              <w:rPr>
                <w:rFonts w:ascii="Segoe UI Symbol" w:hAnsi="Segoe UI Symbol"/>
              </w:rPr>
              <w:t>★</w:t>
            </w:r>
            <w:r>
              <w:rPr>
                <w:rFonts w:ascii="Times New Roman" w:hAnsi="Times New Roman"/>
              </w:rPr>
              <w:t>1.3</w:t>
            </w:r>
            <w:r>
              <w:rPr>
                <w:rFonts w:ascii="宋体" w:hAnsi="宋体"/>
              </w:rPr>
              <w:t>签订合同后</w:t>
            </w:r>
            <w:r>
              <w:rPr>
                <w:rFonts w:ascii="宋体" w:hAnsi="宋体"/>
                <w:u w:val="single"/>
              </w:rPr>
              <w:t xml:space="preserve"> </w:t>
            </w:r>
            <w:r>
              <w:rPr>
                <w:rFonts w:ascii="Times New Roman" w:hAnsi="Times New Roman"/>
                <w:u w:val="single"/>
              </w:rPr>
              <w:t xml:space="preserve">540 </w:t>
            </w:r>
            <w:r>
              <w:rPr>
                <w:rFonts w:ascii="宋体" w:hAnsi="宋体"/>
              </w:rPr>
              <w:t>天（日历日）内交货。</w:t>
            </w:r>
          </w:p>
        </w:tc>
        <w:tc>
          <w:tcPr>
            <w:tcW w:w="1051" w:type="pct"/>
          </w:tcPr>
          <w:p w14:paraId="2BA3A476">
            <w:pPr>
              <w:rPr>
                <w:rFonts w:ascii="Segoe UI Symbol" w:hAnsi="Segoe UI Symbol"/>
              </w:rPr>
            </w:pPr>
          </w:p>
        </w:tc>
        <w:tc>
          <w:tcPr>
            <w:tcW w:w="1051" w:type="pct"/>
          </w:tcPr>
          <w:p w14:paraId="783EF6D3">
            <w:pPr>
              <w:rPr>
                <w:rFonts w:ascii="Segoe UI Symbol" w:hAnsi="Segoe UI Symbol"/>
              </w:rPr>
            </w:pPr>
          </w:p>
        </w:tc>
        <w:tc>
          <w:tcPr>
            <w:tcW w:w="1055" w:type="pct"/>
          </w:tcPr>
          <w:p w14:paraId="02F978B4">
            <w:pPr>
              <w:rPr>
                <w:rFonts w:ascii="Segoe UI Symbol" w:hAnsi="Segoe UI Symbol"/>
              </w:rPr>
            </w:pPr>
          </w:p>
        </w:tc>
      </w:tr>
      <w:tr w14:paraId="3114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vAlign w:val="center"/>
          </w:tcPr>
          <w:p w14:paraId="12E7479B">
            <w:pPr>
              <w:jc w:val="center"/>
              <w:rPr>
                <w:bCs/>
              </w:rPr>
            </w:pPr>
            <w:r>
              <w:rPr>
                <w:rFonts w:hint="eastAsia"/>
                <w:bCs/>
              </w:rPr>
              <w:t>2</w:t>
            </w:r>
          </w:p>
        </w:tc>
        <w:tc>
          <w:tcPr>
            <w:tcW w:w="268" w:type="pct"/>
            <w:vMerge w:val="restart"/>
            <w:vAlign w:val="center"/>
          </w:tcPr>
          <w:p w14:paraId="5ABF8769">
            <w:r>
              <w:rPr>
                <w:rFonts w:hint="eastAsia"/>
                <w:bCs/>
                <w:color w:val="000000" w:themeColor="text1"/>
                <w:szCs w:val="21"/>
                <w14:textFill>
                  <w14:solidFill>
                    <w14:schemeClr w14:val="tx1"/>
                  </w14:solidFill>
                </w14:textFill>
              </w:rPr>
              <w:t>★</w:t>
            </w:r>
            <w:r>
              <w:rPr>
                <w:rFonts w:hint="eastAsia"/>
              </w:rPr>
              <w:t>安装调试及验收</w:t>
            </w:r>
          </w:p>
        </w:tc>
        <w:tc>
          <w:tcPr>
            <w:tcW w:w="1024" w:type="pct"/>
          </w:tcPr>
          <w:p w14:paraId="0229D2CF">
            <w:pPr>
              <w:spacing w:line="340" w:lineRule="exact"/>
              <w:rPr>
                <w:bCs/>
                <w:szCs w:val="21"/>
              </w:rPr>
            </w:pPr>
            <w:r>
              <w:rPr>
                <w:rFonts w:hint="eastAsia"/>
                <w:bCs/>
                <w:szCs w:val="21"/>
              </w:rPr>
              <w:t>2</w:t>
            </w:r>
            <w:r>
              <w:rPr>
                <w:bCs/>
                <w:szCs w:val="21"/>
              </w:rPr>
              <w:t>.1</w:t>
            </w:r>
            <w:r>
              <w:rPr>
                <w:rFonts w:hint="eastAsia"/>
                <w:bCs/>
                <w:szCs w:val="21"/>
              </w:rPr>
              <w:t>投标人应派有经验的技术人员到现场进行安装、调试，直到设备正常使用。</w:t>
            </w:r>
          </w:p>
        </w:tc>
        <w:tc>
          <w:tcPr>
            <w:tcW w:w="1051" w:type="pct"/>
          </w:tcPr>
          <w:p w14:paraId="5499E588">
            <w:pPr>
              <w:spacing w:line="340" w:lineRule="exact"/>
              <w:rPr>
                <w:rFonts w:hint="eastAsia"/>
                <w:bCs/>
                <w:szCs w:val="21"/>
              </w:rPr>
            </w:pPr>
          </w:p>
        </w:tc>
        <w:tc>
          <w:tcPr>
            <w:tcW w:w="1051" w:type="pct"/>
          </w:tcPr>
          <w:p w14:paraId="162BCAC4">
            <w:pPr>
              <w:spacing w:line="340" w:lineRule="exact"/>
              <w:rPr>
                <w:rFonts w:hint="eastAsia"/>
                <w:bCs/>
                <w:szCs w:val="21"/>
              </w:rPr>
            </w:pPr>
          </w:p>
        </w:tc>
        <w:tc>
          <w:tcPr>
            <w:tcW w:w="1055" w:type="pct"/>
          </w:tcPr>
          <w:p w14:paraId="4194D8AD">
            <w:pPr>
              <w:spacing w:line="340" w:lineRule="exact"/>
              <w:rPr>
                <w:rFonts w:hint="eastAsia"/>
                <w:bCs/>
                <w:szCs w:val="21"/>
              </w:rPr>
            </w:pPr>
          </w:p>
        </w:tc>
      </w:tr>
      <w:tr w14:paraId="3F16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1B16D943">
            <w:pPr>
              <w:jc w:val="center"/>
              <w:rPr>
                <w:b/>
              </w:rPr>
            </w:pPr>
          </w:p>
        </w:tc>
        <w:tc>
          <w:tcPr>
            <w:tcW w:w="268" w:type="pct"/>
            <w:vMerge w:val="continue"/>
          </w:tcPr>
          <w:p w14:paraId="6BBC4C83">
            <w:pPr>
              <w:rPr>
                <w:b/>
              </w:rPr>
            </w:pPr>
          </w:p>
        </w:tc>
        <w:tc>
          <w:tcPr>
            <w:tcW w:w="1024" w:type="pct"/>
          </w:tcPr>
          <w:p w14:paraId="27017BD7">
            <w:pPr>
              <w:spacing w:line="340" w:lineRule="exact"/>
              <w:rPr>
                <w:bCs/>
                <w:szCs w:val="21"/>
              </w:rPr>
            </w:pPr>
            <w:r>
              <w:rPr>
                <w:rFonts w:hint="eastAsia"/>
                <w:bCs/>
                <w:szCs w:val="21"/>
              </w:rPr>
              <w:t>2</w:t>
            </w:r>
            <w:r>
              <w:rPr>
                <w:bCs/>
                <w:szCs w:val="21"/>
              </w:rPr>
              <w:t>.2</w:t>
            </w:r>
            <w:r>
              <w:rPr>
                <w:rFonts w:hint="eastAsia"/>
                <w:bCs/>
                <w:szCs w:val="21"/>
              </w:rPr>
              <w:t>由采购人按合同和招标、投标文件约定的要求和标准及中华人民共和国现行的验收规范和评定标准进行交货验收。</w:t>
            </w:r>
          </w:p>
        </w:tc>
        <w:tc>
          <w:tcPr>
            <w:tcW w:w="1051" w:type="pct"/>
          </w:tcPr>
          <w:p w14:paraId="76625DEB">
            <w:pPr>
              <w:spacing w:line="340" w:lineRule="exact"/>
              <w:rPr>
                <w:rFonts w:hint="eastAsia"/>
                <w:bCs/>
                <w:szCs w:val="21"/>
              </w:rPr>
            </w:pPr>
          </w:p>
        </w:tc>
        <w:tc>
          <w:tcPr>
            <w:tcW w:w="1051" w:type="pct"/>
          </w:tcPr>
          <w:p w14:paraId="14235F6C">
            <w:pPr>
              <w:spacing w:line="340" w:lineRule="exact"/>
              <w:rPr>
                <w:rFonts w:hint="eastAsia"/>
                <w:bCs/>
                <w:szCs w:val="21"/>
              </w:rPr>
            </w:pPr>
          </w:p>
        </w:tc>
        <w:tc>
          <w:tcPr>
            <w:tcW w:w="1055" w:type="pct"/>
          </w:tcPr>
          <w:p w14:paraId="66B41718">
            <w:pPr>
              <w:spacing w:line="340" w:lineRule="exact"/>
              <w:rPr>
                <w:rFonts w:hint="eastAsia"/>
                <w:bCs/>
                <w:szCs w:val="21"/>
              </w:rPr>
            </w:pPr>
          </w:p>
        </w:tc>
      </w:tr>
      <w:tr w14:paraId="5A3E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61B5AB5C">
            <w:pPr>
              <w:jc w:val="center"/>
              <w:rPr>
                <w:b/>
              </w:rPr>
            </w:pPr>
          </w:p>
        </w:tc>
        <w:tc>
          <w:tcPr>
            <w:tcW w:w="268" w:type="pct"/>
            <w:vMerge w:val="continue"/>
          </w:tcPr>
          <w:p w14:paraId="33CDDE19">
            <w:pPr>
              <w:rPr>
                <w:b/>
              </w:rPr>
            </w:pPr>
          </w:p>
        </w:tc>
        <w:tc>
          <w:tcPr>
            <w:tcW w:w="1024" w:type="pct"/>
          </w:tcPr>
          <w:p w14:paraId="59923B14">
            <w:pPr>
              <w:spacing w:line="340" w:lineRule="exact"/>
              <w:rPr>
                <w:bCs/>
                <w:szCs w:val="21"/>
              </w:rPr>
            </w:pPr>
            <w:r>
              <w:rPr>
                <w:rFonts w:hint="eastAsia"/>
                <w:bCs/>
                <w:szCs w:val="21"/>
              </w:rPr>
              <w:t>2.</w:t>
            </w:r>
            <w:r>
              <w:rPr>
                <w:bCs/>
                <w:szCs w:val="21"/>
              </w:rPr>
              <w:t xml:space="preserve">3 </w:t>
            </w:r>
            <w:r>
              <w:rPr>
                <w:rFonts w:hint="eastAsia"/>
                <w:bCs/>
                <w:szCs w:val="21"/>
              </w:rPr>
              <w:t>投标人货物经过双方检验认可后，签署验收报告，产品保修期自验收合格之日起算，由投标人提供产品保修文件。</w:t>
            </w:r>
          </w:p>
        </w:tc>
        <w:tc>
          <w:tcPr>
            <w:tcW w:w="1051" w:type="pct"/>
          </w:tcPr>
          <w:p w14:paraId="5E714E3C">
            <w:pPr>
              <w:spacing w:line="340" w:lineRule="exact"/>
              <w:rPr>
                <w:rFonts w:hint="eastAsia"/>
                <w:bCs/>
                <w:szCs w:val="21"/>
              </w:rPr>
            </w:pPr>
          </w:p>
        </w:tc>
        <w:tc>
          <w:tcPr>
            <w:tcW w:w="1051" w:type="pct"/>
          </w:tcPr>
          <w:p w14:paraId="4CD7A0D1">
            <w:pPr>
              <w:spacing w:line="340" w:lineRule="exact"/>
              <w:rPr>
                <w:rFonts w:hint="eastAsia"/>
                <w:bCs/>
                <w:szCs w:val="21"/>
              </w:rPr>
            </w:pPr>
          </w:p>
        </w:tc>
        <w:tc>
          <w:tcPr>
            <w:tcW w:w="1055" w:type="pct"/>
          </w:tcPr>
          <w:p w14:paraId="66BFF5C4">
            <w:pPr>
              <w:spacing w:line="340" w:lineRule="exact"/>
              <w:rPr>
                <w:rFonts w:hint="eastAsia"/>
                <w:bCs/>
                <w:szCs w:val="21"/>
              </w:rPr>
            </w:pPr>
          </w:p>
        </w:tc>
      </w:tr>
      <w:tr w14:paraId="772B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57C1AFCF">
            <w:pPr>
              <w:jc w:val="center"/>
              <w:rPr>
                <w:b/>
              </w:rPr>
            </w:pPr>
          </w:p>
        </w:tc>
        <w:tc>
          <w:tcPr>
            <w:tcW w:w="268" w:type="pct"/>
            <w:vMerge w:val="continue"/>
          </w:tcPr>
          <w:p w14:paraId="6D2185B6">
            <w:pPr>
              <w:rPr>
                <w:b/>
              </w:rPr>
            </w:pPr>
          </w:p>
        </w:tc>
        <w:tc>
          <w:tcPr>
            <w:tcW w:w="1024" w:type="pct"/>
          </w:tcPr>
          <w:p w14:paraId="46F376D7">
            <w:pPr>
              <w:spacing w:line="340" w:lineRule="exact"/>
              <w:rPr>
                <w:bCs/>
                <w:szCs w:val="21"/>
              </w:rPr>
            </w:pPr>
            <w:r>
              <w:rPr>
                <w:rFonts w:hint="eastAsia"/>
                <w:bCs/>
                <w:szCs w:val="21"/>
              </w:rPr>
              <w:t>2.</w:t>
            </w:r>
            <w:r>
              <w:rPr>
                <w:bCs/>
                <w:szCs w:val="21"/>
              </w:rPr>
              <w:t>4</w:t>
            </w:r>
            <w:r>
              <w:rPr>
                <w:rFonts w:hint="eastAsia"/>
                <w:bCs/>
                <w:szCs w:val="21"/>
              </w:rPr>
              <w:t>当满足以下条件时，采购人才向中标人签发货物验收报告：</w:t>
            </w:r>
          </w:p>
          <w:p w14:paraId="086099B1">
            <w:pPr>
              <w:rPr>
                <w:bCs/>
                <w:szCs w:val="21"/>
              </w:rPr>
            </w:pPr>
            <w:r>
              <w:rPr>
                <w:rFonts w:hint="eastAsia"/>
                <w:bCs/>
                <w:szCs w:val="21"/>
              </w:rPr>
              <w:t>（1）设备全新,外观无伤痕变形或明显修饰痕迹。</w:t>
            </w:r>
          </w:p>
          <w:p w14:paraId="4645086F">
            <w:pPr>
              <w:rPr>
                <w:bCs/>
                <w:szCs w:val="21"/>
              </w:rPr>
            </w:pPr>
            <w:r>
              <w:rPr>
                <w:rFonts w:hint="eastAsia"/>
                <w:bCs/>
                <w:szCs w:val="21"/>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66C54B83">
            <w:pPr>
              <w:rPr>
                <w:bCs/>
                <w:szCs w:val="21"/>
              </w:rPr>
            </w:pPr>
            <w:r>
              <w:rPr>
                <w:rFonts w:hint="eastAsia"/>
                <w:bCs/>
                <w:szCs w:val="21"/>
              </w:rPr>
              <w:t>（3）技术文件资料、备件等已按规定数量移交完毕。</w:t>
            </w:r>
          </w:p>
          <w:p w14:paraId="334F0EDF">
            <w:pPr>
              <w:rPr>
                <w:bCs/>
                <w:szCs w:val="21"/>
              </w:rPr>
            </w:pPr>
            <w:r>
              <w:rPr>
                <w:rFonts w:hint="eastAsia"/>
                <w:bCs/>
                <w:szCs w:val="21"/>
              </w:rPr>
              <w:t>（4）按照招标书要求及投标文件提供的技术要求验收必须合格。</w:t>
            </w:r>
          </w:p>
          <w:p w14:paraId="5751FC69">
            <w:pPr>
              <w:spacing w:line="340" w:lineRule="exact"/>
              <w:rPr>
                <w:bCs/>
                <w:szCs w:val="21"/>
              </w:rPr>
            </w:pPr>
            <w:r>
              <w:rPr>
                <w:rFonts w:hint="eastAsia"/>
                <w:bCs/>
                <w:szCs w:val="21"/>
              </w:rPr>
              <w:t>（5）投标人提供的各种文件载明的内容必须真实，其技术数据采购人有权要求投标人无偿提供采购人认可的第三方按照双方同意的试验方法进行检测。检测结果必须证明投标人提供的技术数据是真实的，否则视为不合格。</w:t>
            </w:r>
          </w:p>
          <w:p w14:paraId="7434056E">
            <w:pPr>
              <w:spacing w:line="340" w:lineRule="exact"/>
              <w:rPr>
                <w:bCs/>
                <w:szCs w:val="21"/>
              </w:rPr>
            </w:pPr>
            <w:r>
              <w:rPr>
                <w:rFonts w:hint="eastAsia"/>
                <w:bCs/>
                <w:szCs w:val="21"/>
              </w:rPr>
              <w:t>（6）货物具备产品合格证。</w:t>
            </w:r>
          </w:p>
          <w:p w14:paraId="29994E95">
            <w:pPr>
              <w:spacing w:line="340" w:lineRule="exact"/>
              <w:rPr>
                <w:bCs/>
                <w:szCs w:val="21"/>
              </w:rPr>
            </w:pPr>
            <w:r>
              <w:rPr>
                <w:rFonts w:hint="eastAsia"/>
                <w:bCs/>
                <w:szCs w:val="21"/>
              </w:rPr>
              <w:t>（7）</w:t>
            </w:r>
            <w:r>
              <w:rPr>
                <w:rFonts w:hint="eastAsia"/>
              </w:rPr>
              <w:t>在货物安装调试过程中须保留安装调试记录，安装调试合格及安装调试记录归档后，所有技术指标达到技术规范书要求，经验收合格后，双方共同签署验收报告</w:t>
            </w:r>
            <w:r>
              <w:rPr>
                <w:rFonts w:hint="eastAsia"/>
                <w:bCs/>
                <w:szCs w:val="21"/>
              </w:rPr>
              <w:t>。</w:t>
            </w:r>
          </w:p>
        </w:tc>
        <w:tc>
          <w:tcPr>
            <w:tcW w:w="1051" w:type="pct"/>
          </w:tcPr>
          <w:p w14:paraId="43511339">
            <w:pPr>
              <w:spacing w:line="340" w:lineRule="exact"/>
              <w:rPr>
                <w:rFonts w:hint="eastAsia"/>
                <w:bCs/>
                <w:szCs w:val="21"/>
              </w:rPr>
            </w:pPr>
          </w:p>
        </w:tc>
        <w:tc>
          <w:tcPr>
            <w:tcW w:w="1051" w:type="pct"/>
          </w:tcPr>
          <w:p w14:paraId="461F2EB7">
            <w:pPr>
              <w:spacing w:line="340" w:lineRule="exact"/>
              <w:rPr>
                <w:rFonts w:hint="eastAsia"/>
                <w:bCs/>
                <w:szCs w:val="21"/>
              </w:rPr>
            </w:pPr>
          </w:p>
        </w:tc>
        <w:tc>
          <w:tcPr>
            <w:tcW w:w="1055" w:type="pct"/>
          </w:tcPr>
          <w:p w14:paraId="5AA2527A">
            <w:pPr>
              <w:spacing w:line="340" w:lineRule="exact"/>
              <w:rPr>
                <w:rFonts w:hint="eastAsia"/>
                <w:bCs/>
                <w:szCs w:val="21"/>
              </w:rPr>
            </w:pPr>
          </w:p>
        </w:tc>
      </w:tr>
      <w:tr w14:paraId="0821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vAlign w:val="center"/>
          </w:tcPr>
          <w:p w14:paraId="7CE85545">
            <w:pPr>
              <w:jc w:val="center"/>
              <w:rPr>
                <w:bCs/>
              </w:rPr>
            </w:pPr>
            <w:r>
              <w:rPr>
                <w:rFonts w:hint="eastAsia"/>
                <w:bCs/>
              </w:rPr>
              <w:t>3</w:t>
            </w:r>
          </w:p>
        </w:tc>
        <w:tc>
          <w:tcPr>
            <w:tcW w:w="268" w:type="pct"/>
            <w:vMerge w:val="restart"/>
            <w:vAlign w:val="center"/>
          </w:tcPr>
          <w:p w14:paraId="561AD512">
            <w:r>
              <w:rPr>
                <w:rFonts w:hint="eastAsia"/>
                <w:bCs/>
                <w:color w:val="000000" w:themeColor="text1"/>
                <w:szCs w:val="21"/>
                <w14:textFill>
                  <w14:solidFill>
                    <w14:schemeClr w14:val="tx1"/>
                  </w14:solidFill>
                </w14:textFill>
              </w:rPr>
              <w:t>★</w:t>
            </w:r>
            <w:r>
              <w:rPr>
                <w:rFonts w:hint="eastAsia"/>
              </w:rPr>
              <w:t>关于违约</w:t>
            </w:r>
          </w:p>
        </w:tc>
        <w:tc>
          <w:tcPr>
            <w:tcW w:w="1024" w:type="pct"/>
          </w:tcPr>
          <w:p w14:paraId="66458CBF">
            <w:pPr>
              <w:rPr>
                <w:b/>
              </w:rPr>
            </w:pPr>
            <w:r>
              <w:rPr>
                <w:rFonts w:hint="eastAsia"/>
                <w:color w:val="000000" w:themeColor="text1"/>
                <w14:textFill>
                  <w14:solidFill>
                    <w14:schemeClr w14:val="tx1"/>
                  </w14:solidFill>
                </w14:textFill>
              </w:rPr>
              <w:t>3.1中标人应充分掌握项目全过程风险，建立风险研判机制和切实可行的风险处置预案，并及时报送甲方止损。因中标人原因造成损失的，应由中标人承担相应责任。</w:t>
            </w:r>
          </w:p>
        </w:tc>
        <w:tc>
          <w:tcPr>
            <w:tcW w:w="1051" w:type="pct"/>
          </w:tcPr>
          <w:p w14:paraId="1B386F8B">
            <w:pPr>
              <w:rPr>
                <w:rFonts w:hint="eastAsia"/>
                <w:color w:val="000000" w:themeColor="text1"/>
                <w14:textFill>
                  <w14:solidFill>
                    <w14:schemeClr w14:val="tx1"/>
                  </w14:solidFill>
                </w14:textFill>
              </w:rPr>
            </w:pPr>
          </w:p>
        </w:tc>
        <w:tc>
          <w:tcPr>
            <w:tcW w:w="1051" w:type="pct"/>
          </w:tcPr>
          <w:p w14:paraId="11C07756">
            <w:pPr>
              <w:rPr>
                <w:rFonts w:hint="eastAsia"/>
                <w:color w:val="000000" w:themeColor="text1"/>
                <w14:textFill>
                  <w14:solidFill>
                    <w14:schemeClr w14:val="tx1"/>
                  </w14:solidFill>
                </w14:textFill>
              </w:rPr>
            </w:pPr>
          </w:p>
        </w:tc>
        <w:tc>
          <w:tcPr>
            <w:tcW w:w="1055" w:type="pct"/>
          </w:tcPr>
          <w:p w14:paraId="6639D913">
            <w:pPr>
              <w:rPr>
                <w:rFonts w:hint="eastAsia"/>
                <w:color w:val="000000" w:themeColor="text1"/>
                <w14:textFill>
                  <w14:solidFill>
                    <w14:schemeClr w14:val="tx1"/>
                  </w14:solidFill>
                </w14:textFill>
              </w:rPr>
            </w:pPr>
          </w:p>
        </w:tc>
      </w:tr>
      <w:tr w14:paraId="6A3A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73D8BD41">
            <w:pPr>
              <w:jc w:val="center"/>
              <w:rPr>
                <w:bCs/>
              </w:rPr>
            </w:pPr>
          </w:p>
        </w:tc>
        <w:tc>
          <w:tcPr>
            <w:tcW w:w="268" w:type="pct"/>
            <w:vMerge w:val="continue"/>
            <w:vAlign w:val="center"/>
          </w:tcPr>
          <w:p w14:paraId="3AEFC7FE">
            <w:pPr>
              <w:jc w:val="center"/>
            </w:pPr>
          </w:p>
        </w:tc>
        <w:tc>
          <w:tcPr>
            <w:tcW w:w="1024" w:type="pct"/>
          </w:tcPr>
          <w:p w14:paraId="672ED529">
            <w:pPr>
              <w:rPr>
                <w:color w:val="000000" w:themeColor="text1"/>
                <w14:textFill>
                  <w14:solidFill>
                    <w14:schemeClr w14:val="tx1"/>
                  </w14:solidFill>
                </w14:textFill>
              </w:rPr>
            </w:pPr>
            <w:r>
              <w:rPr>
                <w:rFonts w:hint="eastAsia"/>
                <w:color w:val="000000" w:themeColor="text1"/>
                <w14:textFill>
                  <w14:solidFill>
                    <w14:schemeClr w14:val="tx1"/>
                  </w14:solidFill>
                </w14:textFill>
              </w:rPr>
              <w:t>3.2在无不可抗力影响的前提下，中标人将按时完成合同内容并确保所有工作均符合行业标准及本合同规定的质量标准。若因中标人导致设备工期延误或无法完成，进而影响中标人按时完成合同约定建设内容，中标人应在知晓此类情况后，立即通知甲方，详细说明延误或无法完成的原因、预计影响程度及已采取或拟采取的补救措施，并承担由此造成的甲方的相应损失：</w:t>
            </w:r>
          </w:p>
          <w:p w14:paraId="115DF5EC">
            <w:r>
              <w:rPr>
                <w:rFonts w:hint="eastAsia"/>
                <w:color w:val="000000" w:themeColor="text1"/>
                <w14:textFill>
                  <w14:solidFill>
                    <w14:schemeClr w14:val="tx1"/>
                  </w14:solidFill>
                </w14:textFill>
              </w:rPr>
              <w:t>（1）中标人不能交货的，需退回已支付货款并偿付全部货款的  10 %作为违约金。</w:t>
            </w:r>
            <w:r>
              <w:rPr>
                <w:rFonts w:ascii="Times New Roman" w:hAnsi="Times New Roman" w:cs="Times New Roman" w:eastAsiaTheme="majorEastAsia"/>
                <w:bCs/>
                <w:szCs w:val="21"/>
              </w:rPr>
              <w:t>同时，采购人有权单方面解除合同，投标人应当退还采购人已支付的合同款。如上述违约金金额仍不足以补偿采购人因投标人违约造成的损失，采购人有权进一步向投标人提出索赔。</w:t>
            </w:r>
          </w:p>
          <w:p w14:paraId="4DFEE5B3">
            <w:r>
              <w:rPr>
                <w:rFonts w:hint="eastAsia"/>
                <w:color w:val="000000" w:themeColor="text1"/>
                <w14:textFill>
                  <w14:solidFill>
                    <w14:schemeClr w14:val="tx1"/>
                  </w14:solidFill>
                </w14:textFill>
              </w:rPr>
              <w:t>（2）中标人应充分掌握逾期风险，若中标人未按期完成合同所有系统及设备的到货、安装、调试及验收的，构成工程验收逾期，每逾期一日，甲方每日按合同暂定总金额万分之五向中标人计收违约</w:t>
            </w:r>
            <w:r>
              <w:rPr>
                <w:rFonts w:hint="eastAsia"/>
              </w:rPr>
              <w:t>金。</w:t>
            </w:r>
            <w:r>
              <w:rPr>
                <w:rFonts w:ascii="Times New Roman" w:hAnsi="Times New Roman" w:cs="Times New Roman" w:eastAsiaTheme="majorEastAsia"/>
                <w:bCs/>
                <w:szCs w:val="21"/>
              </w:rPr>
              <w:t>违约金最高不超过合同总价的【5】%。</w:t>
            </w:r>
          </w:p>
          <w:p w14:paraId="505DD6A4">
            <w:pPr>
              <w:rPr>
                <w:color w:val="000000" w:themeColor="text1"/>
                <w14:textFill>
                  <w14:solidFill>
                    <w14:schemeClr w14:val="tx1"/>
                  </w14:solidFill>
                </w14:textFill>
              </w:rPr>
            </w:pPr>
            <w:r>
              <w:rPr>
                <w:rFonts w:hint="eastAsia"/>
                <w:color w:val="000000" w:themeColor="text1"/>
                <w14:textFill>
                  <w14:solidFill>
                    <w14:schemeClr w14:val="tx1"/>
                  </w14:solidFill>
                </w14:textFill>
              </w:rPr>
              <w:t>（3）中标人因自身原因导致设备到货、验收、安装、调试联机逾期、逾期超过【30个日历日】的，甲方有权向中标人发出书面催告，经催告后30个日历日，中标人仍未恢复履行的，甲方有权书面通知中标人解除本合同，合同剩余款项不予支付，中标人应赔偿甲方因此导致的相应损失。本合同自甲方书面解除通知送达中标人之日终止。</w:t>
            </w:r>
          </w:p>
          <w:p w14:paraId="67B315A1">
            <w:pPr>
              <w:rPr>
                <w:color w:val="000000" w:themeColor="text1"/>
                <w14:textFill>
                  <w14:solidFill>
                    <w14:schemeClr w14:val="tx1"/>
                  </w14:solidFill>
                </w14:textFill>
              </w:rPr>
            </w:pPr>
            <w:r>
              <w:rPr>
                <w:rFonts w:hint="eastAsia"/>
                <w:color w:val="000000" w:themeColor="text1"/>
                <w14:textFill>
                  <w14:solidFill>
                    <w14:schemeClr w14:val="tx1"/>
                  </w14:solidFill>
                </w14:textFill>
              </w:rPr>
              <w:t>（4）中标人应保证提交档案的准确性、真实性、完整性、及时性，如因中标人提交档案的原因造成档案验收、设施项目验收无法通过或延迟的，中标人应赔偿甲方因此产生的全部直接经济损失；造成严重后果的，甲方有权解除本合同，合同剩余款项不予支付，中标人应赔偿甲方因此导致的相应损失。</w:t>
            </w:r>
          </w:p>
          <w:p w14:paraId="4FF92B4F">
            <w:pPr>
              <w:spacing w:line="340" w:lineRule="exact"/>
              <w:rPr>
                <w:bCs/>
                <w:szCs w:val="21"/>
              </w:rPr>
            </w:pPr>
            <w:r>
              <w:rPr>
                <w:rFonts w:hint="eastAsia"/>
                <w:color w:val="000000" w:themeColor="text1"/>
                <w14:textFill>
                  <w14:solidFill>
                    <w14:schemeClr w14:val="tx1"/>
                  </w14:solidFill>
                </w14:textFill>
              </w:rPr>
              <w:t>（5）本合同履行过程中，若中标人有违反与本合同相关的国家、省、市各级法律法规、规章制度、办法条例、行业规范及深圳大设施相关规定的，由中标人承担责任并负责整改。</w:t>
            </w:r>
          </w:p>
        </w:tc>
        <w:tc>
          <w:tcPr>
            <w:tcW w:w="1051" w:type="pct"/>
          </w:tcPr>
          <w:p w14:paraId="293E2128">
            <w:pPr>
              <w:spacing w:line="340" w:lineRule="exact"/>
              <w:rPr>
                <w:rFonts w:hint="eastAsia"/>
                <w:color w:val="000000" w:themeColor="text1"/>
                <w14:textFill>
                  <w14:solidFill>
                    <w14:schemeClr w14:val="tx1"/>
                  </w14:solidFill>
                </w14:textFill>
              </w:rPr>
            </w:pPr>
          </w:p>
        </w:tc>
        <w:tc>
          <w:tcPr>
            <w:tcW w:w="1051" w:type="pct"/>
          </w:tcPr>
          <w:p w14:paraId="13DEE8E1">
            <w:pPr>
              <w:spacing w:line="340" w:lineRule="exact"/>
              <w:rPr>
                <w:rFonts w:hint="eastAsia"/>
                <w:color w:val="000000" w:themeColor="text1"/>
                <w14:textFill>
                  <w14:solidFill>
                    <w14:schemeClr w14:val="tx1"/>
                  </w14:solidFill>
                </w14:textFill>
              </w:rPr>
            </w:pPr>
          </w:p>
        </w:tc>
        <w:tc>
          <w:tcPr>
            <w:tcW w:w="1055" w:type="pct"/>
          </w:tcPr>
          <w:p w14:paraId="2B060A46">
            <w:pPr>
              <w:spacing w:line="340" w:lineRule="exact"/>
              <w:rPr>
                <w:rFonts w:hint="eastAsia"/>
                <w:color w:val="000000" w:themeColor="text1"/>
                <w14:textFill>
                  <w14:solidFill>
                    <w14:schemeClr w14:val="tx1"/>
                  </w14:solidFill>
                </w14:textFill>
              </w:rPr>
            </w:pPr>
          </w:p>
        </w:tc>
      </w:tr>
      <w:tr w14:paraId="1C02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216208F1">
            <w:pPr>
              <w:jc w:val="center"/>
              <w:rPr>
                <w:bCs/>
              </w:rPr>
            </w:pPr>
          </w:p>
        </w:tc>
        <w:tc>
          <w:tcPr>
            <w:tcW w:w="268" w:type="pct"/>
            <w:vMerge w:val="continue"/>
            <w:vAlign w:val="center"/>
          </w:tcPr>
          <w:p w14:paraId="4A2D1CF7">
            <w:pPr>
              <w:jc w:val="center"/>
            </w:pPr>
          </w:p>
        </w:tc>
        <w:tc>
          <w:tcPr>
            <w:tcW w:w="1024" w:type="pct"/>
          </w:tcPr>
          <w:p w14:paraId="654E1E86">
            <w:pPr>
              <w:spacing w:line="340" w:lineRule="exact"/>
            </w:pPr>
            <w:r>
              <w:rPr>
                <w:rFonts w:ascii="Times New Roman" w:hAnsi="Times New Roman" w:cs="Times New Roman" w:eastAsiaTheme="majorEastAsia"/>
                <w:bCs/>
                <w:szCs w:val="21"/>
              </w:rPr>
              <w:t>3.3若投标人未按本合同的约定提供保修等售后服务，采购人有权自行委托第三方提供采购人所需要的技术支持和售后服务，所发生的一切费用均由投标人承担，如因此造成采购人损失的，投标人应承担赔偿责任。投标人在履行售后服务过程中，因整改造成采购人损失的，应承担修复和赔偿责任。</w:t>
            </w:r>
          </w:p>
        </w:tc>
        <w:tc>
          <w:tcPr>
            <w:tcW w:w="1051" w:type="pct"/>
          </w:tcPr>
          <w:p w14:paraId="7C8CBC1B">
            <w:pPr>
              <w:spacing w:line="340" w:lineRule="exact"/>
              <w:rPr>
                <w:rFonts w:ascii="Times New Roman" w:hAnsi="Times New Roman" w:cs="Times New Roman" w:eastAsiaTheme="majorEastAsia"/>
                <w:bCs/>
                <w:szCs w:val="21"/>
              </w:rPr>
            </w:pPr>
          </w:p>
        </w:tc>
        <w:tc>
          <w:tcPr>
            <w:tcW w:w="1051" w:type="pct"/>
          </w:tcPr>
          <w:p w14:paraId="05B61190">
            <w:pPr>
              <w:spacing w:line="340" w:lineRule="exact"/>
              <w:rPr>
                <w:rFonts w:ascii="Times New Roman" w:hAnsi="Times New Roman" w:cs="Times New Roman" w:eastAsiaTheme="majorEastAsia"/>
                <w:bCs/>
                <w:szCs w:val="21"/>
              </w:rPr>
            </w:pPr>
          </w:p>
        </w:tc>
        <w:tc>
          <w:tcPr>
            <w:tcW w:w="1055" w:type="pct"/>
          </w:tcPr>
          <w:p w14:paraId="0BB6A924">
            <w:pPr>
              <w:spacing w:line="340" w:lineRule="exact"/>
              <w:rPr>
                <w:rFonts w:ascii="Times New Roman" w:hAnsi="Times New Roman" w:cs="Times New Roman" w:eastAsiaTheme="majorEastAsia"/>
                <w:bCs/>
                <w:szCs w:val="21"/>
              </w:rPr>
            </w:pPr>
          </w:p>
        </w:tc>
      </w:tr>
      <w:tr w14:paraId="7178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78338A9E">
            <w:pPr>
              <w:jc w:val="center"/>
              <w:rPr>
                <w:bCs/>
              </w:rPr>
            </w:pPr>
          </w:p>
        </w:tc>
        <w:tc>
          <w:tcPr>
            <w:tcW w:w="268" w:type="pct"/>
            <w:vMerge w:val="continue"/>
            <w:vAlign w:val="center"/>
          </w:tcPr>
          <w:p w14:paraId="2A62E46A">
            <w:pPr>
              <w:jc w:val="center"/>
            </w:pPr>
          </w:p>
        </w:tc>
        <w:tc>
          <w:tcPr>
            <w:tcW w:w="1024" w:type="pct"/>
          </w:tcPr>
          <w:p w14:paraId="7F2D87DD">
            <w:pPr>
              <w:spacing w:line="340" w:lineRule="exact"/>
              <w:rPr>
                <w:rFonts w:ascii="Times New Roman" w:hAnsi="Times New Roman" w:cs="Times New Roman" w:eastAsiaTheme="majorEastAsia"/>
                <w:bCs/>
                <w:szCs w:val="21"/>
              </w:rPr>
            </w:pPr>
            <w:r>
              <w:rPr>
                <w:rFonts w:ascii="Times New Roman" w:hAnsi="Times New Roman" w:cs="Times New Roman" w:eastAsiaTheme="majorEastAsia"/>
                <w:bCs/>
                <w:szCs w:val="21"/>
              </w:rPr>
              <w:t>3.4违约方未能履行本协议给守约方造成任何经济损失、使守约方遭受第三方追索或受到行政机关处罚的，违约方应当赔偿守约方全部损失，包括但不限于实际损失、因维权或追索而产生的全部开支、律师费、诉讼费、保全费、担保费、差旅费以及其他相关费用等。</w:t>
            </w:r>
          </w:p>
        </w:tc>
        <w:tc>
          <w:tcPr>
            <w:tcW w:w="1051" w:type="pct"/>
          </w:tcPr>
          <w:p w14:paraId="2E18FDB0">
            <w:pPr>
              <w:spacing w:line="340" w:lineRule="exact"/>
              <w:rPr>
                <w:rFonts w:ascii="Times New Roman" w:hAnsi="Times New Roman" w:cs="Times New Roman" w:eastAsiaTheme="majorEastAsia"/>
                <w:bCs/>
                <w:szCs w:val="21"/>
              </w:rPr>
            </w:pPr>
          </w:p>
        </w:tc>
        <w:tc>
          <w:tcPr>
            <w:tcW w:w="1051" w:type="pct"/>
          </w:tcPr>
          <w:p w14:paraId="37EF1CA4">
            <w:pPr>
              <w:spacing w:line="340" w:lineRule="exact"/>
              <w:rPr>
                <w:rFonts w:ascii="Times New Roman" w:hAnsi="Times New Roman" w:cs="Times New Roman" w:eastAsiaTheme="majorEastAsia"/>
                <w:bCs/>
                <w:szCs w:val="21"/>
              </w:rPr>
            </w:pPr>
          </w:p>
        </w:tc>
        <w:tc>
          <w:tcPr>
            <w:tcW w:w="1055" w:type="pct"/>
          </w:tcPr>
          <w:p w14:paraId="3AA69E58">
            <w:pPr>
              <w:spacing w:line="340" w:lineRule="exact"/>
              <w:rPr>
                <w:rFonts w:ascii="Times New Roman" w:hAnsi="Times New Roman" w:cs="Times New Roman" w:eastAsiaTheme="majorEastAsia"/>
                <w:bCs/>
                <w:szCs w:val="21"/>
              </w:rPr>
            </w:pPr>
          </w:p>
        </w:tc>
      </w:tr>
      <w:tr w14:paraId="735C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42154560">
            <w:pPr>
              <w:jc w:val="center"/>
              <w:rPr>
                <w:bCs/>
              </w:rPr>
            </w:pPr>
          </w:p>
        </w:tc>
        <w:tc>
          <w:tcPr>
            <w:tcW w:w="268" w:type="pct"/>
            <w:vMerge w:val="continue"/>
            <w:vAlign w:val="center"/>
          </w:tcPr>
          <w:p w14:paraId="47B16D17">
            <w:pPr>
              <w:jc w:val="center"/>
            </w:pPr>
          </w:p>
        </w:tc>
        <w:tc>
          <w:tcPr>
            <w:tcW w:w="1024" w:type="pct"/>
          </w:tcPr>
          <w:p w14:paraId="6877B4EA">
            <w:pPr>
              <w:spacing w:line="340" w:lineRule="exact"/>
              <w:rPr>
                <w:rFonts w:ascii="Times New Roman" w:hAnsi="Times New Roman" w:cs="Times New Roman" w:eastAsiaTheme="majorEastAsia"/>
                <w:bCs/>
                <w:szCs w:val="21"/>
              </w:rPr>
            </w:pPr>
            <w:r>
              <w:rPr>
                <w:rFonts w:ascii="Times New Roman" w:hAnsi="Times New Roman" w:cs="Times New Roman" w:eastAsiaTheme="majorEastAsia"/>
                <w:bCs/>
                <w:szCs w:val="21"/>
              </w:rPr>
              <w:t>3.5投标人在项目验收前未将全部产品合格证、说明书、使用手册、关键节点交付文件、测试和验收报告等交付采购人的，采购人有权不予验收，并有权要求投标人赔偿采购人因此导致的相关损失。对研制类设备，具体交付资料以实际情况为准。</w:t>
            </w:r>
          </w:p>
        </w:tc>
        <w:tc>
          <w:tcPr>
            <w:tcW w:w="1051" w:type="pct"/>
          </w:tcPr>
          <w:p w14:paraId="069C268D">
            <w:pPr>
              <w:spacing w:line="340" w:lineRule="exact"/>
              <w:rPr>
                <w:rFonts w:ascii="Times New Roman" w:hAnsi="Times New Roman" w:cs="Times New Roman" w:eastAsiaTheme="majorEastAsia"/>
                <w:bCs/>
                <w:szCs w:val="21"/>
              </w:rPr>
            </w:pPr>
          </w:p>
        </w:tc>
        <w:tc>
          <w:tcPr>
            <w:tcW w:w="1051" w:type="pct"/>
          </w:tcPr>
          <w:p w14:paraId="377222FB">
            <w:pPr>
              <w:spacing w:line="340" w:lineRule="exact"/>
              <w:rPr>
                <w:rFonts w:ascii="Times New Roman" w:hAnsi="Times New Roman" w:cs="Times New Roman" w:eastAsiaTheme="majorEastAsia"/>
                <w:bCs/>
                <w:szCs w:val="21"/>
              </w:rPr>
            </w:pPr>
          </w:p>
        </w:tc>
        <w:tc>
          <w:tcPr>
            <w:tcW w:w="1055" w:type="pct"/>
          </w:tcPr>
          <w:p w14:paraId="58A00B7F">
            <w:pPr>
              <w:spacing w:line="340" w:lineRule="exact"/>
              <w:rPr>
                <w:rFonts w:ascii="Times New Roman" w:hAnsi="Times New Roman" w:cs="Times New Roman" w:eastAsiaTheme="majorEastAsia"/>
                <w:bCs/>
                <w:szCs w:val="21"/>
              </w:rPr>
            </w:pPr>
          </w:p>
        </w:tc>
      </w:tr>
      <w:tr w14:paraId="638E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05F0123A">
            <w:pPr>
              <w:jc w:val="center"/>
              <w:rPr>
                <w:bCs/>
              </w:rPr>
            </w:pPr>
          </w:p>
        </w:tc>
        <w:tc>
          <w:tcPr>
            <w:tcW w:w="268" w:type="pct"/>
            <w:vMerge w:val="continue"/>
            <w:vAlign w:val="center"/>
          </w:tcPr>
          <w:p w14:paraId="747ECE56">
            <w:pPr>
              <w:jc w:val="center"/>
            </w:pPr>
          </w:p>
        </w:tc>
        <w:tc>
          <w:tcPr>
            <w:tcW w:w="1024" w:type="pct"/>
          </w:tcPr>
          <w:p w14:paraId="0E6F2D7A">
            <w:pPr>
              <w:spacing w:line="340" w:lineRule="exact"/>
              <w:rPr>
                <w:bCs/>
                <w:szCs w:val="21"/>
              </w:rPr>
            </w:pPr>
            <w:r>
              <w:rPr>
                <w:rFonts w:hint="eastAsia"/>
                <w:color w:val="000000" w:themeColor="text1"/>
                <w14:textFill>
                  <w14:solidFill>
                    <w14:schemeClr w14:val="tx1"/>
                  </w14:solidFill>
                </w14:textFill>
              </w:rPr>
              <w:t>3.6中标人所交设备质量不能符合其投标承诺的技术要求及质量保证要求的，或在投标阶段为了中标而盲目虚假承诺、低价恶性竞争，在履约阶段则通过偷工减料、以次充好而获取利润的，采购人有权拒绝接收，并要求投标人在双方确定的合理期限内完成整改，整改工作不得延误合同规定的交货期限，若产生赶工费用，由投标人承担且投标人应额外赔偿采购人因此产生的全部经济损失。</w:t>
            </w:r>
          </w:p>
        </w:tc>
        <w:tc>
          <w:tcPr>
            <w:tcW w:w="1051" w:type="pct"/>
          </w:tcPr>
          <w:p w14:paraId="45268CBB">
            <w:pPr>
              <w:spacing w:line="340" w:lineRule="exact"/>
              <w:rPr>
                <w:rFonts w:hint="eastAsia"/>
                <w:color w:val="000000" w:themeColor="text1"/>
                <w14:textFill>
                  <w14:solidFill>
                    <w14:schemeClr w14:val="tx1"/>
                  </w14:solidFill>
                </w14:textFill>
              </w:rPr>
            </w:pPr>
          </w:p>
        </w:tc>
        <w:tc>
          <w:tcPr>
            <w:tcW w:w="1051" w:type="pct"/>
          </w:tcPr>
          <w:p w14:paraId="2810E864">
            <w:pPr>
              <w:spacing w:line="340" w:lineRule="exact"/>
              <w:rPr>
                <w:rFonts w:hint="eastAsia"/>
                <w:color w:val="000000" w:themeColor="text1"/>
                <w14:textFill>
                  <w14:solidFill>
                    <w14:schemeClr w14:val="tx1"/>
                  </w14:solidFill>
                </w14:textFill>
              </w:rPr>
            </w:pPr>
          </w:p>
        </w:tc>
        <w:tc>
          <w:tcPr>
            <w:tcW w:w="1055" w:type="pct"/>
          </w:tcPr>
          <w:p w14:paraId="5F3EE3D5">
            <w:pPr>
              <w:spacing w:line="340" w:lineRule="exact"/>
              <w:rPr>
                <w:rFonts w:hint="eastAsia"/>
                <w:color w:val="000000" w:themeColor="text1"/>
                <w14:textFill>
                  <w14:solidFill>
                    <w14:schemeClr w14:val="tx1"/>
                  </w14:solidFill>
                </w14:textFill>
              </w:rPr>
            </w:pPr>
          </w:p>
        </w:tc>
      </w:tr>
      <w:tr w14:paraId="734B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073E8480">
            <w:pPr>
              <w:jc w:val="center"/>
              <w:rPr>
                <w:bCs/>
              </w:rPr>
            </w:pPr>
          </w:p>
        </w:tc>
        <w:tc>
          <w:tcPr>
            <w:tcW w:w="268" w:type="pct"/>
            <w:vMerge w:val="continue"/>
            <w:vAlign w:val="center"/>
          </w:tcPr>
          <w:p w14:paraId="2D643D38">
            <w:pPr>
              <w:jc w:val="center"/>
            </w:pPr>
          </w:p>
        </w:tc>
        <w:tc>
          <w:tcPr>
            <w:tcW w:w="1024" w:type="pct"/>
          </w:tcPr>
          <w:p w14:paraId="783B59A8">
            <w:pPr>
              <w:rPr>
                <w:color w:val="000000" w:themeColor="text1"/>
                <w14:textFill>
                  <w14:solidFill>
                    <w14:schemeClr w14:val="tx1"/>
                  </w14:solidFill>
                </w14:textFill>
              </w:rPr>
            </w:pPr>
            <w:r>
              <w:rPr>
                <w:rFonts w:hint="eastAsia"/>
                <w:color w:val="000000" w:themeColor="text1"/>
                <w14:textFill>
                  <w14:solidFill>
                    <w14:schemeClr w14:val="tx1"/>
                  </w14:solidFill>
                </w14:textFill>
              </w:rPr>
              <w:t>3.7中标人提供的货物不符合质量标准或存在货物质量缺陷，采购人有权根据法定质量检测部门出具的检验证书向中标人提出索赔。如在质量保证期内，中标人对缺陷货物负有责任而采购人提出索赔，中标人应按照采购人同意的下列一种或多种方式解决索赔事宜：</w:t>
            </w:r>
          </w:p>
          <w:p w14:paraId="6270B00A">
            <w:pPr>
              <w:rPr>
                <w:color w:val="000000" w:themeColor="text1"/>
                <w14:textFill>
                  <w14:solidFill>
                    <w14:schemeClr w14:val="tx1"/>
                  </w14:solidFill>
                </w14:textFill>
              </w:rPr>
            </w:pPr>
            <w:r>
              <w:rPr>
                <w:rFonts w:hint="eastAsia"/>
                <w:color w:val="000000" w:themeColor="text1"/>
                <w14:textFill>
                  <w14:solidFill>
                    <w14:schemeClr w14:val="tx1"/>
                  </w14:solidFill>
                </w14:textFill>
              </w:rPr>
              <w:t>（1）中标人同意退货并将货款退还给采购人，由此发生的一切费用和损失由中标人承担。</w:t>
            </w:r>
          </w:p>
          <w:p w14:paraId="48849E62">
            <w:pPr>
              <w:rPr>
                <w:color w:val="000000" w:themeColor="text1"/>
                <w14:textFill>
                  <w14:solidFill>
                    <w14:schemeClr w14:val="tx1"/>
                  </w14:solidFill>
                </w14:textFill>
              </w:rPr>
            </w:pPr>
            <w:r>
              <w:rPr>
                <w:rFonts w:hint="eastAsia"/>
                <w:color w:val="000000" w:themeColor="text1"/>
                <w14:textFill>
                  <w14:solidFill>
                    <w14:schemeClr w14:val="tx1"/>
                  </w14:solidFill>
                </w14:textFill>
              </w:rPr>
              <w:t>（2）根据货物的质量状况以及采购人所遭受的损失，经过双方商定降低货物的价格。</w:t>
            </w:r>
          </w:p>
          <w:p w14:paraId="2C0D6C60">
            <w:pPr>
              <w:spacing w:line="340" w:lineRule="exact"/>
              <w:rPr>
                <w:bCs/>
                <w:szCs w:val="21"/>
              </w:rPr>
            </w:pPr>
            <w:r>
              <w:rPr>
                <w:rFonts w:hint="eastAsia"/>
                <w:color w:val="000000" w:themeColor="text1"/>
                <w14:textFill>
                  <w14:solidFill>
                    <w14:schemeClr w14:val="tx1"/>
                  </w14:solidFill>
                </w14:textFill>
              </w:rPr>
              <w:t>（3）中标人应在接到采购人通知后七天内负责采用符合合同规定的规格、质量和性能要求的新零件、部件和设备来替换有缺陷的部分或修补缺陷部分，其费用由中标人负担。同时，中标人应在约定的质量保证期基础上相应延长修补和/或替换件的质量保证期。</w:t>
            </w:r>
          </w:p>
        </w:tc>
        <w:tc>
          <w:tcPr>
            <w:tcW w:w="1051" w:type="pct"/>
          </w:tcPr>
          <w:p w14:paraId="79835216">
            <w:pPr>
              <w:spacing w:line="340" w:lineRule="exact"/>
              <w:rPr>
                <w:rFonts w:hint="eastAsia"/>
                <w:color w:val="000000" w:themeColor="text1"/>
                <w14:textFill>
                  <w14:solidFill>
                    <w14:schemeClr w14:val="tx1"/>
                  </w14:solidFill>
                </w14:textFill>
              </w:rPr>
            </w:pPr>
          </w:p>
        </w:tc>
        <w:tc>
          <w:tcPr>
            <w:tcW w:w="1051" w:type="pct"/>
          </w:tcPr>
          <w:p w14:paraId="3161E8AF">
            <w:pPr>
              <w:spacing w:line="340" w:lineRule="exact"/>
              <w:rPr>
                <w:rFonts w:hint="eastAsia"/>
                <w:color w:val="000000" w:themeColor="text1"/>
                <w14:textFill>
                  <w14:solidFill>
                    <w14:schemeClr w14:val="tx1"/>
                  </w14:solidFill>
                </w14:textFill>
              </w:rPr>
            </w:pPr>
          </w:p>
        </w:tc>
        <w:tc>
          <w:tcPr>
            <w:tcW w:w="1055" w:type="pct"/>
          </w:tcPr>
          <w:p w14:paraId="784D5A39">
            <w:pPr>
              <w:spacing w:line="340" w:lineRule="exact"/>
              <w:rPr>
                <w:rFonts w:hint="eastAsia"/>
                <w:color w:val="000000" w:themeColor="text1"/>
                <w14:textFill>
                  <w14:solidFill>
                    <w14:schemeClr w14:val="tx1"/>
                  </w14:solidFill>
                </w14:textFill>
              </w:rPr>
            </w:pPr>
          </w:p>
        </w:tc>
      </w:tr>
      <w:tr w14:paraId="549D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5191B883">
            <w:pPr>
              <w:jc w:val="center"/>
              <w:rPr>
                <w:bCs/>
              </w:rPr>
            </w:pPr>
          </w:p>
        </w:tc>
        <w:tc>
          <w:tcPr>
            <w:tcW w:w="268" w:type="pct"/>
            <w:vMerge w:val="continue"/>
            <w:vAlign w:val="center"/>
          </w:tcPr>
          <w:p w14:paraId="48F516FA">
            <w:pPr>
              <w:jc w:val="center"/>
            </w:pPr>
          </w:p>
        </w:tc>
        <w:tc>
          <w:tcPr>
            <w:tcW w:w="1024" w:type="pct"/>
          </w:tcPr>
          <w:p w14:paraId="3895D6D1">
            <w:pPr>
              <w:spacing w:line="340" w:lineRule="exact"/>
              <w:rPr>
                <w:color w:val="000000" w:themeColor="text1"/>
                <w14:textFill>
                  <w14:solidFill>
                    <w14:schemeClr w14:val="tx1"/>
                  </w14:solidFill>
                </w14:textFill>
              </w:rPr>
            </w:pPr>
            <w:r>
              <w:rPr>
                <w:rFonts w:ascii="Times New Roman" w:hAnsi="Times New Roman" w:cs="Times New Roman" w:eastAsiaTheme="majorEastAsia"/>
                <w:bCs/>
                <w:szCs w:val="21"/>
              </w:rPr>
              <w:t>3.8本合同项下，投标人应向采购人支付的全部款项，包括但不限于违约金、赔偿金、补偿金等，采购人均可从投标人的剩余货款中直接扣除（扣除顺序由采购人自行决定）。</w:t>
            </w:r>
          </w:p>
        </w:tc>
        <w:tc>
          <w:tcPr>
            <w:tcW w:w="1051" w:type="pct"/>
          </w:tcPr>
          <w:p w14:paraId="2491EAE2">
            <w:pPr>
              <w:spacing w:line="340" w:lineRule="exact"/>
              <w:rPr>
                <w:rFonts w:ascii="Times New Roman" w:hAnsi="Times New Roman" w:cs="Times New Roman" w:eastAsiaTheme="majorEastAsia"/>
                <w:bCs/>
                <w:szCs w:val="21"/>
              </w:rPr>
            </w:pPr>
          </w:p>
        </w:tc>
        <w:tc>
          <w:tcPr>
            <w:tcW w:w="1051" w:type="pct"/>
          </w:tcPr>
          <w:p w14:paraId="74418F4E">
            <w:pPr>
              <w:spacing w:line="340" w:lineRule="exact"/>
              <w:rPr>
                <w:rFonts w:ascii="Times New Roman" w:hAnsi="Times New Roman" w:cs="Times New Roman" w:eastAsiaTheme="majorEastAsia"/>
                <w:bCs/>
                <w:szCs w:val="21"/>
              </w:rPr>
            </w:pPr>
          </w:p>
        </w:tc>
        <w:tc>
          <w:tcPr>
            <w:tcW w:w="1055" w:type="pct"/>
          </w:tcPr>
          <w:p w14:paraId="3F8B706C">
            <w:pPr>
              <w:spacing w:line="340" w:lineRule="exact"/>
              <w:rPr>
                <w:rFonts w:ascii="Times New Roman" w:hAnsi="Times New Roman" w:cs="Times New Roman" w:eastAsiaTheme="majorEastAsia"/>
                <w:bCs/>
                <w:szCs w:val="21"/>
              </w:rPr>
            </w:pPr>
          </w:p>
        </w:tc>
      </w:tr>
      <w:tr w14:paraId="35E8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vAlign w:val="center"/>
          </w:tcPr>
          <w:p w14:paraId="4C4A1809">
            <w:pPr>
              <w:jc w:val="center"/>
              <w:rPr>
                <w:bCs/>
              </w:rPr>
            </w:pPr>
            <w:r>
              <w:rPr>
                <w:rFonts w:hint="eastAsia"/>
                <w:bCs/>
              </w:rPr>
              <w:t>4</w:t>
            </w:r>
          </w:p>
        </w:tc>
        <w:tc>
          <w:tcPr>
            <w:tcW w:w="268" w:type="pct"/>
            <w:vMerge w:val="restart"/>
            <w:vAlign w:val="center"/>
          </w:tcPr>
          <w:p w14:paraId="00764E65">
            <w:r>
              <w:rPr>
                <w:rFonts w:hint="eastAsia"/>
                <w:bCs/>
                <w:color w:val="000000" w:themeColor="text1"/>
                <w:szCs w:val="21"/>
                <w14:textFill>
                  <w14:solidFill>
                    <w14:schemeClr w14:val="tx1"/>
                  </w14:solidFill>
                </w14:textFill>
              </w:rPr>
              <w:t>★</w:t>
            </w:r>
            <w:r>
              <w:rPr>
                <w:rFonts w:ascii="Times New Roman" w:hAnsi="Times New Roman" w:cs="Times New Roman" w:eastAsiaTheme="majorEastAsia"/>
                <w:bCs/>
                <w:color w:val="000000"/>
                <w:szCs w:val="21"/>
              </w:rPr>
              <w:t>付款方式</w:t>
            </w:r>
          </w:p>
        </w:tc>
        <w:tc>
          <w:tcPr>
            <w:tcW w:w="1024" w:type="pct"/>
          </w:tcPr>
          <w:p w14:paraId="59E4075B">
            <w:pPr>
              <w:spacing w:line="340" w:lineRule="exact"/>
              <w:rPr>
                <w:bCs/>
                <w:szCs w:val="21"/>
              </w:rPr>
            </w:pPr>
            <w:r>
              <w:rPr>
                <w:rFonts w:hint="eastAsia"/>
                <w:bCs/>
                <w:color w:val="000000" w:themeColor="text1"/>
                <w:szCs w:val="21"/>
                <w14:textFill>
                  <w14:solidFill>
                    <w14:schemeClr w14:val="tx1"/>
                  </w14:solidFill>
                </w14:textFill>
              </w:rPr>
              <w:t>4.1支付合同款项时，一律不向中标人以外的任何第三方办理付款手续。开户行和帐号以合同签订的为准，如果中标人要求变更，则中标人必须提供加盖了单位公章、法定代表人签字的证明文件，报经采购人审查同意。</w:t>
            </w:r>
          </w:p>
        </w:tc>
        <w:tc>
          <w:tcPr>
            <w:tcW w:w="1051" w:type="pct"/>
          </w:tcPr>
          <w:p w14:paraId="5E78FAA5">
            <w:pPr>
              <w:spacing w:line="340" w:lineRule="exact"/>
              <w:rPr>
                <w:rFonts w:hint="eastAsia"/>
                <w:bCs/>
                <w:color w:val="000000" w:themeColor="text1"/>
                <w:szCs w:val="21"/>
                <w14:textFill>
                  <w14:solidFill>
                    <w14:schemeClr w14:val="tx1"/>
                  </w14:solidFill>
                </w14:textFill>
              </w:rPr>
            </w:pPr>
          </w:p>
        </w:tc>
        <w:tc>
          <w:tcPr>
            <w:tcW w:w="1051" w:type="pct"/>
          </w:tcPr>
          <w:p w14:paraId="12443A9C">
            <w:pPr>
              <w:spacing w:line="340" w:lineRule="exact"/>
              <w:rPr>
                <w:rFonts w:hint="eastAsia"/>
                <w:bCs/>
                <w:color w:val="000000" w:themeColor="text1"/>
                <w:szCs w:val="21"/>
                <w14:textFill>
                  <w14:solidFill>
                    <w14:schemeClr w14:val="tx1"/>
                  </w14:solidFill>
                </w14:textFill>
              </w:rPr>
            </w:pPr>
          </w:p>
        </w:tc>
        <w:tc>
          <w:tcPr>
            <w:tcW w:w="1055" w:type="pct"/>
          </w:tcPr>
          <w:p w14:paraId="118BCDF0">
            <w:pPr>
              <w:spacing w:line="340" w:lineRule="exact"/>
              <w:rPr>
                <w:rFonts w:hint="eastAsia"/>
                <w:bCs/>
                <w:color w:val="000000" w:themeColor="text1"/>
                <w:szCs w:val="21"/>
                <w14:textFill>
                  <w14:solidFill>
                    <w14:schemeClr w14:val="tx1"/>
                  </w14:solidFill>
                </w14:textFill>
              </w:rPr>
            </w:pPr>
          </w:p>
        </w:tc>
      </w:tr>
      <w:tr w14:paraId="1FE7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402E8E83">
            <w:pPr>
              <w:jc w:val="center"/>
              <w:rPr>
                <w:bCs/>
              </w:rPr>
            </w:pPr>
          </w:p>
        </w:tc>
        <w:tc>
          <w:tcPr>
            <w:tcW w:w="268" w:type="pct"/>
            <w:vMerge w:val="continue"/>
            <w:vAlign w:val="center"/>
          </w:tcPr>
          <w:p w14:paraId="71C4B13C"/>
        </w:tc>
        <w:tc>
          <w:tcPr>
            <w:tcW w:w="1024" w:type="pct"/>
          </w:tcPr>
          <w:p w14:paraId="3C9017B1">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4.2付款方式：</w:t>
            </w:r>
          </w:p>
          <w:p w14:paraId="15A81307">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（1）合同签订后，中标人向采购方提交付款申请单及相应增值税专用发票后10个工作日内，采购方向乙方支付合同总价3</w:t>
            </w:r>
            <w:r>
              <w:rPr>
                <w:rFonts w:ascii="Times New Roman" w:hAnsi="Times New Roman" w:cs="Times New Roman" w:eastAsiaTheme="majorEastAsia"/>
                <w:bCs/>
                <w:color w:val="000000" w:themeColor="text1"/>
                <w:szCs w:val="21"/>
                <w14:textFill>
                  <w14:solidFill>
                    <w14:schemeClr w14:val="tx1"/>
                  </w14:solidFill>
                </w14:textFill>
              </w:rPr>
              <w:t>0</w:t>
            </w:r>
            <w:r>
              <w:rPr>
                <w:rFonts w:hint="eastAsia" w:ascii="Times New Roman" w:hAnsi="Times New Roman" w:cs="Times New Roman" w:eastAsiaTheme="majorEastAsia"/>
                <w:bCs/>
                <w:color w:val="000000" w:themeColor="text1"/>
                <w:szCs w:val="21"/>
                <w14:textFill>
                  <w14:solidFill>
                    <w14:schemeClr w14:val="tx1"/>
                  </w14:solidFill>
                </w14:textFill>
              </w:rPr>
              <w:t>%的款项；</w:t>
            </w:r>
          </w:p>
          <w:p w14:paraId="6E8E2BA9">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2）中标人完成详细设计方案，编制完成实施方案、质量计划、详细设计报告及图纸、零部件明细表、安装调试大纲及技术验收规范等文件，并通过专家评审后，提交付款申请单及相应增值税专用发票后10个工作日内，采购方向乙方支付合同总价</w:t>
            </w:r>
            <w:r>
              <w:rPr>
                <w:rFonts w:ascii="Times New Roman" w:hAnsi="Times New Roman" w:cs="Times New Roman" w:eastAsiaTheme="majorEastAsia"/>
                <w:bCs/>
                <w:color w:val="000000" w:themeColor="text1"/>
                <w:szCs w:val="21"/>
                <w14:textFill>
                  <w14:solidFill>
                    <w14:schemeClr w14:val="tx1"/>
                  </w14:solidFill>
                </w14:textFill>
              </w:rPr>
              <w:t>20</w:t>
            </w:r>
            <w:r>
              <w:rPr>
                <w:rFonts w:hint="eastAsia" w:ascii="Times New Roman" w:hAnsi="Times New Roman" w:cs="Times New Roman" w:eastAsiaTheme="majorEastAsia"/>
                <w:bCs/>
                <w:color w:val="000000" w:themeColor="text1"/>
                <w:szCs w:val="21"/>
                <w14:textFill>
                  <w14:solidFill>
                    <w14:schemeClr w14:val="tx1"/>
                  </w14:solidFill>
                </w14:textFill>
              </w:rPr>
              <w:t>%的款项；</w:t>
            </w:r>
          </w:p>
          <w:p w14:paraId="490E2266">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w:t>
            </w:r>
            <w:r>
              <w:rPr>
                <w:rFonts w:ascii="Times New Roman" w:hAnsi="Times New Roman" w:cs="Times New Roman" w:eastAsiaTheme="majorEastAsia"/>
                <w:bCs/>
                <w:color w:val="000000" w:themeColor="text1"/>
                <w:szCs w:val="21"/>
                <w14:textFill>
                  <w14:solidFill>
                    <w14:schemeClr w14:val="tx1"/>
                  </w14:solidFill>
                </w14:textFill>
              </w:rPr>
              <w:t>3</w:t>
            </w:r>
            <w:r>
              <w:rPr>
                <w:rFonts w:hint="eastAsia" w:ascii="Times New Roman" w:hAnsi="Times New Roman" w:cs="Times New Roman" w:eastAsiaTheme="majorEastAsia"/>
                <w:bCs/>
                <w:color w:val="000000" w:themeColor="text1"/>
                <w:szCs w:val="21"/>
                <w14:textFill>
                  <w14:solidFill>
                    <w14:schemeClr w14:val="tx1"/>
                  </w14:solidFill>
                </w14:textFill>
              </w:rPr>
              <w:t>）全部货物统一发货前，中标人提交货物运输单，完成项目实施过程中要求的质量控制点管控工作的检查及存档，提交付款申请单及相应增值税专用发票后10个工作日内支付合同总价3</w:t>
            </w:r>
            <w:r>
              <w:rPr>
                <w:rFonts w:ascii="Times New Roman" w:hAnsi="Times New Roman" w:cs="Times New Roman" w:eastAsiaTheme="majorEastAsia"/>
                <w:bCs/>
                <w:color w:val="000000" w:themeColor="text1"/>
                <w:szCs w:val="21"/>
                <w14:textFill>
                  <w14:solidFill>
                    <w14:schemeClr w14:val="tx1"/>
                  </w14:solidFill>
                </w14:textFill>
              </w:rPr>
              <w:t>0</w:t>
            </w:r>
            <w:r>
              <w:rPr>
                <w:rFonts w:hint="eastAsia" w:ascii="Times New Roman" w:hAnsi="Times New Roman" w:cs="Times New Roman" w:eastAsiaTheme="majorEastAsia"/>
                <w:bCs/>
                <w:color w:val="000000" w:themeColor="text1"/>
                <w:szCs w:val="21"/>
                <w14:textFill>
                  <w14:solidFill>
                    <w14:schemeClr w14:val="tx1"/>
                  </w14:solidFill>
                </w14:textFill>
              </w:rPr>
              <w:t>%款项；</w:t>
            </w:r>
          </w:p>
          <w:p w14:paraId="40DF53E6">
            <w:pPr>
              <w:rPr>
                <w:rFonts w:ascii="Times New Roman" w:hAnsi="Times New Roman" w:cs="Times New Roman" w:eastAsiaTheme="majorEastAsia"/>
                <w:bCs/>
                <w:color w:val="000000" w:themeColor="text1"/>
                <w:szCs w:val="21"/>
                <w14:textFill>
                  <w14:solidFill>
                    <w14:schemeClr w14:val="tx1"/>
                  </w14:solidFill>
                </w14:textFill>
              </w:rPr>
            </w:pPr>
            <w:r>
              <w:rPr>
                <w:rFonts w:hint="eastAsia" w:ascii="Times New Roman" w:hAnsi="Times New Roman" w:cs="Times New Roman" w:eastAsiaTheme="majorEastAsia"/>
                <w:bCs/>
                <w:color w:val="000000" w:themeColor="text1"/>
                <w:szCs w:val="21"/>
                <w14:textFill>
                  <w14:solidFill>
                    <w14:schemeClr w14:val="tx1"/>
                  </w14:solidFill>
                </w14:textFill>
              </w:rPr>
              <w:t>（</w:t>
            </w:r>
            <w:r>
              <w:rPr>
                <w:rFonts w:ascii="Times New Roman" w:hAnsi="Times New Roman" w:cs="Times New Roman" w:eastAsiaTheme="majorEastAsia"/>
                <w:bCs/>
                <w:color w:val="000000" w:themeColor="text1"/>
                <w:szCs w:val="21"/>
                <w14:textFill>
                  <w14:solidFill>
                    <w14:schemeClr w14:val="tx1"/>
                  </w14:solidFill>
                </w14:textFill>
              </w:rPr>
              <w:t>4</w:t>
            </w:r>
            <w:r>
              <w:rPr>
                <w:rFonts w:hint="eastAsia" w:ascii="Times New Roman" w:hAnsi="Times New Roman" w:cs="Times New Roman" w:eastAsiaTheme="majorEastAsia"/>
                <w:bCs/>
                <w:color w:val="000000" w:themeColor="text1"/>
                <w:szCs w:val="21"/>
                <w14:textFill>
                  <w14:solidFill>
                    <w14:schemeClr w14:val="tx1"/>
                  </w14:solidFill>
                </w14:textFill>
              </w:rPr>
              <w:t>）中标人将全部货物送到采购方指定地点</w:t>
            </w:r>
            <w:r>
              <w:rPr>
                <w:rFonts w:ascii="Times New Roman" w:hAnsi="Times New Roman" w:cs="Times New Roman" w:eastAsiaTheme="majorEastAsia"/>
                <w:bCs/>
                <w:color w:val="000000" w:themeColor="text1"/>
                <w:szCs w:val="21"/>
                <w14:textFill>
                  <w14:solidFill>
                    <w14:schemeClr w14:val="tx1"/>
                  </w14:solidFill>
                </w14:textFill>
              </w:rPr>
              <w:t>、完成安装</w:t>
            </w:r>
            <w:r>
              <w:rPr>
                <w:rFonts w:hint="eastAsia" w:ascii="Times New Roman" w:hAnsi="Times New Roman" w:cs="Times New Roman" w:eastAsiaTheme="majorEastAsia"/>
                <w:bCs/>
                <w:color w:val="000000" w:themeColor="text1"/>
                <w:szCs w:val="21"/>
                <w14:textFill>
                  <w14:solidFill>
                    <w14:schemeClr w14:val="tx1"/>
                  </w14:solidFill>
                </w14:textFill>
              </w:rPr>
              <w:t>、各项指标达到合同指标要求，并通过专家验收，提交付款申请单及相应增值税专用发票后 10 个工作日内支付合同总价</w:t>
            </w:r>
            <w:r>
              <w:rPr>
                <w:rFonts w:ascii="Times New Roman" w:hAnsi="Times New Roman" w:cs="Times New Roman" w:eastAsiaTheme="majorEastAsia"/>
                <w:bCs/>
                <w:color w:val="000000" w:themeColor="text1"/>
                <w:szCs w:val="21"/>
                <w14:textFill>
                  <w14:solidFill>
                    <w14:schemeClr w14:val="tx1"/>
                  </w14:solidFill>
                </w14:textFill>
              </w:rPr>
              <w:t>20</w:t>
            </w:r>
            <w:r>
              <w:rPr>
                <w:rFonts w:hint="eastAsia" w:ascii="Times New Roman" w:hAnsi="Times New Roman" w:cs="Times New Roman" w:eastAsiaTheme="majorEastAsia"/>
                <w:bCs/>
                <w:color w:val="000000" w:themeColor="text1"/>
                <w:szCs w:val="21"/>
                <w14:textFill>
                  <w14:solidFill>
                    <w14:schemeClr w14:val="tx1"/>
                  </w14:solidFill>
                </w14:textFill>
              </w:rPr>
              <w:t>%款项</w:t>
            </w:r>
            <w:r>
              <w:rPr>
                <w:rFonts w:ascii="Times New Roman" w:hAnsi="Times New Roman" w:cs="Times New Roman" w:eastAsiaTheme="majorEastAsia"/>
                <w:bCs/>
                <w:color w:val="000000" w:themeColor="text1"/>
                <w:szCs w:val="21"/>
                <w14:textFill>
                  <w14:solidFill>
                    <w14:schemeClr w14:val="tx1"/>
                  </w14:solidFill>
                </w14:textFill>
              </w:rPr>
              <w:t>。</w:t>
            </w:r>
          </w:p>
          <w:p w14:paraId="7B1AF763">
            <w:pPr>
              <w:rPr>
                <w:bCs/>
                <w:szCs w:val="21"/>
              </w:rPr>
            </w:pPr>
            <w:r>
              <w:rPr>
                <w:rFonts w:hint="eastAsia" w:ascii="Times New Roman" w:hAnsi="Times New Roman" w:cs="Times New Roman" w:eastAsiaTheme="majorEastAsia"/>
                <w:bCs/>
                <w:color w:val="000000" w:themeColor="text1"/>
                <w:szCs w:val="21"/>
                <w14:textFill>
                  <w14:solidFill>
                    <w14:schemeClr w14:val="tx1"/>
                  </w14:solidFill>
                </w14:textFill>
              </w:rPr>
              <w:t>（5）付款节点中涉及到的详细设计专家评审、阶段性验收测试评审、出厂验收评审、现场预验收评审、现场最终验收评审等费用由中标人支付。相关评审会议的流程需要遵循甲方管理要求，评审及测试结果由采购方确认认可后，方可通过。</w:t>
            </w:r>
          </w:p>
        </w:tc>
        <w:tc>
          <w:tcPr>
            <w:tcW w:w="1051" w:type="pct"/>
          </w:tcPr>
          <w:p w14:paraId="7E7FAE45">
            <w:pPr>
              <w:rPr>
                <w:rFonts w:hint="eastAsia" w:ascii="Times New Roman" w:hAnsi="Times New Roman" w:cs="Times New Roman" w:eastAsiaTheme="majorEastAsia"/>
                <w:bCs/>
                <w:color w:val="000000" w:themeColor="text1"/>
                <w:szCs w:val="21"/>
                <w14:textFill>
                  <w14:solidFill>
                    <w14:schemeClr w14:val="tx1"/>
                  </w14:solidFill>
                </w14:textFill>
              </w:rPr>
            </w:pPr>
          </w:p>
        </w:tc>
        <w:tc>
          <w:tcPr>
            <w:tcW w:w="1051" w:type="pct"/>
          </w:tcPr>
          <w:p w14:paraId="122C0871">
            <w:pPr>
              <w:rPr>
                <w:rFonts w:hint="eastAsia" w:ascii="Times New Roman" w:hAnsi="Times New Roman" w:cs="Times New Roman" w:eastAsiaTheme="majorEastAsia"/>
                <w:bCs/>
                <w:color w:val="000000" w:themeColor="text1"/>
                <w:szCs w:val="21"/>
                <w14:textFill>
                  <w14:solidFill>
                    <w14:schemeClr w14:val="tx1"/>
                  </w14:solidFill>
                </w14:textFill>
              </w:rPr>
            </w:pPr>
          </w:p>
        </w:tc>
        <w:tc>
          <w:tcPr>
            <w:tcW w:w="1055" w:type="pct"/>
          </w:tcPr>
          <w:p w14:paraId="10E34422">
            <w:pPr>
              <w:rPr>
                <w:rFonts w:hint="eastAsia" w:ascii="Times New Roman" w:hAnsi="Times New Roman" w:cs="Times New Roman" w:eastAsiaTheme="majorEastAsia"/>
                <w:bCs/>
                <w:color w:val="000000" w:themeColor="text1"/>
                <w:szCs w:val="21"/>
                <w14:textFill>
                  <w14:solidFill>
                    <w14:schemeClr w14:val="tx1"/>
                  </w14:solidFill>
                </w14:textFill>
              </w:rPr>
            </w:pPr>
          </w:p>
        </w:tc>
      </w:tr>
      <w:tr w14:paraId="0B45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34F071CB">
            <w:pPr>
              <w:jc w:val="center"/>
              <w:rPr>
                <w:bCs/>
              </w:rPr>
            </w:pPr>
          </w:p>
        </w:tc>
        <w:tc>
          <w:tcPr>
            <w:tcW w:w="268" w:type="pct"/>
            <w:vMerge w:val="continue"/>
            <w:vAlign w:val="center"/>
          </w:tcPr>
          <w:p w14:paraId="64015C58"/>
        </w:tc>
        <w:tc>
          <w:tcPr>
            <w:tcW w:w="1024" w:type="pct"/>
          </w:tcPr>
          <w:p w14:paraId="3DC2A74B">
            <w:pPr>
              <w:spacing w:line="340" w:lineRule="exact"/>
              <w:rPr>
                <w:bCs/>
                <w:szCs w:val="21"/>
              </w:rPr>
            </w:pPr>
            <w:r>
              <w:rPr>
                <w:rFonts w:ascii="Times New Roman" w:hAnsi="Times New Roman" w:cs="Times New Roman" w:eastAsiaTheme="majorEastAsia"/>
                <w:bCs/>
                <w:color w:val="000000" w:themeColor="text1"/>
                <w:szCs w:val="21"/>
                <w14:textFill>
                  <w14:solidFill>
                    <w14:schemeClr w14:val="tx1"/>
                  </w14:solidFill>
                </w14:textFill>
              </w:rPr>
              <w:t>4.3 因财政资金拨款未到位而导致</w:t>
            </w:r>
            <w:r>
              <w:rPr>
                <w:rFonts w:hint="eastAsia" w:ascii="Times New Roman" w:hAnsi="Times New Roman" w:cs="Times New Roman" w:eastAsiaTheme="majorEastAsia"/>
                <w:bCs/>
                <w:color w:val="000000" w:themeColor="text1"/>
                <w:szCs w:val="21"/>
                <w14:textFill>
                  <w14:solidFill>
                    <w14:schemeClr w14:val="tx1"/>
                  </w14:solidFill>
                </w14:textFill>
              </w:rPr>
              <w:t>采购人</w:t>
            </w:r>
            <w:r>
              <w:rPr>
                <w:rFonts w:ascii="Times New Roman" w:hAnsi="Times New Roman" w:cs="Times New Roman" w:eastAsiaTheme="majorEastAsia"/>
                <w:bCs/>
                <w:color w:val="000000" w:themeColor="text1"/>
                <w:szCs w:val="21"/>
                <w14:textFill>
                  <w14:solidFill>
                    <w14:schemeClr w14:val="tx1"/>
                  </w14:solidFill>
                </w14:textFill>
              </w:rPr>
              <w:t>未在约定期限内支付合同费用的，投标人不得要求采购人承担逾期付款的违约责任。每次付款前，投标人应需先提供相应额度的正规发票给采购人，以便办理支付手续。</w:t>
            </w:r>
          </w:p>
        </w:tc>
        <w:tc>
          <w:tcPr>
            <w:tcW w:w="1051" w:type="pct"/>
          </w:tcPr>
          <w:p w14:paraId="24D56B9C">
            <w:pPr>
              <w:spacing w:line="340" w:lineRule="exact"/>
              <w:rPr>
                <w:rFonts w:ascii="Times New Roman" w:hAnsi="Times New Roman" w:cs="Times New Roman" w:eastAsiaTheme="majorEastAsia"/>
                <w:bCs/>
                <w:color w:val="000000" w:themeColor="text1"/>
                <w:szCs w:val="21"/>
                <w14:textFill>
                  <w14:solidFill>
                    <w14:schemeClr w14:val="tx1"/>
                  </w14:solidFill>
                </w14:textFill>
              </w:rPr>
            </w:pPr>
          </w:p>
        </w:tc>
        <w:tc>
          <w:tcPr>
            <w:tcW w:w="1051" w:type="pct"/>
          </w:tcPr>
          <w:p w14:paraId="612BC9E1">
            <w:pPr>
              <w:spacing w:line="340" w:lineRule="exact"/>
              <w:rPr>
                <w:rFonts w:ascii="Times New Roman" w:hAnsi="Times New Roman" w:cs="Times New Roman" w:eastAsiaTheme="majorEastAsia"/>
                <w:bCs/>
                <w:color w:val="000000" w:themeColor="text1"/>
                <w:szCs w:val="21"/>
                <w14:textFill>
                  <w14:solidFill>
                    <w14:schemeClr w14:val="tx1"/>
                  </w14:solidFill>
                </w14:textFill>
              </w:rPr>
            </w:pPr>
          </w:p>
        </w:tc>
        <w:tc>
          <w:tcPr>
            <w:tcW w:w="1055" w:type="pct"/>
          </w:tcPr>
          <w:p w14:paraId="6744E918">
            <w:pPr>
              <w:spacing w:line="340" w:lineRule="exact"/>
              <w:rPr>
                <w:rFonts w:ascii="Times New Roman" w:hAnsi="Times New Roman" w:cs="Times New Roman" w:eastAsiaTheme="majorEastAsia"/>
                <w:bCs/>
                <w:color w:val="000000" w:themeColor="text1"/>
                <w:szCs w:val="21"/>
                <w14:textFill>
                  <w14:solidFill>
                    <w14:schemeClr w14:val="tx1"/>
                  </w14:solidFill>
                </w14:textFill>
              </w:rPr>
            </w:pPr>
          </w:p>
        </w:tc>
      </w:tr>
      <w:tr w14:paraId="1C01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7DE77063">
            <w:pPr>
              <w:jc w:val="center"/>
              <w:rPr>
                <w:bCs/>
              </w:rPr>
            </w:pPr>
            <w:r>
              <w:rPr>
                <w:rFonts w:hint="eastAsia"/>
                <w:bCs/>
              </w:rPr>
              <w:t>5</w:t>
            </w:r>
          </w:p>
        </w:tc>
        <w:tc>
          <w:tcPr>
            <w:tcW w:w="268" w:type="pct"/>
            <w:vAlign w:val="center"/>
          </w:tcPr>
          <w:p w14:paraId="589CB71B">
            <w:r>
              <w:rPr>
                <w:rFonts w:hint="eastAsia"/>
                <w:bCs/>
                <w:color w:val="000000" w:themeColor="text1"/>
                <w:szCs w:val="21"/>
                <w14:textFill>
                  <w14:solidFill>
                    <w14:schemeClr w14:val="tx1"/>
                  </w14:solidFill>
                </w14:textFill>
              </w:rPr>
              <w:t>★</w:t>
            </w:r>
            <w:r>
              <w:rPr>
                <w:rFonts w:hint="eastAsia"/>
              </w:rPr>
              <w:t>报价要求</w:t>
            </w:r>
          </w:p>
        </w:tc>
        <w:tc>
          <w:tcPr>
            <w:tcW w:w="1024" w:type="pct"/>
          </w:tcPr>
          <w:p w14:paraId="6B0F8A87">
            <w:pPr>
              <w:spacing w:line="340" w:lineRule="exact"/>
              <w:rPr>
                <w:bCs/>
                <w:szCs w:val="21"/>
              </w:rPr>
            </w:pPr>
            <w:r>
              <w:rPr>
                <w:rFonts w:ascii="Times New Roman" w:hAnsi="Times New Roman" w:cs="Times New Roman" w:eastAsiaTheme="majorEastAsia"/>
                <w:bCs/>
                <w:szCs w:val="21"/>
              </w:rPr>
              <w:t>投标总价为包干价，必须是完成该项目的一切费用总和，包括设备费、设计制造费</w:t>
            </w:r>
            <w:r>
              <w:rPr>
                <w:rFonts w:hint="eastAsia" w:ascii="Times New Roman" w:hAnsi="Times New Roman" w:cs="Times New Roman" w:eastAsiaTheme="majorEastAsia"/>
                <w:bCs/>
                <w:szCs w:val="21"/>
              </w:rPr>
              <w:t>、评审费、</w:t>
            </w:r>
            <w:r>
              <w:rPr>
                <w:rFonts w:ascii="Times New Roman" w:hAnsi="Times New Roman" w:cs="Times New Roman" w:eastAsiaTheme="majorEastAsia"/>
                <w:bCs/>
                <w:szCs w:val="21"/>
              </w:rPr>
              <w:t>检验检测费、包装运输费、装卸费、保险费、技术培训费、设备安装费、调试费（含设备调试期间产生的水、电等能源耗费）、售后服务费、中标服务费、国家规定的各项税费等全部费用及增值税；</w:t>
            </w:r>
            <w:r>
              <w:rPr>
                <w:rFonts w:ascii="Times New Roman" w:hAnsi="Times New Roman" w:cs="Times New Roman" w:eastAsiaTheme="majorEastAsia"/>
                <w:szCs w:val="21"/>
              </w:rPr>
              <w:t>投标人所报的合同总价和各项单价价格在合同实施期间应保持不变并不因劳务、材料、机械等成本的价格变动而做任何调整。</w:t>
            </w:r>
          </w:p>
        </w:tc>
        <w:tc>
          <w:tcPr>
            <w:tcW w:w="1051" w:type="pct"/>
          </w:tcPr>
          <w:p w14:paraId="3705DE9A">
            <w:pPr>
              <w:spacing w:line="340" w:lineRule="exact"/>
              <w:rPr>
                <w:rFonts w:ascii="Times New Roman" w:hAnsi="Times New Roman" w:cs="Times New Roman" w:eastAsiaTheme="majorEastAsia"/>
                <w:bCs/>
                <w:szCs w:val="21"/>
              </w:rPr>
            </w:pPr>
          </w:p>
        </w:tc>
        <w:tc>
          <w:tcPr>
            <w:tcW w:w="1051" w:type="pct"/>
          </w:tcPr>
          <w:p w14:paraId="4F9947D2">
            <w:pPr>
              <w:spacing w:line="340" w:lineRule="exact"/>
              <w:rPr>
                <w:rFonts w:ascii="Times New Roman" w:hAnsi="Times New Roman" w:cs="Times New Roman" w:eastAsiaTheme="majorEastAsia"/>
                <w:bCs/>
                <w:szCs w:val="21"/>
              </w:rPr>
            </w:pPr>
          </w:p>
        </w:tc>
        <w:tc>
          <w:tcPr>
            <w:tcW w:w="1055" w:type="pct"/>
          </w:tcPr>
          <w:p w14:paraId="3DC2BD88">
            <w:pPr>
              <w:spacing w:line="340" w:lineRule="exact"/>
              <w:rPr>
                <w:rFonts w:ascii="Times New Roman" w:hAnsi="Times New Roman" w:cs="Times New Roman" w:eastAsiaTheme="majorEastAsia"/>
                <w:bCs/>
                <w:szCs w:val="21"/>
              </w:rPr>
            </w:pPr>
          </w:p>
        </w:tc>
      </w:tr>
      <w:tr w14:paraId="6024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vAlign w:val="center"/>
          </w:tcPr>
          <w:p w14:paraId="2A6143D2">
            <w:pPr>
              <w:ind w:firstLine="480" w:firstLineChars="200"/>
              <w:rPr>
                <w:bCs/>
                <w:szCs w:val="21"/>
              </w:rPr>
            </w:pPr>
            <w:r>
              <w:rPr>
                <w:rFonts w:hint="eastAsia"/>
                <w:bCs/>
                <w:szCs w:val="21"/>
              </w:rPr>
              <w:t>6</w:t>
            </w:r>
          </w:p>
        </w:tc>
        <w:tc>
          <w:tcPr>
            <w:tcW w:w="268" w:type="pct"/>
            <w:vMerge w:val="restart"/>
            <w:vAlign w:val="center"/>
          </w:tcPr>
          <w:p w14:paraId="0E6DD531">
            <w:pPr>
              <w:rPr>
                <w:bCs/>
                <w:szCs w:val="21"/>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质量标准和保证</w:t>
            </w:r>
          </w:p>
        </w:tc>
        <w:tc>
          <w:tcPr>
            <w:tcW w:w="1024" w:type="pct"/>
          </w:tcPr>
          <w:p w14:paraId="4D7C0FCC">
            <w:pPr>
              <w:spacing w:line="340" w:lineRule="exact"/>
              <w:rPr>
                <w:bCs/>
                <w:szCs w:val="21"/>
              </w:rPr>
            </w:pPr>
            <w:r>
              <w:rPr>
                <w:rFonts w:hint="eastAsia"/>
                <w:color w:val="000000" w:themeColor="text1"/>
                <w14:textFill>
                  <w14:solidFill>
                    <w14:schemeClr w14:val="tx1"/>
                  </w14:solidFill>
                </w14:textFill>
              </w:rPr>
              <w:t>6.1</w:t>
            </w:r>
            <w:r>
              <w:rPr>
                <w:rFonts w:hint="eastAsia"/>
                <w:bCs/>
                <w:color w:val="000000" w:themeColor="text1"/>
                <w14:textFill>
                  <w14:solidFill>
                    <w14:schemeClr w14:val="tx1"/>
                  </w14:solidFill>
                </w14:textFill>
              </w:rPr>
              <w:t>投标人需按照合同规定提供全部产品及完整的技术资料。</w:t>
            </w:r>
          </w:p>
        </w:tc>
        <w:tc>
          <w:tcPr>
            <w:tcW w:w="1051" w:type="pct"/>
          </w:tcPr>
          <w:p w14:paraId="19C67A46">
            <w:pPr>
              <w:spacing w:line="340" w:lineRule="exact"/>
              <w:rPr>
                <w:rFonts w:hint="eastAsia"/>
                <w:color w:val="000000" w:themeColor="text1"/>
                <w14:textFill>
                  <w14:solidFill>
                    <w14:schemeClr w14:val="tx1"/>
                  </w14:solidFill>
                </w14:textFill>
              </w:rPr>
            </w:pPr>
          </w:p>
        </w:tc>
        <w:tc>
          <w:tcPr>
            <w:tcW w:w="1051" w:type="pct"/>
          </w:tcPr>
          <w:p w14:paraId="1394439A">
            <w:pPr>
              <w:spacing w:line="340" w:lineRule="exact"/>
              <w:rPr>
                <w:rFonts w:hint="eastAsia"/>
                <w:color w:val="000000" w:themeColor="text1"/>
                <w14:textFill>
                  <w14:solidFill>
                    <w14:schemeClr w14:val="tx1"/>
                  </w14:solidFill>
                </w14:textFill>
              </w:rPr>
            </w:pPr>
          </w:p>
        </w:tc>
        <w:tc>
          <w:tcPr>
            <w:tcW w:w="1055" w:type="pct"/>
          </w:tcPr>
          <w:p w14:paraId="6C8633DF">
            <w:pPr>
              <w:spacing w:line="340" w:lineRule="exact"/>
              <w:rPr>
                <w:rFonts w:hint="eastAsia"/>
                <w:color w:val="000000" w:themeColor="text1"/>
                <w14:textFill>
                  <w14:solidFill>
                    <w14:schemeClr w14:val="tx1"/>
                  </w14:solidFill>
                </w14:textFill>
              </w:rPr>
            </w:pPr>
          </w:p>
        </w:tc>
      </w:tr>
      <w:tr w14:paraId="6100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5014DD9C">
            <w:pPr>
              <w:ind w:firstLine="480" w:firstLineChars="200"/>
              <w:rPr>
                <w:bCs/>
                <w:szCs w:val="21"/>
              </w:rPr>
            </w:pPr>
          </w:p>
        </w:tc>
        <w:tc>
          <w:tcPr>
            <w:tcW w:w="268" w:type="pct"/>
            <w:vMerge w:val="continue"/>
            <w:vAlign w:val="center"/>
          </w:tcPr>
          <w:p w14:paraId="073DD5B9">
            <w:pPr>
              <w:rPr>
                <w:color w:val="000000" w:themeColor="text1"/>
                <w14:textFill>
                  <w14:solidFill>
                    <w14:schemeClr w14:val="tx1"/>
                  </w14:solidFill>
                </w14:textFill>
              </w:rPr>
            </w:pPr>
          </w:p>
        </w:tc>
        <w:tc>
          <w:tcPr>
            <w:tcW w:w="1024" w:type="pct"/>
          </w:tcPr>
          <w:p w14:paraId="5E04C295">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中标人在约定的时间内未能弥补缺陷，采购人可采取必要的补救措施，但其风险和费用将由中标人承担，采购人根据合同规定对中标人行使的其他权利不受影响。</w:t>
            </w:r>
          </w:p>
        </w:tc>
        <w:tc>
          <w:tcPr>
            <w:tcW w:w="1051" w:type="pct"/>
          </w:tcPr>
          <w:p w14:paraId="0E576659">
            <w:pPr>
              <w:spacing w:line="340" w:lineRule="exact"/>
              <w:rPr>
                <w:rFonts w:hint="eastAsia"/>
                <w:color w:val="000000" w:themeColor="text1"/>
                <w14:textFill>
                  <w14:solidFill>
                    <w14:schemeClr w14:val="tx1"/>
                  </w14:solidFill>
                </w14:textFill>
              </w:rPr>
            </w:pPr>
          </w:p>
        </w:tc>
        <w:tc>
          <w:tcPr>
            <w:tcW w:w="1051" w:type="pct"/>
          </w:tcPr>
          <w:p w14:paraId="0DB0CCDE">
            <w:pPr>
              <w:spacing w:line="340" w:lineRule="exact"/>
              <w:rPr>
                <w:rFonts w:hint="eastAsia"/>
                <w:color w:val="000000" w:themeColor="text1"/>
                <w14:textFill>
                  <w14:solidFill>
                    <w14:schemeClr w14:val="tx1"/>
                  </w14:solidFill>
                </w14:textFill>
              </w:rPr>
            </w:pPr>
          </w:p>
        </w:tc>
        <w:tc>
          <w:tcPr>
            <w:tcW w:w="1055" w:type="pct"/>
          </w:tcPr>
          <w:p w14:paraId="04E15296">
            <w:pPr>
              <w:spacing w:line="340" w:lineRule="exact"/>
              <w:rPr>
                <w:rFonts w:hint="eastAsia"/>
                <w:color w:val="000000" w:themeColor="text1"/>
                <w14:textFill>
                  <w14:solidFill>
                    <w14:schemeClr w14:val="tx1"/>
                  </w14:solidFill>
                </w14:textFill>
              </w:rPr>
            </w:pPr>
          </w:p>
        </w:tc>
      </w:tr>
      <w:tr w14:paraId="0C1F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12DF707C">
            <w:pPr>
              <w:ind w:firstLine="480" w:firstLineChars="200"/>
              <w:rPr>
                <w:bCs/>
                <w:szCs w:val="21"/>
              </w:rPr>
            </w:pPr>
          </w:p>
        </w:tc>
        <w:tc>
          <w:tcPr>
            <w:tcW w:w="268" w:type="pct"/>
            <w:vMerge w:val="continue"/>
            <w:vAlign w:val="center"/>
          </w:tcPr>
          <w:p w14:paraId="429BAA56">
            <w:pPr>
              <w:rPr>
                <w:color w:val="000000" w:themeColor="text1"/>
                <w14:textFill>
                  <w14:solidFill>
                    <w14:schemeClr w14:val="tx1"/>
                  </w14:solidFill>
                </w14:textFill>
              </w:rPr>
            </w:pPr>
          </w:p>
        </w:tc>
        <w:tc>
          <w:tcPr>
            <w:tcW w:w="1024" w:type="pct"/>
          </w:tcPr>
          <w:p w14:paraId="596E7596">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投标人所出售的货物还应符合国家和行业设计制造标准、国家有关安全、环保、卫生等强制性规定。</w:t>
            </w:r>
          </w:p>
        </w:tc>
        <w:tc>
          <w:tcPr>
            <w:tcW w:w="1051" w:type="pct"/>
          </w:tcPr>
          <w:p w14:paraId="6FD84719">
            <w:pPr>
              <w:spacing w:line="340" w:lineRule="exact"/>
              <w:rPr>
                <w:rFonts w:hint="eastAsia"/>
                <w:color w:val="000000" w:themeColor="text1"/>
                <w14:textFill>
                  <w14:solidFill>
                    <w14:schemeClr w14:val="tx1"/>
                  </w14:solidFill>
                </w14:textFill>
              </w:rPr>
            </w:pPr>
          </w:p>
        </w:tc>
        <w:tc>
          <w:tcPr>
            <w:tcW w:w="1051" w:type="pct"/>
          </w:tcPr>
          <w:p w14:paraId="67D871D9">
            <w:pPr>
              <w:spacing w:line="340" w:lineRule="exact"/>
              <w:rPr>
                <w:rFonts w:hint="eastAsia"/>
                <w:color w:val="000000" w:themeColor="text1"/>
                <w14:textFill>
                  <w14:solidFill>
                    <w14:schemeClr w14:val="tx1"/>
                  </w14:solidFill>
                </w14:textFill>
              </w:rPr>
            </w:pPr>
          </w:p>
        </w:tc>
        <w:tc>
          <w:tcPr>
            <w:tcW w:w="1055" w:type="pct"/>
          </w:tcPr>
          <w:p w14:paraId="05288EBC">
            <w:pPr>
              <w:spacing w:line="340" w:lineRule="exact"/>
              <w:rPr>
                <w:rFonts w:hint="eastAsia"/>
                <w:color w:val="000000" w:themeColor="text1"/>
                <w14:textFill>
                  <w14:solidFill>
                    <w14:schemeClr w14:val="tx1"/>
                  </w14:solidFill>
                </w14:textFill>
              </w:rPr>
            </w:pPr>
          </w:p>
        </w:tc>
      </w:tr>
      <w:tr w14:paraId="6D46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71362534">
            <w:pPr>
              <w:ind w:firstLine="480" w:firstLineChars="200"/>
              <w:rPr>
                <w:bCs/>
                <w:szCs w:val="21"/>
              </w:rPr>
            </w:pPr>
            <w:r>
              <w:rPr>
                <w:rFonts w:hint="eastAsia"/>
                <w:bCs/>
                <w:color w:val="000000" w:themeColor="text1"/>
                <w14:textFill>
                  <w14:solidFill>
                    <w14:schemeClr w14:val="tx1"/>
                  </w14:solidFill>
                </w14:textFill>
              </w:rPr>
              <w:t>7</w:t>
            </w:r>
          </w:p>
        </w:tc>
        <w:tc>
          <w:tcPr>
            <w:tcW w:w="268" w:type="pct"/>
            <w:vAlign w:val="center"/>
          </w:tcPr>
          <w:p w14:paraId="6EED463C">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保密义务</w:t>
            </w:r>
          </w:p>
        </w:tc>
        <w:tc>
          <w:tcPr>
            <w:tcW w:w="1024" w:type="pct"/>
          </w:tcPr>
          <w:p w14:paraId="79C2B4A6">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采购人、中标人双方在采购和履行合同过程中所获悉的所有信息都属于保密的内容，采购人中标人双方均有保密义务。</w:t>
            </w:r>
          </w:p>
        </w:tc>
        <w:tc>
          <w:tcPr>
            <w:tcW w:w="1051" w:type="pct"/>
          </w:tcPr>
          <w:p w14:paraId="65815EA2">
            <w:pPr>
              <w:spacing w:line="340" w:lineRule="exact"/>
              <w:rPr>
                <w:rFonts w:hint="eastAsia"/>
                <w:color w:val="000000" w:themeColor="text1"/>
                <w14:textFill>
                  <w14:solidFill>
                    <w14:schemeClr w14:val="tx1"/>
                  </w14:solidFill>
                </w14:textFill>
              </w:rPr>
            </w:pPr>
          </w:p>
        </w:tc>
        <w:tc>
          <w:tcPr>
            <w:tcW w:w="1051" w:type="pct"/>
          </w:tcPr>
          <w:p w14:paraId="712DF0E8">
            <w:pPr>
              <w:spacing w:line="340" w:lineRule="exact"/>
              <w:rPr>
                <w:rFonts w:hint="eastAsia"/>
                <w:color w:val="000000" w:themeColor="text1"/>
                <w14:textFill>
                  <w14:solidFill>
                    <w14:schemeClr w14:val="tx1"/>
                  </w14:solidFill>
                </w14:textFill>
              </w:rPr>
            </w:pPr>
          </w:p>
        </w:tc>
        <w:tc>
          <w:tcPr>
            <w:tcW w:w="1055" w:type="pct"/>
          </w:tcPr>
          <w:p w14:paraId="30B8C3CA">
            <w:pPr>
              <w:spacing w:line="340" w:lineRule="exact"/>
              <w:rPr>
                <w:rFonts w:hint="eastAsia"/>
                <w:color w:val="000000" w:themeColor="text1"/>
                <w14:textFill>
                  <w14:solidFill>
                    <w14:schemeClr w14:val="tx1"/>
                  </w14:solidFill>
                </w14:textFill>
              </w:rPr>
            </w:pPr>
          </w:p>
        </w:tc>
      </w:tr>
      <w:tr w14:paraId="18C1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vAlign w:val="center"/>
          </w:tcPr>
          <w:p w14:paraId="040054A2">
            <w:pPr>
              <w:ind w:firstLine="480" w:firstLineChars="200"/>
              <w:rPr>
                <w:bCs/>
                <w:szCs w:val="21"/>
              </w:rPr>
            </w:pPr>
            <w:r>
              <w:rPr>
                <w:rFonts w:hint="eastAsia"/>
                <w:bCs/>
                <w:color w:val="000000" w:themeColor="text1"/>
                <w14:textFill>
                  <w14:solidFill>
                    <w14:schemeClr w14:val="tx1"/>
                  </w14:solidFill>
                </w14:textFill>
              </w:rPr>
              <w:t>8</w:t>
            </w:r>
          </w:p>
        </w:tc>
        <w:tc>
          <w:tcPr>
            <w:tcW w:w="268" w:type="pct"/>
            <w:vMerge w:val="restart"/>
            <w:vAlign w:val="center"/>
          </w:tcPr>
          <w:p w14:paraId="58394020">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合同的变更</w:t>
            </w:r>
          </w:p>
        </w:tc>
        <w:tc>
          <w:tcPr>
            <w:tcW w:w="1024" w:type="pct"/>
            <w:vAlign w:val="center"/>
          </w:tcPr>
          <w:p w14:paraId="5C30EE56">
            <w:pPr>
              <w:spacing w:line="340" w:lineRule="exact"/>
              <w:rPr>
                <w:color w:val="000000" w:themeColor="text1"/>
                <w14:textFill>
                  <w14:solidFill>
                    <w14:schemeClr w14:val="tx1"/>
                  </w14:solidFill>
                </w14:textFill>
              </w:rPr>
            </w:pPr>
            <w:r>
              <w:rPr>
                <w:rFonts w:hint="eastAsia" w:ascii="宋体" w:hAnsi="宋体" w:cs="宋体"/>
                <w:bCs/>
                <w:color w:val="000000" w:themeColor="text1"/>
                <w:kern w:val="0"/>
                <w:szCs w:val="20"/>
                <w14:textFill>
                  <w14:solidFill>
                    <w14:schemeClr w14:val="tx1"/>
                  </w14:solidFill>
                </w14:textFill>
              </w:rPr>
              <w:t>8.1政府采购合同未约定或者约定不明的事项，采购人可以与供应商协商签订补充协议。补充协议不得变更采购合同的实质性内容。</w:t>
            </w:r>
          </w:p>
        </w:tc>
        <w:tc>
          <w:tcPr>
            <w:tcW w:w="1051" w:type="pct"/>
            <w:vAlign w:val="center"/>
          </w:tcPr>
          <w:p w14:paraId="1C21334A">
            <w:pPr>
              <w:spacing w:line="340" w:lineRule="exact"/>
              <w:rPr>
                <w:rFonts w:hint="eastAsia" w:ascii="宋体" w:hAnsi="宋体" w:cs="宋体"/>
                <w:bCs/>
                <w:color w:val="000000" w:themeColor="text1"/>
                <w:kern w:val="0"/>
                <w:szCs w:val="20"/>
                <w14:textFill>
                  <w14:solidFill>
                    <w14:schemeClr w14:val="tx1"/>
                  </w14:solidFill>
                </w14:textFill>
              </w:rPr>
            </w:pPr>
          </w:p>
        </w:tc>
        <w:tc>
          <w:tcPr>
            <w:tcW w:w="1051" w:type="pct"/>
            <w:vAlign w:val="center"/>
          </w:tcPr>
          <w:p w14:paraId="5F135A3F">
            <w:pPr>
              <w:spacing w:line="340" w:lineRule="exact"/>
              <w:rPr>
                <w:rFonts w:hint="eastAsia" w:ascii="宋体" w:hAnsi="宋体" w:cs="宋体"/>
                <w:bCs/>
                <w:color w:val="000000" w:themeColor="text1"/>
                <w:kern w:val="0"/>
                <w:szCs w:val="20"/>
                <w14:textFill>
                  <w14:solidFill>
                    <w14:schemeClr w14:val="tx1"/>
                  </w14:solidFill>
                </w14:textFill>
              </w:rPr>
            </w:pPr>
          </w:p>
        </w:tc>
        <w:tc>
          <w:tcPr>
            <w:tcW w:w="1055" w:type="pct"/>
            <w:vAlign w:val="center"/>
          </w:tcPr>
          <w:p w14:paraId="7B220354">
            <w:pPr>
              <w:spacing w:line="340" w:lineRule="exact"/>
              <w:rPr>
                <w:rFonts w:hint="eastAsia" w:ascii="宋体" w:hAnsi="宋体" w:cs="宋体"/>
                <w:bCs/>
                <w:color w:val="000000" w:themeColor="text1"/>
                <w:kern w:val="0"/>
                <w:szCs w:val="20"/>
                <w14:textFill>
                  <w14:solidFill>
                    <w14:schemeClr w14:val="tx1"/>
                  </w14:solidFill>
                </w14:textFill>
              </w:rPr>
            </w:pPr>
          </w:p>
        </w:tc>
      </w:tr>
      <w:tr w14:paraId="2A4D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4DDF7D27">
            <w:pPr>
              <w:ind w:firstLine="480" w:firstLineChars="200"/>
              <w:rPr>
                <w:bCs/>
                <w:szCs w:val="21"/>
              </w:rPr>
            </w:pPr>
          </w:p>
        </w:tc>
        <w:tc>
          <w:tcPr>
            <w:tcW w:w="268" w:type="pct"/>
            <w:vMerge w:val="continue"/>
            <w:vAlign w:val="center"/>
          </w:tcPr>
          <w:p w14:paraId="586FDDA7">
            <w:pPr>
              <w:rPr>
                <w:color w:val="000000" w:themeColor="text1"/>
                <w14:textFill>
                  <w14:solidFill>
                    <w14:schemeClr w14:val="tx1"/>
                  </w14:solidFill>
                </w14:textFill>
              </w:rPr>
            </w:pPr>
          </w:p>
        </w:tc>
        <w:tc>
          <w:tcPr>
            <w:tcW w:w="1024" w:type="pct"/>
            <w:vAlign w:val="center"/>
          </w:tcPr>
          <w:p w14:paraId="7526B1CF">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除了双方签署书面协议，并成为合同不可分割的一部分之外，本合同条件不得有任何变更。</w:t>
            </w:r>
          </w:p>
        </w:tc>
        <w:tc>
          <w:tcPr>
            <w:tcW w:w="1051" w:type="pct"/>
            <w:vAlign w:val="center"/>
          </w:tcPr>
          <w:p w14:paraId="2F5D6A0E">
            <w:pPr>
              <w:spacing w:line="340" w:lineRule="exact"/>
              <w:rPr>
                <w:rFonts w:hint="eastAsia"/>
                <w:color w:val="000000" w:themeColor="text1"/>
                <w14:textFill>
                  <w14:solidFill>
                    <w14:schemeClr w14:val="tx1"/>
                  </w14:solidFill>
                </w14:textFill>
              </w:rPr>
            </w:pPr>
          </w:p>
        </w:tc>
        <w:tc>
          <w:tcPr>
            <w:tcW w:w="1051" w:type="pct"/>
            <w:vAlign w:val="center"/>
          </w:tcPr>
          <w:p w14:paraId="622E7225">
            <w:pPr>
              <w:spacing w:line="340" w:lineRule="exact"/>
              <w:rPr>
                <w:rFonts w:hint="eastAsia"/>
                <w:color w:val="000000" w:themeColor="text1"/>
                <w14:textFill>
                  <w14:solidFill>
                    <w14:schemeClr w14:val="tx1"/>
                  </w14:solidFill>
                </w14:textFill>
              </w:rPr>
            </w:pPr>
          </w:p>
        </w:tc>
        <w:tc>
          <w:tcPr>
            <w:tcW w:w="1055" w:type="pct"/>
            <w:vAlign w:val="center"/>
          </w:tcPr>
          <w:p w14:paraId="29E26D22">
            <w:pPr>
              <w:spacing w:line="340" w:lineRule="exact"/>
              <w:rPr>
                <w:rFonts w:hint="eastAsia"/>
                <w:color w:val="000000" w:themeColor="text1"/>
                <w14:textFill>
                  <w14:solidFill>
                    <w14:schemeClr w14:val="tx1"/>
                  </w14:solidFill>
                </w14:textFill>
              </w:rPr>
            </w:pPr>
          </w:p>
        </w:tc>
      </w:tr>
      <w:tr w14:paraId="4AD0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49" w:type="pct"/>
            <w:vAlign w:val="center"/>
          </w:tcPr>
          <w:p w14:paraId="4B640DFB">
            <w:pPr>
              <w:ind w:firstLine="480" w:firstLineChars="200"/>
              <w:rPr>
                <w:bCs/>
                <w:szCs w:val="21"/>
              </w:rPr>
            </w:pPr>
            <w:r>
              <w:rPr>
                <w:rFonts w:hint="eastAsia"/>
                <w:bCs/>
                <w:color w:val="000000" w:themeColor="text1"/>
                <w14:textFill>
                  <w14:solidFill>
                    <w14:schemeClr w14:val="tx1"/>
                  </w14:solidFill>
                </w14:textFill>
              </w:rPr>
              <w:t>9</w:t>
            </w:r>
          </w:p>
        </w:tc>
        <w:tc>
          <w:tcPr>
            <w:tcW w:w="268" w:type="pct"/>
            <w:vAlign w:val="center"/>
          </w:tcPr>
          <w:p w14:paraId="26FBDB81">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合同的转让和分包</w:t>
            </w:r>
          </w:p>
        </w:tc>
        <w:tc>
          <w:tcPr>
            <w:tcW w:w="1024" w:type="pct"/>
            <w:vAlign w:val="center"/>
          </w:tcPr>
          <w:p w14:paraId="6ADFABC8">
            <w:pPr>
              <w:spacing w:line="340" w:lineRule="exact"/>
              <w:rPr>
                <w:color w:val="000000" w:themeColor="text1"/>
                <w14:textFill>
                  <w14:solidFill>
                    <w14:schemeClr w14:val="tx1"/>
                  </w14:solidFill>
                </w14:textFill>
              </w:rPr>
            </w:pPr>
            <w:r>
              <w:rPr>
                <w:rFonts w:ascii="Times New Roman" w:hAnsi="Times New Roman" w:cs="Times New Roman" w:eastAsiaTheme="majorEastAsia"/>
                <w:bCs/>
                <w:kern w:val="0"/>
                <w:szCs w:val="21"/>
              </w:rPr>
              <w:t>投标人不得以任何形式部分或全部转让其应履行的合同义务。</w:t>
            </w:r>
          </w:p>
        </w:tc>
        <w:tc>
          <w:tcPr>
            <w:tcW w:w="1051" w:type="pct"/>
            <w:vAlign w:val="center"/>
          </w:tcPr>
          <w:p w14:paraId="29981F16">
            <w:pPr>
              <w:spacing w:line="340" w:lineRule="exact"/>
              <w:rPr>
                <w:rFonts w:ascii="Times New Roman" w:hAnsi="Times New Roman" w:cs="Times New Roman" w:eastAsiaTheme="majorEastAsia"/>
                <w:bCs/>
                <w:kern w:val="0"/>
                <w:szCs w:val="21"/>
              </w:rPr>
            </w:pPr>
          </w:p>
        </w:tc>
        <w:tc>
          <w:tcPr>
            <w:tcW w:w="1051" w:type="pct"/>
            <w:vAlign w:val="center"/>
          </w:tcPr>
          <w:p w14:paraId="7FE5701A">
            <w:pPr>
              <w:spacing w:line="340" w:lineRule="exact"/>
              <w:rPr>
                <w:rFonts w:ascii="Times New Roman" w:hAnsi="Times New Roman" w:cs="Times New Roman" w:eastAsiaTheme="majorEastAsia"/>
                <w:bCs/>
                <w:kern w:val="0"/>
                <w:szCs w:val="21"/>
              </w:rPr>
            </w:pPr>
          </w:p>
        </w:tc>
        <w:tc>
          <w:tcPr>
            <w:tcW w:w="1055" w:type="pct"/>
            <w:vAlign w:val="center"/>
          </w:tcPr>
          <w:p w14:paraId="54C37E12">
            <w:pPr>
              <w:spacing w:line="340" w:lineRule="exact"/>
              <w:rPr>
                <w:rFonts w:ascii="Times New Roman" w:hAnsi="Times New Roman" w:cs="Times New Roman" w:eastAsiaTheme="majorEastAsia"/>
                <w:bCs/>
                <w:kern w:val="0"/>
                <w:szCs w:val="21"/>
              </w:rPr>
            </w:pPr>
          </w:p>
        </w:tc>
      </w:tr>
      <w:tr w14:paraId="78C0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vAlign w:val="center"/>
          </w:tcPr>
          <w:p w14:paraId="122AFAD2">
            <w:pPr>
              <w:ind w:firstLine="480" w:firstLineChars="200"/>
              <w:rPr>
                <w:bCs/>
                <w:szCs w:val="21"/>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0</w:t>
            </w:r>
          </w:p>
        </w:tc>
        <w:tc>
          <w:tcPr>
            <w:tcW w:w="268" w:type="pct"/>
            <w:vMerge w:val="restart"/>
            <w:vAlign w:val="center"/>
          </w:tcPr>
          <w:p w14:paraId="66A8DAFE">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解决争议的办法</w:t>
            </w:r>
          </w:p>
        </w:tc>
        <w:tc>
          <w:tcPr>
            <w:tcW w:w="1024" w:type="pct"/>
            <w:vAlign w:val="center"/>
          </w:tcPr>
          <w:p w14:paraId="69F6C3C8">
            <w:r>
              <w:rPr>
                <w:rFonts w:ascii="Times New Roman" w:hAnsi="Times New Roman" w:cs="Times New Roman" w:eastAsiaTheme="majorEastAsia"/>
                <w:bCs/>
                <w:kern w:val="0"/>
                <w:szCs w:val="21"/>
              </w:rPr>
              <w:t>10.1因合同货物的质量问题而发生的争议，由质检部门进行质量鉴定。经检验，质量符合标准的，鉴定费用由采购人承担；质量不符合标准的，鉴定费用由投标人承担，并且投标人负责重新提供符合合同要求的货物给采购人，由此造成延期供货的，投标人承担延期供货的违约责任。</w:t>
            </w:r>
          </w:p>
        </w:tc>
        <w:tc>
          <w:tcPr>
            <w:tcW w:w="1051" w:type="pct"/>
            <w:vAlign w:val="center"/>
          </w:tcPr>
          <w:p w14:paraId="405988F6">
            <w:pPr>
              <w:rPr>
                <w:rFonts w:ascii="Times New Roman" w:hAnsi="Times New Roman" w:cs="Times New Roman" w:eastAsiaTheme="majorEastAsia"/>
                <w:bCs/>
                <w:kern w:val="0"/>
                <w:szCs w:val="21"/>
              </w:rPr>
            </w:pPr>
          </w:p>
        </w:tc>
        <w:tc>
          <w:tcPr>
            <w:tcW w:w="1051" w:type="pct"/>
            <w:vAlign w:val="center"/>
          </w:tcPr>
          <w:p w14:paraId="135D83B0">
            <w:pPr>
              <w:rPr>
                <w:rFonts w:ascii="Times New Roman" w:hAnsi="Times New Roman" w:cs="Times New Roman" w:eastAsiaTheme="majorEastAsia"/>
                <w:bCs/>
                <w:kern w:val="0"/>
                <w:szCs w:val="21"/>
              </w:rPr>
            </w:pPr>
          </w:p>
        </w:tc>
        <w:tc>
          <w:tcPr>
            <w:tcW w:w="1055" w:type="pct"/>
            <w:vAlign w:val="center"/>
          </w:tcPr>
          <w:p w14:paraId="72AE9701">
            <w:pPr>
              <w:rPr>
                <w:rFonts w:ascii="Times New Roman" w:hAnsi="Times New Roman" w:cs="Times New Roman" w:eastAsiaTheme="majorEastAsia"/>
                <w:bCs/>
                <w:kern w:val="0"/>
                <w:szCs w:val="21"/>
              </w:rPr>
            </w:pPr>
          </w:p>
        </w:tc>
      </w:tr>
      <w:tr w14:paraId="222C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7058FAD1">
            <w:pPr>
              <w:ind w:firstLine="480" w:firstLineChars="200"/>
              <w:rPr>
                <w:bCs/>
                <w:szCs w:val="21"/>
              </w:rPr>
            </w:pPr>
          </w:p>
        </w:tc>
        <w:tc>
          <w:tcPr>
            <w:tcW w:w="268" w:type="pct"/>
            <w:vMerge w:val="continue"/>
            <w:vAlign w:val="center"/>
          </w:tcPr>
          <w:p w14:paraId="5B5C9F7E">
            <w:pPr>
              <w:rPr>
                <w:color w:val="000000" w:themeColor="text1"/>
                <w14:textFill>
                  <w14:solidFill>
                    <w14:schemeClr w14:val="tx1"/>
                  </w14:solidFill>
                </w14:textFill>
              </w:rPr>
            </w:pPr>
          </w:p>
        </w:tc>
        <w:tc>
          <w:tcPr>
            <w:tcW w:w="1024" w:type="pct"/>
            <w:vAlign w:val="center"/>
          </w:tcPr>
          <w:p w14:paraId="0A29F3D0">
            <w:r>
              <w:rPr>
                <w:rFonts w:ascii="Times New Roman" w:hAnsi="Times New Roman" w:cs="Times New Roman" w:eastAsiaTheme="majorEastAsia"/>
                <w:bCs/>
                <w:kern w:val="0"/>
                <w:szCs w:val="21"/>
              </w:rPr>
              <w:t>10.2因本合同履行过程中所产生的纠纷和争议，应本着互谅互让、互相尊重、和平友好的原则协商解决。如从协商开始【30个日历日】内仍不能解决，任一方可向采购人所在地的人民法院提起诉讼。</w:t>
            </w:r>
          </w:p>
        </w:tc>
        <w:tc>
          <w:tcPr>
            <w:tcW w:w="1051" w:type="pct"/>
            <w:vAlign w:val="center"/>
          </w:tcPr>
          <w:p w14:paraId="0B40E042">
            <w:pPr>
              <w:rPr>
                <w:rFonts w:ascii="Times New Roman" w:hAnsi="Times New Roman" w:cs="Times New Roman" w:eastAsiaTheme="majorEastAsia"/>
                <w:bCs/>
                <w:kern w:val="0"/>
                <w:szCs w:val="21"/>
              </w:rPr>
            </w:pPr>
          </w:p>
        </w:tc>
        <w:tc>
          <w:tcPr>
            <w:tcW w:w="1051" w:type="pct"/>
            <w:vAlign w:val="center"/>
          </w:tcPr>
          <w:p w14:paraId="6B1D8AB5">
            <w:pPr>
              <w:rPr>
                <w:rFonts w:ascii="Times New Roman" w:hAnsi="Times New Roman" w:cs="Times New Roman" w:eastAsiaTheme="majorEastAsia"/>
                <w:bCs/>
                <w:kern w:val="0"/>
                <w:szCs w:val="21"/>
              </w:rPr>
            </w:pPr>
          </w:p>
        </w:tc>
        <w:tc>
          <w:tcPr>
            <w:tcW w:w="1055" w:type="pct"/>
            <w:vAlign w:val="center"/>
          </w:tcPr>
          <w:p w14:paraId="7A606E39">
            <w:pPr>
              <w:rPr>
                <w:rFonts w:ascii="Times New Roman" w:hAnsi="Times New Roman" w:cs="Times New Roman" w:eastAsiaTheme="majorEastAsia"/>
                <w:bCs/>
                <w:kern w:val="0"/>
                <w:szCs w:val="21"/>
              </w:rPr>
            </w:pPr>
          </w:p>
        </w:tc>
      </w:tr>
      <w:tr w14:paraId="5951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774A7AA5">
            <w:pPr>
              <w:ind w:firstLine="480" w:firstLineChars="200"/>
              <w:rPr>
                <w:bCs/>
                <w:szCs w:val="21"/>
              </w:rPr>
            </w:pPr>
          </w:p>
        </w:tc>
        <w:tc>
          <w:tcPr>
            <w:tcW w:w="268" w:type="pct"/>
            <w:vMerge w:val="continue"/>
            <w:vAlign w:val="center"/>
          </w:tcPr>
          <w:p w14:paraId="639D5E29">
            <w:pPr>
              <w:rPr>
                <w:color w:val="000000" w:themeColor="text1"/>
                <w14:textFill>
                  <w14:solidFill>
                    <w14:schemeClr w14:val="tx1"/>
                  </w14:solidFill>
                </w14:textFill>
              </w:rPr>
            </w:pPr>
          </w:p>
        </w:tc>
        <w:tc>
          <w:tcPr>
            <w:tcW w:w="1024" w:type="pct"/>
            <w:vAlign w:val="center"/>
          </w:tcPr>
          <w:p w14:paraId="25CD534D">
            <w:pPr>
              <w:rPr>
                <w:rFonts w:ascii="宋体" w:hAnsi="宋体" w:cs="宋体"/>
                <w:bCs/>
                <w:kern w:val="0"/>
                <w:szCs w:val="20"/>
              </w:rPr>
            </w:pPr>
            <w:r>
              <w:rPr>
                <w:rFonts w:ascii="Times New Roman" w:hAnsi="Times New Roman" w:cs="Times New Roman" w:eastAsiaTheme="majorEastAsia"/>
                <w:bCs/>
                <w:kern w:val="0"/>
                <w:szCs w:val="21"/>
              </w:rPr>
              <w:t>10.3在诉讼期间，除正在进行诉讼的部分外，合同的其他部分应继续执行。</w:t>
            </w:r>
          </w:p>
        </w:tc>
        <w:tc>
          <w:tcPr>
            <w:tcW w:w="1051" w:type="pct"/>
            <w:vAlign w:val="center"/>
          </w:tcPr>
          <w:p w14:paraId="253C1C94">
            <w:pPr>
              <w:rPr>
                <w:rFonts w:ascii="Times New Roman" w:hAnsi="Times New Roman" w:cs="Times New Roman" w:eastAsiaTheme="majorEastAsia"/>
                <w:bCs/>
                <w:kern w:val="0"/>
                <w:szCs w:val="21"/>
              </w:rPr>
            </w:pPr>
          </w:p>
        </w:tc>
        <w:tc>
          <w:tcPr>
            <w:tcW w:w="1051" w:type="pct"/>
            <w:vAlign w:val="center"/>
          </w:tcPr>
          <w:p w14:paraId="2DDBBC28">
            <w:pPr>
              <w:rPr>
                <w:rFonts w:ascii="Times New Roman" w:hAnsi="Times New Roman" w:cs="Times New Roman" w:eastAsiaTheme="majorEastAsia"/>
                <w:bCs/>
                <w:kern w:val="0"/>
                <w:szCs w:val="21"/>
              </w:rPr>
            </w:pPr>
          </w:p>
        </w:tc>
        <w:tc>
          <w:tcPr>
            <w:tcW w:w="1055" w:type="pct"/>
            <w:vAlign w:val="center"/>
          </w:tcPr>
          <w:p w14:paraId="1DD794F3">
            <w:pPr>
              <w:rPr>
                <w:rFonts w:ascii="Times New Roman" w:hAnsi="Times New Roman" w:cs="Times New Roman" w:eastAsiaTheme="majorEastAsia"/>
                <w:bCs/>
                <w:kern w:val="0"/>
                <w:szCs w:val="21"/>
              </w:rPr>
            </w:pPr>
          </w:p>
        </w:tc>
      </w:tr>
      <w:tr w14:paraId="18C6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4354582E">
            <w:pPr>
              <w:ind w:firstLine="480" w:firstLineChars="200"/>
              <w:rPr>
                <w:bCs/>
                <w:szCs w:val="21"/>
              </w:rPr>
            </w:pPr>
          </w:p>
        </w:tc>
        <w:tc>
          <w:tcPr>
            <w:tcW w:w="268" w:type="pct"/>
            <w:vMerge w:val="continue"/>
            <w:vAlign w:val="center"/>
          </w:tcPr>
          <w:p w14:paraId="18631ADF">
            <w:pPr>
              <w:rPr>
                <w:color w:val="000000" w:themeColor="text1"/>
                <w14:textFill>
                  <w14:solidFill>
                    <w14:schemeClr w14:val="tx1"/>
                  </w14:solidFill>
                </w14:textFill>
              </w:rPr>
            </w:pPr>
          </w:p>
        </w:tc>
        <w:tc>
          <w:tcPr>
            <w:tcW w:w="1024" w:type="pct"/>
            <w:vAlign w:val="center"/>
          </w:tcPr>
          <w:p w14:paraId="3D6A607E">
            <w:r>
              <w:rPr>
                <w:rFonts w:ascii="Times New Roman" w:hAnsi="Times New Roman" w:cs="Times New Roman" w:eastAsiaTheme="majorEastAsia"/>
                <w:bCs/>
                <w:kern w:val="0"/>
                <w:szCs w:val="21"/>
              </w:rPr>
              <w:t>10.4投标人提供的所有软件必须为正版或取得合理使用授权，采购人不承担知识产权纠纷带来的任何侵权责任，由此造成的损失由投标人负责赔偿。</w:t>
            </w:r>
          </w:p>
        </w:tc>
        <w:tc>
          <w:tcPr>
            <w:tcW w:w="1051" w:type="pct"/>
            <w:vAlign w:val="center"/>
          </w:tcPr>
          <w:p w14:paraId="6E2DD7C6">
            <w:pPr>
              <w:rPr>
                <w:rFonts w:ascii="Times New Roman" w:hAnsi="Times New Roman" w:cs="Times New Roman" w:eastAsiaTheme="majorEastAsia"/>
                <w:bCs/>
                <w:kern w:val="0"/>
                <w:szCs w:val="21"/>
              </w:rPr>
            </w:pPr>
          </w:p>
        </w:tc>
        <w:tc>
          <w:tcPr>
            <w:tcW w:w="1051" w:type="pct"/>
            <w:vAlign w:val="center"/>
          </w:tcPr>
          <w:p w14:paraId="6497DFFB">
            <w:pPr>
              <w:rPr>
                <w:rFonts w:ascii="Times New Roman" w:hAnsi="Times New Roman" w:cs="Times New Roman" w:eastAsiaTheme="majorEastAsia"/>
                <w:bCs/>
                <w:kern w:val="0"/>
                <w:szCs w:val="21"/>
              </w:rPr>
            </w:pPr>
          </w:p>
        </w:tc>
        <w:tc>
          <w:tcPr>
            <w:tcW w:w="1055" w:type="pct"/>
            <w:vAlign w:val="center"/>
          </w:tcPr>
          <w:p w14:paraId="38D2B6C3">
            <w:pPr>
              <w:rPr>
                <w:rFonts w:ascii="Times New Roman" w:hAnsi="Times New Roman" w:cs="Times New Roman" w:eastAsiaTheme="majorEastAsia"/>
                <w:bCs/>
                <w:kern w:val="0"/>
                <w:szCs w:val="21"/>
              </w:rPr>
            </w:pPr>
          </w:p>
        </w:tc>
      </w:tr>
      <w:tr w14:paraId="411D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7F7C19A8">
            <w:pPr>
              <w:ind w:firstLine="480" w:firstLineChars="200"/>
              <w:rPr>
                <w:bCs/>
                <w:szCs w:val="21"/>
              </w:rPr>
            </w:pPr>
            <w:r>
              <w:rPr>
                <w:rFonts w:hint="eastAsia"/>
                <w:color w:val="000000" w:themeColor="text1"/>
                <w14:textFill>
                  <w14:solidFill>
                    <w14:schemeClr w14:val="tx1"/>
                  </w14:solidFill>
                </w14:textFill>
              </w:rPr>
              <w:t>11</w:t>
            </w:r>
          </w:p>
        </w:tc>
        <w:tc>
          <w:tcPr>
            <w:tcW w:w="268" w:type="pct"/>
            <w:vAlign w:val="center"/>
          </w:tcPr>
          <w:p w14:paraId="6E6891F9">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合同语言</w:t>
            </w:r>
          </w:p>
        </w:tc>
        <w:tc>
          <w:tcPr>
            <w:tcW w:w="1024" w:type="pct"/>
          </w:tcPr>
          <w:p w14:paraId="579F97C9">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本合同以及双方来住的与合同有关的信件、传真和其它文件应用中文书写。</w:t>
            </w:r>
          </w:p>
        </w:tc>
        <w:tc>
          <w:tcPr>
            <w:tcW w:w="1051" w:type="pct"/>
          </w:tcPr>
          <w:p w14:paraId="78558080">
            <w:pPr>
              <w:spacing w:line="340" w:lineRule="exact"/>
              <w:rPr>
                <w:rFonts w:hint="eastAsia"/>
                <w:color w:val="000000" w:themeColor="text1"/>
                <w14:textFill>
                  <w14:solidFill>
                    <w14:schemeClr w14:val="tx1"/>
                  </w14:solidFill>
                </w14:textFill>
              </w:rPr>
            </w:pPr>
          </w:p>
        </w:tc>
        <w:tc>
          <w:tcPr>
            <w:tcW w:w="1051" w:type="pct"/>
          </w:tcPr>
          <w:p w14:paraId="240BF372">
            <w:pPr>
              <w:spacing w:line="340" w:lineRule="exact"/>
              <w:rPr>
                <w:rFonts w:hint="eastAsia"/>
                <w:color w:val="000000" w:themeColor="text1"/>
                <w14:textFill>
                  <w14:solidFill>
                    <w14:schemeClr w14:val="tx1"/>
                  </w14:solidFill>
                </w14:textFill>
              </w:rPr>
            </w:pPr>
          </w:p>
        </w:tc>
        <w:tc>
          <w:tcPr>
            <w:tcW w:w="1055" w:type="pct"/>
          </w:tcPr>
          <w:p w14:paraId="0B2C9B6A">
            <w:pPr>
              <w:spacing w:line="340" w:lineRule="exact"/>
              <w:rPr>
                <w:rFonts w:hint="eastAsia"/>
                <w:color w:val="000000" w:themeColor="text1"/>
                <w14:textFill>
                  <w14:solidFill>
                    <w14:schemeClr w14:val="tx1"/>
                  </w14:solidFill>
                </w14:textFill>
              </w:rPr>
            </w:pPr>
          </w:p>
        </w:tc>
      </w:tr>
      <w:tr w14:paraId="25AF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46986105">
            <w:pPr>
              <w:ind w:firstLine="480" w:firstLineChars="200"/>
              <w:rPr>
                <w:bCs/>
                <w:szCs w:val="21"/>
              </w:rPr>
            </w:pPr>
            <w:r>
              <w:rPr>
                <w:rFonts w:hint="eastAsia"/>
                <w:color w:val="000000" w:themeColor="text1"/>
                <w14:textFill>
                  <w14:solidFill>
                    <w14:schemeClr w14:val="tx1"/>
                  </w14:solidFill>
                </w14:textFill>
              </w:rPr>
              <w:t>12</w:t>
            </w:r>
          </w:p>
        </w:tc>
        <w:tc>
          <w:tcPr>
            <w:tcW w:w="268" w:type="pct"/>
            <w:vAlign w:val="center"/>
          </w:tcPr>
          <w:p w14:paraId="299D4D59">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法律适用</w:t>
            </w:r>
          </w:p>
        </w:tc>
        <w:tc>
          <w:tcPr>
            <w:tcW w:w="1024" w:type="pct"/>
          </w:tcPr>
          <w:p w14:paraId="5B657EB8">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本合同适用中华人民共和国现行法律、行政法规和规章，如合同条款与法律、行政法规和规章不一致的，按照法律、行政法规和规章修改本合同。</w:t>
            </w:r>
          </w:p>
        </w:tc>
        <w:tc>
          <w:tcPr>
            <w:tcW w:w="1051" w:type="pct"/>
          </w:tcPr>
          <w:p w14:paraId="3F78ECE2">
            <w:pPr>
              <w:spacing w:line="340" w:lineRule="exact"/>
              <w:rPr>
                <w:rFonts w:hint="eastAsia"/>
                <w:color w:val="000000" w:themeColor="text1"/>
                <w14:textFill>
                  <w14:solidFill>
                    <w14:schemeClr w14:val="tx1"/>
                  </w14:solidFill>
                </w14:textFill>
              </w:rPr>
            </w:pPr>
          </w:p>
        </w:tc>
        <w:tc>
          <w:tcPr>
            <w:tcW w:w="1051" w:type="pct"/>
          </w:tcPr>
          <w:p w14:paraId="5357EC1E">
            <w:pPr>
              <w:spacing w:line="340" w:lineRule="exact"/>
              <w:rPr>
                <w:rFonts w:hint="eastAsia"/>
                <w:color w:val="000000" w:themeColor="text1"/>
                <w14:textFill>
                  <w14:solidFill>
                    <w14:schemeClr w14:val="tx1"/>
                  </w14:solidFill>
                </w14:textFill>
              </w:rPr>
            </w:pPr>
          </w:p>
        </w:tc>
        <w:tc>
          <w:tcPr>
            <w:tcW w:w="1055" w:type="pct"/>
          </w:tcPr>
          <w:p w14:paraId="2EC29AF4">
            <w:pPr>
              <w:spacing w:line="340" w:lineRule="exact"/>
              <w:rPr>
                <w:rFonts w:hint="eastAsia"/>
                <w:color w:val="000000" w:themeColor="text1"/>
                <w14:textFill>
                  <w14:solidFill>
                    <w14:schemeClr w14:val="tx1"/>
                  </w14:solidFill>
                </w14:textFill>
              </w:rPr>
            </w:pPr>
          </w:p>
        </w:tc>
      </w:tr>
      <w:tr w14:paraId="5D9F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vAlign w:val="center"/>
          </w:tcPr>
          <w:p w14:paraId="50DD4782">
            <w:pPr>
              <w:ind w:firstLine="480" w:firstLineChars="200"/>
              <w:rPr>
                <w:bCs/>
                <w:szCs w:val="21"/>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3</w:t>
            </w:r>
          </w:p>
        </w:tc>
        <w:tc>
          <w:tcPr>
            <w:tcW w:w="268" w:type="pct"/>
            <w:vMerge w:val="restart"/>
            <w:vAlign w:val="center"/>
          </w:tcPr>
          <w:p w14:paraId="28E6E91D">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通知</w:t>
            </w:r>
          </w:p>
        </w:tc>
        <w:tc>
          <w:tcPr>
            <w:tcW w:w="1024" w:type="pct"/>
            <w:vAlign w:val="center"/>
          </w:tcPr>
          <w:p w14:paraId="3640F061">
            <w:pPr>
              <w:spacing w:line="340" w:lineRule="exact"/>
              <w:rPr>
                <w:color w:val="000000" w:themeColor="text1"/>
                <w14:textFill>
                  <w14:solidFill>
                    <w14:schemeClr w14:val="tx1"/>
                  </w14:solidFill>
                </w14:textFill>
              </w:rPr>
            </w:pPr>
            <w:r>
              <w:rPr>
                <w:rFonts w:hint="eastAsia" w:ascii="宋体" w:hAnsi="宋体" w:cs="宋体"/>
                <w:bCs/>
                <w:color w:val="000000" w:themeColor="text1"/>
                <w:kern w:val="0"/>
                <w:szCs w:val="20"/>
                <w14:textFill>
                  <w14:solidFill>
                    <w14:schemeClr w14:val="tx1"/>
                  </w14:solidFill>
                </w14:textFill>
              </w:rPr>
              <w:t>13.1 本合同一方给另一方的通知均应采用书面形式，传真或快递送到对方的地址和办理签收手续。</w:t>
            </w:r>
          </w:p>
        </w:tc>
        <w:tc>
          <w:tcPr>
            <w:tcW w:w="1051" w:type="pct"/>
            <w:vAlign w:val="center"/>
          </w:tcPr>
          <w:p w14:paraId="1FEC2E2E">
            <w:pPr>
              <w:spacing w:line="340" w:lineRule="exact"/>
              <w:rPr>
                <w:rFonts w:hint="eastAsia" w:ascii="宋体" w:hAnsi="宋体" w:cs="宋体"/>
                <w:bCs/>
                <w:color w:val="000000" w:themeColor="text1"/>
                <w:kern w:val="0"/>
                <w:szCs w:val="20"/>
                <w14:textFill>
                  <w14:solidFill>
                    <w14:schemeClr w14:val="tx1"/>
                  </w14:solidFill>
                </w14:textFill>
              </w:rPr>
            </w:pPr>
          </w:p>
        </w:tc>
        <w:tc>
          <w:tcPr>
            <w:tcW w:w="1051" w:type="pct"/>
            <w:vAlign w:val="center"/>
          </w:tcPr>
          <w:p w14:paraId="65BD7932">
            <w:pPr>
              <w:spacing w:line="340" w:lineRule="exact"/>
              <w:rPr>
                <w:rFonts w:hint="eastAsia" w:ascii="宋体" w:hAnsi="宋体" w:cs="宋体"/>
                <w:bCs/>
                <w:color w:val="000000" w:themeColor="text1"/>
                <w:kern w:val="0"/>
                <w:szCs w:val="20"/>
                <w14:textFill>
                  <w14:solidFill>
                    <w14:schemeClr w14:val="tx1"/>
                  </w14:solidFill>
                </w14:textFill>
              </w:rPr>
            </w:pPr>
          </w:p>
        </w:tc>
        <w:tc>
          <w:tcPr>
            <w:tcW w:w="1055" w:type="pct"/>
            <w:vAlign w:val="center"/>
          </w:tcPr>
          <w:p w14:paraId="10D743B5">
            <w:pPr>
              <w:spacing w:line="340" w:lineRule="exact"/>
              <w:rPr>
                <w:rFonts w:hint="eastAsia" w:ascii="宋体" w:hAnsi="宋体" w:cs="宋体"/>
                <w:bCs/>
                <w:color w:val="000000" w:themeColor="text1"/>
                <w:kern w:val="0"/>
                <w:szCs w:val="20"/>
                <w14:textFill>
                  <w14:solidFill>
                    <w14:schemeClr w14:val="tx1"/>
                  </w14:solidFill>
                </w14:textFill>
              </w:rPr>
            </w:pPr>
          </w:p>
        </w:tc>
      </w:tr>
      <w:tr w14:paraId="0D54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vAlign w:val="center"/>
          </w:tcPr>
          <w:p w14:paraId="274176A9">
            <w:pPr>
              <w:ind w:firstLine="480" w:firstLineChars="200"/>
              <w:rPr>
                <w:bCs/>
                <w:szCs w:val="21"/>
              </w:rPr>
            </w:pPr>
          </w:p>
        </w:tc>
        <w:tc>
          <w:tcPr>
            <w:tcW w:w="268" w:type="pct"/>
            <w:vMerge w:val="continue"/>
            <w:vAlign w:val="center"/>
          </w:tcPr>
          <w:p w14:paraId="470DF64F">
            <w:pPr>
              <w:rPr>
                <w:color w:val="000000" w:themeColor="text1"/>
                <w14:textFill>
                  <w14:solidFill>
                    <w14:schemeClr w14:val="tx1"/>
                  </w14:solidFill>
                </w14:textFill>
              </w:rPr>
            </w:pPr>
          </w:p>
        </w:tc>
        <w:tc>
          <w:tcPr>
            <w:tcW w:w="1024" w:type="pct"/>
            <w:vAlign w:val="center"/>
          </w:tcPr>
          <w:p w14:paraId="36D9CE60">
            <w:pPr>
              <w:spacing w:line="340" w:lineRule="exact"/>
              <w:rPr>
                <w:color w:val="000000" w:themeColor="text1"/>
                <w14:textFill>
                  <w14:solidFill>
                    <w14:schemeClr w14:val="tx1"/>
                  </w14:solidFill>
                </w14:textFill>
              </w:rPr>
            </w:pPr>
            <w:r>
              <w:rPr>
                <w:rFonts w:hint="eastAsia" w:ascii="宋体" w:hAnsi="宋体" w:cs="宋体"/>
                <w:bCs/>
                <w:color w:val="000000" w:themeColor="text1"/>
                <w:kern w:val="0"/>
                <w:szCs w:val="20"/>
                <w14:textFill>
                  <w14:solidFill>
                    <w14:schemeClr w14:val="tx1"/>
                  </w14:solidFill>
                </w14:textFill>
              </w:rPr>
              <w:t>13.2 通知以送到之日或通知书中规定的生效之日起生效，两者中以较迟之日为准。</w:t>
            </w:r>
          </w:p>
        </w:tc>
        <w:tc>
          <w:tcPr>
            <w:tcW w:w="1051" w:type="pct"/>
            <w:vAlign w:val="center"/>
          </w:tcPr>
          <w:p w14:paraId="2D94A880">
            <w:pPr>
              <w:spacing w:line="340" w:lineRule="exact"/>
              <w:rPr>
                <w:rFonts w:hint="eastAsia" w:ascii="宋体" w:hAnsi="宋体" w:cs="宋体"/>
                <w:bCs/>
                <w:color w:val="000000" w:themeColor="text1"/>
                <w:kern w:val="0"/>
                <w:szCs w:val="20"/>
                <w14:textFill>
                  <w14:solidFill>
                    <w14:schemeClr w14:val="tx1"/>
                  </w14:solidFill>
                </w14:textFill>
              </w:rPr>
            </w:pPr>
          </w:p>
        </w:tc>
        <w:tc>
          <w:tcPr>
            <w:tcW w:w="1051" w:type="pct"/>
            <w:vAlign w:val="center"/>
          </w:tcPr>
          <w:p w14:paraId="3D053178">
            <w:pPr>
              <w:spacing w:line="340" w:lineRule="exact"/>
              <w:rPr>
                <w:rFonts w:hint="eastAsia" w:ascii="宋体" w:hAnsi="宋体" w:cs="宋体"/>
                <w:bCs/>
                <w:color w:val="000000" w:themeColor="text1"/>
                <w:kern w:val="0"/>
                <w:szCs w:val="20"/>
                <w14:textFill>
                  <w14:solidFill>
                    <w14:schemeClr w14:val="tx1"/>
                  </w14:solidFill>
                </w14:textFill>
              </w:rPr>
            </w:pPr>
          </w:p>
        </w:tc>
        <w:tc>
          <w:tcPr>
            <w:tcW w:w="1055" w:type="pct"/>
            <w:vAlign w:val="center"/>
          </w:tcPr>
          <w:p w14:paraId="0ABBC32A">
            <w:pPr>
              <w:spacing w:line="340" w:lineRule="exact"/>
              <w:rPr>
                <w:rFonts w:hint="eastAsia" w:ascii="宋体" w:hAnsi="宋体" w:cs="宋体"/>
                <w:bCs/>
                <w:color w:val="000000" w:themeColor="text1"/>
                <w:kern w:val="0"/>
                <w:szCs w:val="20"/>
                <w14:textFill>
                  <w14:solidFill>
                    <w14:schemeClr w14:val="tx1"/>
                  </w14:solidFill>
                </w14:textFill>
              </w:rPr>
            </w:pPr>
          </w:p>
        </w:tc>
      </w:tr>
      <w:tr w14:paraId="3776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549" w:type="pct"/>
            <w:vMerge w:val="restart"/>
            <w:vAlign w:val="center"/>
          </w:tcPr>
          <w:p w14:paraId="6BE1C92E">
            <w:pPr>
              <w:ind w:firstLine="480" w:firstLineChars="200"/>
              <w:rPr>
                <w:bCs/>
                <w:szCs w:val="21"/>
              </w:rPr>
            </w:pPr>
            <w:r>
              <w:rPr>
                <w:rFonts w:hint="eastAsia"/>
                <w:color w:val="000000" w:themeColor="text1"/>
                <w14:textFill>
                  <w14:solidFill>
                    <w14:schemeClr w14:val="tx1"/>
                  </w14:solidFill>
                </w14:textFill>
              </w:rPr>
              <w:t>14</w:t>
            </w:r>
          </w:p>
        </w:tc>
        <w:tc>
          <w:tcPr>
            <w:tcW w:w="268" w:type="pct"/>
            <w:vMerge w:val="restart"/>
            <w:vAlign w:val="center"/>
          </w:tcPr>
          <w:p w14:paraId="62834D2B">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知识产权</w:t>
            </w:r>
          </w:p>
        </w:tc>
        <w:tc>
          <w:tcPr>
            <w:tcW w:w="1024" w:type="pct"/>
            <w:vAlign w:val="center"/>
          </w:tcPr>
          <w:p w14:paraId="6A99EF41">
            <w:r>
              <w:rPr>
                <w:rFonts w:ascii="Times New Roman" w:hAnsi="Times New Roman" w:cs="Times New Roman" w:eastAsiaTheme="majorEastAsia"/>
                <w:szCs w:val="21"/>
              </w:rPr>
              <w:t>14.1投标人应保证采购人在使用该货物或其任何一部分时免受第三方提出侵犯其专利、商标、版权等知识产权或商品名称及其他权利的起诉及索赔。若采购人因此被第三方起诉或以其它方式追究责任，投标人应赔偿因采购人被第三方索赔所引起的一切损失，包括但不限于采购人所支付的侵权损害赔偿费、律师费、诉讼费、仲裁费、办案差旅费等因应诉、沟通协调所发的一切费用。</w:t>
            </w:r>
          </w:p>
        </w:tc>
        <w:tc>
          <w:tcPr>
            <w:tcW w:w="1051" w:type="pct"/>
            <w:vAlign w:val="center"/>
          </w:tcPr>
          <w:p w14:paraId="3658DD75">
            <w:pPr>
              <w:rPr>
                <w:rFonts w:ascii="Times New Roman" w:hAnsi="Times New Roman" w:cs="Times New Roman" w:eastAsiaTheme="majorEastAsia"/>
                <w:szCs w:val="21"/>
              </w:rPr>
            </w:pPr>
          </w:p>
        </w:tc>
        <w:tc>
          <w:tcPr>
            <w:tcW w:w="1051" w:type="pct"/>
            <w:vAlign w:val="center"/>
          </w:tcPr>
          <w:p w14:paraId="69FD6E18">
            <w:pPr>
              <w:rPr>
                <w:rFonts w:ascii="Times New Roman" w:hAnsi="Times New Roman" w:cs="Times New Roman" w:eastAsiaTheme="majorEastAsia"/>
                <w:szCs w:val="21"/>
              </w:rPr>
            </w:pPr>
          </w:p>
        </w:tc>
        <w:tc>
          <w:tcPr>
            <w:tcW w:w="1055" w:type="pct"/>
            <w:vAlign w:val="center"/>
          </w:tcPr>
          <w:p w14:paraId="233591F5">
            <w:pPr>
              <w:rPr>
                <w:rFonts w:ascii="Times New Roman" w:hAnsi="Times New Roman" w:cs="Times New Roman" w:eastAsiaTheme="majorEastAsia"/>
                <w:szCs w:val="21"/>
              </w:rPr>
            </w:pPr>
          </w:p>
        </w:tc>
      </w:tr>
      <w:tr w14:paraId="3BE5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549" w:type="pct"/>
            <w:vMerge w:val="continue"/>
            <w:vAlign w:val="center"/>
          </w:tcPr>
          <w:p w14:paraId="1C84EB9E">
            <w:pPr>
              <w:spacing w:line="340" w:lineRule="exact"/>
            </w:pPr>
          </w:p>
        </w:tc>
        <w:tc>
          <w:tcPr>
            <w:tcW w:w="268" w:type="pct"/>
            <w:vMerge w:val="continue"/>
            <w:vAlign w:val="center"/>
          </w:tcPr>
          <w:p w14:paraId="0B3FED70">
            <w:pPr>
              <w:spacing w:line="340" w:lineRule="exact"/>
            </w:pPr>
          </w:p>
        </w:tc>
        <w:tc>
          <w:tcPr>
            <w:tcW w:w="1024" w:type="pct"/>
            <w:vAlign w:val="center"/>
          </w:tcPr>
          <w:p w14:paraId="3DFDDDF0">
            <w:r>
              <w:rPr>
                <w:rFonts w:ascii="Times New Roman" w:hAnsi="Times New Roman" w:cs="Times New Roman" w:eastAsiaTheme="majorEastAsia"/>
                <w:szCs w:val="21"/>
              </w:rPr>
              <w:t>14.2</w:t>
            </w:r>
            <w:r>
              <w:rPr>
                <w:rFonts w:ascii="Times New Roman" w:hAnsi="Times New Roman" w:cs="Times New Roman" w:eastAsiaTheme="majorEastAsia"/>
                <w:bCs/>
                <w:kern w:val="0"/>
                <w:szCs w:val="21"/>
              </w:rPr>
              <w:t>除第三人依法享有知识产权的之外，中标人实施本项目所形成成果的知识产权归采购人所有，未经采购人许可，中标人不得随意使用</w:t>
            </w:r>
            <w:r>
              <w:rPr>
                <w:rFonts w:ascii="Times New Roman" w:hAnsi="Times New Roman" w:cs="Times New Roman" w:eastAsiaTheme="majorEastAsia"/>
                <w:kern w:val="0"/>
                <w:szCs w:val="21"/>
              </w:rPr>
              <w:t>。</w:t>
            </w:r>
          </w:p>
        </w:tc>
        <w:tc>
          <w:tcPr>
            <w:tcW w:w="1051" w:type="pct"/>
            <w:vAlign w:val="center"/>
          </w:tcPr>
          <w:p w14:paraId="2E6AB3B1">
            <w:pPr>
              <w:rPr>
                <w:rFonts w:ascii="Times New Roman" w:hAnsi="Times New Roman" w:cs="Times New Roman" w:eastAsiaTheme="majorEastAsia"/>
                <w:szCs w:val="21"/>
              </w:rPr>
            </w:pPr>
          </w:p>
        </w:tc>
        <w:tc>
          <w:tcPr>
            <w:tcW w:w="1051" w:type="pct"/>
            <w:vAlign w:val="center"/>
          </w:tcPr>
          <w:p w14:paraId="3ABCF7ED">
            <w:pPr>
              <w:rPr>
                <w:rFonts w:ascii="Times New Roman" w:hAnsi="Times New Roman" w:cs="Times New Roman" w:eastAsiaTheme="majorEastAsia"/>
                <w:szCs w:val="21"/>
              </w:rPr>
            </w:pPr>
          </w:p>
        </w:tc>
        <w:tc>
          <w:tcPr>
            <w:tcW w:w="1055" w:type="pct"/>
            <w:vAlign w:val="center"/>
          </w:tcPr>
          <w:p w14:paraId="2A3B11F0">
            <w:pPr>
              <w:rPr>
                <w:rFonts w:ascii="Times New Roman" w:hAnsi="Times New Roman" w:cs="Times New Roman" w:eastAsiaTheme="majorEastAsia"/>
                <w:szCs w:val="21"/>
              </w:rPr>
            </w:pPr>
          </w:p>
        </w:tc>
      </w:tr>
      <w:tr w14:paraId="05E2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458950E8">
            <w:pPr>
              <w:ind w:firstLine="480" w:firstLineChars="200"/>
              <w:rPr>
                <w:bCs/>
                <w:szCs w:val="21"/>
              </w:rPr>
            </w:pPr>
            <w:r>
              <w:rPr>
                <w:rFonts w:hint="eastAsia"/>
                <w:color w:val="000000" w:themeColor="text1"/>
                <w14:textFill>
                  <w14:solidFill>
                    <w14:schemeClr w14:val="tx1"/>
                  </w14:solidFill>
                </w14:textFill>
              </w:rPr>
              <w:t>15</w:t>
            </w:r>
          </w:p>
        </w:tc>
        <w:tc>
          <w:tcPr>
            <w:tcW w:w="268" w:type="pct"/>
            <w:vAlign w:val="center"/>
          </w:tcPr>
          <w:p w14:paraId="623A5144">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合同解除和终止</w:t>
            </w:r>
          </w:p>
        </w:tc>
        <w:tc>
          <w:tcPr>
            <w:tcW w:w="1024" w:type="pct"/>
          </w:tcPr>
          <w:p w14:paraId="3D47F29F">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如果中标人未能在协议规定的限期或采购人同意延长的限期内提供部分或全部货物，采购人可向中标人发出书面的违约通知书，提出终止部份或全部协议。采购人可在任何时候出于自身的便利向中标人发出书面通知终止部分合同，采购人在合同总价中扣除该终止部分货物的价款，并不再对中标人作出额外赔偿。</w:t>
            </w:r>
          </w:p>
        </w:tc>
        <w:tc>
          <w:tcPr>
            <w:tcW w:w="1051" w:type="pct"/>
          </w:tcPr>
          <w:p w14:paraId="7D180890">
            <w:pPr>
              <w:spacing w:line="340" w:lineRule="exact"/>
              <w:rPr>
                <w:rFonts w:hint="eastAsia"/>
                <w:color w:val="000000" w:themeColor="text1"/>
                <w14:textFill>
                  <w14:solidFill>
                    <w14:schemeClr w14:val="tx1"/>
                  </w14:solidFill>
                </w14:textFill>
              </w:rPr>
            </w:pPr>
          </w:p>
        </w:tc>
        <w:tc>
          <w:tcPr>
            <w:tcW w:w="1051" w:type="pct"/>
          </w:tcPr>
          <w:p w14:paraId="09E39687">
            <w:pPr>
              <w:spacing w:line="340" w:lineRule="exact"/>
              <w:rPr>
                <w:rFonts w:hint="eastAsia"/>
                <w:color w:val="000000" w:themeColor="text1"/>
                <w14:textFill>
                  <w14:solidFill>
                    <w14:schemeClr w14:val="tx1"/>
                  </w14:solidFill>
                </w14:textFill>
              </w:rPr>
            </w:pPr>
          </w:p>
        </w:tc>
        <w:tc>
          <w:tcPr>
            <w:tcW w:w="1055" w:type="pct"/>
          </w:tcPr>
          <w:p w14:paraId="1B71705B">
            <w:pPr>
              <w:spacing w:line="340" w:lineRule="exact"/>
              <w:rPr>
                <w:rFonts w:hint="eastAsia"/>
                <w:color w:val="000000" w:themeColor="text1"/>
                <w14:textFill>
                  <w14:solidFill>
                    <w14:schemeClr w14:val="tx1"/>
                  </w14:solidFill>
                </w14:textFill>
              </w:rPr>
            </w:pPr>
          </w:p>
        </w:tc>
      </w:tr>
      <w:tr w14:paraId="2450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Align w:val="center"/>
          </w:tcPr>
          <w:p w14:paraId="292083B5">
            <w:pPr>
              <w:ind w:firstLine="480" w:firstLineChars="200"/>
              <w:rPr>
                <w:bCs/>
                <w:szCs w:val="21"/>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6</w:t>
            </w:r>
          </w:p>
        </w:tc>
        <w:tc>
          <w:tcPr>
            <w:tcW w:w="268" w:type="pct"/>
            <w:vAlign w:val="center"/>
          </w:tcPr>
          <w:p w14:paraId="66EB781D">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税费</w:t>
            </w:r>
          </w:p>
        </w:tc>
        <w:tc>
          <w:tcPr>
            <w:tcW w:w="1024" w:type="pct"/>
          </w:tcPr>
          <w:p w14:paraId="124E5DC8">
            <w:pPr>
              <w:spacing w:line="3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增值税专用发票。</w:t>
            </w:r>
          </w:p>
        </w:tc>
        <w:tc>
          <w:tcPr>
            <w:tcW w:w="1051" w:type="pct"/>
          </w:tcPr>
          <w:p w14:paraId="4736283E">
            <w:pPr>
              <w:spacing w:line="340" w:lineRule="exact"/>
              <w:rPr>
                <w:rFonts w:hint="eastAsia"/>
                <w:color w:val="000000" w:themeColor="text1"/>
                <w14:textFill>
                  <w14:solidFill>
                    <w14:schemeClr w14:val="tx1"/>
                  </w14:solidFill>
                </w14:textFill>
              </w:rPr>
            </w:pPr>
          </w:p>
        </w:tc>
        <w:tc>
          <w:tcPr>
            <w:tcW w:w="1051" w:type="pct"/>
          </w:tcPr>
          <w:p w14:paraId="7CB50366">
            <w:pPr>
              <w:spacing w:line="340" w:lineRule="exact"/>
              <w:rPr>
                <w:rFonts w:hint="eastAsia"/>
                <w:color w:val="000000" w:themeColor="text1"/>
                <w14:textFill>
                  <w14:solidFill>
                    <w14:schemeClr w14:val="tx1"/>
                  </w14:solidFill>
                </w14:textFill>
              </w:rPr>
            </w:pPr>
          </w:p>
        </w:tc>
        <w:tc>
          <w:tcPr>
            <w:tcW w:w="1055" w:type="pct"/>
          </w:tcPr>
          <w:p w14:paraId="0F9A3DF5">
            <w:pPr>
              <w:spacing w:line="340" w:lineRule="exact"/>
              <w:rPr>
                <w:rFonts w:hint="eastAsia"/>
                <w:color w:val="000000" w:themeColor="text1"/>
                <w14:textFill>
                  <w14:solidFill>
                    <w14:schemeClr w14:val="tx1"/>
                  </w14:solidFill>
                </w14:textFill>
              </w:rPr>
            </w:pPr>
          </w:p>
        </w:tc>
      </w:tr>
    </w:tbl>
    <w:p w14:paraId="33480A02">
      <w:pPr>
        <w:numPr>
          <w:ilvl w:val="0"/>
          <w:numId w:val="0"/>
        </w:numPr>
      </w:pPr>
    </w:p>
    <w:p w14:paraId="66A4CF6A">
      <w:pPr>
        <w:ind w:firstLine="482" w:firstLineChars="200"/>
        <w:rPr>
          <w:rFonts w:ascii="宋体" w:hAnsi="宋体" w:eastAsia="宋体"/>
          <w:b/>
        </w:rPr>
      </w:pPr>
      <w:r>
        <w:rPr>
          <w:rFonts w:hint="eastAsia" w:ascii="宋体" w:hAnsi="宋体" w:eastAsia="宋体"/>
          <w:b/>
        </w:rPr>
        <w:t>注：</w:t>
      </w:r>
    </w:p>
    <w:p w14:paraId="6BDCC5E2">
      <w:pPr>
        <w:ind w:firstLine="482" w:firstLineChars="200"/>
        <w:rPr>
          <w:rFonts w:ascii="宋体" w:hAnsi="宋体" w:eastAsia="宋体"/>
          <w:b/>
        </w:rPr>
      </w:pPr>
      <w:r>
        <w:rPr>
          <w:rFonts w:hint="eastAsia" w:ascii="宋体" w:hAnsi="宋体" w:eastAsia="宋体"/>
          <w:b/>
        </w:rPr>
        <w:t>1.商务要求偏离表的序号、商务需求项、招标商务要求等栏目对应“用户需求书”中的“商务要求”章节相关内容。</w:t>
      </w:r>
    </w:p>
    <w:p w14:paraId="387BD0E7">
      <w:pPr>
        <w:ind w:firstLine="482" w:firstLineChars="200"/>
        <w:rPr>
          <w:rFonts w:ascii="宋体" w:hAnsi="宋体" w:eastAsia="宋体"/>
          <w:b/>
        </w:rPr>
      </w:pPr>
      <w:r>
        <w:rPr>
          <w:rFonts w:ascii="宋体" w:hAnsi="宋体" w:eastAsia="宋体"/>
          <w:b/>
        </w:rPr>
        <w:t>2</w:t>
      </w:r>
      <w:r>
        <w:rPr>
          <w:rFonts w:hint="eastAsia" w:ascii="宋体" w:hAnsi="宋体" w:eastAsia="宋体"/>
          <w:b/>
        </w:rPr>
        <w:t>.“投标商务响应”一栏必须一一对照“招标商务要求”，详细填写自身响应情况，而不能不合理照搬照抄招标文件的商务要求，以体现具体响应情况。</w:t>
      </w:r>
    </w:p>
    <w:p w14:paraId="54D65118">
      <w:pPr>
        <w:ind w:firstLine="482" w:firstLineChars="200"/>
        <w:rPr>
          <w:rFonts w:ascii="宋体" w:hAnsi="宋体" w:eastAsia="宋体"/>
          <w:b/>
        </w:rPr>
      </w:pPr>
      <w:r>
        <w:rPr>
          <w:rFonts w:ascii="宋体" w:hAnsi="宋体" w:eastAsia="宋体"/>
          <w:b/>
        </w:rPr>
        <w:t>3</w:t>
      </w:r>
      <w:r>
        <w:rPr>
          <w:rFonts w:hint="eastAsia" w:ascii="宋体" w:hAnsi="宋体" w:eastAsia="宋体"/>
          <w:b/>
        </w:rPr>
        <w:t>.“偏离情况”一栏填写如实填写“正偏离”、“负偏离”或“无偏离”，其中：“正偏离”表示“投标响应优于招标商务要求”，“负偏离”表示“投标响应不满足招标商务要求”，“无偏离”表示“投标响应与招标商务要求一致”。</w:t>
      </w:r>
    </w:p>
    <w:p w14:paraId="516623E7">
      <w:pPr>
        <w:ind w:firstLine="482" w:firstLineChars="200"/>
        <w:rPr>
          <w:rFonts w:ascii="宋体" w:hAnsi="宋体" w:eastAsia="宋体"/>
          <w:b/>
        </w:rPr>
      </w:pPr>
      <w:r>
        <w:rPr>
          <w:rFonts w:hint="eastAsia" w:ascii="宋体" w:hAnsi="宋体" w:eastAsia="宋体"/>
          <w:b/>
        </w:rPr>
        <w:t>4.“投标商务响应”对比“招标商务要求”存在响应不全（包括未响应整项招标商务要求或者未响应一项招标商务要求的部分内容），均视为“负偏离”。</w:t>
      </w:r>
    </w:p>
    <w:p w14:paraId="0265F739">
      <w:pPr>
        <w:rPr>
          <w:rFonts w:ascii="宋体" w:hAnsi="宋体" w:eastAsia="宋体"/>
        </w:rPr>
      </w:pPr>
    </w:p>
    <w:p w14:paraId="54CC3F51">
      <w:pPr>
        <w:rPr>
          <w:rFonts w:ascii="宋体" w:hAnsi="宋体" w:eastAsia="宋体"/>
        </w:rPr>
      </w:pPr>
    </w:p>
    <w:p w14:paraId="57E6B173">
      <w:pPr>
        <w:pStyle w:val="3"/>
        <w:numPr>
          <w:ilvl w:val="0"/>
          <w:numId w:val="0"/>
        </w:numPr>
        <w:ind w:left="0" w:leftChars="0" w:firstLine="0" w:firstLineChars="0"/>
        <w:jc w:val="center"/>
        <w:rPr>
          <w:rFonts w:hint="eastAsia"/>
          <w:b w:val="0"/>
          <w:sz w:val="24"/>
          <w:szCs w:val="24"/>
        </w:rPr>
      </w:pPr>
      <w:bookmarkStart w:id="79" w:name="_Hlk72260576"/>
      <w:r>
        <w:rPr>
          <w:rFonts w:hint="eastAsia" w:ascii="宋体" w:hAnsi="宋体" w:eastAsia="宋体" w:cs="Times New Roman"/>
          <w:b w:val="0"/>
          <w:bCs/>
          <w:sz w:val="24"/>
          <w:szCs w:val="24"/>
          <w:lang w:val="en-US" w:eastAsia="zh-CN" w:bidi="ar-SA"/>
        </w:rPr>
        <w:t>八、</w:t>
      </w:r>
      <w:r>
        <w:rPr>
          <w:rFonts w:hint="eastAsia"/>
          <w:b w:val="0"/>
          <w:sz w:val="24"/>
          <w:szCs w:val="24"/>
        </w:rPr>
        <w:t>项目分析与技术保障方案</w:t>
      </w:r>
    </w:p>
    <w:p w14:paraId="6750A08D">
      <w:pPr>
        <w:pStyle w:val="3"/>
        <w:numPr>
          <w:ilvl w:val="0"/>
          <w:numId w:val="0"/>
        </w:numPr>
        <w:ind w:left="0" w:leftChars="0" w:firstLine="0" w:firstLineChars="0"/>
        <w:jc w:val="center"/>
        <w:rPr>
          <w:rFonts w:hint="eastAsia"/>
          <w:b w:val="0"/>
          <w:sz w:val="24"/>
          <w:szCs w:val="24"/>
        </w:rPr>
      </w:pPr>
      <w:r>
        <w:rPr>
          <w:rFonts w:hint="eastAsia"/>
          <w:b w:val="0"/>
          <w:sz w:val="24"/>
          <w:szCs w:val="24"/>
          <w:lang w:val="en-US" w:eastAsia="zh-CN"/>
        </w:rPr>
        <w:t>九、</w:t>
      </w:r>
      <w:r>
        <w:rPr>
          <w:rFonts w:hint="eastAsia"/>
          <w:b w:val="0"/>
          <w:sz w:val="24"/>
          <w:szCs w:val="24"/>
        </w:rPr>
        <w:t>安装调试保障方案</w:t>
      </w:r>
    </w:p>
    <w:p w14:paraId="65B8E0C8">
      <w:pPr>
        <w:pStyle w:val="3"/>
        <w:numPr>
          <w:ilvl w:val="0"/>
          <w:numId w:val="0"/>
        </w:numPr>
        <w:ind w:left="0" w:leftChars="0" w:firstLine="0" w:firstLineChars="0"/>
        <w:jc w:val="center"/>
        <w:rPr>
          <w:rFonts w:hint="eastAsia"/>
          <w:b w:val="0"/>
          <w:sz w:val="24"/>
          <w:szCs w:val="24"/>
        </w:rPr>
      </w:pPr>
      <w:r>
        <w:rPr>
          <w:rFonts w:hint="eastAsia"/>
          <w:b w:val="0"/>
          <w:sz w:val="24"/>
          <w:szCs w:val="24"/>
          <w:lang w:val="en-US" w:eastAsia="zh-CN"/>
        </w:rPr>
        <w:t>十、</w:t>
      </w:r>
      <w:r>
        <w:rPr>
          <w:rFonts w:hint="eastAsia"/>
          <w:b w:val="0"/>
          <w:sz w:val="24"/>
          <w:szCs w:val="24"/>
        </w:rPr>
        <w:t>培训服务方案</w:t>
      </w:r>
    </w:p>
    <w:p w14:paraId="2B4D2A42">
      <w:pPr>
        <w:pStyle w:val="3"/>
        <w:numPr>
          <w:ilvl w:val="0"/>
          <w:numId w:val="0"/>
        </w:numPr>
        <w:ind w:left="0" w:leftChars="0" w:firstLine="0" w:firstLineChars="0"/>
        <w:jc w:val="center"/>
        <w:rPr>
          <w:rFonts w:hint="eastAsia"/>
          <w:b w:val="0"/>
          <w:sz w:val="24"/>
          <w:szCs w:val="24"/>
        </w:rPr>
      </w:pPr>
      <w:r>
        <w:rPr>
          <w:rFonts w:hint="eastAsia"/>
          <w:b w:val="0"/>
          <w:sz w:val="24"/>
          <w:szCs w:val="24"/>
          <w:lang w:val="en-US" w:eastAsia="zh-CN"/>
        </w:rPr>
        <w:t>十一、</w:t>
      </w:r>
      <w:r>
        <w:rPr>
          <w:rFonts w:hint="eastAsia"/>
          <w:b w:val="0"/>
          <w:sz w:val="24"/>
          <w:szCs w:val="24"/>
        </w:rPr>
        <w:t>免费保修期外售后维保方案</w:t>
      </w:r>
    </w:p>
    <w:bookmarkEnd w:id="79"/>
    <w:p w14:paraId="305A582A">
      <w:pPr>
        <w:pStyle w:val="3"/>
        <w:numPr>
          <w:ilvl w:val="0"/>
          <w:numId w:val="0"/>
        </w:numPr>
        <w:ind w:left="0" w:leftChars="0" w:firstLine="0" w:firstLineChars="0"/>
        <w:jc w:val="center"/>
        <w:rPr>
          <w:rFonts w:hint="eastAsia"/>
          <w:b w:val="0"/>
          <w:sz w:val="24"/>
          <w:szCs w:val="24"/>
        </w:rPr>
      </w:pPr>
      <w:r>
        <w:rPr>
          <w:rFonts w:hint="eastAsia"/>
          <w:b w:val="0"/>
          <w:sz w:val="24"/>
          <w:szCs w:val="24"/>
          <w:lang w:val="en-US" w:eastAsia="zh-CN"/>
        </w:rPr>
        <w:t>十二</w:t>
      </w:r>
      <w:r>
        <w:rPr>
          <w:rFonts w:hint="eastAsia"/>
          <w:b w:val="0"/>
          <w:sz w:val="24"/>
          <w:szCs w:val="24"/>
        </w:rPr>
        <w:t>、</w:t>
      </w:r>
      <w:bookmarkStart w:id="80" w:name="_Hlk72062872"/>
      <w:r>
        <w:rPr>
          <w:rFonts w:hint="eastAsia"/>
          <w:b w:val="0"/>
          <w:sz w:val="24"/>
          <w:szCs w:val="24"/>
        </w:rPr>
        <w:t>投标人认为需要加以说明的其它内容</w:t>
      </w:r>
      <w:bookmarkEnd w:id="80"/>
      <w:r>
        <w:rPr>
          <w:rFonts w:hint="eastAsia"/>
          <w:b w:val="0"/>
          <w:sz w:val="24"/>
          <w:szCs w:val="24"/>
        </w:rPr>
        <w:t>（格式自定）</w:t>
      </w:r>
    </w:p>
    <w:p w14:paraId="08043B49">
      <w:pPr>
        <w:rPr>
          <w:rFonts w:asciiTheme="majorEastAsia" w:hAnsiTheme="majorEastAsia" w:eastAsiaTheme="majorEastAsia" w:cstheme="majorEastAsia"/>
          <w:b/>
          <w:bCs/>
          <w:szCs w:val="20"/>
        </w:rPr>
      </w:pPr>
      <w:r>
        <w:rPr>
          <w:rFonts w:hint="eastAsia" w:asciiTheme="majorEastAsia" w:hAnsiTheme="majorEastAsia" w:eastAsiaTheme="majorEastAsia" w:cstheme="majorEastAsia"/>
          <w:b/>
          <w:bCs/>
          <w:szCs w:val="20"/>
        </w:rPr>
        <w:t>（1）政府采购违法行为风险知悉确认书</w:t>
      </w:r>
    </w:p>
    <w:p w14:paraId="219EED4A">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7B2A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1ABA7A13">
            <w:pPr>
              <w:widowControl w:val="0"/>
              <w:spacing w:line="400" w:lineRule="exact"/>
              <w:jc w:val="center"/>
              <w:rPr>
                <w:rFonts w:ascii="宋体" w:hAnsi="宋体" w:eastAsia="宋体" w:cs="宋体"/>
                <w:sz w:val="21"/>
                <w:szCs w:val="18"/>
                <w:highlight w:val="yellow"/>
              </w:rPr>
            </w:pPr>
            <w:r>
              <w:rPr>
                <w:rFonts w:hint="eastAsia" w:ascii="宋体" w:hAnsi="宋体" w:eastAsia="宋体" w:cs="宋体"/>
                <w:sz w:val="21"/>
                <w:szCs w:val="18"/>
                <w:highlight w:val="yellow"/>
              </w:rPr>
              <w:t>序号</w:t>
            </w:r>
          </w:p>
        </w:tc>
        <w:tc>
          <w:tcPr>
            <w:tcW w:w="7811" w:type="dxa"/>
          </w:tcPr>
          <w:p w14:paraId="3BF37A6A">
            <w:pPr>
              <w:widowControl w:val="0"/>
              <w:spacing w:line="400" w:lineRule="exact"/>
              <w:jc w:val="center"/>
              <w:rPr>
                <w:rFonts w:ascii="宋体" w:hAnsi="宋体" w:eastAsia="宋体" w:cs="宋体"/>
                <w:sz w:val="21"/>
                <w:szCs w:val="18"/>
                <w:highlight w:val="yellow"/>
              </w:rPr>
            </w:pPr>
            <w:r>
              <w:rPr>
                <w:rFonts w:hint="eastAsia" w:ascii="宋体" w:hAnsi="宋体" w:eastAsia="宋体" w:cs="宋体"/>
                <w:b/>
                <w:bCs/>
                <w:sz w:val="21"/>
                <w:szCs w:val="18"/>
                <w:highlight w:val="yellow"/>
              </w:rPr>
              <w:t>供应商参与投标禁止情形</w:t>
            </w:r>
          </w:p>
        </w:tc>
      </w:tr>
      <w:tr w14:paraId="178C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4485DFD">
            <w:pPr>
              <w:widowControl w:val="0"/>
              <w:spacing w:line="400" w:lineRule="exact"/>
              <w:jc w:val="center"/>
              <w:rPr>
                <w:rFonts w:ascii="宋体" w:hAnsi="宋体" w:eastAsia="宋体" w:cs="宋体"/>
                <w:sz w:val="21"/>
                <w:szCs w:val="18"/>
                <w:highlight w:val="yellow"/>
              </w:rPr>
            </w:pPr>
            <w:r>
              <w:rPr>
                <w:rFonts w:hint="eastAsia" w:ascii="宋体" w:hAnsi="宋体" w:eastAsia="宋体" w:cs="宋体"/>
                <w:sz w:val="21"/>
                <w:szCs w:val="18"/>
                <w:highlight w:val="yellow"/>
              </w:rPr>
              <w:t>1</w:t>
            </w:r>
          </w:p>
        </w:tc>
        <w:tc>
          <w:tcPr>
            <w:tcW w:w="7811" w:type="dxa"/>
            <w:vAlign w:val="center"/>
          </w:tcPr>
          <w:p w14:paraId="7D98E99A">
            <w:pPr>
              <w:widowControl w:val="0"/>
              <w:spacing w:line="400" w:lineRule="exact"/>
              <w:jc w:val="left"/>
              <w:rPr>
                <w:rFonts w:ascii="宋体" w:hAnsi="宋体" w:eastAsia="宋体" w:cs="宋体"/>
                <w:sz w:val="21"/>
                <w:szCs w:val="18"/>
                <w:highlight w:val="yellow"/>
              </w:rPr>
            </w:pPr>
            <w:r>
              <w:rPr>
                <w:rFonts w:hint="eastAsia" w:ascii="宋体" w:hAnsi="宋体" w:eastAsia="宋体" w:cs="宋体"/>
                <w:sz w:val="21"/>
                <w:szCs w:val="18"/>
                <w:highlight w:val="yellow"/>
              </w:rPr>
              <w:t>与其他投标供应商的法定代表人、主要经营负责人、投标授权代表人、项目负责人、主要技术人员为</w:t>
            </w:r>
            <w:r>
              <w:rPr>
                <w:rFonts w:hint="eastAsia" w:ascii="宋体" w:hAnsi="宋体" w:eastAsia="宋体" w:cs="宋体"/>
                <w:b/>
                <w:bCs/>
                <w:sz w:val="21"/>
                <w:szCs w:val="18"/>
                <w:highlight w:val="yellow"/>
              </w:rPr>
              <w:t>同一人、属同一单位或者在同一单位缴纳社会保险</w:t>
            </w:r>
            <w:r>
              <w:rPr>
                <w:rFonts w:hint="eastAsia" w:ascii="宋体" w:hAnsi="宋体" w:eastAsia="宋体" w:cs="宋体"/>
                <w:sz w:val="21"/>
                <w:szCs w:val="18"/>
                <w:highlight w:val="yellow"/>
              </w:rPr>
              <w:t>。</w:t>
            </w:r>
          </w:p>
        </w:tc>
      </w:tr>
      <w:tr w14:paraId="2D55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2FDC9B54">
            <w:pPr>
              <w:widowControl w:val="0"/>
              <w:spacing w:line="400" w:lineRule="exact"/>
              <w:jc w:val="center"/>
              <w:rPr>
                <w:rFonts w:ascii="宋体" w:hAnsi="宋体" w:eastAsia="宋体" w:cs="宋体"/>
                <w:sz w:val="21"/>
                <w:szCs w:val="18"/>
                <w:highlight w:val="yellow"/>
              </w:rPr>
            </w:pPr>
            <w:r>
              <w:rPr>
                <w:rFonts w:hint="eastAsia" w:ascii="宋体" w:hAnsi="宋体" w:eastAsia="宋体" w:cs="宋体"/>
                <w:sz w:val="21"/>
                <w:szCs w:val="18"/>
                <w:highlight w:val="yellow"/>
              </w:rPr>
              <w:t>2</w:t>
            </w:r>
          </w:p>
        </w:tc>
        <w:tc>
          <w:tcPr>
            <w:tcW w:w="7811" w:type="dxa"/>
            <w:vAlign w:val="center"/>
          </w:tcPr>
          <w:p w14:paraId="36E9AA7D">
            <w:pPr>
              <w:widowControl w:val="0"/>
              <w:spacing w:line="400" w:lineRule="exact"/>
              <w:jc w:val="left"/>
              <w:rPr>
                <w:rFonts w:ascii="宋体" w:hAnsi="宋体" w:eastAsia="宋体" w:cs="宋体"/>
                <w:sz w:val="21"/>
                <w:szCs w:val="18"/>
                <w:highlight w:val="yellow"/>
              </w:rPr>
            </w:pPr>
            <w:r>
              <w:rPr>
                <w:rFonts w:hint="eastAsia" w:ascii="宋体" w:hAnsi="宋体" w:eastAsia="宋体" w:cs="宋体"/>
                <w:sz w:val="21"/>
                <w:szCs w:val="18"/>
                <w:highlight w:val="yellow"/>
              </w:rPr>
              <w:t>参与本项目政府采购活动时，与其他投标供应商存在单位负责人为</w:t>
            </w:r>
            <w:r>
              <w:rPr>
                <w:rFonts w:hint="eastAsia" w:ascii="宋体" w:hAnsi="宋体" w:eastAsia="宋体" w:cs="宋体"/>
                <w:b/>
                <w:bCs/>
                <w:sz w:val="21"/>
                <w:szCs w:val="18"/>
                <w:highlight w:val="yellow"/>
              </w:rPr>
              <w:t>同一人或直接控股、管理关系</w:t>
            </w:r>
            <w:r>
              <w:rPr>
                <w:rFonts w:hint="eastAsia" w:ascii="宋体" w:hAnsi="宋体" w:eastAsia="宋体" w:cs="宋体"/>
                <w:sz w:val="21"/>
                <w:szCs w:val="18"/>
                <w:highlight w:val="yellow"/>
              </w:rPr>
              <w:t>。</w:t>
            </w:r>
          </w:p>
        </w:tc>
      </w:tr>
      <w:tr w14:paraId="56D6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04354B64">
            <w:pPr>
              <w:widowControl w:val="0"/>
              <w:spacing w:line="400" w:lineRule="exact"/>
              <w:jc w:val="center"/>
              <w:rPr>
                <w:rFonts w:ascii="宋体" w:hAnsi="宋体" w:eastAsia="宋体" w:cs="宋体"/>
                <w:sz w:val="21"/>
                <w:szCs w:val="18"/>
                <w:highlight w:val="yellow"/>
              </w:rPr>
            </w:pPr>
            <w:r>
              <w:rPr>
                <w:rFonts w:hint="eastAsia" w:ascii="宋体" w:hAnsi="宋体" w:eastAsia="宋体" w:cs="宋体"/>
                <w:sz w:val="21"/>
                <w:szCs w:val="18"/>
                <w:highlight w:val="yellow"/>
              </w:rPr>
              <w:t>3</w:t>
            </w:r>
          </w:p>
        </w:tc>
        <w:tc>
          <w:tcPr>
            <w:tcW w:w="7811" w:type="dxa"/>
            <w:vAlign w:val="center"/>
          </w:tcPr>
          <w:p w14:paraId="676EDAD2">
            <w:pPr>
              <w:widowControl w:val="0"/>
              <w:spacing w:line="400" w:lineRule="exact"/>
              <w:jc w:val="left"/>
              <w:rPr>
                <w:rFonts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与其他投标供应商的投标文件或部分投标文件</w:t>
            </w:r>
            <w:r>
              <w:rPr>
                <w:rFonts w:hint="eastAsia" w:ascii="宋体" w:hAnsi="宋体" w:eastAsia="宋体" w:cs="宋体"/>
                <w:b/>
                <w:bCs/>
                <w:sz w:val="21"/>
                <w:szCs w:val="18"/>
                <w:highlight w:val="yellow"/>
              </w:rPr>
              <w:t>相互混装或存在非正常一致</w:t>
            </w:r>
            <w:r>
              <w:rPr>
                <w:rFonts w:hint="eastAsia" w:ascii="宋体" w:hAnsi="宋体" w:eastAsia="宋体" w:cs="宋体"/>
                <w:sz w:val="21"/>
                <w:szCs w:val="18"/>
                <w:highlight w:val="yellow"/>
              </w:rPr>
              <w:t>。</w:t>
            </w:r>
          </w:p>
        </w:tc>
      </w:tr>
      <w:tr w14:paraId="229A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2E5BA07">
            <w:pPr>
              <w:widowControl w:val="0"/>
              <w:spacing w:line="400" w:lineRule="exact"/>
              <w:jc w:val="center"/>
              <w:rPr>
                <w:rFonts w:ascii="宋体" w:hAnsi="宋体" w:eastAsia="宋体" w:cs="宋体"/>
                <w:sz w:val="21"/>
                <w:szCs w:val="18"/>
                <w:highlight w:val="yellow"/>
              </w:rPr>
            </w:pPr>
            <w:r>
              <w:rPr>
                <w:rFonts w:hint="eastAsia" w:ascii="宋体" w:hAnsi="宋体" w:eastAsia="宋体" w:cs="宋体"/>
                <w:sz w:val="21"/>
                <w:szCs w:val="18"/>
                <w:highlight w:val="yellow"/>
              </w:rPr>
              <w:t>4</w:t>
            </w:r>
          </w:p>
        </w:tc>
        <w:tc>
          <w:tcPr>
            <w:tcW w:w="7811" w:type="dxa"/>
            <w:vAlign w:val="center"/>
          </w:tcPr>
          <w:p w14:paraId="006E00D3">
            <w:pPr>
              <w:widowControl w:val="0"/>
              <w:spacing w:line="400" w:lineRule="exact"/>
              <w:jc w:val="left"/>
              <w:rPr>
                <w:rFonts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与其他投标供应商的投标文件由</w:t>
            </w:r>
            <w:r>
              <w:rPr>
                <w:rFonts w:hint="eastAsia" w:ascii="宋体" w:hAnsi="宋体" w:eastAsia="宋体" w:cs="宋体"/>
                <w:b/>
                <w:bCs/>
                <w:sz w:val="21"/>
                <w:szCs w:val="18"/>
                <w:highlight w:val="yellow"/>
              </w:rPr>
              <w:t>同一单位或者同一人编制</w:t>
            </w:r>
            <w:r>
              <w:rPr>
                <w:rFonts w:hint="eastAsia" w:ascii="宋体" w:hAnsi="宋体" w:eastAsia="宋体" w:cs="宋体"/>
                <w:sz w:val="21"/>
                <w:szCs w:val="18"/>
                <w:highlight w:val="yellow"/>
              </w:rPr>
              <w:t>，或者使用</w:t>
            </w:r>
            <w:r>
              <w:rPr>
                <w:rFonts w:hint="eastAsia" w:ascii="宋体" w:hAnsi="宋体" w:eastAsia="宋体" w:cs="宋体"/>
                <w:b/>
                <w:bCs/>
                <w:sz w:val="21"/>
                <w:szCs w:val="18"/>
                <w:highlight w:val="yellow"/>
              </w:rPr>
              <w:t>同一设备编制</w:t>
            </w:r>
            <w:r>
              <w:rPr>
                <w:rFonts w:hint="eastAsia" w:ascii="宋体" w:hAnsi="宋体" w:eastAsia="宋体" w:cs="宋体"/>
                <w:sz w:val="21"/>
                <w:szCs w:val="18"/>
                <w:highlight w:val="yellow"/>
              </w:rPr>
              <w:t>（“文件制作机器码”“文件创建标识码”一致）。</w:t>
            </w:r>
          </w:p>
        </w:tc>
      </w:tr>
      <w:tr w14:paraId="020D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5ED1DB9E">
            <w:pPr>
              <w:widowControl w:val="0"/>
              <w:spacing w:line="400" w:lineRule="exact"/>
              <w:jc w:val="center"/>
              <w:rPr>
                <w:rFonts w:ascii="宋体" w:hAnsi="宋体" w:eastAsia="宋体" w:cs="宋体"/>
                <w:sz w:val="21"/>
                <w:szCs w:val="18"/>
                <w:highlight w:val="yellow"/>
              </w:rPr>
            </w:pPr>
            <w:r>
              <w:rPr>
                <w:rFonts w:hint="eastAsia" w:ascii="宋体" w:hAnsi="宋体" w:eastAsia="宋体" w:cs="宋体"/>
                <w:sz w:val="21"/>
                <w:szCs w:val="18"/>
                <w:highlight w:val="yellow"/>
              </w:rPr>
              <w:t>5</w:t>
            </w:r>
          </w:p>
        </w:tc>
        <w:tc>
          <w:tcPr>
            <w:tcW w:w="7811" w:type="dxa"/>
            <w:vAlign w:val="center"/>
          </w:tcPr>
          <w:p w14:paraId="1034EDAD">
            <w:pPr>
              <w:widowControl w:val="0"/>
              <w:spacing w:line="400" w:lineRule="exact"/>
              <w:jc w:val="left"/>
              <w:rPr>
                <w:rFonts w:ascii="宋体" w:hAnsi="宋体" w:eastAsia="宋体" w:cs="宋体"/>
                <w:sz w:val="21"/>
                <w:szCs w:val="18"/>
                <w:highlight w:val="yellow"/>
              </w:rPr>
            </w:pPr>
            <w:r>
              <w:rPr>
                <w:rFonts w:hint="eastAsia" w:ascii="宋体" w:hAnsi="宋体" w:eastAsia="宋体" w:cs="宋体"/>
                <w:sz w:val="21"/>
                <w:szCs w:val="18"/>
                <w:highlight w:val="yellow"/>
              </w:rPr>
              <w:t>提供</w:t>
            </w:r>
            <w:r>
              <w:rPr>
                <w:rFonts w:hint="eastAsia" w:ascii="宋体" w:hAnsi="宋体" w:eastAsia="宋体" w:cs="宋体"/>
                <w:b/>
                <w:bCs/>
                <w:sz w:val="21"/>
                <w:szCs w:val="18"/>
                <w:highlight w:val="yellow"/>
              </w:rPr>
              <w:t>未经出具机构核实</w:t>
            </w:r>
            <w:r>
              <w:rPr>
                <w:rFonts w:hint="eastAsia" w:ascii="宋体" w:hAnsi="宋体" w:eastAsia="宋体" w:cs="宋体"/>
                <w:sz w:val="21"/>
                <w:szCs w:val="18"/>
                <w:highlight w:val="yellow"/>
              </w:rPr>
              <w:t>的虚假的检验检测报告、业绩材料、社保缴纳证明、学历学位证书、职称认证证书等材料。</w:t>
            </w:r>
          </w:p>
        </w:tc>
      </w:tr>
      <w:tr w14:paraId="2C6E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39F6A15">
            <w:pPr>
              <w:widowControl w:val="0"/>
              <w:spacing w:line="400" w:lineRule="exact"/>
              <w:jc w:val="center"/>
              <w:rPr>
                <w:rFonts w:ascii="宋体" w:hAnsi="宋体" w:eastAsia="宋体" w:cs="宋体"/>
                <w:sz w:val="21"/>
                <w:szCs w:val="18"/>
                <w:highlight w:val="yellow"/>
              </w:rPr>
            </w:pPr>
            <w:r>
              <w:rPr>
                <w:rFonts w:hint="eastAsia" w:ascii="宋体" w:hAnsi="宋体" w:eastAsia="宋体" w:cs="宋体"/>
                <w:sz w:val="21"/>
                <w:szCs w:val="18"/>
                <w:highlight w:val="yellow"/>
              </w:rPr>
              <w:t>6</w:t>
            </w:r>
          </w:p>
        </w:tc>
        <w:tc>
          <w:tcPr>
            <w:tcW w:w="7811" w:type="dxa"/>
            <w:vAlign w:val="center"/>
          </w:tcPr>
          <w:p w14:paraId="601A51EC">
            <w:pPr>
              <w:widowControl w:val="0"/>
              <w:spacing w:line="400" w:lineRule="exact"/>
              <w:jc w:val="left"/>
              <w:rPr>
                <w:rFonts w:ascii="宋体" w:hAnsi="宋体" w:eastAsia="宋体" w:cs="宋体"/>
                <w:sz w:val="21"/>
                <w:szCs w:val="18"/>
                <w:highlight w:val="yellow"/>
              </w:rPr>
            </w:pPr>
            <w:r>
              <w:rPr>
                <w:rFonts w:hint="eastAsia" w:ascii="宋体" w:hAnsi="宋体" w:eastAsia="宋体" w:cs="宋体"/>
                <w:sz w:val="21"/>
                <w:szCs w:val="18"/>
                <w:highlight w:val="yellow"/>
              </w:rPr>
              <w:t>擅自将投标密钥或电子营业执照出借他人使用或未妥善保管。</w:t>
            </w:r>
          </w:p>
        </w:tc>
      </w:tr>
    </w:tbl>
    <w:p w14:paraId="7318D69B">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本公司在投标前已充分知悉以下情形为参与政府采购活动时的重大风险事项，并承诺已对下述风险提示事项重点排查，做到严谨、诚信、依法依规参与政府采购活动。</w:t>
      </w:r>
    </w:p>
    <w:p w14:paraId="03B9971C">
      <w:pPr>
        <w:ind w:firstLine="422" w:firstLineChars="200"/>
        <w:rPr>
          <w:rFonts w:ascii="宋体" w:hAnsi="宋体" w:eastAsia="宋体" w:cs="宋体"/>
          <w:b/>
          <w:bCs/>
          <w:sz w:val="21"/>
          <w:szCs w:val="21"/>
          <w:highlight w:val="yellow"/>
        </w:rPr>
      </w:pPr>
      <w:r>
        <w:rPr>
          <w:rFonts w:hint="eastAsia" w:ascii="宋体" w:hAnsi="宋体" w:eastAsia="宋体" w:cs="宋体"/>
          <w:b/>
          <w:bCs/>
          <w:sz w:val="21"/>
          <w:szCs w:val="21"/>
          <w:highlight w:val="yellow"/>
        </w:rPr>
        <w:t>一、本公司已充分知悉“隐瞒真实情况，提供虚假资料”的法定情形，相关情形包括但不限于：</w:t>
      </w:r>
    </w:p>
    <w:p w14:paraId="2A70FF99">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（一）通过转让或者租借等方式从其他单位获取资格或者资质证书投标的。</w:t>
      </w:r>
    </w:p>
    <w:p w14:paraId="4FE3B823">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（二）由其他单位或者其他单位负责人在投标供应商编制的投标文件上加盖印章或者签字的。</w:t>
      </w:r>
    </w:p>
    <w:p w14:paraId="6B8CA742">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（三）项目负责人或者主要技术人员不是本单位人员的。</w:t>
      </w:r>
    </w:p>
    <w:p w14:paraId="78395787">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（四）投标保证金不是从投标供应商基本账户转出的。</w:t>
      </w:r>
    </w:p>
    <w:p w14:paraId="2875A9AA">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（五）其他隐瞒真实情况、提供虚假资料的行为。</w:t>
      </w:r>
    </w:p>
    <w:p w14:paraId="175552CC">
      <w:pPr>
        <w:ind w:firstLine="422" w:firstLineChars="200"/>
        <w:rPr>
          <w:rFonts w:ascii="宋体" w:hAnsi="宋体" w:eastAsia="宋体" w:cs="宋体"/>
          <w:b/>
          <w:bCs/>
          <w:sz w:val="21"/>
          <w:szCs w:val="21"/>
          <w:highlight w:val="yellow"/>
        </w:rPr>
      </w:pPr>
      <w:r>
        <w:rPr>
          <w:rFonts w:hint="eastAsia" w:ascii="宋体" w:hAnsi="宋体" w:eastAsia="宋体" w:cs="宋体"/>
          <w:b/>
          <w:bCs/>
          <w:sz w:val="21"/>
          <w:szCs w:val="21"/>
          <w:highlight w:val="yellow"/>
        </w:rPr>
        <w:t>二、本公司已充分知悉“与其他采购参加人串通投标”的法定情形，相关情形包括但不限于：</w:t>
      </w:r>
    </w:p>
    <w:p w14:paraId="1F1731F3">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（一）投标供应商之间相互约定给予未中标的供应商利益补偿。</w:t>
      </w:r>
    </w:p>
    <w:p w14:paraId="1607010B">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（二）不同投标供应商的法定代表人、主要经营负责人、项目投标授权代表人、项目负责人、主要技术人员为同一人、属同一单位或者在同一单位缴纳社会保险。</w:t>
      </w:r>
    </w:p>
    <w:p w14:paraId="20F918D3">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（三）不同投标供应商的投标文件由同一单位或者同一人编制，或者由同一人分阶段参与编制的。</w:t>
      </w:r>
    </w:p>
    <w:p w14:paraId="0F136F5F">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（四）不同投标供应商的投标文件或部分投标文件相互混装。</w:t>
      </w:r>
    </w:p>
    <w:p w14:paraId="2FA7EE15">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（五）不同投标供应商的投标文件内容存在非正常一致。</w:t>
      </w:r>
    </w:p>
    <w:p w14:paraId="23DA41E9">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（六）由同一单位工作人员为两家以上（含两家）供应商进行同一项投标活动的。</w:t>
      </w:r>
    </w:p>
    <w:p w14:paraId="7B72E9E4">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（七）不同投标人的投标报价呈规律性差异。</w:t>
      </w:r>
    </w:p>
    <w:p w14:paraId="1A27210F">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（八）不同投标人的投标保证金从同一单位或者个人的账户转出。</w:t>
      </w:r>
    </w:p>
    <w:p w14:paraId="2B64D36B">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（九）主管部门依照法律、法规认定的其他情形。</w:t>
      </w:r>
    </w:p>
    <w:p w14:paraId="7989ADEA">
      <w:pPr>
        <w:ind w:firstLine="422" w:firstLineChars="200"/>
        <w:rPr>
          <w:rFonts w:ascii="宋体" w:hAnsi="宋体" w:eastAsia="宋体" w:cs="宋体"/>
          <w:b/>
          <w:bCs/>
          <w:sz w:val="21"/>
          <w:szCs w:val="21"/>
          <w:highlight w:val="yellow"/>
        </w:rPr>
      </w:pPr>
      <w:r>
        <w:rPr>
          <w:rFonts w:hint="eastAsia" w:ascii="宋体" w:hAnsi="宋体" w:eastAsia="宋体" w:cs="宋体"/>
          <w:b/>
          <w:bCs/>
          <w:sz w:val="21"/>
          <w:szCs w:val="21"/>
          <w:highlight w:val="yellow"/>
        </w:rPr>
        <w:t>三、本公司已充分知悉下列情形所对应的法律风险，并在投标前已对相关风险事项进行排查。</w:t>
      </w:r>
    </w:p>
    <w:p w14:paraId="18195F8D">
      <w:pPr>
        <w:autoSpaceDE w:val="0"/>
        <w:autoSpaceDN w:val="0"/>
        <w:ind w:firstLine="404" w:firstLineChars="200"/>
        <w:rPr>
          <w:rFonts w:ascii="宋体" w:hAnsi="宋体" w:eastAsia="宋体" w:cs="宋体"/>
          <w:b/>
          <w:bCs/>
          <w:spacing w:val="-4"/>
          <w:sz w:val="21"/>
          <w:szCs w:val="21"/>
          <w:highlight w:val="yellow"/>
        </w:rPr>
      </w:pPr>
      <w:r>
        <w:rPr>
          <w:rFonts w:hint="eastAsia" w:ascii="宋体" w:hAnsi="宋体" w:eastAsia="宋体" w:cs="宋体"/>
          <w:spacing w:val="-4"/>
          <w:sz w:val="21"/>
          <w:szCs w:val="21"/>
          <w:highlight w:val="yellow"/>
        </w:rPr>
        <w:t>（一）对于从其他主体获取的投标资料，供应商应审慎核查，确保投标资料的真实性。</w:t>
      </w:r>
      <w:r>
        <w:rPr>
          <w:rFonts w:hint="eastAsia" w:ascii="宋体" w:hAnsi="宋体" w:eastAsia="宋体" w:cs="宋体"/>
          <w:b/>
          <w:bCs/>
          <w:spacing w:val="-4"/>
          <w:sz w:val="21"/>
          <w:szCs w:val="21"/>
          <w:highlight w:val="yellow"/>
        </w:rPr>
        <w:t>如主管部门查实投标文件中存在虚假资料的，无论相关资料是否由第三方或本公司员工提供，均不影响主管部门对供应商存在“隐瞒真实情况，提供虚假资料”违法行为的认定。</w:t>
      </w:r>
    </w:p>
    <w:p w14:paraId="53E839D2">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（二）对于涉及国家机关出具的公文、证件、证明材料等文件，一旦涉嫌虚假，经查实，主管部门将依法从严处理，并移送有关部门追究法律责任；涉嫌犯罪的，主管部门将一并移送司法机关追究法律责任。</w:t>
      </w:r>
    </w:p>
    <w:p w14:paraId="42AF87C4">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（三）对于涉及安全生产、特种作业、抢险救灾、防疫等政府采购项目，供应商实施提供虚假资料、串通投标等违法行为的，主管部门将依法从严处理。</w:t>
      </w:r>
    </w:p>
    <w:p w14:paraId="73B22F3C">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A6B14E7">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103023A4">
      <w:pPr>
        <w:widowControl w:val="0"/>
        <w:autoSpaceDE w:val="0"/>
        <w:autoSpaceDN w:val="0"/>
        <w:ind w:firstLine="404" w:firstLineChars="200"/>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1D37C53F">
      <w:pPr>
        <w:widowControl w:val="0"/>
        <w:autoSpaceDE w:val="0"/>
        <w:autoSpaceDN w:val="0"/>
        <w:ind w:firstLine="422" w:firstLineChars="200"/>
        <w:rPr>
          <w:rFonts w:ascii="宋体" w:hAnsi="宋体" w:eastAsia="宋体" w:cs="宋体"/>
          <w:b/>
          <w:bCs/>
          <w:sz w:val="21"/>
          <w:szCs w:val="21"/>
          <w:highlight w:val="yellow"/>
        </w:rPr>
      </w:pPr>
      <w:r>
        <w:rPr>
          <w:rFonts w:hint="eastAsia" w:ascii="宋体" w:hAnsi="宋体" w:eastAsia="宋体" w:cs="宋体"/>
          <w:b/>
          <w:bCs/>
          <w:sz w:val="21"/>
          <w:szCs w:val="21"/>
          <w:highlight w:val="yellow"/>
        </w:rPr>
        <w:t>四、本公司已充分知悉政府采购违法、违规行为的法律后果。</w:t>
      </w:r>
    </w:p>
    <w:p w14:paraId="2EA53DB1">
      <w:pPr>
        <w:widowControl w:val="0"/>
        <w:autoSpaceDE w:val="0"/>
        <w:autoSpaceDN w:val="0"/>
        <w:ind w:firstLine="404" w:firstLineChars="200"/>
        <w:rPr>
          <w:rFonts w:ascii="宋体" w:hAnsi="宋体" w:eastAsia="宋体" w:cs="宋体"/>
          <w:b/>
          <w:bCs/>
          <w:spacing w:val="-4"/>
          <w:sz w:val="21"/>
          <w:szCs w:val="21"/>
          <w:highlight w:val="yellow"/>
        </w:rPr>
      </w:pPr>
      <w:r>
        <w:rPr>
          <w:rFonts w:hint="eastAsia" w:ascii="宋体" w:hAnsi="宋体" w:eastAsia="宋体" w:cs="宋体"/>
          <w:spacing w:val="-4"/>
          <w:sz w:val="21"/>
          <w:szCs w:val="21"/>
          <w:highlight w:val="yellow"/>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宋体" w:hAnsi="宋体" w:eastAsia="宋体" w:cs="宋体"/>
          <w:b/>
          <w:bCs/>
          <w:spacing w:val="-4"/>
          <w:sz w:val="21"/>
          <w:szCs w:val="21"/>
          <w:highlight w:val="yellow"/>
        </w:rPr>
        <w:t>以下文字请投标供应商抄写并确认：“本公司已仔细阅读《政府采购违法行为风险知悉确认书》，充分知悉违法行为的法律后果，并承诺将严谨、诚信、依法依规参与政府采购活动”。</w:t>
      </w:r>
    </w:p>
    <w:tbl>
      <w:tblPr>
        <w:tblStyle w:val="19"/>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2BA968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25CFD2DA">
            <w:pPr>
              <w:widowControl w:val="0"/>
              <w:autoSpaceDE w:val="0"/>
              <w:autoSpaceDN w:val="0"/>
              <w:jc w:val="left"/>
              <w:rPr>
                <w:rFonts w:ascii="宋体" w:hAnsi="宋体" w:eastAsia="宋体" w:cs="宋体"/>
                <w:spacing w:val="-4"/>
                <w:sz w:val="21"/>
                <w:szCs w:val="21"/>
                <w:highlight w:val="green"/>
              </w:rPr>
            </w:pPr>
          </w:p>
        </w:tc>
      </w:tr>
      <w:tr w14:paraId="2200F98D">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E27512B">
            <w:pPr>
              <w:widowControl w:val="0"/>
              <w:autoSpaceDE w:val="0"/>
              <w:autoSpaceDN w:val="0"/>
              <w:jc w:val="left"/>
              <w:rPr>
                <w:rFonts w:ascii="宋体" w:hAnsi="宋体" w:eastAsia="宋体" w:cs="宋体"/>
                <w:spacing w:val="-4"/>
                <w:sz w:val="21"/>
                <w:szCs w:val="21"/>
                <w:highlight w:val="green"/>
              </w:rPr>
            </w:pPr>
          </w:p>
        </w:tc>
      </w:tr>
      <w:tr w14:paraId="1268014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360EAFF">
            <w:pPr>
              <w:widowControl w:val="0"/>
              <w:autoSpaceDE w:val="0"/>
              <w:autoSpaceDN w:val="0"/>
              <w:jc w:val="left"/>
              <w:rPr>
                <w:rFonts w:ascii="宋体" w:hAnsi="宋体" w:eastAsia="宋体" w:cs="宋体"/>
                <w:spacing w:val="-4"/>
                <w:sz w:val="21"/>
                <w:szCs w:val="21"/>
                <w:highlight w:val="green"/>
              </w:rPr>
            </w:pPr>
          </w:p>
        </w:tc>
      </w:tr>
      <w:tr w14:paraId="515F6C5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42F4503D">
            <w:pPr>
              <w:widowControl w:val="0"/>
              <w:autoSpaceDE w:val="0"/>
              <w:autoSpaceDN w:val="0"/>
              <w:jc w:val="left"/>
              <w:rPr>
                <w:rFonts w:ascii="宋体" w:hAnsi="宋体" w:eastAsia="宋体" w:cs="宋体"/>
                <w:spacing w:val="-4"/>
                <w:sz w:val="21"/>
                <w:szCs w:val="21"/>
                <w:highlight w:val="green"/>
              </w:rPr>
            </w:pPr>
          </w:p>
        </w:tc>
      </w:tr>
    </w:tbl>
    <w:p w14:paraId="418CCE0B">
      <w:pPr>
        <w:widowControl w:val="0"/>
        <w:autoSpaceDE w:val="0"/>
        <w:autoSpaceDN w:val="0"/>
        <w:ind w:firstLine="406" w:firstLineChars="200"/>
        <w:rPr>
          <w:rFonts w:ascii="宋体" w:hAnsi="宋体" w:eastAsia="宋体" w:cs="宋体"/>
          <w:b/>
          <w:bCs/>
          <w:color w:val="FF0000"/>
          <w:spacing w:val="-4"/>
          <w:sz w:val="21"/>
          <w:szCs w:val="21"/>
          <w:highlight w:val="yellow"/>
        </w:rPr>
      </w:pPr>
      <w:r>
        <w:rPr>
          <w:rFonts w:hint="eastAsia" w:ascii="宋体" w:hAnsi="宋体" w:eastAsia="宋体" w:cs="宋体"/>
          <w:b/>
          <w:bCs/>
          <w:color w:val="FF0000"/>
          <w:spacing w:val="-4"/>
          <w:sz w:val="21"/>
          <w:szCs w:val="21"/>
          <w:highlight w:val="yellow"/>
        </w:rPr>
        <w:t>注：1.政府采购违法行为风险知悉确认书不作为资格性审查及符合性审查条件。</w:t>
      </w:r>
    </w:p>
    <w:p w14:paraId="2DDE5429">
      <w:pPr>
        <w:widowControl w:val="0"/>
        <w:autoSpaceDE w:val="0"/>
        <w:autoSpaceDN w:val="0"/>
        <w:ind w:firstLine="406" w:firstLineChars="200"/>
        <w:rPr>
          <w:rFonts w:ascii="宋体" w:hAnsi="宋体" w:eastAsia="宋体" w:cs="宋体"/>
          <w:color w:val="FF0000"/>
          <w:spacing w:val="-4"/>
          <w:sz w:val="21"/>
          <w:szCs w:val="21"/>
          <w:highlight w:val="yellow"/>
        </w:rPr>
      </w:pPr>
      <w:r>
        <w:rPr>
          <w:rFonts w:hint="eastAsia" w:ascii="宋体" w:hAnsi="宋体" w:eastAsia="宋体" w:cs="宋体"/>
          <w:b/>
          <w:bCs/>
          <w:color w:val="FF0000"/>
          <w:spacing w:val="-4"/>
          <w:sz w:val="21"/>
          <w:szCs w:val="21"/>
          <w:highlight w:val="yellow"/>
        </w:rPr>
        <w:t>2.投标供应商负责人或投标授权代表签字并加盖单位公章后，扫描上传至投标文件一并提交。</w:t>
      </w:r>
    </w:p>
    <w:p w14:paraId="5AEAD0EC">
      <w:pPr>
        <w:widowControl w:val="0"/>
        <w:wordWrap w:val="0"/>
        <w:autoSpaceDE w:val="0"/>
        <w:autoSpaceDN w:val="0"/>
        <w:ind w:firstLine="404" w:firstLineChars="200"/>
        <w:jc w:val="right"/>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 xml:space="preserve">负责人/投标授权代表签名：     </w:t>
      </w:r>
    </w:p>
    <w:p w14:paraId="5D708BF7">
      <w:pPr>
        <w:widowControl w:val="0"/>
        <w:wordWrap w:val="0"/>
        <w:autoSpaceDE w:val="0"/>
        <w:autoSpaceDN w:val="0"/>
        <w:ind w:firstLine="404" w:firstLineChars="200"/>
        <w:jc w:val="right"/>
        <w:rPr>
          <w:rFonts w:ascii="宋体" w:hAnsi="宋体" w:eastAsia="宋体" w:cs="宋体"/>
          <w:spacing w:val="-4"/>
          <w:sz w:val="21"/>
          <w:szCs w:val="21"/>
          <w:highlight w:val="yellow"/>
        </w:rPr>
      </w:pPr>
      <w:r>
        <w:rPr>
          <w:rFonts w:hint="eastAsia" w:ascii="宋体" w:hAnsi="宋体" w:eastAsia="宋体" w:cs="宋体"/>
          <w:spacing w:val="-4"/>
          <w:sz w:val="21"/>
          <w:szCs w:val="21"/>
          <w:highlight w:val="yellow"/>
        </w:rPr>
        <w:t xml:space="preserve">知悉人（公章）：     </w:t>
      </w:r>
    </w:p>
    <w:p w14:paraId="7BFD16A3">
      <w:pPr>
        <w:widowControl w:val="0"/>
        <w:wordWrap w:val="0"/>
        <w:autoSpaceDE w:val="0"/>
        <w:autoSpaceDN w:val="0"/>
        <w:ind w:firstLine="404" w:firstLineChars="200"/>
        <w:jc w:val="right"/>
        <w:rPr>
          <w:rFonts w:ascii="宋体" w:hAnsi="宋体" w:eastAsia="宋体" w:cs="宋体"/>
          <w:sz w:val="21"/>
          <w:szCs w:val="21"/>
          <w:highlight w:val="yellow"/>
        </w:rPr>
      </w:pPr>
      <w:r>
        <w:rPr>
          <w:rFonts w:hint="eastAsia" w:ascii="宋体" w:hAnsi="宋体" w:eastAsia="宋体" w:cs="宋体"/>
          <w:spacing w:val="-4"/>
          <w:sz w:val="21"/>
          <w:szCs w:val="21"/>
          <w:highlight w:val="yellow"/>
        </w:rPr>
        <w:t xml:space="preserve">日期：     </w:t>
      </w:r>
    </w:p>
    <w:p w14:paraId="6D1C868B">
      <w:pPr>
        <w:widowControl w:val="0"/>
        <w:spacing w:line="360" w:lineRule="auto"/>
        <w:jc w:val="both"/>
        <w:rPr>
          <w:rFonts w:eastAsia="宋体"/>
          <w:b/>
          <w:bCs/>
          <w:kern w:val="2"/>
        </w:rPr>
      </w:pPr>
    </w:p>
    <w:p w14:paraId="4D70D320">
      <w:pPr>
        <w:rPr>
          <w:rFonts w:ascii="黑体" w:hAnsi="宋体" w:eastAsia="黑体"/>
          <w:szCs w:val="20"/>
        </w:rPr>
      </w:pPr>
    </w:p>
    <w:p w14:paraId="72D0E3F0">
      <w:pPr>
        <w:rPr>
          <w:rFonts w:ascii="宋体" w:hAnsi="宋体" w:eastAsia="宋体"/>
          <w:b/>
          <w:sz w:val="22"/>
        </w:rPr>
      </w:pPr>
      <w:r>
        <w:rPr>
          <w:rFonts w:hint="eastAsia" w:asciiTheme="majorEastAsia" w:hAnsiTheme="majorEastAsia" w:eastAsiaTheme="majorEastAsia" w:cstheme="majorEastAsia"/>
          <w:b/>
          <w:bCs/>
          <w:szCs w:val="20"/>
        </w:rPr>
        <w:t>（2）投标人认为需要加以说明的其他内容</w:t>
      </w:r>
    </w:p>
    <w:p w14:paraId="4979E433">
      <w:pPr>
        <w:rPr>
          <w:rFonts w:ascii="宋体" w:hAnsi="宋体" w:eastAsia="宋体"/>
        </w:rPr>
      </w:pPr>
    </w:p>
    <w:p w14:paraId="70B66ADB">
      <w:pPr>
        <w:rPr>
          <w:rFonts w:ascii="宋体" w:hAnsi="宋体" w:eastAsia="宋体"/>
        </w:rPr>
      </w:pPr>
    </w:p>
    <w:p w14:paraId="55669700">
      <w:pPr>
        <w:rPr>
          <w:rFonts w:ascii="宋体" w:hAnsi="宋体" w:eastAsia="宋体"/>
          <w:b/>
          <w:bCs/>
          <w:szCs w:val="20"/>
        </w:rPr>
      </w:pPr>
      <w:r>
        <w:rPr>
          <w:rFonts w:ascii="宋体" w:hAnsi="宋体" w:eastAsia="宋体"/>
        </w:rPr>
        <w:br w:type="page"/>
      </w:r>
    </w:p>
    <w:p w14:paraId="29ECE083">
      <w:pPr>
        <w:pStyle w:val="5"/>
      </w:pPr>
      <w:r>
        <w:rPr>
          <w:rFonts w:hint="eastAsia"/>
        </w:rPr>
        <w:t>第五章  合同条款及格式</w:t>
      </w:r>
    </w:p>
    <w:p w14:paraId="1096E6B4">
      <w:pPr>
        <w:jc w:val="center"/>
        <w:rPr>
          <w:rFonts w:ascii="宋体" w:hAnsi="宋体" w:eastAsia="宋体"/>
          <w:b/>
        </w:rPr>
      </w:pPr>
      <w:bookmarkStart w:id="81" w:name="_Hlk72574405"/>
      <w:bookmarkStart w:id="82" w:name="_Hlk72260917"/>
    </w:p>
    <w:p w14:paraId="38A05F61">
      <w:pPr>
        <w:jc w:val="center"/>
        <w:rPr>
          <w:rFonts w:ascii="宋体" w:hAnsi="宋体" w:eastAsia="宋体"/>
          <w:b/>
        </w:rPr>
      </w:pPr>
      <w:r>
        <w:rPr>
          <w:rFonts w:hint="eastAsia" w:ascii="宋体" w:hAnsi="宋体" w:eastAsia="宋体"/>
          <w:b/>
        </w:rPr>
        <w:t>（仅供参考，具体以项目需求及采购结果为准）</w:t>
      </w:r>
      <w:bookmarkEnd w:id="81"/>
    </w:p>
    <w:p w14:paraId="7C79FB8C">
      <w:pPr>
        <w:pStyle w:val="25"/>
        <w:ind w:firstLine="442"/>
        <w:rPr>
          <w:rFonts w:ascii="宋体" w:hAnsi="宋体" w:eastAsia="宋体"/>
          <w:b/>
        </w:rPr>
      </w:pPr>
    </w:p>
    <w:p w14:paraId="1A8E6DBF">
      <w:pPr>
        <w:pStyle w:val="25"/>
        <w:ind w:firstLine="442"/>
        <w:rPr>
          <w:rFonts w:ascii="宋体" w:hAnsi="宋体" w:eastAsia="宋体"/>
          <w:b/>
        </w:rPr>
      </w:pPr>
    </w:p>
    <w:bookmarkEnd w:id="82"/>
    <w:p w14:paraId="1DC809CA">
      <w:pPr>
        <w:adjustRightInd w:val="0"/>
        <w:snapToGrid w:val="0"/>
        <w:spacing w:line="400" w:lineRule="exact"/>
        <w:jc w:val="center"/>
        <w:rPr>
          <w:rFonts w:ascii="黑体" w:hAnsi="华文中宋" w:eastAsia="黑体"/>
          <w:sz w:val="28"/>
          <w:szCs w:val="28"/>
        </w:rPr>
      </w:pPr>
    </w:p>
    <w:p w14:paraId="740FFA46">
      <w:pPr>
        <w:pStyle w:val="8"/>
        <w:spacing w:after="0"/>
        <w:jc w:val="center"/>
        <w:rPr>
          <w:rFonts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11C5CEA1">
      <w:pPr>
        <w:rPr>
          <w:rFonts w:ascii="宋体" w:hAnsi="宋体" w:cs="宋体"/>
          <w:b/>
          <w:bCs/>
          <w:spacing w:val="-20"/>
          <w:kern w:val="44"/>
          <w:sz w:val="40"/>
          <w:szCs w:val="40"/>
        </w:rPr>
      </w:pPr>
    </w:p>
    <w:p w14:paraId="1D9C8094">
      <w:pPr>
        <w:rPr>
          <w:rFonts w:ascii="宋体" w:hAnsi="宋体" w:cs="宋体"/>
          <w:b/>
          <w:bCs/>
          <w:spacing w:val="-20"/>
          <w:kern w:val="44"/>
          <w:sz w:val="40"/>
          <w:szCs w:val="40"/>
        </w:rPr>
      </w:pPr>
    </w:p>
    <w:p w14:paraId="79F20277">
      <w:pPr>
        <w:rPr>
          <w:rFonts w:ascii="宋体" w:hAnsi="宋体" w:cs="宋体"/>
          <w:b/>
          <w:bCs/>
          <w:spacing w:val="-20"/>
          <w:kern w:val="44"/>
          <w:sz w:val="40"/>
          <w:szCs w:val="40"/>
        </w:rPr>
      </w:pPr>
    </w:p>
    <w:p w14:paraId="58C14410">
      <w:pPr>
        <w:spacing w:line="360" w:lineRule="auto"/>
        <w:ind w:left="480" w:leftChars="200"/>
        <w:rPr>
          <w:sz w:val="32"/>
          <w:szCs w:val="32"/>
        </w:rPr>
      </w:pPr>
      <w:r>
        <w:rPr>
          <w:rFonts w:hint="eastAsia" w:ascii="宋体" w:hAnsi="宋体" w:cs="宋体"/>
          <w:sz w:val="32"/>
          <w:szCs w:val="32"/>
        </w:rPr>
        <w:t>项目名称：</w:t>
      </w:r>
      <w:r>
        <w:rPr>
          <w:rFonts w:hint="eastAsia"/>
          <w:sz w:val="32"/>
          <w:szCs w:val="32"/>
          <w:u w:val="single"/>
        </w:rPr>
        <w:t xml:space="preserve">                             </w:t>
      </w:r>
    </w:p>
    <w:p w14:paraId="07E9F284">
      <w:pPr>
        <w:spacing w:line="360" w:lineRule="auto"/>
        <w:ind w:left="480" w:leftChars="200"/>
        <w:rPr>
          <w:sz w:val="32"/>
          <w:szCs w:val="32"/>
          <w:u w:val="single"/>
        </w:rPr>
      </w:pPr>
      <w:r>
        <w:rPr>
          <w:rFonts w:hint="eastAsia"/>
          <w:sz w:val="32"/>
          <w:szCs w:val="32"/>
        </w:rPr>
        <w:t>合同编号：</w:t>
      </w:r>
      <w:r>
        <w:rPr>
          <w:rFonts w:hint="eastAsia"/>
          <w:sz w:val="32"/>
          <w:szCs w:val="32"/>
          <w:u w:val="single"/>
        </w:rPr>
        <w:t xml:space="preserve">                             </w:t>
      </w:r>
    </w:p>
    <w:p w14:paraId="028589F9">
      <w:pPr>
        <w:spacing w:line="360" w:lineRule="auto"/>
        <w:ind w:left="480" w:leftChars="200"/>
        <w:rPr>
          <w:sz w:val="32"/>
          <w:szCs w:val="32"/>
        </w:rPr>
      </w:pPr>
      <w:r>
        <w:rPr>
          <w:rFonts w:hint="eastAsia"/>
          <w:sz w:val="32"/>
          <w:szCs w:val="32"/>
        </w:rPr>
        <w:t>甲    方：</w:t>
      </w:r>
      <w:r>
        <w:rPr>
          <w:rFonts w:hint="eastAsia"/>
          <w:sz w:val="32"/>
          <w:szCs w:val="32"/>
          <w:u w:val="single"/>
        </w:rPr>
        <w:t xml:space="preserve">                             </w:t>
      </w:r>
    </w:p>
    <w:p w14:paraId="498848A7">
      <w:pPr>
        <w:spacing w:line="360" w:lineRule="auto"/>
        <w:ind w:left="480" w:leftChars="200"/>
        <w:rPr>
          <w:sz w:val="32"/>
          <w:szCs w:val="32"/>
          <w:u w:val="single"/>
        </w:rPr>
      </w:pPr>
      <w:r>
        <w:rPr>
          <w:rFonts w:hint="eastAsia"/>
          <w:sz w:val="32"/>
          <w:szCs w:val="32"/>
        </w:rPr>
        <w:t>乙    方：</w:t>
      </w:r>
      <w:r>
        <w:rPr>
          <w:rFonts w:hint="eastAsia"/>
          <w:sz w:val="32"/>
          <w:szCs w:val="32"/>
          <w:u w:val="single"/>
        </w:rPr>
        <w:t xml:space="preserve">                             </w:t>
      </w:r>
    </w:p>
    <w:p w14:paraId="1FF7BC86">
      <w:pPr>
        <w:spacing w:line="360" w:lineRule="auto"/>
        <w:ind w:left="48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454E6F8F"/>
    <w:p w14:paraId="2050F4F6">
      <w:pPr>
        <w:rPr>
          <w:rFonts w:eastAsia="黑体"/>
          <w:sz w:val="44"/>
          <w:szCs w:val="44"/>
        </w:rPr>
      </w:pPr>
      <w:r>
        <w:rPr>
          <w:rFonts w:eastAsia="黑体"/>
          <w:sz w:val="44"/>
          <w:szCs w:val="44"/>
        </w:rPr>
        <w:br w:type="page"/>
      </w:r>
    </w:p>
    <w:p w14:paraId="392DE2F4">
      <w:pPr>
        <w:pStyle w:val="5"/>
        <w:snapToGrid w:val="0"/>
        <w:spacing w:line="400" w:lineRule="exact"/>
        <w:rPr>
          <w:rFonts w:ascii="黑体" w:hAnsi="华文中宋" w:eastAsia="黑体"/>
          <w:sz w:val="28"/>
          <w:szCs w:val="28"/>
        </w:rPr>
      </w:pPr>
      <w:r>
        <w:rPr>
          <w:rFonts w:hint="eastAsia" w:ascii="黑体" w:hAnsi="华文中宋" w:eastAsia="黑体"/>
          <w:sz w:val="28"/>
          <w:szCs w:val="28"/>
        </w:rPr>
        <w:t>第一节  政府采购合同协议书</w:t>
      </w:r>
    </w:p>
    <w:p w14:paraId="2D9CE282">
      <w:pPr>
        <w:adjustRightInd w:val="0"/>
        <w:snapToGrid w:val="0"/>
        <w:spacing w:line="400" w:lineRule="exact"/>
        <w:jc w:val="center"/>
        <w:textAlignment w:val="baseline"/>
        <w:rPr>
          <w:rFonts w:ascii="黑体" w:hAnsi="华文中宋" w:eastAsia="黑体"/>
          <w:sz w:val="28"/>
          <w:szCs w:val="28"/>
        </w:rPr>
      </w:pPr>
    </w:p>
    <w:p w14:paraId="62CF8E0D">
      <w:pPr>
        <w:adjustRightInd w:val="0"/>
        <w:snapToGrid w:val="0"/>
        <w:jc w:val="center"/>
        <w:rPr>
          <w:rFonts w:ascii="仿宋" w:hAnsi="仿宋" w:eastAsia="仿宋" w:cs="仿宋"/>
          <w:b/>
          <w:sz w:val="36"/>
          <w:szCs w:val="36"/>
          <w:highlight w:val="none"/>
        </w:rPr>
      </w:pPr>
      <w:r>
        <w:rPr>
          <w:rFonts w:hint="eastAsia" w:ascii="仿宋" w:hAnsi="仿宋" w:eastAsia="仿宋" w:cs="仿宋"/>
          <w:b/>
          <w:sz w:val="36"/>
          <w:szCs w:val="36"/>
          <w:highlight w:val="none"/>
        </w:rPr>
        <w:t>采购合同</w:t>
      </w:r>
    </w:p>
    <w:p w14:paraId="5FAE4A11">
      <w:pPr>
        <w:wordWrap w:val="0"/>
        <w:adjustRightInd w:val="0"/>
        <w:snapToGrid w:val="0"/>
        <w:ind w:right="-240" w:rightChars="-100" w:firstLine="6000" w:firstLineChars="2500"/>
        <w:rPr>
          <w:rFonts w:ascii="仿宋" w:hAnsi="仿宋" w:eastAsia="仿宋" w:cs="仿宋"/>
          <w:sz w:val="24"/>
          <w:szCs w:val="24"/>
          <w:highlight w:val="none"/>
        </w:rPr>
      </w:pPr>
      <w:r>
        <w:rPr>
          <w:rFonts w:hint="eastAsia" w:ascii="仿宋" w:hAnsi="仿宋" w:eastAsia="仿宋" w:cs="仿宋"/>
          <w:sz w:val="24"/>
          <w:szCs w:val="24"/>
          <w:highlight w:val="none"/>
        </w:rPr>
        <w:t xml:space="preserve">甲方合同编号：见水印      </w:t>
      </w:r>
    </w:p>
    <w:p w14:paraId="4DE8C502">
      <w:pPr>
        <w:wordWrap w:val="0"/>
        <w:adjustRightInd w:val="0"/>
        <w:snapToGrid w:val="0"/>
        <w:ind w:right="-240" w:rightChars="-100"/>
        <w:rPr>
          <w:rFonts w:ascii="仿宋" w:hAnsi="仿宋" w:eastAsia="仿宋" w:cs="仿宋"/>
          <w:sz w:val="24"/>
          <w:szCs w:val="24"/>
          <w:highlight w:val="none"/>
        </w:rPr>
      </w:pPr>
      <w:r>
        <w:rPr>
          <w:rFonts w:hint="eastAsia" w:ascii="仿宋" w:hAnsi="仿宋" w:eastAsia="仿宋" w:cs="仿宋"/>
          <w:sz w:val="24"/>
          <w:szCs w:val="24"/>
          <w:highlight w:val="none"/>
        </w:rPr>
        <w:t xml:space="preserve">                                                  乙方合同编号：</w:t>
      </w:r>
      <w:r>
        <w:rPr>
          <w:rFonts w:hint="eastAsia" w:ascii="仿宋" w:hAnsi="仿宋" w:eastAsia="仿宋" w:cs="仿宋"/>
          <w:b/>
          <w:sz w:val="28"/>
          <w:szCs w:val="28"/>
          <w:highlight w:val="none"/>
        </w:rPr>
        <w:t xml:space="preserve">   </w:t>
      </w:r>
    </w:p>
    <w:p w14:paraId="3CD063BB">
      <w:pPr>
        <w:adjustRightInd w:val="0"/>
        <w:snapToGrid w:val="0"/>
        <w:spacing w:line="480" w:lineRule="exact"/>
        <w:ind w:firstLine="482" w:firstLineChars="200"/>
        <w:outlineLvl w:val="9"/>
        <w:rPr>
          <w:rFonts w:ascii="仿宋" w:hAnsi="仿宋" w:eastAsia="仿宋" w:cs="仿宋"/>
          <w:sz w:val="24"/>
          <w:szCs w:val="24"/>
          <w:highlight w:val="none"/>
        </w:rPr>
      </w:pPr>
      <w:r>
        <w:rPr>
          <w:rFonts w:hint="eastAsia" w:ascii="仿宋" w:hAnsi="仿宋" w:eastAsia="仿宋" w:cs="仿宋"/>
          <w:b/>
          <w:bCs/>
          <w:sz w:val="24"/>
          <w:szCs w:val="24"/>
          <w:highlight w:val="none"/>
        </w:rPr>
        <w:t>甲方（购买方）：</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u w:val="single"/>
        </w:rPr>
        <w:t xml:space="preserve">  哈尔滨工业大学（深圳）                    </w:t>
      </w:r>
    </w:p>
    <w:p w14:paraId="798AE251">
      <w:pPr>
        <w:adjustRightInd w:val="0"/>
        <w:snapToGrid w:val="0"/>
        <w:spacing w:line="480" w:lineRule="exact"/>
        <w:outlineLvl w:val="9"/>
        <w:rPr>
          <w:rFonts w:ascii="仿宋" w:hAnsi="仿宋" w:eastAsia="仿宋" w:cs="仿宋"/>
          <w:sz w:val="24"/>
          <w:szCs w:val="24"/>
          <w:highlight w:val="none"/>
          <w:u w:val="single"/>
        </w:rPr>
      </w:pPr>
      <w:r>
        <w:rPr>
          <w:rFonts w:hint="eastAsia" w:ascii="仿宋" w:hAnsi="仿宋" w:eastAsia="仿宋" w:cs="仿宋"/>
          <w:sz w:val="24"/>
          <w:szCs w:val="24"/>
          <w:highlight w:val="none"/>
        </w:rPr>
        <w:t xml:space="preserve">    法定代表人：</w:t>
      </w:r>
      <w:r>
        <w:rPr>
          <w:rFonts w:hint="eastAsia" w:ascii="仿宋" w:hAnsi="仿宋" w:eastAsia="仿宋" w:cs="仿宋"/>
          <w:sz w:val="24"/>
          <w:szCs w:val="24"/>
          <w:highlight w:val="none"/>
          <w:u w:val="single"/>
        </w:rPr>
        <w:t xml:space="preserve">      黄玉东                                     </w:t>
      </w:r>
    </w:p>
    <w:p w14:paraId="4FCC067C">
      <w:pPr>
        <w:adjustRightInd w:val="0"/>
        <w:snapToGrid w:val="0"/>
        <w:spacing w:line="480" w:lineRule="exact"/>
        <w:outlineLvl w:val="9"/>
        <w:rPr>
          <w:rFonts w:ascii="仿宋" w:hAnsi="仿宋" w:eastAsia="仿宋" w:cs="仿宋"/>
          <w:sz w:val="24"/>
          <w:szCs w:val="24"/>
          <w:highlight w:val="none"/>
          <w:u w:val="single"/>
        </w:rPr>
      </w:pPr>
      <w:r>
        <w:rPr>
          <w:rFonts w:hint="eastAsia" w:ascii="仿宋" w:hAnsi="仿宋" w:eastAsia="仿宋" w:cs="仿宋"/>
          <w:sz w:val="24"/>
          <w:szCs w:val="24"/>
          <w:highlight w:val="none"/>
        </w:rPr>
        <w:t xml:space="preserve">    </w:t>
      </w:r>
      <w:r>
        <w:rPr>
          <w:rFonts w:hint="eastAsia" w:ascii="仿宋" w:hAnsi="仿宋" w:eastAsia="仿宋" w:cs="仿宋"/>
          <w:b/>
          <w:bCs/>
          <w:sz w:val="24"/>
          <w:szCs w:val="24"/>
          <w:highlight w:val="none"/>
        </w:rPr>
        <w:t>乙方（销售方）：</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  </w:t>
      </w:r>
    </w:p>
    <w:p w14:paraId="41319AAF">
      <w:pPr>
        <w:adjustRightInd w:val="0"/>
        <w:snapToGrid w:val="0"/>
        <w:spacing w:line="480" w:lineRule="exact"/>
        <w:outlineLvl w:val="9"/>
        <w:rPr>
          <w:rFonts w:ascii="仿宋" w:hAnsi="仿宋" w:eastAsia="仿宋" w:cs="仿宋"/>
          <w:sz w:val="24"/>
          <w:szCs w:val="24"/>
          <w:highlight w:val="none"/>
          <w:u w:val="single"/>
        </w:rPr>
      </w:pPr>
      <w:r>
        <w:rPr>
          <w:rFonts w:hint="eastAsia" w:ascii="仿宋" w:hAnsi="仿宋" w:eastAsia="仿宋" w:cs="仿宋"/>
          <w:sz w:val="24"/>
          <w:szCs w:val="24"/>
          <w:highlight w:val="none"/>
        </w:rPr>
        <w:t xml:space="preserve">    法定代表人：</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  </w:t>
      </w:r>
    </w:p>
    <w:p w14:paraId="3E3A437C">
      <w:pPr>
        <w:adjustRightInd w:val="0"/>
        <w:snapToGrid w:val="0"/>
        <w:spacing w:line="480" w:lineRule="exact"/>
        <w:outlineLvl w:val="9"/>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14:paraId="623EF675">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鉴于甲方拟向乙方采购货物（以下简称“合同货物”、“货物”、“产品”或“设备”），且乙方同意向甲方供应上述合同货物，甲乙双方为明确各自权利义务，经双方协商一致，依照《中华人民共和国民法典》及有关规定，特订立本合同，以资双方共同遵守执行。</w:t>
      </w:r>
    </w:p>
    <w:p w14:paraId="387B78E7">
      <w:pPr>
        <w:pStyle w:val="27"/>
        <w:numPr>
          <w:ilvl w:val="0"/>
          <w:numId w:val="4"/>
        </w:numPr>
        <w:adjustRightInd w:val="0"/>
        <w:snapToGrid w:val="0"/>
        <w:spacing w:line="480" w:lineRule="exact"/>
        <w:ind w:left="0" w:firstLine="0" w:firstLineChars="0"/>
        <w:outlineLvl w:val="9"/>
        <w:rPr>
          <w:rFonts w:ascii="仿宋" w:hAnsi="仿宋" w:eastAsia="仿宋" w:cs="仿宋"/>
          <w:b/>
          <w:sz w:val="24"/>
          <w:szCs w:val="24"/>
          <w:highlight w:val="none"/>
        </w:rPr>
      </w:pPr>
      <w:r>
        <w:rPr>
          <w:rFonts w:hint="eastAsia" w:ascii="仿宋" w:hAnsi="仿宋" w:eastAsia="仿宋" w:cs="仿宋"/>
          <w:b/>
          <w:sz w:val="24"/>
          <w:szCs w:val="24"/>
          <w:highlight w:val="none"/>
        </w:rPr>
        <w:t>产品名称、规格型号、数量、价格</w:t>
      </w:r>
    </w:p>
    <w:tbl>
      <w:tblPr>
        <w:tblStyle w:val="19"/>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701"/>
        <w:gridCol w:w="1701"/>
        <w:gridCol w:w="709"/>
        <w:gridCol w:w="709"/>
        <w:gridCol w:w="1275"/>
        <w:gridCol w:w="1276"/>
        <w:gridCol w:w="1543"/>
      </w:tblGrid>
      <w:tr w14:paraId="447E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4EF06B47">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701" w:type="dxa"/>
            <w:vAlign w:val="center"/>
          </w:tcPr>
          <w:p w14:paraId="1A3AA41C">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产品名称</w:t>
            </w:r>
          </w:p>
        </w:tc>
        <w:tc>
          <w:tcPr>
            <w:tcW w:w="1701" w:type="dxa"/>
            <w:vAlign w:val="center"/>
          </w:tcPr>
          <w:p w14:paraId="459B0335">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型号规格</w:t>
            </w:r>
          </w:p>
        </w:tc>
        <w:tc>
          <w:tcPr>
            <w:tcW w:w="709" w:type="dxa"/>
            <w:vAlign w:val="center"/>
          </w:tcPr>
          <w:p w14:paraId="092BD6AA">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709" w:type="dxa"/>
            <w:vAlign w:val="center"/>
          </w:tcPr>
          <w:p w14:paraId="70701E82">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单位</w:t>
            </w:r>
          </w:p>
        </w:tc>
        <w:tc>
          <w:tcPr>
            <w:tcW w:w="1275" w:type="dxa"/>
            <w:vAlign w:val="center"/>
          </w:tcPr>
          <w:p w14:paraId="66476C7E">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单价(元)</w:t>
            </w:r>
          </w:p>
        </w:tc>
        <w:tc>
          <w:tcPr>
            <w:tcW w:w="1276" w:type="dxa"/>
            <w:vAlign w:val="center"/>
          </w:tcPr>
          <w:p w14:paraId="58151E60">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金额（元）</w:t>
            </w:r>
          </w:p>
        </w:tc>
        <w:tc>
          <w:tcPr>
            <w:tcW w:w="1543" w:type="dxa"/>
            <w:vAlign w:val="center"/>
          </w:tcPr>
          <w:p w14:paraId="7E4F5740">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备注</w:t>
            </w:r>
          </w:p>
        </w:tc>
      </w:tr>
      <w:tr w14:paraId="3B17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26E73F77">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1701" w:type="dxa"/>
            <w:vAlign w:val="center"/>
          </w:tcPr>
          <w:p w14:paraId="1431FC23">
            <w:pPr>
              <w:widowControl w:val="0"/>
              <w:adjustRightInd w:val="0"/>
              <w:snapToGrid w:val="0"/>
              <w:spacing w:line="480" w:lineRule="exact"/>
              <w:jc w:val="both"/>
              <w:outlineLvl w:val="9"/>
              <w:rPr>
                <w:rFonts w:ascii="仿宋" w:hAnsi="仿宋" w:eastAsia="仿宋" w:cs="仿宋"/>
                <w:sz w:val="24"/>
                <w:szCs w:val="24"/>
                <w:highlight w:val="none"/>
              </w:rPr>
            </w:pPr>
          </w:p>
        </w:tc>
        <w:tc>
          <w:tcPr>
            <w:tcW w:w="1701" w:type="dxa"/>
            <w:vAlign w:val="center"/>
          </w:tcPr>
          <w:p w14:paraId="5A669FE3">
            <w:pPr>
              <w:widowControl w:val="0"/>
              <w:adjustRightInd w:val="0"/>
              <w:snapToGrid w:val="0"/>
              <w:spacing w:line="480" w:lineRule="exact"/>
              <w:jc w:val="both"/>
              <w:outlineLvl w:val="9"/>
              <w:rPr>
                <w:rFonts w:ascii="仿宋" w:hAnsi="仿宋" w:eastAsia="仿宋" w:cs="仿宋"/>
                <w:sz w:val="24"/>
                <w:szCs w:val="24"/>
                <w:highlight w:val="none"/>
              </w:rPr>
            </w:pPr>
          </w:p>
        </w:tc>
        <w:tc>
          <w:tcPr>
            <w:tcW w:w="709" w:type="dxa"/>
            <w:vAlign w:val="center"/>
          </w:tcPr>
          <w:p w14:paraId="3593FF36">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709" w:type="dxa"/>
            <w:vAlign w:val="center"/>
          </w:tcPr>
          <w:p w14:paraId="069CF5B5">
            <w:pPr>
              <w:widowControl w:val="0"/>
              <w:adjustRightInd w:val="0"/>
              <w:snapToGrid w:val="0"/>
              <w:spacing w:line="480" w:lineRule="exact"/>
              <w:jc w:val="both"/>
              <w:outlineLvl w:val="9"/>
              <w:rPr>
                <w:rFonts w:ascii="仿宋" w:hAnsi="仿宋" w:eastAsia="仿宋" w:cs="仿宋"/>
                <w:sz w:val="24"/>
                <w:szCs w:val="24"/>
                <w:highlight w:val="none"/>
              </w:rPr>
            </w:pPr>
          </w:p>
        </w:tc>
        <w:tc>
          <w:tcPr>
            <w:tcW w:w="1275" w:type="dxa"/>
            <w:vAlign w:val="center"/>
          </w:tcPr>
          <w:p w14:paraId="5434643B">
            <w:pPr>
              <w:widowControl/>
              <w:adjustRightInd w:val="0"/>
              <w:snapToGrid w:val="0"/>
              <w:spacing w:line="480" w:lineRule="exact"/>
              <w:jc w:val="both"/>
              <w:textAlignment w:val="center"/>
              <w:outlineLvl w:val="9"/>
              <w:rPr>
                <w:rFonts w:ascii="仿宋" w:hAnsi="仿宋" w:eastAsia="仿宋" w:cs="仿宋"/>
                <w:sz w:val="24"/>
                <w:szCs w:val="24"/>
                <w:highlight w:val="none"/>
              </w:rPr>
            </w:pPr>
          </w:p>
        </w:tc>
        <w:tc>
          <w:tcPr>
            <w:tcW w:w="1276" w:type="dxa"/>
            <w:vAlign w:val="center"/>
          </w:tcPr>
          <w:p w14:paraId="58BC3CC2">
            <w:pPr>
              <w:widowControl/>
              <w:adjustRightInd w:val="0"/>
              <w:snapToGrid w:val="0"/>
              <w:spacing w:line="480" w:lineRule="exact"/>
              <w:jc w:val="both"/>
              <w:textAlignment w:val="center"/>
              <w:outlineLvl w:val="9"/>
              <w:rPr>
                <w:rFonts w:ascii="仿宋" w:hAnsi="仿宋" w:eastAsia="仿宋" w:cs="仿宋"/>
                <w:sz w:val="24"/>
                <w:szCs w:val="24"/>
                <w:highlight w:val="none"/>
              </w:rPr>
            </w:pPr>
          </w:p>
        </w:tc>
        <w:tc>
          <w:tcPr>
            <w:tcW w:w="1543" w:type="dxa"/>
            <w:vAlign w:val="center"/>
          </w:tcPr>
          <w:p w14:paraId="016CE413">
            <w:pPr>
              <w:widowControl w:val="0"/>
              <w:adjustRightInd w:val="0"/>
              <w:snapToGrid w:val="0"/>
              <w:spacing w:line="480" w:lineRule="exact"/>
              <w:jc w:val="both"/>
              <w:outlineLvl w:val="9"/>
              <w:rPr>
                <w:rFonts w:ascii="仿宋" w:hAnsi="仿宋" w:eastAsia="仿宋" w:cs="仿宋"/>
                <w:sz w:val="24"/>
                <w:szCs w:val="24"/>
                <w:highlight w:val="none"/>
              </w:rPr>
            </w:pPr>
          </w:p>
        </w:tc>
      </w:tr>
      <w:tr w14:paraId="7BB1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0889D2B7">
            <w:pPr>
              <w:widowControl w:val="0"/>
              <w:adjustRightInd w:val="0"/>
              <w:snapToGrid w:val="0"/>
              <w:spacing w:line="480" w:lineRule="exact"/>
              <w:jc w:val="both"/>
              <w:outlineLvl w:val="9"/>
              <w:rPr>
                <w:rFonts w:ascii="仿宋" w:hAnsi="仿宋" w:eastAsia="仿宋" w:cs="仿宋"/>
                <w:sz w:val="24"/>
                <w:szCs w:val="24"/>
                <w:highlight w:val="none"/>
              </w:rPr>
            </w:pPr>
          </w:p>
        </w:tc>
        <w:tc>
          <w:tcPr>
            <w:tcW w:w="1701" w:type="dxa"/>
            <w:vAlign w:val="center"/>
          </w:tcPr>
          <w:p w14:paraId="065C1B13">
            <w:pPr>
              <w:widowControl w:val="0"/>
              <w:adjustRightInd w:val="0"/>
              <w:snapToGrid w:val="0"/>
              <w:spacing w:line="480" w:lineRule="exact"/>
              <w:jc w:val="both"/>
              <w:outlineLvl w:val="9"/>
              <w:rPr>
                <w:rFonts w:ascii="仿宋" w:hAnsi="仿宋" w:eastAsia="仿宋" w:cs="仿宋"/>
                <w:sz w:val="24"/>
                <w:szCs w:val="24"/>
                <w:highlight w:val="none"/>
              </w:rPr>
            </w:pPr>
          </w:p>
        </w:tc>
        <w:tc>
          <w:tcPr>
            <w:tcW w:w="1701" w:type="dxa"/>
            <w:vAlign w:val="center"/>
          </w:tcPr>
          <w:p w14:paraId="44F17500">
            <w:pPr>
              <w:widowControl w:val="0"/>
              <w:adjustRightInd w:val="0"/>
              <w:snapToGrid w:val="0"/>
              <w:spacing w:line="480" w:lineRule="exact"/>
              <w:jc w:val="both"/>
              <w:outlineLvl w:val="9"/>
              <w:rPr>
                <w:rFonts w:ascii="仿宋" w:hAnsi="仿宋" w:eastAsia="仿宋" w:cs="仿宋"/>
                <w:sz w:val="24"/>
                <w:szCs w:val="24"/>
                <w:highlight w:val="none"/>
              </w:rPr>
            </w:pPr>
          </w:p>
        </w:tc>
        <w:tc>
          <w:tcPr>
            <w:tcW w:w="709" w:type="dxa"/>
            <w:vAlign w:val="center"/>
          </w:tcPr>
          <w:p w14:paraId="2B758CF9">
            <w:pPr>
              <w:widowControl w:val="0"/>
              <w:adjustRightInd w:val="0"/>
              <w:snapToGrid w:val="0"/>
              <w:spacing w:line="480" w:lineRule="exact"/>
              <w:jc w:val="both"/>
              <w:outlineLvl w:val="9"/>
              <w:rPr>
                <w:rFonts w:ascii="仿宋" w:hAnsi="仿宋" w:eastAsia="仿宋" w:cs="仿宋"/>
                <w:sz w:val="24"/>
                <w:szCs w:val="24"/>
                <w:highlight w:val="none"/>
              </w:rPr>
            </w:pPr>
          </w:p>
        </w:tc>
        <w:tc>
          <w:tcPr>
            <w:tcW w:w="709" w:type="dxa"/>
            <w:vAlign w:val="center"/>
          </w:tcPr>
          <w:p w14:paraId="42331B3A">
            <w:pPr>
              <w:widowControl w:val="0"/>
              <w:adjustRightInd w:val="0"/>
              <w:snapToGrid w:val="0"/>
              <w:spacing w:line="480" w:lineRule="exact"/>
              <w:jc w:val="both"/>
              <w:outlineLvl w:val="9"/>
              <w:rPr>
                <w:rFonts w:ascii="仿宋" w:hAnsi="仿宋" w:eastAsia="仿宋" w:cs="仿宋"/>
                <w:sz w:val="24"/>
                <w:szCs w:val="24"/>
                <w:highlight w:val="none"/>
              </w:rPr>
            </w:pPr>
          </w:p>
        </w:tc>
        <w:tc>
          <w:tcPr>
            <w:tcW w:w="1275" w:type="dxa"/>
            <w:vAlign w:val="center"/>
          </w:tcPr>
          <w:p w14:paraId="3208F8B4">
            <w:pPr>
              <w:widowControl/>
              <w:adjustRightInd w:val="0"/>
              <w:snapToGrid w:val="0"/>
              <w:spacing w:line="480" w:lineRule="exact"/>
              <w:jc w:val="both"/>
              <w:textAlignment w:val="center"/>
              <w:outlineLvl w:val="9"/>
              <w:rPr>
                <w:rFonts w:ascii="仿宋" w:hAnsi="仿宋" w:eastAsia="仿宋" w:cs="仿宋"/>
                <w:sz w:val="24"/>
                <w:szCs w:val="24"/>
                <w:highlight w:val="none"/>
              </w:rPr>
            </w:pPr>
          </w:p>
        </w:tc>
        <w:tc>
          <w:tcPr>
            <w:tcW w:w="1276" w:type="dxa"/>
            <w:vAlign w:val="center"/>
          </w:tcPr>
          <w:p w14:paraId="39BC8290">
            <w:pPr>
              <w:widowControl/>
              <w:adjustRightInd w:val="0"/>
              <w:snapToGrid w:val="0"/>
              <w:spacing w:line="480" w:lineRule="exact"/>
              <w:jc w:val="both"/>
              <w:textAlignment w:val="center"/>
              <w:outlineLvl w:val="9"/>
              <w:rPr>
                <w:rFonts w:ascii="仿宋" w:hAnsi="仿宋" w:eastAsia="仿宋" w:cs="仿宋"/>
                <w:sz w:val="24"/>
                <w:szCs w:val="24"/>
                <w:highlight w:val="none"/>
              </w:rPr>
            </w:pPr>
          </w:p>
        </w:tc>
        <w:tc>
          <w:tcPr>
            <w:tcW w:w="1543" w:type="dxa"/>
            <w:vAlign w:val="center"/>
          </w:tcPr>
          <w:p w14:paraId="2BA54A92">
            <w:pPr>
              <w:widowControl w:val="0"/>
              <w:adjustRightInd w:val="0"/>
              <w:snapToGrid w:val="0"/>
              <w:spacing w:line="480" w:lineRule="exact"/>
              <w:jc w:val="both"/>
              <w:outlineLvl w:val="9"/>
              <w:rPr>
                <w:rFonts w:ascii="仿宋" w:hAnsi="仿宋" w:eastAsia="仿宋" w:cs="仿宋"/>
                <w:sz w:val="24"/>
                <w:szCs w:val="24"/>
                <w:highlight w:val="none"/>
              </w:rPr>
            </w:pPr>
          </w:p>
        </w:tc>
      </w:tr>
      <w:tr w14:paraId="0F08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57FFA1AF">
            <w:pPr>
              <w:widowControl w:val="0"/>
              <w:adjustRightInd w:val="0"/>
              <w:snapToGrid w:val="0"/>
              <w:spacing w:line="480" w:lineRule="exact"/>
              <w:jc w:val="both"/>
              <w:outlineLvl w:val="9"/>
              <w:rPr>
                <w:rFonts w:ascii="仿宋" w:hAnsi="仿宋" w:eastAsia="仿宋" w:cs="仿宋"/>
                <w:sz w:val="24"/>
                <w:szCs w:val="24"/>
                <w:highlight w:val="none"/>
              </w:rPr>
            </w:pPr>
          </w:p>
        </w:tc>
        <w:tc>
          <w:tcPr>
            <w:tcW w:w="1701" w:type="dxa"/>
            <w:vAlign w:val="center"/>
          </w:tcPr>
          <w:p w14:paraId="59454612">
            <w:pPr>
              <w:widowControl w:val="0"/>
              <w:adjustRightInd w:val="0"/>
              <w:snapToGrid w:val="0"/>
              <w:spacing w:line="480" w:lineRule="exact"/>
              <w:jc w:val="both"/>
              <w:outlineLvl w:val="9"/>
              <w:rPr>
                <w:rFonts w:ascii="仿宋" w:hAnsi="仿宋" w:eastAsia="仿宋" w:cs="仿宋"/>
                <w:sz w:val="24"/>
                <w:szCs w:val="24"/>
                <w:highlight w:val="none"/>
              </w:rPr>
            </w:pPr>
          </w:p>
        </w:tc>
        <w:tc>
          <w:tcPr>
            <w:tcW w:w="1701" w:type="dxa"/>
            <w:vAlign w:val="center"/>
          </w:tcPr>
          <w:p w14:paraId="2CA6AB1D">
            <w:pPr>
              <w:widowControl w:val="0"/>
              <w:adjustRightInd w:val="0"/>
              <w:snapToGrid w:val="0"/>
              <w:spacing w:line="480" w:lineRule="exact"/>
              <w:jc w:val="both"/>
              <w:outlineLvl w:val="9"/>
              <w:rPr>
                <w:rFonts w:ascii="仿宋" w:hAnsi="仿宋" w:eastAsia="仿宋" w:cs="仿宋"/>
                <w:sz w:val="24"/>
                <w:szCs w:val="24"/>
                <w:highlight w:val="none"/>
              </w:rPr>
            </w:pPr>
          </w:p>
        </w:tc>
        <w:tc>
          <w:tcPr>
            <w:tcW w:w="709" w:type="dxa"/>
            <w:vAlign w:val="center"/>
          </w:tcPr>
          <w:p w14:paraId="7D610A63">
            <w:pPr>
              <w:widowControl w:val="0"/>
              <w:adjustRightInd w:val="0"/>
              <w:snapToGrid w:val="0"/>
              <w:spacing w:line="480" w:lineRule="exact"/>
              <w:jc w:val="both"/>
              <w:outlineLvl w:val="9"/>
              <w:rPr>
                <w:rFonts w:ascii="仿宋" w:hAnsi="仿宋" w:eastAsia="仿宋" w:cs="仿宋"/>
                <w:sz w:val="24"/>
                <w:szCs w:val="24"/>
                <w:highlight w:val="none"/>
              </w:rPr>
            </w:pPr>
          </w:p>
        </w:tc>
        <w:tc>
          <w:tcPr>
            <w:tcW w:w="709" w:type="dxa"/>
            <w:vAlign w:val="center"/>
          </w:tcPr>
          <w:p w14:paraId="2DEE96CE">
            <w:pPr>
              <w:widowControl w:val="0"/>
              <w:adjustRightInd w:val="0"/>
              <w:snapToGrid w:val="0"/>
              <w:spacing w:line="480" w:lineRule="exact"/>
              <w:jc w:val="both"/>
              <w:outlineLvl w:val="9"/>
              <w:rPr>
                <w:rFonts w:ascii="仿宋" w:hAnsi="仿宋" w:eastAsia="仿宋" w:cs="仿宋"/>
                <w:sz w:val="24"/>
                <w:szCs w:val="24"/>
                <w:highlight w:val="none"/>
              </w:rPr>
            </w:pPr>
          </w:p>
        </w:tc>
        <w:tc>
          <w:tcPr>
            <w:tcW w:w="1275" w:type="dxa"/>
            <w:vAlign w:val="center"/>
          </w:tcPr>
          <w:p w14:paraId="2002C6CA">
            <w:pPr>
              <w:widowControl/>
              <w:adjustRightInd w:val="0"/>
              <w:snapToGrid w:val="0"/>
              <w:spacing w:line="480" w:lineRule="exact"/>
              <w:jc w:val="both"/>
              <w:textAlignment w:val="center"/>
              <w:outlineLvl w:val="9"/>
              <w:rPr>
                <w:rFonts w:ascii="仿宋" w:hAnsi="仿宋" w:eastAsia="仿宋" w:cs="仿宋"/>
                <w:sz w:val="24"/>
                <w:szCs w:val="24"/>
                <w:highlight w:val="none"/>
              </w:rPr>
            </w:pPr>
          </w:p>
        </w:tc>
        <w:tc>
          <w:tcPr>
            <w:tcW w:w="1276" w:type="dxa"/>
            <w:vAlign w:val="center"/>
          </w:tcPr>
          <w:p w14:paraId="1057EEBB">
            <w:pPr>
              <w:widowControl/>
              <w:adjustRightInd w:val="0"/>
              <w:snapToGrid w:val="0"/>
              <w:spacing w:line="480" w:lineRule="exact"/>
              <w:jc w:val="both"/>
              <w:textAlignment w:val="center"/>
              <w:outlineLvl w:val="9"/>
              <w:rPr>
                <w:rFonts w:ascii="仿宋" w:hAnsi="仿宋" w:eastAsia="仿宋" w:cs="仿宋"/>
                <w:sz w:val="24"/>
                <w:szCs w:val="24"/>
                <w:highlight w:val="none"/>
              </w:rPr>
            </w:pPr>
          </w:p>
        </w:tc>
        <w:tc>
          <w:tcPr>
            <w:tcW w:w="1543" w:type="dxa"/>
            <w:vAlign w:val="center"/>
          </w:tcPr>
          <w:p w14:paraId="4825C28E">
            <w:pPr>
              <w:widowControl w:val="0"/>
              <w:adjustRightInd w:val="0"/>
              <w:snapToGrid w:val="0"/>
              <w:spacing w:line="480" w:lineRule="exact"/>
              <w:jc w:val="both"/>
              <w:outlineLvl w:val="9"/>
              <w:rPr>
                <w:rFonts w:ascii="仿宋" w:hAnsi="仿宋" w:eastAsia="仿宋" w:cs="仿宋"/>
                <w:sz w:val="24"/>
                <w:szCs w:val="24"/>
                <w:highlight w:val="none"/>
              </w:rPr>
            </w:pPr>
          </w:p>
        </w:tc>
      </w:tr>
      <w:tr w14:paraId="746F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dxa"/>
            <w:gridSpan w:val="2"/>
            <w:vAlign w:val="center"/>
          </w:tcPr>
          <w:p w14:paraId="7407AFCF">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rPr>
              <w:t>合计</w:t>
            </w:r>
          </w:p>
        </w:tc>
        <w:tc>
          <w:tcPr>
            <w:tcW w:w="5670" w:type="dxa"/>
            <w:gridSpan w:val="5"/>
            <w:vAlign w:val="center"/>
          </w:tcPr>
          <w:p w14:paraId="3A850136">
            <w:pPr>
              <w:widowControl w:val="0"/>
              <w:adjustRightInd w:val="0"/>
              <w:snapToGrid w:val="0"/>
              <w:spacing w:line="480" w:lineRule="exact"/>
              <w:jc w:val="both"/>
              <w:outlineLvl w:val="9"/>
              <w:rPr>
                <w:rFonts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元（大写人民币:</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tc>
        <w:tc>
          <w:tcPr>
            <w:tcW w:w="1543" w:type="dxa"/>
            <w:vAlign w:val="center"/>
          </w:tcPr>
          <w:p w14:paraId="67419D3E">
            <w:pPr>
              <w:widowControl w:val="0"/>
              <w:adjustRightInd w:val="0"/>
              <w:snapToGrid w:val="0"/>
              <w:spacing w:line="480" w:lineRule="exact"/>
              <w:jc w:val="both"/>
              <w:outlineLvl w:val="9"/>
              <w:rPr>
                <w:rFonts w:ascii="仿宋" w:hAnsi="仿宋" w:eastAsia="仿宋" w:cs="仿宋"/>
                <w:sz w:val="24"/>
                <w:szCs w:val="24"/>
                <w:highlight w:val="none"/>
              </w:rPr>
            </w:pPr>
          </w:p>
        </w:tc>
      </w:tr>
    </w:tbl>
    <w:p w14:paraId="5D8EAC35">
      <w:pPr>
        <w:adjustRightInd w:val="0"/>
        <w:snapToGrid w:val="0"/>
        <w:spacing w:line="480" w:lineRule="exact"/>
        <w:ind w:firstLine="465"/>
        <w:outlineLvl w:val="9"/>
        <w:rPr>
          <w:rFonts w:ascii="仿宋" w:hAnsi="仿宋" w:eastAsia="仿宋" w:cs="仿宋"/>
          <w:sz w:val="24"/>
          <w:szCs w:val="24"/>
          <w:highlight w:val="none"/>
        </w:rPr>
      </w:pPr>
      <w:bookmarkStart w:id="83" w:name="_Hlk209965410"/>
      <w:r>
        <w:rPr>
          <w:rFonts w:hint="eastAsia" w:ascii="仿宋" w:hAnsi="仿宋" w:eastAsia="仿宋" w:cs="仿宋"/>
          <w:sz w:val="24"/>
          <w:szCs w:val="24"/>
          <w:highlight w:val="none"/>
        </w:rPr>
        <w:t>以上合同总价</w:t>
      </w:r>
      <w:r>
        <w:rPr>
          <w:rFonts w:hint="eastAsia" w:ascii="仿宋" w:hAnsi="仿宋" w:eastAsia="仿宋" w:cs="仿宋"/>
          <w:bCs/>
          <w:sz w:val="24"/>
          <w:szCs w:val="24"/>
          <w:highlight w:val="none"/>
        </w:rPr>
        <w:t>为包干价，是完成该项目的一切费用总和，包括设备费、外贸服务费、中标服务费、进口环节税费、包装运输费、装卸费、保险费、评审费、设备安装费、调试费、技术培训费、售后服务费等全部费用及国家规定的其他各项税费，</w:t>
      </w:r>
      <w:r>
        <w:rPr>
          <w:rFonts w:hint="eastAsia" w:ascii="仿宋" w:hAnsi="仿宋" w:eastAsia="仿宋" w:cs="仿宋"/>
          <w:bCs/>
          <w:sz w:val="24"/>
          <w:szCs w:val="24"/>
          <w:highlight w:val="none"/>
          <w:u w:val="single"/>
        </w:rPr>
        <w:t>并包含6年内一次搬运费用（含拆装、运输、保险等全部费用及国家规定的各项税费）</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t>该价格为固定不变价格，且不因汇率变动或劳务、材料、机械等成本的价格变动而做任何调整。甲方无需向乙方另行支付该合同总价之外的任何费用</w:t>
      </w:r>
      <w:bookmarkEnd w:id="83"/>
      <w:r>
        <w:rPr>
          <w:rFonts w:hint="eastAsia" w:ascii="仿宋" w:hAnsi="仿宋" w:eastAsia="仿宋" w:cs="仿宋"/>
          <w:sz w:val="24"/>
          <w:szCs w:val="24"/>
          <w:highlight w:val="none"/>
        </w:rPr>
        <w:t>。</w:t>
      </w:r>
    </w:p>
    <w:p w14:paraId="2D42B12B">
      <w:pPr>
        <w:pStyle w:val="27"/>
        <w:numPr>
          <w:ilvl w:val="0"/>
          <w:numId w:val="4"/>
        </w:numPr>
        <w:adjustRightInd w:val="0"/>
        <w:snapToGrid w:val="0"/>
        <w:spacing w:line="480" w:lineRule="exact"/>
        <w:ind w:left="0" w:firstLine="0" w:firstLineChars="0"/>
        <w:outlineLvl w:val="9"/>
        <w:rPr>
          <w:rFonts w:ascii="仿宋" w:hAnsi="仿宋" w:eastAsia="仿宋" w:cs="仿宋"/>
          <w:b/>
          <w:sz w:val="24"/>
          <w:szCs w:val="24"/>
          <w:highlight w:val="none"/>
        </w:rPr>
      </w:pPr>
      <w:r>
        <w:rPr>
          <w:rFonts w:hint="eastAsia" w:ascii="仿宋" w:hAnsi="仿宋" w:eastAsia="仿宋" w:cs="仿宋"/>
          <w:b/>
          <w:sz w:val="24"/>
          <w:szCs w:val="24"/>
          <w:highlight w:val="none"/>
        </w:rPr>
        <w:t>价款结算与支付</w:t>
      </w:r>
    </w:p>
    <w:p w14:paraId="35399EC9">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1、合同款结算方式：电汇或银行转账；</w:t>
      </w:r>
    </w:p>
    <w:p w14:paraId="52EAC340">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2、由甲方</w:t>
      </w:r>
      <w:r>
        <w:rPr>
          <w:rFonts w:hint="eastAsia" w:ascii="仿宋" w:hAnsi="仿宋" w:eastAsia="仿宋" w:cs="仿宋"/>
          <w:sz w:val="24"/>
          <w:szCs w:val="24"/>
          <w:highlight w:val="none"/>
          <w:u w:val="single"/>
        </w:rPr>
        <w:t xml:space="preserve">  分期  </w:t>
      </w:r>
      <w:r>
        <w:rPr>
          <w:rFonts w:hint="eastAsia" w:ascii="仿宋" w:hAnsi="仿宋" w:eastAsia="仿宋" w:cs="仿宋"/>
          <w:sz w:val="24"/>
          <w:szCs w:val="24"/>
          <w:highlight w:val="none"/>
        </w:rPr>
        <w:t xml:space="preserve">支付乙方。具体支付方式和时间如下：   </w:t>
      </w:r>
    </w:p>
    <w:p w14:paraId="3AD16ABA">
      <w:pPr>
        <w:adjustRightInd w:val="0"/>
        <w:snapToGrid w:val="0"/>
        <w:spacing w:line="480" w:lineRule="exact"/>
        <w:ind w:firstLine="720" w:firstLineChars="300"/>
        <w:jc w:val="left"/>
        <w:outlineLvl w:val="9"/>
        <w:rPr>
          <w:rFonts w:ascii="仿宋" w:hAnsi="仿宋" w:eastAsia="仿宋" w:cs="仿宋"/>
          <w:sz w:val="24"/>
          <w:szCs w:val="24"/>
          <w:highlight w:val="none"/>
          <w:u w:val="single"/>
        </w:rPr>
      </w:pPr>
      <w:r>
        <w:rPr>
          <w:rFonts w:hint="eastAsia" w:ascii="仿宋" w:hAnsi="仿宋" w:eastAsia="仿宋" w:cs="仿宋"/>
          <w:sz w:val="24"/>
          <w:szCs w:val="24"/>
          <w:highlight w:val="none"/>
        </w:rPr>
        <w:t>（1）</w:t>
      </w:r>
      <w:r>
        <w:rPr>
          <w:rFonts w:ascii="仿宋" w:hAnsi="仿宋" w:eastAsia="仿宋" w:cs="仿宋"/>
          <w:sz w:val="24"/>
          <w:szCs w:val="24"/>
          <w:highlight w:val="none"/>
          <w:u w:val="single"/>
        </w:rPr>
        <w:t>合同</w:t>
      </w:r>
      <w:r>
        <w:rPr>
          <w:rFonts w:hint="eastAsia" w:ascii="仿宋" w:hAnsi="仿宋" w:eastAsia="仿宋" w:cs="仿宋"/>
          <w:sz w:val="24"/>
          <w:szCs w:val="24"/>
          <w:highlight w:val="none"/>
          <w:u w:val="single"/>
        </w:rPr>
        <w:t>正式生效，乙方提交等额完税增值税专用发票</w:t>
      </w:r>
      <w:r>
        <w:rPr>
          <w:rFonts w:ascii="仿宋" w:hAnsi="仿宋" w:eastAsia="仿宋" w:cs="仿宋"/>
          <w:sz w:val="24"/>
          <w:szCs w:val="24"/>
          <w:highlight w:val="none"/>
          <w:u w:val="single"/>
        </w:rPr>
        <w:t>后</w:t>
      </w:r>
      <w:r>
        <w:rPr>
          <w:rFonts w:hint="eastAsia" w:ascii="仿宋" w:hAnsi="仿宋" w:eastAsia="仿宋" w:cs="仿宋"/>
          <w:sz w:val="24"/>
          <w:szCs w:val="24"/>
          <w:highlight w:val="none"/>
          <w:u w:val="single"/>
        </w:rPr>
        <w:t>【10】</w:t>
      </w:r>
      <w:r>
        <w:rPr>
          <w:rFonts w:ascii="仿宋" w:hAnsi="仿宋" w:eastAsia="仿宋" w:cs="仿宋"/>
          <w:sz w:val="24"/>
          <w:szCs w:val="24"/>
          <w:highlight w:val="none"/>
          <w:u w:val="single"/>
        </w:rPr>
        <w:t>个工作日内，甲方向乙方支付合同总价【20%】的款项</w:t>
      </w:r>
      <w:r>
        <w:rPr>
          <w:rFonts w:hint="eastAsia" w:ascii="仿宋" w:hAnsi="仿宋" w:eastAsia="仿宋" w:cs="仿宋"/>
          <w:sz w:val="24"/>
          <w:szCs w:val="24"/>
          <w:highlight w:val="none"/>
          <w:u w:val="single"/>
        </w:rPr>
        <w:t>；</w:t>
      </w:r>
    </w:p>
    <w:p w14:paraId="4E7774CC">
      <w:pPr>
        <w:adjustRightInd w:val="0"/>
        <w:snapToGrid w:val="0"/>
        <w:spacing w:line="480" w:lineRule="exact"/>
        <w:jc w:val="left"/>
        <w:outlineLvl w:val="9"/>
        <w:rPr>
          <w:rFonts w:ascii="仿宋" w:hAnsi="仿宋" w:eastAsia="仿宋" w:cs="仿宋"/>
          <w:bCs/>
          <w:sz w:val="24"/>
          <w:szCs w:val="24"/>
          <w:highlight w:val="none"/>
          <w:u w:val="single"/>
        </w:rPr>
      </w:pPr>
      <w:r>
        <w:rPr>
          <w:rFonts w:hint="eastAsia" w:ascii="仿宋" w:hAnsi="仿宋" w:eastAsia="仿宋" w:cs="仿宋"/>
          <w:sz w:val="24"/>
          <w:szCs w:val="24"/>
          <w:highlight w:val="none"/>
        </w:rPr>
        <w:t xml:space="preserve">      （2）</w:t>
      </w:r>
      <w:r>
        <w:rPr>
          <w:rFonts w:hint="eastAsia" w:ascii="仿宋" w:hAnsi="仿宋" w:eastAsia="仿宋" w:cs="仿宋"/>
          <w:sz w:val="24"/>
          <w:szCs w:val="24"/>
          <w:highlight w:val="none"/>
          <w:u w:val="single"/>
        </w:rPr>
        <w:t>设备完成详细设计，编制完成详细设计报告、图纸、加工制造实施方案、零部件明细表、验收大纲、经济性分析报告通过评审后，乙方</w:t>
      </w:r>
      <w:r>
        <w:rPr>
          <w:rFonts w:hint="eastAsia" w:ascii="仿宋" w:hAnsi="仿宋" w:eastAsia="仿宋" w:cs="仿宋"/>
          <w:bCs/>
          <w:sz w:val="24"/>
          <w:szCs w:val="24"/>
          <w:highlight w:val="none"/>
          <w:u w:val="single"/>
        </w:rPr>
        <w:t>提交等额完税增值税专用发票</w:t>
      </w:r>
      <w:r>
        <w:rPr>
          <w:rFonts w:ascii="仿宋" w:hAnsi="仿宋" w:eastAsia="仿宋" w:cs="仿宋"/>
          <w:bCs/>
          <w:sz w:val="24"/>
          <w:szCs w:val="24"/>
          <w:highlight w:val="none"/>
          <w:u w:val="single"/>
        </w:rPr>
        <w:t>后</w:t>
      </w:r>
      <w:r>
        <w:rPr>
          <w:rFonts w:hint="eastAsia" w:ascii="仿宋" w:hAnsi="仿宋" w:eastAsia="仿宋" w:cs="仿宋"/>
          <w:bCs/>
          <w:sz w:val="24"/>
          <w:szCs w:val="24"/>
          <w:highlight w:val="none"/>
          <w:u w:val="single"/>
        </w:rPr>
        <w:t>【10】</w:t>
      </w:r>
      <w:r>
        <w:rPr>
          <w:rFonts w:ascii="仿宋" w:hAnsi="仿宋" w:eastAsia="仿宋" w:cs="仿宋"/>
          <w:bCs/>
          <w:sz w:val="24"/>
          <w:szCs w:val="24"/>
          <w:highlight w:val="none"/>
          <w:u w:val="single"/>
        </w:rPr>
        <w:t>个工作日内，甲方向乙方支付合同总价【</w:t>
      </w:r>
      <w:r>
        <w:rPr>
          <w:rFonts w:hint="eastAsia" w:ascii="仿宋" w:hAnsi="仿宋" w:eastAsia="仿宋" w:cs="仿宋"/>
          <w:bCs/>
          <w:sz w:val="24"/>
          <w:szCs w:val="24"/>
          <w:highlight w:val="none"/>
          <w:u w:val="single"/>
        </w:rPr>
        <w:t>2</w:t>
      </w:r>
      <w:r>
        <w:rPr>
          <w:rFonts w:ascii="仿宋" w:hAnsi="仿宋" w:eastAsia="仿宋" w:cs="仿宋"/>
          <w:bCs/>
          <w:sz w:val="24"/>
          <w:szCs w:val="24"/>
          <w:highlight w:val="none"/>
          <w:u w:val="single"/>
        </w:rPr>
        <w:t>0%】的款项</w:t>
      </w:r>
      <w:r>
        <w:rPr>
          <w:rFonts w:hint="eastAsia" w:ascii="仿宋" w:hAnsi="仿宋" w:eastAsia="仿宋" w:cs="仿宋"/>
          <w:bCs/>
          <w:sz w:val="24"/>
          <w:szCs w:val="24"/>
          <w:highlight w:val="none"/>
          <w:u w:val="single"/>
        </w:rPr>
        <w:t>；</w:t>
      </w:r>
    </w:p>
    <w:p w14:paraId="63E2EC46">
      <w:pPr>
        <w:adjustRightInd w:val="0"/>
        <w:snapToGrid w:val="0"/>
        <w:spacing w:line="480" w:lineRule="exact"/>
        <w:jc w:val="left"/>
        <w:outlineLvl w:val="9"/>
        <w:rPr>
          <w:rFonts w:ascii="仿宋" w:hAnsi="仿宋" w:eastAsia="仿宋" w:cs="仿宋"/>
          <w:bCs/>
          <w:sz w:val="24"/>
          <w:szCs w:val="24"/>
          <w:highlight w:val="none"/>
          <w:u w:val="single"/>
        </w:rPr>
      </w:pPr>
      <w:r>
        <w:rPr>
          <w:rFonts w:hint="eastAsia" w:ascii="仿宋" w:hAnsi="仿宋" w:eastAsia="仿宋" w:cs="仿宋"/>
          <w:sz w:val="24"/>
          <w:szCs w:val="24"/>
          <w:highlight w:val="none"/>
        </w:rPr>
        <w:t xml:space="preserve">      （3）</w:t>
      </w:r>
      <w:r>
        <w:rPr>
          <w:rFonts w:ascii="仿宋" w:hAnsi="仿宋" w:eastAsia="仿宋" w:cs="仿宋"/>
          <w:bCs/>
          <w:sz w:val="24"/>
          <w:szCs w:val="24"/>
          <w:highlight w:val="none"/>
          <w:u w:val="single"/>
        </w:rPr>
        <w:t>全部货物统一发货前</w:t>
      </w:r>
      <w:r>
        <w:rPr>
          <w:rFonts w:hint="eastAsia" w:ascii="仿宋" w:hAnsi="仿宋" w:eastAsia="仿宋" w:cs="仿宋"/>
          <w:bCs/>
          <w:sz w:val="24"/>
          <w:szCs w:val="24"/>
          <w:highlight w:val="none"/>
          <w:u w:val="single"/>
        </w:rPr>
        <w:t>，经甲方现场确认货物符合出厂验收条件，节点工作验收合格，乙方提交货物运输单、等额完税增值税专用发票后【</w:t>
      </w:r>
      <w:r>
        <w:rPr>
          <w:rFonts w:ascii="仿宋" w:hAnsi="仿宋" w:eastAsia="仿宋" w:cs="仿宋"/>
          <w:bCs/>
          <w:sz w:val="24"/>
          <w:szCs w:val="24"/>
          <w:highlight w:val="none"/>
          <w:u w:val="single"/>
        </w:rPr>
        <w:t>1</w:t>
      </w:r>
      <w:r>
        <w:rPr>
          <w:rFonts w:hint="eastAsia" w:ascii="仿宋" w:hAnsi="仿宋" w:eastAsia="仿宋" w:cs="仿宋"/>
          <w:bCs/>
          <w:sz w:val="24"/>
          <w:szCs w:val="24"/>
          <w:highlight w:val="none"/>
          <w:u w:val="single"/>
        </w:rPr>
        <w:t>0】</w:t>
      </w:r>
      <w:r>
        <w:rPr>
          <w:rFonts w:ascii="仿宋" w:hAnsi="仿宋" w:eastAsia="仿宋" w:cs="仿宋"/>
          <w:bCs/>
          <w:sz w:val="24"/>
          <w:szCs w:val="24"/>
          <w:highlight w:val="none"/>
          <w:u w:val="single"/>
        </w:rPr>
        <w:t>个工作日内，甲方向乙方支付合同总价【30%】的款项；</w:t>
      </w:r>
    </w:p>
    <w:p w14:paraId="21798F8F">
      <w:pPr>
        <w:adjustRightInd w:val="0"/>
        <w:snapToGrid w:val="0"/>
        <w:spacing w:line="480" w:lineRule="exact"/>
        <w:jc w:val="left"/>
        <w:outlineLvl w:val="9"/>
        <w:rPr>
          <w:rFonts w:ascii="仿宋" w:hAnsi="仿宋" w:eastAsia="仿宋" w:cs="仿宋"/>
          <w:bCs/>
          <w:sz w:val="24"/>
          <w:szCs w:val="24"/>
          <w:highlight w:val="none"/>
          <w:u w:val="single"/>
        </w:rPr>
      </w:pPr>
      <w:r>
        <w:rPr>
          <w:rFonts w:hint="eastAsia" w:ascii="仿宋" w:hAnsi="仿宋" w:eastAsia="仿宋" w:cs="仿宋"/>
          <w:sz w:val="24"/>
          <w:szCs w:val="24"/>
          <w:highlight w:val="none"/>
        </w:rPr>
        <w:t xml:space="preserve">      （4）</w:t>
      </w:r>
      <w:r>
        <w:rPr>
          <w:rFonts w:ascii="仿宋" w:hAnsi="仿宋" w:eastAsia="仿宋" w:cs="仿宋"/>
          <w:bCs/>
          <w:sz w:val="24"/>
          <w:szCs w:val="24"/>
          <w:highlight w:val="none"/>
          <w:u w:val="single"/>
        </w:rPr>
        <w:t>全部货物送达甲方指定地点、完成安装并验收合格后</w:t>
      </w:r>
      <w:r>
        <w:rPr>
          <w:rFonts w:hint="eastAsia" w:ascii="仿宋" w:hAnsi="仿宋" w:eastAsia="仿宋" w:cs="仿宋"/>
          <w:bCs/>
          <w:sz w:val="24"/>
          <w:szCs w:val="24"/>
          <w:highlight w:val="none"/>
          <w:u w:val="single"/>
        </w:rPr>
        <w:t>，乙方开具等额完税增值税专用发票后【</w:t>
      </w:r>
      <w:r>
        <w:rPr>
          <w:rFonts w:ascii="仿宋" w:hAnsi="仿宋" w:eastAsia="仿宋" w:cs="仿宋"/>
          <w:bCs/>
          <w:sz w:val="24"/>
          <w:szCs w:val="24"/>
          <w:highlight w:val="none"/>
          <w:u w:val="single"/>
        </w:rPr>
        <w:t>1</w:t>
      </w:r>
      <w:r>
        <w:rPr>
          <w:rFonts w:hint="eastAsia" w:ascii="仿宋" w:hAnsi="仿宋" w:eastAsia="仿宋" w:cs="仿宋"/>
          <w:bCs/>
          <w:sz w:val="24"/>
          <w:szCs w:val="24"/>
          <w:highlight w:val="none"/>
          <w:u w:val="single"/>
        </w:rPr>
        <w:t>0】</w:t>
      </w:r>
      <w:r>
        <w:rPr>
          <w:rFonts w:ascii="仿宋" w:hAnsi="仿宋" w:eastAsia="仿宋" w:cs="仿宋"/>
          <w:bCs/>
          <w:sz w:val="24"/>
          <w:szCs w:val="24"/>
          <w:highlight w:val="none"/>
          <w:u w:val="single"/>
        </w:rPr>
        <w:t>个工作日内，甲方向乙方支付合同总价【30%】的款项。</w:t>
      </w:r>
    </w:p>
    <w:p w14:paraId="7CDEC6B8">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color w:val="FF0000"/>
          <w:sz w:val="24"/>
          <w:szCs w:val="24"/>
          <w:highlight w:val="none"/>
          <w:u w:val="single"/>
        </w:rPr>
        <w:t>付款节点中涉及到的详细设计专家评审、阶段性验收测试评审、出厂验收评审、现场预验收评审、现场最终验收评审等</w:t>
      </w:r>
      <w:r>
        <w:rPr>
          <w:rFonts w:hint="eastAsia" w:ascii="仿宋" w:hAnsi="仿宋" w:eastAsia="仿宋" w:cs="仿宋"/>
          <w:sz w:val="24"/>
          <w:szCs w:val="24"/>
          <w:highlight w:val="none"/>
          <w:u w:val="single"/>
        </w:rPr>
        <w:t>（验收评审费需要主任设计自行裁剪，一般不包括最终验收，最终验收会涉及设备联调）</w:t>
      </w:r>
      <w:r>
        <w:rPr>
          <w:rFonts w:hint="eastAsia" w:ascii="仿宋" w:hAnsi="仿宋" w:eastAsia="仿宋" w:cs="仿宋"/>
          <w:color w:val="FF0000"/>
          <w:sz w:val="24"/>
          <w:szCs w:val="24"/>
          <w:highlight w:val="none"/>
          <w:u w:val="single"/>
        </w:rPr>
        <w:t>费用由乙方支付。相关评审会议的流程需要遵循甲方管理要求，评审及测试结果由甲方确认认可后，方可通过。</w:t>
      </w:r>
    </w:p>
    <w:p w14:paraId="4AEEA937">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3、乙方指定的收款账户为本合同尾部签章处所确认的银行账户，如有任何变更需自变更之日起3日内书面通知甲方，否则由乙方自行承担一切不利后果；若甲方在收到乙方的书面通知前已安排付款或存在其他无法变更收款账户的情形，则甲方可继续向本合同尾部签章处所确认的银行账户支付款项。</w:t>
      </w:r>
    </w:p>
    <w:p w14:paraId="169206B2">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4、如付款条件达成时间节点在学校寒暑假期间等特殊情况的，付款期限可顺延至甲方开学后10个工作日内。如因乙方迟延申请付款或迟延提供发票的，甲方有权相应顺延支付相关费用的时间且无需承担任何违约责任。</w:t>
      </w:r>
    </w:p>
    <w:p w14:paraId="1964FD87">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5、因政府部门核批导致甲方付款延迟的，或非甲方原因导致支付时间已逾当年财政资金支出的最终期限而无法按期支付的，甲方可顺延支付且无需为此承担违约责任。</w:t>
      </w:r>
    </w:p>
    <w:p w14:paraId="55FD26CD">
      <w:pPr>
        <w:adjustRightInd w:val="0"/>
        <w:snapToGrid w:val="0"/>
        <w:spacing w:line="480" w:lineRule="exact"/>
        <w:ind w:firstLine="482" w:firstLineChars="200"/>
        <w:outlineLvl w:val="9"/>
        <w:rPr>
          <w:rFonts w:ascii="仿宋" w:hAnsi="仿宋" w:eastAsia="仿宋" w:cs="仿宋"/>
          <w:sz w:val="24"/>
          <w:szCs w:val="24"/>
          <w:highlight w:val="none"/>
        </w:rPr>
      </w:pPr>
      <w:r>
        <w:rPr>
          <w:rFonts w:hint="eastAsia" w:ascii="仿宋" w:hAnsi="仿宋" w:eastAsia="仿宋" w:cs="仿宋"/>
          <w:b/>
          <w:sz w:val="24"/>
          <w:szCs w:val="24"/>
          <w:highlight w:val="none"/>
        </w:rPr>
        <w:t>三、交货时间、地点</w:t>
      </w:r>
    </w:p>
    <w:p w14:paraId="6BA23D32">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w:t>
      </w:r>
      <w:bookmarkStart w:id="84" w:name="_Hlk209965436"/>
      <w:r>
        <w:rPr>
          <w:rFonts w:hint="eastAsia" w:ascii="仿宋" w:hAnsi="仿宋" w:eastAsia="仿宋" w:cs="仿宋"/>
          <w:sz w:val="24"/>
          <w:szCs w:val="24"/>
          <w:highlight w:val="none"/>
        </w:rPr>
        <w:t xml:space="preserve">签订合同后 </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XX</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 xml:space="preserve"> 天（日历日）内完成</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rPr>
        <w:t>XX</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设备交货和安装调试；接到甲方通知后  </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XX</w:t>
      </w:r>
      <w:r>
        <w:rPr>
          <w:rFonts w:ascii="仿宋" w:hAnsi="仿宋" w:eastAsia="仿宋" w:cs="仿宋"/>
          <w:sz w:val="24"/>
          <w:szCs w:val="24"/>
          <w:highlight w:val="none"/>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天（日历日）内完成设备交货和安装调试，并联系招标人组装验收工作。因场地、付款或甲方认可的其他原因造成工期延长，经双方协商，确定新的交货日期</w:t>
      </w:r>
      <w:bookmarkEnd w:id="84"/>
      <w:r>
        <w:rPr>
          <w:rFonts w:hint="eastAsia" w:ascii="仿宋" w:hAnsi="仿宋" w:eastAsia="仿宋" w:cs="仿宋"/>
          <w:sz w:val="24"/>
          <w:szCs w:val="24"/>
          <w:highlight w:val="none"/>
        </w:rPr>
        <w:t>。</w:t>
      </w:r>
    </w:p>
    <w:p w14:paraId="5AFD8173">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2、合同货物送达地址：甲方指定地点，以甲方书面通知为准。</w:t>
      </w:r>
    </w:p>
    <w:p w14:paraId="31145F0D">
      <w:pPr>
        <w:adjustRightInd w:val="0"/>
        <w:snapToGrid w:val="0"/>
        <w:spacing w:line="480" w:lineRule="exact"/>
        <w:ind w:firstLine="465"/>
        <w:outlineLvl w:val="9"/>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3、交付形式及阶段性交付时间详见《技术附件》。</w:t>
      </w:r>
    </w:p>
    <w:p w14:paraId="03440F57">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四、合同货物的产地及质量标准</w:t>
      </w:r>
    </w:p>
    <w:p w14:paraId="0F0504D0">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1、合同货物必须为全新（原装）产品，包括全部产品、备件及完整的技术、证明资料（详细清单见《技术附件》），货物参数必须满足</w:t>
      </w:r>
      <w:r>
        <w:rPr>
          <w:rFonts w:hint="eastAsia" w:ascii="仿宋" w:hAnsi="仿宋" w:eastAsia="仿宋" w:cs="仿宋"/>
          <w:sz w:val="24"/>
          <w:szCs w:val="24"/>
          <w:highlight w:val="none"/>
          <w:u w:val="single"/>
        </w:rPr>
        <w:t>《技术附件》</w:t>
      </w:r>
      <w:r>
        <w:rPr>
          <w:rFonts w:hint="eastAsia" w:ascii="仿宋" w:hAnsi="仿宋" w:eastAsia="仿宋" w:cs="仿宋"/>
          <w:sz w:val="24"/>
          <w:szCs w:val="24"/>
          <w:highlight w:val="none"/>
        </w:rPr>
        <w:t>设备技术指标要求。</w:t>
      </w:r>
    </w:p>
    <w:p w14:paraId="6E4CB72B">
      <w:pPr>
        <w:adjustRightInd w:val="0"/>
        <w:snapToGrid w:val="0"/>
        <w:spacing w:line="480" w:lineRule="exact"/>
        <w:ind w:firstLine="465"/>
        <w:outlineLvl w:val="9"/>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合同货物须符合质量管理体系管控要求。本合同项下交付的货物应符合技术规格所述标准。如果技术附件没有提及某项具体技术指标的适用标准，则该指标应符合货物交付时中华人民共和国颁布的现行有效的强制性国家标准；若无强制性国家标准，则应符合现行有效的推荐性国家标准。这些标准必须是有关单位或机构发布的最新有效版本。没有国家标准的，按照货物交付时相关行业普遍接受和执行的通常标准或者符合本合同约定目的的特定标准。无论采用上述何种标准，最终采用的任何标准均应满足甲方使用要求。货物的检验结果及质量保证期内达到的性能指标，均须达到或优于前述技术附件或本合同规定的适用标准中的要求。</w:t>
      </w:r>
    </w:p>
    <w:p w14:paraId="6ED9D4C9">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3、合同货物必须具备有效的原产地证明、商检部门的检验证明、合法渠道证明及相关资料，还应符合国家有关安全、环保、卫生等最新最优强制性规定。</w:t>
      </w:r>
    </w:p>
    <w:p w14:paraId="1B0C05D9">
      <w:pPr>
        <w:adjustRightInd w:val="0"/>
        <w:snapToGrid w:val="0"/>
        <w:spacing w:line="480" w:lineRule="exact"/>
        <w:ind w:firstLine="465"/>
        <w:outlineLvl w:val="9"/>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合同货物中提交的完整技术及证明资料等文件，乙方应保证其准确性、真实性。技术附件及设计输出文件中提及的质量进度管理等工作，具有合同的同等执行义务和法律效力。</w:t>
      </w:r>
    </w:p>
    <w:p w14:paraId="395A8887">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五、合同货物包装标准及包装费用</w:t>
      </w:r>
    </w:p>
    <w:p w14:paraId="7860E612">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1、包装必须与运输方式相适应，乙方负责确定包装方式和运输方式；由于不适当的包装和运输造成合同货物有任何损坏由乙方负责。</w:t>
      </w:r>
    </w:p>
    <w:p w14:paraId="086A7DAA">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2、设备包装、运输、装卸、保险、安装调试、验收检测等一切费用已包含在合同总价内。</w:t>
      </w:r>
    </w:p>
    <w:p w14:paraId="5CC66F0A">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3、按符合国家、行业或企业有关标准要求的方式包装，采取防锈、防腐、防雨、防振动、防碰措施，保证产品在运输过程中不受损伤，由于包装不良而造成的任何变形或锈损，乙方承担全部损失和费用。运输时间包含在供货周期内，设备到货清单必须详列包装箱内容物及数量。</w:t>
      </w:r>
    </w:p>
    <w:p w14:paraId="62C34670">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4、乙方保证所供货物是用符合要求的材料制成，全新未曾使用过。</w:t>
      </w:r>
    </w:p>
    <w:p w14:paraId="31CB4D89">
      <w:pPr>
        <w:adjustRightInd w:val="0"/>
        <w:snapToGrid w:val="0"/>
        <w:spacing w:line="480" w:lineRule="exact"/>
        <w:outlineLvl w:val="9"/>
        <w:rPr>
          <w:rFonts w:ascii="仿宋" w:hAnsi="仿宋" w:eastAsia="仿宋" w:cs="仿宋"/>
          <w:sz w:val="24"/>
          <w:szCs w:val="24"/>
          <w:highlight w:val="none"/>
        </w:rPr>
      </w:pPr>
      <w:r>
        <w:rPr>
          <w:rFonts w:hint="eastAsia" w:ascii="仿宋" w:hAnsi="仿宋" w:eastAsia="仿宋" w:cs="仿宋"/>
          <w:b/>
          <w:sz w:val="24"/>
          <w:szCs w:val="24"/>
          <w:highlight w:val="none"/>
        </w:rPr>
        <w:t>六、发票形式：</w:t>
      </w:r>
      <w:r>
        <w:rPr>
          <w:rFonts w:hint="eastAsia" w:ascii="仿宋" w:hAnsi="仿宋" w:eastAsia="仿宋" w:cs="仿宋"/>
          <w:sz w:val="24"/>
          <w:szCs w:val="24"/>
          <w:highlight w:val="none"/>
        </w:rPr>
        <w:t>税率为13%的增值税专用发票。</w:t>
      </w:r>
    </w:p>
    <w:p w14:paraId="0352D87A">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七、验收和交付</w:t>
      </w:r>
    </w:p>
    <w:p w14:paraId="39879FDE">
      <w:pPr>
        <w:adjustRightInd w:val="0"/>
        <w:snapToGrid w:val="0"/>
        <w:spacing w:line="480" w:lineRule="exact"/>
        <w:ind w:firstLine="465"/>
        <w:outlineLvl w:val="9"/>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交付条件：乙方将合同所列的全部产品、备件及完整的技术、证明资料交甲方收货，买卖双方签署收货单后即完成交付。甲方签署收货单仅为外观验收，并不代表甲方确认货物质量合格。如果发现货物的外观、质量、规格和数量与合同不符，甲方有权拒收货物，并在【15】天内签发拒绝收货通知书，乙方应在甲方通知后【15】天内重新提供符合合同约定的货物，相关费用均由乙方承担；甲方也有权决定部分接收符合合同约定的货物，并在【15】天内签发补充发货通知书，乙方应于【15】天内补充提供符合合同约定的货物，相关费用均由乙方承担。乙方重新提供货物或补充提供货物的时间超过本合同约定交货时间的，视为乙方逾期交货，甲方可向乙方提出索赔。若乙方补充提供的货物仍不符合合同约定的，甲方有权决定拒收全部货物（包括已接收的符合合同约定的货物）并解除本合同，同时可要求乙方赔偿甲方因此遭受的损失。</w:t>
      </w:r>
    </w:p>
    <w:p w14:paraId="690D8F8D">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安装调试及人员培训：乙方应按照甲方通知的时间委派有经验的技术人员到现场进行安装、调试，并无偿提供货物安装调试的一切技术支持直至设备正常使用，确保设备达到验收标准。根据实际需要，乙方还需配合甲方完成本合同货物与甲方其他设备（实验终端）之间的联机联调，保证甲方整体装置技术指标的实现，文档验收齐全，最终验收通过。</w:t>
      </w:r>
    </w:p>
    <w:p w14:paraId="76452639">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color w:val="FF0000"/>
          <w:sz w:val="24"/>
          <w:szCs w:val="24"/>
          <w:highlight w:val="none"/>
        </w:rPr>
        <w:t>乙方技术人员对甲方指定人员免费进行设备使用的技术培训。培训内容包括但不限于：</w:t>
      </w:r>
      <w:r>
        <w:rPr>
          <w:rFonts w:hint="eastAsia" w:ascii="仿宋" w:hAnsi="仿宋" w:eastAsia="仿宋" w:cs="仿宋"/>
          <w:color w:val="FF0000"/>
          <w:sz w:val="24"/>
          <w:szCs w:val="24"/>
          <w:highlight w:val="none"/>
          <w:u w:val="single"/>
        </w:rPr>
        <w:t>设备基本原理、设备电路线路原理、机械结构及各功能模块介绍、设备基本故障诊断排查、易损部件和耗材更换、程序设置、工艺操作、紧急事件处理等内容。具体要求详见“技术附件八服务内容”，</w:t>
      </w:r>
      <w:r>
        <w:rPr>
          <w:rFonts w:hint="eastAsia" w:ascii="仿宋" w:hAnsi="仿宋" w:eastAsia="仿宋" w:cs="仿宋"/>
          <w:sz w:val="24"/>
          <w:szCs w:val="24"/>
          <w:highlight w:val="none"/>
        </w:rPr>
        <w:t>乙方应确保甲方的有关操作人员能熟练、正确操作使用设备，有关维修人员能独立排除设备常见故障并进行常规维护。根据甲方实际需求，双方协商培训时间，参加培训的人员数量由甲方自行确定。</w:t>
      </w:r>
    </w:p>
    <w:p w14:paraId="3A5EFCB6">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乙方应在交货前提供完整的运行操作规程/手册(含安全规范)、试运行记录、培训记录以及其他技术通知单、工作联系单等技术文档。</w:t>
      </w:r>
    </w:p>
    <w:p w14:paraId="718A5DA4">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直至质保期满前，乙方有责任和义务免费帮助甲方进行设备维护，并在甲方日常设备运维过程中提供技术支持和人员培训。质保期满后，根据甲乙双方协商，乙方可根据甲方需求提供有偿优惠维护服务。</w:t>
      </w:r>
    </w:p>
    <w:p w14:paraId="3AA0710F">
      <w:pPr>
        <w:adjustRightInd w:val="0"/>
        <w:snapToGrid w:val="0"/>
        <w:spacing w:line="480" w:lineRule="exact"/>
        <w:ind w:firstLine="465"/>
        <w:outlineLvl w:val="9"/>
        <w:rPr>
          <w:rFonts w:ascii="仿宋" w:hAnsi="仿宋" w:eastAsia="仿宋" w:cs="仿宋"/>
          <w:color w:val="FF0000"/>
          <w:sz w:val="24"/>
          <w:szCs w:val="24"/>
          <w:highlight w:val="none"/>
        </w:rPr>
      </w:pPr>
      <w:r>
        <w:rPr>
          <w:rFonts w:ascii="仿宋" w:hAnsi="仿宋" w:eastAsia="仿宋" w:cs="仿宋"/>
          <w:color w:val="FF0000"/>
          <w:sz w:val="24"/>
          <w:szCs w:val="24"/>
          <w:highlight w:val="none"/>
        </w:rPr>
        <w:t>3</w:t>
      </w:r>
      <w:r>
        <w:rPr>
          <w:rFonts w:hint="eastAsia" w:ascii="仿宋" w:hAnsi="仿宋" w:eastAsia="仿宋" w:cs="仿宋"/>
          <w:color w:val="FF0000"/>
          <w:sz w:val="24"/>
          <w:szCs w:val="24"/>
          <w:highlight w:val="none"/>
        </w:rPr>
        <w:t>、验收标准：设备各项技术指标按合同规定技术指标（见《技术附件》）执行，质量标准按照本合同第四条执行；</w:t>
      </w:r>
    </w:p>
    <w:p w14:paraId="724A1C9B">
      <w:pPr>
        <w:adjustRightInd w:val="0"/>
        <w:snapToGrid w:val="0"/>
        <w:spacing w:line="480" w:lineRule="exact"/>
        <w:ind w:firstLine="465"/>
        <w:outlineLvl w:val="9"/>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验收内容：按合同和招标、投标文件约定的要求和标准及中华人民共和国现行的验收规范和评定标准对设备主要规格、基本功能、主要性能和配置、设备制造过程中过程资料、各阶段测试记录、设备技术资料、设备附件、设备清单等内容进行相符性检查和验收。</w:t>
      </w:r>
    </w:p>
    <w:p w14:paraId="6EBB78D3">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5、验收方法：</w:t>
      </w:r>
    </w:p>
    <w:p w14:paraId="0D1AF102">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当满足以下条件时，甲方才向乙方签发货物验收报告：</w:t>
      </w:r>
    </w:p>
    <w:p w14:paraId="07AF6147">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（1）按照合同规定，提交全部产品、备件及完整的技术、证明资料，且设备全新，外观无伤痕变形或明显修饰痕迹。</w:t>
      </w:r>
    </w:p>
    <w:p w14:paraId="0A384C37">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（2）乙方提供的各种文件载明的内容必须真实，其技术数据甲方有权要求乙方无偿提供甲方认可的第三方按照双方同意的试验方法进行检测。检测结果必须证明乙方提供的技术数据是真实的，否则视为不合格。</w:t>
      </w:r>
    </w:p>
    <w:p w14:paraId="4C241A0C">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w:t>
      </w:r>
      <w:r>
        <w:rPr>
          <w:rFonts w:ascii="仿宋" w:hAnsi="仿宋" w:eastAsia="仿宋" w:cs="仿宋"/>
          <w:sz w:val="24"/>
          <w:szCs w:val="24"/>
          <w:highlight w:val="none"/>
        </w:rPr>
        <w:t>3）</w:t>
      </w:r>
      <w:r>
        <w:rPr>
          <w:rFonts w:hint="eastAsia" w:ascii="仿宋" w:hAnsi="仿宋" w:eastAsia="仿宋" w:cs="仿宋"/>
          <w:sz w:val="24"/>
          <w:szCs w:val="24"/>
          <w:highlight w:val="none"/>
        </w:rPr>
        <w:t>节点验收：设备加工制造过程中的质量控制点节点验收，经过可靠技术验证检查，技术指标达标、质量检查文件齐全，双方签字齐全。</w:t>
      </w:r>
    </w:p>
    <w:p w14:paraId="47CEAD95">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（4）预验收：通过组织相关领域的专家人员测试验收，设备参数达到或优于招投标文件及合同《技术附件》规定的所有技术指标后，设备性能满足甲方使用要求，出具书面验收合格评审意见。</w:t>
      </w:r>
    </w:p>
    <w:p w14:paraId="31A6D461">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w:t>
      </w:r>
      <w:r>
        <w:rPr>
          <w:rFonts w:ascii="仿宋" w:hAnsi="仿宋" w:eastAsia="仿宋" w:cs="仿宋"/>
          <w:sz w:val="24"/>
          <w:szCs w:val="24"/>
          <w:highlight w:val="none"/>
        </w:rPr>
        <w:t>5</w:t>
      </w:r>
      <w:r>
        <w:rPr>
          <w:rFonts w:hint="eastAsia" w:ascii="仿宋" w:hAnsi="仿宋" w:eastAsia="仿宋" w:cs="仿宋"/>
          <w:sz w:val="24"/>
          <w:szCs w:val="24"/>
          <w:highlight w:val="none"/>
        </w:rPr>
        <w:t>）最终验收：乙方需要配合甲方完成本合同货物与甲方其他设备（实验终端）在甲方指定场地的最终联机与调试，且实现甲方整体装置的最终功能与技术指标，并通过甲方上级主管部门组织的验收后，甲乙双方共同签署货物验收报告。签署当天为验收合格之日，由乙方提供产品保修文件。</w:t>
      </w:r>
    </w:p>
    <w:p w14:paraId="0568B77B">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八、质保期</w:t>
      </w:r>
    </w:p>
    <w:p w14:paraId="66BDC49A">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1、质保期为产品自最终验收合格并交付甲方使用之日起</w:t>
      </w:r>
      <w:r>
        <w:rPr>
          <w:rFonts w:hint="eastAsia" w:ascii="仿宋" w:hAnsi="仿宋" w:eastAsia="仿宋" w:cs="仿宋"/>
          <w:sz w:val="24"/>
          <w:szCs w:val="24"/>
          <w:highlight w:val="none"/>
          <w:u w:val="single"/>
        </w:rPr>
        <w:t xml:space="preserve"> 24</w:t>
      </w:r>
      <w:r>
        <w:rPr>
          <w:rFonts w:ascii="仿宋" w:hAnsi="仿宋" w:eastAsia="仿宋" w:cs="仿宋"/>
          <w:sz w:val="24"/>
          <w:szCs w:val="24"/>
          <w:highlight w:val="none"/>
          <w:u w:val="single"/>
        </w:rPr>
        <w:t>/48</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个月内。质保期内，产品维修是免费的（包括人工费、免费更换零配件等），乙方保证</w:t>
      </w:r>
      <w:r>
        <w:rPr>
          <w:rFonts w:hint="eastAsia" w:ascii="仿宋" w:hAnsi="仿宋" w:eastAsia="仿宋" w:cs="仿宋"/>
          <w:bCs/>
          <w:sz w:val="24"/>
          <w:szCs w:val="24"/>
          <w:highlight w:val="none"/>
        </w:rPr>
        <w:t>在接到通知</w:t>
      </w:r>
      <w:r>
        <w:rPr>
          <w:rFonts w:hint="eastAsia" w:ascii="仿宋" w:hAnsi="仿宋" w:eastAsia="仿宋" w:cs="仿宋"/>
          <w:bCs/>
          <w:sz w:val="24"/>
          <w:szCs w:val="24"/>
          <w:highlight w:val="none"/>
          <w:u w:val="single"/>
        </w:rPr>
        <w:t xml:space="preserve"> 2 </w:t>
      </w:r>
      <w:r>
        <w:rPr>
          <w:rFonts w:hint="eastAsia" w:ascii="仿宋" w:hAnsi="仿宋" w:eastAsia="仿宋" w:cs="仿宋"/>
          <w:bCs/>
          <w:sz w:val="24"/>
          <w:szCs w:val="24"/>
          <w:highlight w:val="none"/>
        </w:rPr>
        <w:t>小时内</w:t>
      </w:r>
      <w:r>
        <w:rPr>
          <w:rFonts w:hint="eastAsia" w:ascii="仿宋" w:hAnsi="仿宋" w:eastAsia="仿宋" w:cs="仿宋"/>
          <w:sz w:val="24"/>
          <w:szCs w:val="24"/>
          <w:highlight w:val="none"/>
        </w:rPr>
        <w:t>对甲方的服务要求作出响应。对于紧急故障（如设备停机等），乙方需在</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2  </w:t>
      </w:r>
      <w:r>
        <w:rPr>
          <w:rFonts w:hint="eastAsia" w:ascii="仿宋" w:hAnsi="仿宋" w:eastAsia="仿宋" w:cs="仿宋"/>
          <w:sz w:val="24"/>
          <w:szCs w:val="24"/>
          <w:highlight w:val="none"/>
        </w:rPr>
        <w:t>天内到场排除故障；对于一般故障，乙方需在</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5</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天内到场排除故障；若遇重大故障不能按期排除，则设备免费保修期顺延，但乙方仍应在</w:t>
      </w:r>
      <w:r>
        <w:rPr>
          <w:rFonts w:hint="eastAsia" w:ascii="仿宋" w:hAnsi="仿宋" w:eastAsia="仿宋" w:cs="仿宋"/>
          <w:sz w:val="24"/>
          <w:szCs w:val="24"/>
          <w:highlight w:val="none"/>
          <w:u w:val="single"/>
        </w:rPr>
        <w:t xml:space="preserve"> 1</w:t>
      </w:r>
      <w:r>
        <w:rPr>
          <w:rFonts w:ascii="仿宋" w:hAnsi="仿宋" w:eastAsia="仿宋" w:cs="仿宋"/>
          <w:sz w:val="24"/>
          <w:szCs w:val="24"/>
          <w:highlight w:val="none"/>
          <w:u w:val="single"/>
        </w:rPr>
        <w:t xml:space="preserve">0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个工作日内排除故障。乙方如不能修理或不能调换，须按产品（指成套设备 而非相关零部件）原价赔偿，并赔偿甲方因此遭受的损失；甲方也有权安排第三方进行修理或调换，相关费用由乙方承担。质保期外，乙方保证在</w:t>
      </w:r>
      <w:r>
        <w:rPr>
          <w:rFonts w:hint="eastAsia" w:ascii="仿宋" w:hAnsi="仿宋" w:eastAsia="仿宋" w:cs="仿宋"/>
          <w:sz w:val="24"/>
          <w:szCs w:val="24"/>
          <w:highlight w:val="none"/>
          <w:u w:val="single"/>
        </w:rPr>
        <w:t xml:space="preserve"> 8 </w:t>
      </w:r>
      <w:r>
        <w:rPr>
          <w:rFonts w:hint="eastAsia" w:ascii="仿宋" w:hAnsi="仿宋" w:eastAsia="仿宋" w:cs="仿宋"/>
          <w:sz w:val="24"/>
          <w:szCs w:val="24"/>
          <w:highlight w:val="none"/>
        </w:rPr>
        <w:t>小时内对甲方的服务要求作出响应。对于紧急故障（如设备停机），乙方需在</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2 </w:t>
      </w:r>
      <w:r>
        <w:rPr>
          <w:rFonts w:hint="eastAsia" w:ascii="仿宋" w:hAnsi="仿宋" w:eastAsia="仿宋" w:cs="仿宋"/>
          <w:sz w:val="24"/>
          <w:szCs w:val="24"/>
          <w:highlight w:val="none"/>
        </w:rPr>
        <w:t xml:space="preserve">天内到场排除故障；对于一般故障，乙方需在 </w:t>
      </w:r>
      <w:r>
        <w:rPr>
          <w:rFonts w:ascii="仿宋" w:hAnsi="仿宋" w:eastAsia="仿宋" w:cs="仿宋"/>
          <w:sz w:val="24"/>
          <w:szCs w:val="24"/>
          <w:highlight w:val="none"/>
          <w:u w:val="single"/>
        </w:rPr>
        <w:t xml:space="preserve">  7  </w:t>
      </w:r>
      <w:r>
        <w:rPr>
          <w:rFonts w:hint="eastAsia" w:ascii="仿宋" w:hAnsi="仿宋" w:eastAsia="仿宋" w:cs="仿宋"/>
          <w:sz w:val="24"/>
          <w:szCs w:val="24"/>
          <w:highlight w:val="none"/>
        </w:rPr>
        <w:t xml:space="preserve"> 天内到场排除故障。甲方需支付产品的维修费及其他费用（零配件享受出厂成本价且不得高于本合同约定的单价，维修相关人工服务费用按最优惠标准执行），乙方负责维修。如情况紧急，乙方需力争提供临时代用设备。</w:t>
      </w:r>
    </w:p>
    <w:p w14:paraId="5BC87B78">
      <w:pPr>
        <w:adjustRightInd w:val="0"/>
        <w:snapToGrid w:val="0"/>
        <w:spacing w:line="480" w:lineRule="exact"/>
        <w:ind w:firstLine="480" w:firstLineChars="200"/>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2、对甲方使用产品中由于自身或第三人因故意或者重大过失使用不当带来的任何损失，乙方的责任仅限于质保期内及时的修复产品和尽力帮助甲方减少进一步的损失。乙方对甲方使用产品中自身或第三人因故意或者重大过失使用不当带来的损失不承担任何赔偿责任。但甲方在正常使用产品过程中给他人造成的人身或财产损害的损害赔偿责任均由乙方承担，甲方基于维护自身声誉先行代垫的，有权从未付货款或者质保金中预先扣除，不足以扣除的，可向乙方追偿。</w:t>
      </w:r>
    </w:p>
    <w:p w14:paraId="459A81E0">
      <w:pPr>
        <w:adjustRightInd w:val="0"/>
        <w:snapToGrid w:val="0"/>
        <w:spacing w:line="480" w:lineRule="exact"/>
        <w:ind w:firstLine="480" w:firstLineChars="200"/>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3、质保期内，某项货物出现故障的次数达【5】次的，其质保期延长【6】个月；延长期限内，该项货物出现故障的次数达【5】次的，质保期继续延长【6】个月，以后均按此规定类推执行。</w:t>
      </w:r>
    </w:p>
    <w:p w14:paraId="1438484C">
      <w:pPr>
        <w:adjustRightInd w:val="0"/>
        <w:snapToGrid w:val="0"/>
        <w:spacing w:line="480" w:lineRule="exact"/>
        <w:ind w:firstLine="480" w:firstLineChars="200"/>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bCs/>
          <w:sz w:val="24"/>
          <w:szCs w:val="24"/>
          <w:highlight w:val="none"/>
        </w:rPr>
        <w:t>乙方对设备控制软件提供终生免费维护服务，具体指软件的常规版本升级，不包含特殊定制功能开发。</w:t>
      </w:r>
    </w:p>
    <w:p w14:paraId="21E29471">
      <w:pPr>
        <w:adjustRightInd w:val="0"/>
        <w:snapToGrid w:val="0"/>
        <w:spacing w:line="480" w:lineRule="exact"/>
        <w:ind w:firstLine="480" w:firstLineChars="200"/>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5、在仪器安装完成后，由乙方派专业工程师对甲方指定的使用人员免费进行技术培训。培训内容包括仪器基本原理和结构介绍、仪器操作方法、仪器基本故障诊断排查方法、常规保养维护程序、易损部件和耗材更换方法等内容。乙方应确保甲方的有关操作人员能熟练、正确操作使用设备，有关的维修人员能独立进行常规维护和排除设备的常见故障。根据甲方实际需求，双方协商时间，参加培训的人员数量由甲方自行确定。</w:t>
      </w:r>
    </w:p>
    <w:p w14:paraId="3AF09699">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九、违约责任</w:t>
      </w:r>
    </w:p>
    <w:p w14:paraId="7DA7F717">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1、乙方应充分掌握项目全过程风险，建立风险研判机制和切实可行的风险处置预案，并及时报送甲方止损。因乙方原因造成损失的，应由乙方承担相应责任。</w:t>
      </w:r>
    </w:p>
    <w:p w14:paraId="014C13CF">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2、在无不可抗力影响的前提下，乙方将按时完成合同内容并确保所有工作均符合国家标准、行业标准及本合同规定的质量标准。若因乙方原因导致设备工期延误或无法完成，进而影响乙方按时完成合同约定建设内容，乙方应在知晓此类情况后的48小时内书面通知甲方，详细说明延误或无法完成的原因、预计影响程度及已采取或拟采取的补救措施，并承担由此造成的甲方的相应损失：</w:t>
      </w:r>
    </w:p>
    <w:p w14:paraId="52BF1281">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1）乙方不能交货，则按合同总价的【10】%支付违约金给甲方。同时，甲方有权单方面解除合同，乙方应当退还甲方已支付的合同款。如上述违约金金额仍不足以补偿甲方因乙方违约造成的损失，甲方有权进一步向乙方提出索赔。</w:t>
      </w:r>
    </w:p>
    <w:p w14:paraId="15E3B4EB">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bCs/>
          <w:sz w:val="24"/>
          <w:szCs w:val="24"/>
          <w:highlight w:val="none"/>
        </w:rPr>
        <w:t>乙方未按期完成合同所有系统及设备的到货、安装、调试及验收的，构成设备交货或验收逾期，每逾期一日，甲方有权每日按合同总价的万分之五向乙方计收违约金，违约金最高不超过合同总价的【5】%。</w:t>
      </w:r>
    </w:p>
    <w:p w14:paraId="135205BE">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bCs/>
          <w:sz w:val="24"/>
          <w:szCs w:val="24"/>
          <w:highlight w:val="none"/>
        </w:rPr>
        <w:t>乙方因自身原因导致设备交货或验收逾期的，逾期超过【30】个日历日，甲方有权向乙方发出书面催告，经催告后【30】个日历日内，乙方仍未能履行的，甲方有权书面通知乙方解除本合同，并要求乙方退还甲方已支付的合同款，合同剩余款项甲方不予支付，乙方应赔偿甲方因此导致的相应损失。本合同自甲方书面解除通知送达乙方之日终止。</w:t>
      </w:r>
    </w:p>
    <w:p w14:paraId="298B06C2">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3、甲方无故逾期付款的，每逾期一日，应按逾期应付而未付款项的万分之五计算（最高不得超过货款总额的百分之五），向乙方支付违约金。</w:t>
      </w:r>
    </w:p>
    <w:p w14:paraId="342D88A7">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4、若乙方未按本合同的约定提供保修等售后服务，甲方有权自行委托第三方提供甲方所需要的技术支持和售后服务，所发生的一切费用均由乙方承担，如因此造成甲方损失的，乙方应承担赔偿责任。</w:t>
      </w:r>
    </w:p>
    <w:p w14:paraId="2C9EDF72">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5、乙方在履行售后服务过程中，因整改造成甲方损失的，应承担修复和赔偿责任。</w:t>
      </w:r>
    </w:p>
    <w:p w14:paraId="51BDF95C">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6、违约方未能履行本协议给守约方造成任何经济损失、使守约方遭受第三方追索或受到行政机关处罚的，违约方应当赔偿守约方全部损失，包括但不限于实际损失、因维权或追索而产生的全部开支、律师费、诉讼费、保全费、担保费、差旅费以及其他相关费用等。</w:t>
      </w:r>
    </w:p>
    <w:p w14:paraId="437DAF65">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7、乙方保证与甲方之间发生的一切账务往来，皆以本合同尾部载明的甲方账户为准。因发生乙方逾期交货、不能交货或发生其他情形而使乙方须向甲方赔偿违约金或支付其他任何款项的，应支付至本合同尾部载明的甲方账户。乙方违反上述约定的，除应继续向甲方支付相应款项外，另向甲方支付合同总价百分之十的违约金。</w:t>
      </w:r>
    </w:p>
    <w:p w14:paraId="2367608F">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8、乙方应保证提交档案的准确性、真实性、完整性、及时性，如因乙方提交档案的原因造成档案验收、设施项目验收无法通过或延迟的，乙方应赔偿甲方因此产生的全部经济损失（含直接损失和间接损失）；造成严重后果的，甲方有权解除本合同，要求乙方退还甲方已支付的合同款项，合同剩余款项甲方不予支付，乙方应赔偿甲方因此导致的相应损失。</w:t>
      </w:r>
    </w:p>
    <w:p w14:paraId="2F722DBC">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9、乙方在项目验收前未将全部产品合格证、说明书、使用手册、测试和验收报告等本合同约定需交付资料完整交付甲方的，甲方有权不予验收，并有权要求乙方赔偿甲方因此导致的相关损失。对研制类设备，具体交付资料以实际情况为准，甲乙双方可另行协商确定。</w:t>
      </w:r>
    </w:p>
    <w:p w14:paraId="71E4247C">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10、本合同履行过程中，若乙方有违反与本合同相关的国家、省、市各级法律法规、规章制度、办法条例、行业规范及深圳大设施相关规定的，由乙方承担责任并负责整改。</w:t>
      </w:r>
    </w:p>
    <w:p w14:paraId="0DCC8459">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11、乙方所交设备质量不能符合其投标承诺的技术要求及质量保证要求的或在投标阶段为了中标而盲目虚假承诺、低价恶性竞争，在履约阶段则通过偷工减料、以次充好而获取利润的，甲方有权拒绝接收，并要求乙方在本合同约定或者双方确定的合理期限内完成整改，整改工作不得延误本合同核心关键节点任务的期限要求，若产生赶工费用，由乙方承担且乙方应额外赔偿甲方因此产生的全部经济损失（含直接损失和间接损失）。</w:t>
      </w:r>
    </w:p>
    <w:p w14:paraId="78D04124">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12、乙方提供的货物不符合质量标准或存在货物质量缺陷，甲方有权根据法定质量检测部门出具的检验证书向乙方提出索赔。如在质量保证期内，乙方对缺陷货物负有责任而甲方提出索赔，乙方应按照甲方同意的下列一种或多种方式解决索赔事宜：</w:t>
      </w:r>
    </w:p>
    <w:p w14:paraId="620A463F">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（1）乙方同意退货并将货款退还给甲方，由此发生的一切费用和损失由乙方承担。</w:t>
      </w:r>
    </w:p>
    <w:p w14:paraId="47746B9E">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（2）根据货物的质量状况以及甲方所遭受的损失，经过双方商定降低货物的价格。</w:t>
      </w:r>
    </w:p>
    <w:p w14:paraId="3C073165">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3）乙方应在接到甲方通知后七天内负责采用符合合同规定的规格、质量和性能要求的新零件、部件和设备来替换有缺陷的部分或修补缺陷部分，其费用由乙方负担。同时，乙方应在约定的质保期基础上相应延长修补和/或替换件的质量保证期。</w:t>
      </w:r>
    </w:p>
    <w:p w14:paraId="6265BE92">
      <w:pPr>
        <w:widowControl/>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 xml:space="preserve">13、本合同项下，乙方应向甲方支付的全部款项，包括但不限于违约金、赔偿金、补偿金等，甲方均可从乙方的剩余货款、质保金中直接扣除（扣除顺序由甲方自行决定）。 </w:t>
      </w:r>
    </w:p>
    <w:p w14:paraId="7665708E">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十、保险</w:t>
      </w:r>
    </w:p>
    <w:p w14:paraId="3444A614">
      <w:pPr>
        <w:adjustRightInd w:val="0"/>
        <w:snapToGrid w:val="0"/>
        <w:spacing w:line="480" w:lineRule="exact"/>
        <w:ind w:firstLine="465"/>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合同货物到达交货地点之前的所有保险费用和派往甲方进行服务人员的人身险和其他有关险种，以及有关费用均由乙方负责。</w:t>
      </w:r>
    </w:p>
    <w:p w14:paraId="33C45265">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十一、不可抗力</w:t>
      </w:r>
    </w:p>
    <w:p w14:paraId="53FF98E4">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甲乙双方的任何一方受不可抗力影响不能履行合同时，应及时向对方通报不能履行或不能完全履行的理由，以减轻可能给对方造成的损失。不可抗力影响合同履行的因素消失后10日内，声称遭遇不可抗力的一方应取得不可抗力发生地有关政府机构或公证机关出具的关于不可抗力发生及其影响情况的证明，并提供给另一方。</w:t>
      </w:r>
    </w:p>
    <w:p w14:paraId="77A98027">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2、不可抗力事件发生后，甲方和乙方应当积极寻求以合理的方式履行本合同。如不可抗力无法消除，致使合同目的无法实现的，双方均有权解除合同，且均不互相索赔。</w:t>
      </w:r>
    </w:p>
    <w:p w14:paraId="5A45BD17">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十二、保密</w:t>
      </w:r>
    </w:p>
    <w:p w14:paraId="2329E85E">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合同双方对本合同内容负有保密义务，不得向任何第三方透露。但任何一方出于履行法定强制性义务或为了维护其在本合同项下合法权益或执行其上级主管单位的管理要求，而向相关司法机关、政府部门、仲裁机构、上级主管单位或双方的外部专业顾问，适当披露本合同内容，不视为泄密。</w:t>
      </w:r>
    </w:p>
    <w:p w14:paraId="712C3DC9">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十三、知识产权和权利瑕疵担保</w:t>
      </w:r>
    </w:p>
    <w:p w14:paraId="2DE6BE61">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1、本合同生效之前原属于一方的知识产权并不因本合同而转移至另一方。</w:t>
      </w:r>
    </w:p>
    <w:p w14:paraId="121924A5">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2、本合同所提供货物知识产权属甲方所有，乙方不得将甲方所提供的技术方案、技术协议、工程图纸等技术资料提供给任何第三方或利用该技术仿造，否则甲方保留向乙方索取因乙方侵权而导致甲方损失的权利。</w:t>
      </w:r>
    </w:p>
    <w:p w14:paraId="69AF2736">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3、乙方应保证，甲方在中华人民共和国境内使用合同货物或货物的任何一部分时，免受第三方提出的侵犯其专利权、商标权或其他知识产权、侵犯其所有权、抵押权等物权及其他任何合法权利的起诉或指控、主张。如发生此类纠纷，由乙方承担一切责任，造成甲方损失的（包括但不限于直接或间接经济损失、商誉损害等）需承担相应的赔偿责任。</w:t>
      </w:r>
    </w:p>
    <w:p w14:paraId="534243AF">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十四、风险负担</w:t>
      </w:r>
    </w:p>
    <w:p w14:paraId="5F1C86A7">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1、本合同项下货物毁损、灭失的风险，在货物经甲方最终验收合格且交付甲方使用以前由乙方承担，在货物经甲方最终验收合格且交付甲方使用以后由甲方承担。</w:t>
      </w:r>
    </w:p>
    <w:p w14:paraId="140587EB">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2、甲方因货物不符合约定的质量要求而拒绝接受货物、退回货物或解除合同的，货物毁损、灭失的风险由乙方承担。</w:t>
      </w:r>
    </w:p>
    <w:p w14:paraId="705A58B6">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3、由乙方承担货物毁损、灭失风险的，如货物毁损或灭失，乙方应在甲方指定的期限内重新提供符合合同规定的货物，否则，视为乙方逾期交货，甲方有权解除本合同，要求乙方退还甲方已支付的合同款且不承担任何违约责任，造成甲方损害的甲方有权要求乙方赔偿。</w:t>
      </w:r>
    </w:p>
    <w:p w14:paraId="0AB38B50">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十五、项目负责人</w:t>
      </w:r>
    </w:p>
    <w:p w14:paraId="1C49F1D6">
      <w:pPr>
        <w:adjustRightInd w:val="0"/>
        <w:snapToGrid w:val="0"/>
        <w:spacing w:line="480" w:lineRule="exact"/>
        <w:ind w:firstLine="720" w:firstLineChars="300"/>
        <w:outlineLvl w:val="9"/>
        <w:rPr>
          <w:rFonts w:ascii="仿宋" w:hAnsi="仿宋" w:eastAsia="仿宋" w:cs="仿宋"/>
          <w:sz w:val="24"/>
          <w:szCs w:val="24"/>
          <w:highlight w:val="none"/>
        </w:rPr>
      </w:pPr>
      <w:r>
        <w:rPr>
          <w:rFonts w:hint="eastAsia" w:ascii="仿宋" w:hAnsi="仿宋" w:eastAsia="仿宋" w:cs="仿宋"/>
          <w:sz w:val="24"/>
          <w:szCs w:val="24"/>
          <w:highlight w:val="none"/>
        </w:rPr>
        <w:t>在本合同的履行过程中，甲方的项目负责人为</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，联系方式：</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；联系邮箱：</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。乙方的项目负责人为</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u w:val="single"/>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；联系邮箱：</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负责人为主要负责人，负责甲、乙双方为执行本合同内容，负责转达双方的指示要求，负责向对方提供或接收对方交付的文件、资料等，任何一方更换联系人应当提前三天书面通知对方。如因一方更换联系人未提前通知导致信息沟通不畅或给对方造成损失的，由该方承担责任。</w:t>
      </w:r>
    </w:p>
    <w:p w14:paraId="42AA00DD">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十六、争议解决</w:t>
      </w:r>
    </w:p>
    <w:p w14:paraId="1F486DE0">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因合同货物的质量问题而发生的争议，由广东省或深圳市质检部门进行质量鉴定。经检验，质量符合标准的，鉴定费用由甲方承担；质量不符合标准的，鉴定费用由乙方承担，并且乙方负责重新提供符合合同要求的货物给甲方，由此造成延期供货的，乙方承担延期供货的违约责任。</w:t>
      </w:r>
    </w:p>
    <w:p w14:paraId="25483DE1">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bCs/>
          <w:sz w:val="24"/>
          <w:szCs w:val="24"/>
          <w:highlight w:val="none"/>
        </w:rPr>
        <w:t>因本合同履行过程中所产生的纠纷和争议，应本着互谅互让、互相尊重、和平友好的原则协商解决。如从协商开始【30个日历日】内仍不能解决，任一方可向甲方所在地的人民法院提起诉讼。</w:t>
      </w:r>
    </w:p>
    <w:p w14:paraId="5F3828C6">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3、在诉讼期间，除有争议部分的事项外，合同其他部分仍应继续履行。</w:t>
      </w:r>
    </w:p>
    <w:p w14:paraId="4CAE1BF4">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4、乙方提供的所有软件必须为正版或取得合理使用授权，甲方不承担知识产权纠纷带来的任何侵权责任，由此造成的损失由乙方负责赔偿。</w:t>
      </w:r>
    </w:p>
    <w:p w14:paraId="0789CD26">
      <w:pPr>
        <w:adjustRightInd w:val="0"/>
        <w:snapToGrid w:val="0"/>
        <w:spacing w:line="480" w:lineRule="exact"/>
        <w:outlineLvl w:val="9"/>
        <w:rPr>
          <w:rFonts w:ascii="仿宋" w:hAnsi="仿宋" w:eastAsia="仿宋" w:cs="仿宋"/>
          <w:b/>
          <w:sz w:val="24"/>
          <w:szCs w:val="24"/>
          <w:highlight w:val="none"/>
        </w:rPr>
      </w:pPr>
      <w:r>
        <w:rPr>
          <w:rFonts w:hint="eastAsia" w:ascii="仿宋" w:hAnsi="仿宋" w:eastAsia="仿宋" w:cs="仿宋"/>
          <w:b/>
          <w:sz w:val="24"/>
          <w:szCs w:val="24"/>
          <w:highlight w:val="none"/>
        </w:rPr>
        <w:t>十七、其他</w:t>
      </w:r>
    </w:p>
    <w:p w14:paraId="6C10159C">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1、乙方不得以任何形式部分或全部转让其应履行的合同义务。</w:t>
      </w:r>
    </w:p>
    <w:p w14:paraId="2145FC44">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2、除非在投标文件中提出的分包项目和建议的分包人，乙方不得采用分包方式履行合同。</w:t>
      </w:r>
    </w:p>
    <w:p w14:paraId="34D586A7">
      <w:pPr>
        <w:adjustRightInd w:val="0"/>
        <w:snapToGrid w:val="0"/>
        <w:spacing w:line="480" w:lineRule="exact"/>
        <w:ind w:firstLine="465"/>
        <w:outlineLvl w:val="9"/>
        <w:rPr>
          <w:rFonts w:ascii="仿宋" w:hAnsi="仿宋" w:eastAsia="仿宋" w:cs="仿宋"/>
          <w:sz w:val="24"/>
          <w:szCs w:val="24"/>
          <w:highlight w:val="none"/>
        </w:rPr>
      </w:pPr>
      <w:r>
        <w:rPr>
          <w:rFonts w:hint="eastAsia" w:ascii="仿宋" w:hAnsi="仿宋" w:eastAsia="仿宋" w:cs="仿宋"/>
          <w:sz w:val="24"/>
          <w:szCs w:val="24"/>
          <w:highlight w:val="none"/>
        </w:rPr>
        <w:t>3、在合同实施过程中，除非乙方违约，甲方不得指定分包人。</w:t>
      </w:r>
    </w:p>
    <w:p w14:paraId="2CEC879F">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4、技术附件为本合同不可分割的有效组成部分，具有同等法律效力；若技术附件与本合同有矛盾，以本合同内容为准。</w:t>
      </w:r>
    </w:p>
    <w:p w14:paraId="70558828">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5、合同涂改无效、在合同执行过程中如有变动或其它未尽事宜，须经双方签订补充协议。</w:t>
      </w:r>
    </w:p>
    <w:p w14:paraId="29F084F4">
      <w:pPr>
        <w:adjustRightInd w:val="0"/>
        <w:snapToGrid w:val="0"/>
        <w:spacing w:line="480" w:lineRule="exact"/>
        <w:ind w:firstLine="480" w:firstLineChars="200"/>
        <w:outlineLvl w:val="9"/>
        <w:rPr>
          <w:rFonts w:ascii="仿宋" w:hAnsi="仿宋" w:eastAsia="仿宋" w:cs="仿宋"/>
          <w:sz w:val="24"/>
          <w:szCs w:val="24"/>
          <w:highlight w:val="none"/>
        </w:rPr>
      </w:pPr>
      <w:r>
        <w:rPr>
          <w:rFonts w:hint="eastAsia" w:ascii="仿宋" w:hAnsi="仿宋" w:eastAsia="仿宋" w:cs="仿宋"/>
          <w:sz w:val="24"/>
          <w:szCs w:val="24"/>
          <w:highlight w:val="none"/>
        </w:rPr>
        <w:t>6、除了双方签署书面协议，并成为合同不可分割的一部分之外，本合同条件不得有任何变更。</w:t>
      </w:r>
    </w:p>
    <w:p w14:paraId="239AE75F">
      <w:pPr>
        <w:adjustRightInd w:val="0"/>
        <w:snapToGrid w:val="0"/>
        <w:spacing w:line="480" w:lineRule="exact"/>
        <w:ind w:firstLine="480" w:firstLineChars="200"/>
        <w:jc w:val="left"/>
        <w:outlineLvl w:val="9"/>
        <w:rPr>
          <w:rFonts w:ascii="仿宋" w:hAnsi="仿宋" w:eastAsia="仿宋" w:cs="仿宋"/>
          <w:sz w:val="24"/>
          <w:szCs w:val="24"/>
          <w:highlight w:val="none"/>
        </w:rPr>
      </w:pPr>
      <w:r>
        <w:rPr>
          <w:rFonts w:hint="eastAsia" w:ascii="仿宋" w:hAnsi="仿宋" w:eastAsia="仿宋" w:cs="仿宋"/>
          <w:sz w:val="24"/>
          <w:szCs w:val="24"/>
          <w:highlight w:val="none"/>
        </w:rPr>
        <w:t>7、本合同一式六份，甲方执四份，乙方执两份，均具有同等法律效力，本合同经双方法定代表人（负责人）或授权代表签字并加盖公章或合同章后生效。</w:t>
      </w:r>
    </w:p>
    <w:p w14:paraId="4E469AE5">
      <w:pPr>
        <w:adjustRightInd w:val="0"/>
        <w:snapToGrid w:val="0"/>
        <w:spacing w:line="480" w:lineRule="exact"/>
        <w:outlineLvl w:val="9"/>
        <w:rPr>
          <w:rFonts w:ascii="仿宋" w:hAnsi="仿宋" w:eastAsia="仿宋" w:cs="仿宋"/>
          <w:sz w:val="24"/>
          <w:szCs w:val="24"/>
          <w:highlight w:val="none"/>
        </w:rPr>
      </w:pPr>
      <w:r>
        <w:rPr>
          <w:rFonts w:hint="eastAsia" w:ascii="仿宋" w:hAnsi="仿宋" w:eastAsia="仿宋" w:cs="仿宋"/>
          <w:sz w:val="24"/>
          <w:szCs w:val="24"/>
          <w:highlight w:val="none"/>
        </w:rPr>
        <w:t>（以下无正文，为合同签署部分）</w:t>
      </w:r>
    </w:p>
    <w:tbl>
      <w:tblPr>
        <w:tblStyle w:val="18"/>
        <w:tblpPr w:leftFromText="180" w:rightFromText="180" w:vertAnchor="text" w:horzAnchor="page" w:tblpX="1412" w:tblpY="426"/>
        <w:tblOverlap w:val="never"/>
        <w:tblW w:w="9180" w:type="dxa"/>
        <w:tblInd w:w="0" w:type="dxa"/>
        <w:tblLayout w:type="fixed"/>
        <w:tblCellMar>
          <w:top w:w="0" w:type="dxa"/>
          <w:left w:w="108" w:type="dxa"/>
          <w:bottom w:w="0" w:type="dxa"/>
          <w:right w:w="108" w:type="dxa"/>
        </w:tblCellMar>
      </w:tblPr>
      <w:tblGrid>
        <w:gridCol w:w="4487"/>
        <w:gridCol w:w="4693"/>
      </w:tblGrid>
      <w:tr w14:paraId="016A2F4F">
        <w:tblPrEx>
          <w:tblCellMar>
            <w:top w:w="0" w:type="dxa"/>
            <w:left w:w="108" w:type="dxa"/>
            <w:bottom w:w="0" w:type="dxa"/>
            <w:right w:w="108" w:type="dxa"/>
          </w:tblCellMar>
        </w:tblPrEx>
        <w:trPr>
          <w:cantSplit/>
        </w:trPr>
        <w:tc>
          <w:tcPr>
            <w:tcW w:w="4487" w:type="dxa"/>
          </w:tcPr>
          <w:p w14:paraId="465E4EEC">
            <w:pPr>
              <w:adjustRightInd w:val="0"/>
              <w:snapToGrid w:val="0"/>
              <w:outlineLvl w:val="9"/>
              <w:rPr>
                <w:rFonts w:ascii="仿宋" w:hAnsi="仿宋" w:eastAsia="仿宋" w:cs="仿宋"/>
                <w:sz w:val="24"/>
                <w:szCs w:val="24"/>
                <w:highlight w:val="none"/>
              </w:rPr>
            </w:pPr>
            <w:r>
              <w:rPr>
                <w:rFonts w:hint="eastAsia" w:ascii="仿宋" w:hAnsi="仿宋" w:eastAsia="仿宋" w:cs="仿宋"/>
                <w:color w:val="000000"/>
                <w:sz w:val="24"/>
                <w:szCs w:val="24"/>
                <w:highlight w:val="none"/>
              </w:rPr>
              <w:t>甲方：</w:t>
            </w:r>
            <w:r>
              <w:rPr>
                <w:rFonts w:hint="eastAsia" w:ascii="仿宋" w:hAnsi="仿宋" w:eastAsia="仿宋" w:cs="仿宋"/>
                <w:sz w:val="24"/>
                <w:szCs w:val="24"/>
                <w:highlight w:val="none"/>
              </w:rPr>
              <w:t>哈尔滨工业大学（深圳）</w:t>
            </w:r>
          </w:p>
          <w:p w14:paraId="33BF6D22">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（盖章）</w:t>
            </w:r>
          </w:p>
        </w:tc>
        <w:tc>
          <w:tcPr>
            <w:tcW w:w="4693" w:type="dxa"/>
          </w:tcPr>
          <w:p w14:paraId="768576B0">
            <w:pPr>
              <w:pStyle w:val="38"/>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乙方：                     </w:t>
            </w:r>
          </w:p>
          <w:p w14:paraId="4ED5708D">
            <w:pPr>
              <w:pStyle w:val="38"/>
              <w:adjustRightInd w:val="0"/>
              <w:snapToGrid w:val="0"/>
              <w:outlineLvl w:val="9"/>
              <w:rPr>
                <w:rFonts w:ascii="仿宋" w:hAnsi="仿宋" w:eastAsia="仿宋" w:cs="仿宋"/>
                <w:sz w:val="24"/>
                <w:szCs w:val="24"/>
                <w:highlight w:val="none"/>
              </w:rPr>
            </w:pPr>
            <w:r>
              <w:rPr>
                <w:rFonts w:hint="eastAsia" w:ascii="仿宋" w:hAnsi="仿宋" w:eastAsia="仿宋" w:cs="仿宋"/>
                <w:color w:val="000000"/>
                <w:sz w:val="24"/>
                <w:szCs w:val="24"/>
                <w:highlight w:val="none"/>
              </w:rPr>
              <w:t xml:space="preserve">(盖章) </w:t>
            </w:r>
          </w:p>
        </w:tc>
      </w:tr>
      <w:tr w14:paraId="2F2AF713">
        <w:tblPrEx>
          <w:tblCellMar>
            <w:top w:w="0" w:type="dxa"/>
            <w:left w:w="108" w:type="dxa"/>
            <w:bottom w:w="0" w:type="dxa"/>
            <w:right w:w="108" w:type="dxa"/>
          </w:tblCellMar>
        </w:tblPrEx>
        <w:trPr>
          <w:cantSplit/>
        </w:trPr>
        <w:tc>
          <w:tcPr>
            <w:tcW w:w="4487" w:type="dxa"/>
          </w:tcPr>
          <w:p w14:paraId="77744D9A">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法定代表人（负责人）或</w:t>
            </w:r>
          </w:p>
          <w:p w14:paraId="2B5AD9A8">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授权代表（签字）：</w:t>
            </w:r>
          </w:p>
        </w:tc>
        <w:tc>
          <w:tcPr>
            <w:tcW w:w="4693" w:type="dxa"/>
          </w:tcPr>
          <w:p w14:paraId="63C1F9B5">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法定代表人（负责人）或</w:t>
            </w:r>
          </w:p>
          <w:p w14:paraId="102316FC">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授权代表（签字）：</w:t>
            </w:r>
          </w:p>
        </w:tc>
      </w:tr>
      <w:tr w14:paraId="0BB57ABB">
        <w:tblPrEx>
          <w:tblCellMar>
            <w:top w:w="0" w:type="dxa"/>
            <w:left w:w="108" w:type="dxa"/>
            <w:bottom w:w="0" w:type="dxa"/>
            <w:right w:w="108" w:type="dxa"/>
          </w:tblCellMar>
        </w:tblPrEx>
        <w:trPr>
          <w:cantSplit/>
        </w:trPr>
        <w:tc>
          <w:tcPr>
            <w:tcW w:w="4487" w:type="dxa"/>
          </w:tcPr>
          <w:p w14:paraId="7075829C">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签订日期：</w:t>
            </w:r>
          </w:p>
        </w:tc>
        <w:tc>
          <w:tcPr>
            <w:tcW w:w="4693" w:type="dxa"/>
          </w:tcPr>
          <w:p w14:paraId="64D9915D">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签订日期：</w:t>
            </w:r>
          </w:p>
        </w:tc>
      </w:tr>
      <w:tr w14:paraId="57C332F3">
        <w:tblPrEx>
          <w:tblCellMar>
            <w:top w:w="0" w:type="dxa"/>
            <w:left w:w="108" w:type="dxa"/>
            <w:bottom w:w="0" w:type="dxa"/>
            <w:right w:w="108" w:type="dxa"/>
          </w:tblCellMar>
        </w:tblPrEx>
        <w:trPr>
          <w:cantSplit/>
        </w:trPr>
        <w:tc>
          <w:tcPr>
            <w:tcW w:w="4487" w:type="dxa"/>
          </w:tcPr>
          <w:p w14:paraId="0674267C">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地址：广东深圳西丽大学城哈工大园区</w:t>
            </w:r>
          </w:p>
        </w:tc>
        <w:tc>
          <w:tcPr>
            <w:tcW w:w="4693" w:type="dxa"/>
          </w:tcPr>
          <w:p w14:paraId="5FCB9012">
            <w:pPr>
              <w:pStyle w:val="38"/>
              <w:adjustRightInd w:val="0"/>
              <w:snapToGrid w:val="0"/>
              <w:outlineLvl w:val="9"/>
              <w:rPr>
                <w:rFonts w:ascii="仿宋" w:hAnsi="仿宋" w:eastAsia="仿宋" w:cs="仿宋"/>
                <w:sz w:val="24"/>
                <w:szCs w:val="24"/>
                <w:highlight w:val="none"/>
              </w:rPr>
            </w:pPr>
            <w:r>
              <w:rPr>
                <w:rFonts w:hint="eastAsia" w:ascii="仿宋" w:hAnsi="仿宋" w:eastAsia="仿宋" w:cs="仿宋"/>
                <w:color w:val="000000"/>
                <w:sz w:val="24"/>
                <w:szCs w:val="24"/>
                <w:highlight w:val="none"/>
              </w:rPr>
              <w:t xml:space="preserve">地址： </w:t>
            </w:r>
          </w:p>
        </w:tc>
      </w:tr>
      <w:tr w14:paraId="17939983">
        <w:tblPrEx>
          <w:tblCellMar>
            <w:top w:w="0" w:type="dxa"/>
            <w:left w:w="108" w:type="dxa"/>
            <w:bottom w:w="0" w:type="dxa"/>
            <w:right w:w="108" w:type="dxa"/>
          </w:tblCellMar>
        </w:tblPrEx>
        <w:trPr>
          <w:cantSplit/>
        </w:trPr>
        <w:tc>
          <w:tcPr>
            <w:tcW w:w="4487" w:type="dxa"/>
          </w:tcPr>
          <w:p w14:paraId="46FE9CF5">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联系人：</w:t>
            </w:r>
          </w:p>
        </w:tc>
        <w:tc>
          <w:tcPr>
            <w:tcW w:w="4693" w:type="dxa"/>
          </w:tcPr>
          <w:p w14:paraId="78D8B086">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联系人：</w:t>
            </w:r>
          </w:p>
        </w:tc>
      </w:tr>
      <w:tr w14:paraId="0B0A89E4">
        <w:tblPrEx>
          <w:tblCellMar>
            <w:top w:w="0" w:type="dxa"/>
            <w:left w:w="108" w:type="dxa"/>
            <w:bottom w:w="0" w:type="dxa"/>
            <w:right w:w="108" w:type="dxa"/>
          </w:tblCellMar>
        </w:tblPrEx>
        <w:trPr>
          <w:cantSplit/>
        </w:trPr>
        <w:tc>
          <w:tcPr>
            <w:tcW w:w="4487" w:type="dxa"/>
          </w:tcPr>
          <w:p w14:paraId="143DEB8D">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电话：</w:t>
            </w:r>
          </w:p>
        </w:tc>
        <w:tc>
          <w:tcPr>
            <w:tcW w:w="4693" w:type="dxa"/>
          </w:tcPr>
          <w:p w14:paraId="5234363D">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电话：</w:t>
            </w:r>
          </w:p>
        </w:tc>
      </w:tr>
      <w:tr w14:paraId="59FA5455">
        <w:tblPrEx>
          <w:tblCellMar>
            <w:top w:w="0" w:type="dxa"/>
            <w:left w:w="108" w:type="dxa"/>
            <w:bottom w:w="0" w:type="dxa"/>
            <w:right w:w="108" w:type="dxa"/>
          </w:tblCellMar>
        </w:tblPrEx>
        <w:trPr>
          <w:cantSplit/>
        </w:trPr>
        <w:tc>
          <w:tcPr>
            <w:tcW w:w="4487" w:type="dxa"/>
          </w:tcPr>
          <w:p w14:paraId="481EA4CD">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传真：</w:t>
            </w:r>
          </w:p>
          <w:p w14:paraId="14B9E888">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Email:</w:t>
            </w:r>
          </w:p>
        </w:tc>
        <w:tc>
          <w:tcPr>
            <w:tcW w:w="4693" w:type="dxa"/>
          </w:tcPr>
          <w:p w14:paraId="53F8ACB5">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传真：</w:t>
            </w:r>
          </w:p>
          <w:p w14:paraId="09FF8A64">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Email:</w:t>
            </w:r>
          </w:p>
        </w:tc>
      </w:tr>
      <w:tr w14:paraId="67357C95">
        <w:tblPrEx>
          <w:tblCellMar>
            <w:top w:w="0" w:type="dxa"/>
            <w:left w:w="108" w:type="dxa"/>
            <w:bottom w:w="0" w:type="dxa"/>
            <w:right w:w="108" w:type="dxa"/>
          </w:tblCellMar>
        </w:tblPrEx>
        <w:trPr>
          <w:cantSplit/>
        </w:trPr>
        <w:tc>
          <w:tcPr>
            <w:tcW w:w="4487" w:type="dxa"/>
          </w:tcPr>
          <w:p w14:paraId="274E1C7C">
            <w:pPr>
              <w:pStyle w:val="16"/>
              <w:adjustRightInd w:val="0"/>
              <w:snapToGrid w:val="0"/>
              <w:spacing w:before="0" w:beforeAutospacing="0" w:after="0" w:afterAutospacing="0"/>
              <w:jc w:val="both"/>
              <w:outlineLvl w:val="9"/>
              <w:rPr>
                <w:rFonts w:ascii="仿宋" w:hAnsi="仿宋" w:eastAsia="仿宋" w:cs="仿宋"/>
                <w:color w:val="000000"/>
                <w:highlight w:val="none"/>
              </w:rPr>
            </w:pPr>
            <w:r>
              <w:rPr>
                <w:rFonts w:hint="eastAsia" w:ascii="仿宋" w:hAnsi="仿宋" w:eastAsia="仿宋" w:cs="仿宋"/>
                <w:color w:val="000000"/>
                <w:highlight w:val="none"/>
              </w:rPr>
              <w:t>开户银行：平安银行深圳大学城支行</w:t>
            </w:r>
          </w:p>
        </w:tc>
        <w:tc>
          <w:tcPr>
            <w:tcW w:w="4693" w:type="dxa"/>
          </w:tcPr>
          <w:p w14:paraId="790D7693">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w:t>
            </w:r>
          </w:p>
        </w:tc>
      </w:tr>
      <w:tr w14:paraId="7CEAEF84">
        <w:tblPrEx>
          <w:tblCellMar>
            <w:top w:w="0" w:type="dxa"/>
            <w:left w:w="108" w:type="dxa"/>
            <w:bottom w:w="0" w:type="dxa"/>
            <w:right w:w="108" w:type="dxa"/>
          </w:tblCellMar>
        </w:tblPrEx>
        <w:trPr>
          <w:cantSplit/>
        </w:trPr>
        <w:tc>
          <w:tcPr>
            <w:tcW w:w="4487" w:type="dxa"/>
          </w:tcPr>
          <w:p w14:paraId="508BC9BF">
            <w:pPr>
              <w:pStyle w:val="16"/>
              <w:adjustRightInd w:val="0"/>
              <w:snapToGrid w:val="0"/>
              <w:spacing w:before="0" w:beforeAutospacing="0" w:after="0" w:afterAutospacing="0"/>
              <w:jc w:val="both"/>
              <w:outlineLvl w:val="9"/>
              <w:rPr>
                <w:rFonts w:ascii="仿宋" w:hAnsi="仿宋" w:eastAsia="仿宋" w:cs="仿宋"/>
                <w:highlight w:val="none"/>
              </w:rPr>
            </w:pPr>
            <w:r>
              <w:rPr>
                <w:rFonts w:hint="eastAsia" w:ascii="仿宋" w:hAnsi="仿宋" w:eastAsia="仿宋" w:cs="仿宋"/>
                <w:color w:val="000000"/>
                <w:highlight w:val="none"/>
              </w:rPr>
              <w:t>账号：0142100327638</w:t>
            </w:r>
          </w:p>
        </w:tc>
        <w:tc>
          <w:tcPr>
            <w:tcW w:w="4693" w:type="dxa"/>
          </w:tcPr>
          <w:p w14:paraId="23B79E6C">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账号：</w:t>
            </w:r>
          </w:p>
        </w:tc>
      </w:tr>
      <w:tr w14:paraId="1675F0EC">
        <w:tblPrEx>
          <w:tblCellMar>
            <w:top w:w="0" w:type="dxa"/>
            <w:left w:w="108" w:type="dxa"/>
            <w:bottom w:w="0" w:type="dxa"/>
            <w:right w:w="108" w:type="dxa"/>
          </w:tblCellMar>
        </w:tblPrEx>
        <w:trPr>
          <w:cantSplit/>
        </w:trPr>
        <w:tc>
          <w:tcPr>
            <w:tcW w:w="4487" w:type="dxa"/>
          </w:tcPr>
          <w:p w14:paraId="3E8361E0">
            <w:pPr>
              <w:pStyle w:val="16"/>
              <w:adjustRightInd w:val="0"/>
              <w:snapToGrid w:val="0"/>
              <w:spacing w:before="0" w:beforeAutospacing="0" w:after="0" w:afterAutospacing="0"/>
              <w:jc w:val="both"/>
              <w:outlineLvl w:val="9"/>
              <w:rPr>
                <w:rFonts w:ascii="仿宋" w:hAnsi="仿宋" w:eastAsia="仿宋" w:cs="仿宋"/>
                <w:color w:val="000000"/>
                <w:highlight w:val="none"/>
              </w:rPr>
            </w:pPr>
            <w:r>
              <w:rPr>
                <w:rFonts w:hint="eastAsia" w:ascii="仿宋" w:hAnsi="仿宋" w:eastAsia="仿宋" w:cs="仿宋"/>
                <w:highlight w:val="none"/>
              </w:rPr>
              <w:t>统一社会信用代码</w:t>
            </w:r>
            <w:r>
              <w:rPr>
                <w:rFonts w:hint="eastAsia" w:ascii="仿宋" w:hAnsi="仿宋" w:eastAsia="仿宋" w:cs="仿宋"/>
                <w:color w:val="000000"/>
                <w:highlight w:val="none"/>
              </w:rPr>
              <w:t xml:space="preserve">：12440300MB2C762027 </w:t>
            </w:r>
          </w:p>
        </w:tc>
        <w:tc>
          <w:tcPr>
            <w:tcW w:w="4693" w:type="dxa"/>
          </w:tcPr>
          <w:p w14:paraId="4A62B48F">
            <w:pPr>
              <w:adjustRightInd w:val="0"/>
              <w:snapToGrid w:val="0"/>
              <w:outlineLvl w:val="9"/>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税号：</w:t>
            </w:r>
          </w:p>
        </w:tc>
      </w:tr>
      <w:tr w14:paraId="4DF5B354">
        <w:tblPrEx>
          <w:tblCellMar>
            <w:top w:w="0" w:type="dxa"/>
            <w:left w:w="108" w:type="dxa"/>
            <w:bottom w:w="0" w:type="dxa"/>
            <w:right w:w="108" w:type="dxa"/>
          </w:tblCellMar>
        </w:tblPrEx>
        <w:trPr>
          <w:cantSplit/>
        </w:trPr>
        <w:tc>
          <w:tcPr>
            <w:tcW w:w="4487" w:type="dxa"/>
          </w:tcPr>
          <w:p w14:paraId="52580597">
            <w:pPr>
              <w:pStyle w:val="16"/>
              <w:adjustRightInd w:val="0"/>
              <w:snapToGrid w:val="0"/>
              <w:spacing w:before="0" w:beforeAutospacing="0" w:after="0" w:afterAutospacing="0"/>
              <w:jc w:val="both"/>
              <w:outlineLvl w:val="9"/>
              <w:rPr>
                <w:rFonts w:ascii="仿宋" w:hAnsi="仿宋" w:eastAsia="仿宋" w:cs="仿宋"/>
                <w:color w:val="000000"/>
                <w:highlight w:val="none"/>
              </w:rPr>
            </w:pPr>
            <w:r>
              <w:rPr>
                <w:rFonts w:hint="eastAsia" w:ascii="仿宋" w:hAnsi="仿宋" w:eastAsia="仿宋" w:cs="仿宋"/>
                <w:color w:val="000000"/>
                <w:highlight w:val="none"/>
              </w:rPr>
              <w:t>开户行地址：深圳市南山区西丽大学城图书馆南侧一楼</w:t>
            </w:r>
          </w:p>
          <w:p w14:paraId="169B6432">
            <w:pPr>
              <w:adjustRightInd w:val="0"/>
              <w:snapToGrid w:val="0"/>
              <w:outlineLvl w:val="9"/>
              <w:rPr>
                <w:rFonts w:ascii="仿宋" w:hAnsi="仿宋" w:eastAsia="仿宋" w:cs="仿宋"/>
                <w:color w:val="000000"/>
                <w:sz w:val="24"/>
                <w:szCs w:val="24"/>
                <w:highlight w:val="none"/>
              </w:rPr>
            </w:pPr>
          </w:p>
        </w:tc>
        <w:tc>
          <w:tcPr>
            <w:tcW w:w="4693" w:type="dxa"/>
          </w:tcPr>
          <w:p w14:paraId="2E4B8FDB">
            <w:pPr>
              <w:pStyle w:val="38"/>
              <w:adjustRightInd w:val="0"/>
              <w:snapToGrid w:val="0"/>
              <w:outlineLvl w:val="9"/>
              <w:rPr>
                <w:rFonts w:ascii="仿宋" w:hAnsi="仿宋" w:eastAsia="仿宋" w:cs="仿宋"/>
                <w:sz w:val="24"/>
                <w:szCs w:val="24"/>
                <w:highlight w:val="none"/>
              </w:rPr>
            </w:pPr>
            <w:r>
              <w:rPr>
                <w:rFonts w:hint="eastAsia" w:ascii="仿宋" w:hAnsi="仿宋" w:eastAsia="仿宋" w:cs="仿宋"/>
                <w:color w:val="000000"/>
                <w:sz w:val="24"/>
                <w:szCs w:val="24"/>
                <w:highlight w:val="none"/>
              </w:rPr>
              <w:t>开户行地址：</w:t>
            </w:r>
          </w:p>
        </w:tc>
      </w:tr>
    </w:tbl>
    <w:p w14:paraId="3ABD9226">
      <w:pPr>
        <w:adjustRightInd w:val="0"/>
        <w:snapToGrid w:val="0"/>
        <w:rPr>
          <w:rFonts w:ascii="仿宋" w:hAnsi="仿宋" w:eastAsia="仿宋" w:cs="仿宋"/>
          <w:sz w:val="24"/>
          <w:szCs w:val="24"/>
        </w:rPr>
      </w:pPr>
    </w:p>
    <w:p w14:paraId="469598D2">
      <w:pPr>
        <w:rPr>
          <w:rFonts w:ascii="宋体" w:hAnsi="宋体" w:eastAsia="宋体"/>
          <w:szCs w:val="21"/>
        </w:rPr>
      </w:pPr>
      <w:r>
        <w:rPr>
          <w:rFonts w:ascii="宋体" w:hAnsi="宋体" w:eastAsia="宋体"/>
          <w:szCs w:val="21"/>
        </w:rPr>
        <w:br w:type="page"/>
      </w:r>
    </w:p>
    <w:p w14:paraId="01764F40">
      <w:pPr>
        <w:wordWrap w:val="0"/>
        <w:jc w:val="right"/>
        <w:outlineLvl w:val="9"/>
        <w:rPr>
          <w:rFonts w:ascii="Times New Roman" w:hAnsi="Times New Roman" w:eastAsia="宋体" w:cs="Times New Roman"/>
          <w:b/>
          <w:sz w:val="21"/>
          <w:szCs w:val="21"/>
          <w:highlight w:val="none"/>
        </w:rPr>
      </w:pPr>
      <w:bookmarkStart w:id="85" w:name="_Toc27624"/>
      <w:r>
        <w:rPr>
          <w:rFonts w:ascii="Times New Roman" w:hAnsi="Times New Roman" w:eastAsia="宋体" w:cs="Times New Roman"/>
          <w:b/>
          <w:sz w:val="21"/>
          <w:szCs w:val="21"/>
          <w:highlight w:val="none"/>
        </w:rPr>
        <w:t>合同编号：</w:t>
      </w:r>
      <w:r>
        <w:rPr>
          <w:rFonts w:ascii="Times New Roman" w:hAnsi="Times New Roman" w:eastAsia="宋体" w:cs="Times New Roman"/>
          <w:b/>
          <w:sz w:val="21"/>
          <w:szCs w:val="21"/>
          <w:highlight w:val="none"/>
          <w:u w:val="single"/>
        </w:rPr>
        <w:t xml:space="preserve">                  </w:t>
      </w:r>
    </w:p>
    <w:p w14:paraId="32CB00F3">
      <w:pPr>
        <w:outlineLvl w:val="9"/>
        <w:rPr>
          <w:rFonts w:ascii="Times New Roman" w:hAnsi="Times New Roman" w:eastAsia="宋体" w:cs="Times New Roman"/>
          <w:b/>
          <w:sz w:val="24"/>
          <w:szCs w:val="24"/>
          <w:highlight w:val="none"/>
        </w:rPr>
      </w:pPr>
    </w:p>
    <w:p w14:paraId="30F034AF">
      <w:pPr>
        <w:outlineLvl w:val="9"/>
        <w:rPr>
          <w:rFonts w:ascii="Times New Roman" w:hAnsi="Times New Roman" w:eastAsia="宋体" w:cs="Times New Roman"/>
          <w:b/>
          <w:sz w:val="40"/>
          <w:szCs w:val="36"/>
          <w:highlight w:val="none"/>
        </w:rPr>
      </w:pPr>
    </w:p>
    <w:p w14:paraId="0A21EAB7">
      <w:pPr>
        <w:outlineLvl w:val="9"/>
        <w:rPr>
          <w:rFonts w:ascii="Times New Roman" w:hAnsi="Times New Roman" w:eastAsia="宋体" w:cs="Times New Roman"/>
          <w:b/>
          <w:sz w:val="40"/>
          <w:szCs w:val="36"/>
          <w:highlight w:val="none"/>
        </w:rPr>
      </w:pPr>
    </w:p>
    <w:p w14:paraId="049FF4A3">
      <w:pPr>
        <w:outlineLvl w:val="9"/>
        <w:rPr>
          <w:rFonts w:ascii="Times New Roman" w:hAnsi="Times New Roman" w:eastAsia="宋体" w:cs="Times New Roman"/>
          <w:b/>
          <w:sz w:val="40"/>
          <w:szCs w:val="36"/>
          <w:highlight w:val="none"/>
        </w:rPr>
      </w:pPr>
      <w:r>
        <w:rPr>
          <w:rFonts w:ascii="Times New Roman" w:hAnsi="Times New Roman" w:eastAsia="宋体" w:cs="Times New Roman"/>
          <w:b/>
          <w:sz w:val="40"/>
          <w:szCs w:val="36"/>
          <w:highlight w:val="none"/>
          <w:u w:val="single"/>
        </w:rPr>
        <w:t xml:space="preserve">                        </w:t>
      </w:r>
      <w:r>
        <w:rPr>
          <w:rFonts w:ascii="Times New Roman" w:hAnsi="Times New Roman" w:eastAsia="宋体" w:cs="Times New Roman"/>
          <w:b/>
          <w:sz w:val="40"/>
          <w:szCs w:val="36"/>
          <w:highlight w:val="none"/>
        </w:rPr>
        <w:t>技术附件</w:t>
      </w:r>
    </w:p>
    <w:p w14:paraId="0778C645">
      <w:pPr>
        <w:outlineLvl w:val="9"/>
        <w:rPr>
          <w:rFonts w:ascii="Times New Roman" w:hAnsi="Times New Roman" w:eastAsia="宋体" w:cs="Times New Roman"/>
          <w:b/>
          <w:sz w:val="36"/>
          <w:szCs w:val="36"/>
          <w:highlight w:val="none"/>
        </w:rPr>
      </w:pPr>
    </w:p>
    <w:p w14:paraId="3F5AE942">
      <w:pPr>
        <w:outlineLvl w:val="9"/>
        <w:rPr>
          <w:rFonts w:ascii="Times New Roman" w:hAnsi="Times New Roman" w:eastAsia="宋体" w:cs="Times New Roman"/>
          <w:b/>
          <w:sz w:val="36"/>
          <w:szCs w:val="36"/>
          <w:highlight w:val="none"/>
        </w:rPr>
      </w:pPr>
    </w:p>
    <w:p w14:paraId="1DB3588E">
      <w:pPr>
        <w:outlineLvl w:val="9"/>
        <w:rPr>
          <w:rFonts w:ascii="Times New Roman" w:hAnsi="Times New Roman" w:eastAsia="宋体" w:cs="Times New Roman"/>
          <w:b/>
          <w:sz w:val="36"/>
          <w:szCs w:val="36"/>
          <w:highlight w:val="none"/>
        </w:rPr>
      </w:pPr>
    </w:p>
    <w:p w14:paraId="0458EF52">
      <w:pPr>
        <w:outlineLvl w:val="9"/>
        <w:rPr>
          <w:rFonts w:ascii="Times New Roman" w:hAnsi="Times New Roman" w:eastAsia="宋体" w:cs="Times New Roman"/>
          <w:b/>
          <w:sz w:val="36"/>
          <w:szCs w:val="36"/>
          <w:highlight w:val="none"/>
        </w:rPr>
      </w:pPr>
    </w:p>
    <w:p w14:paraId="62E1C4F3">
      <w:pPr>
        <w:outlineLvl w:val="9"/>
        <w:rPr>
          <w:rFonts w:ascii="Times New Roman" w:hAnsi="Times New Roman" w:eastAsia="宋体" w:cs="Times New Roman"/>
          <w:b/>
          <w:sz w:val="36"/>
          <w:szCs w:val="36"/>
          <w:highlight w:val="none"/>
        </w:rPr>
      </w:pPr>
    </w:p>
    <w:p w14:paraId="0A4D85E8">
      <w:pPr>
        <w:outlineLvl w:val="9"/>
        <w:rPr>
          <w:rFonts w:ascii="Times New Roman" w:hAnsi="Times New Roman" w:eastAsia="宋体" w:cs="Times New Roman"/>
          <w:b/>
          <w:sz w:val="36"/>
          <w:szCs w:val="36"/>
          <w:highlight w:val="none"/>
        </w:rPr>
      </w:pPr>
    </w:p>
    <w:p w14:paraId="5B16D0C6">
      <w:pPr>
        <w:outlineLvl w:val="9"/>
        <w:rPr>
          <w:rFonts w:ascii="Times New Roman" w:hAnsi="Times New Roman" w:eastAsia="宋体" w:cs="Times New Roman"/>
          <w:b/>
          <w:sz w:val="36"/>
          <w:szCs w:val="36"/>
          <w:highlight w:val="none"/>
        </w:rPr>
      </w:pPr>
    </w:p>
    <w:p w14:paraId="15541E50">
      <w:pPr>
        <w:outlineLvl w:val="9"/>
        <w:rPr>
          <w:rFonts w:ascii="Times New Roman" w:hAnsi="Times New Roman" w:eastAsia="宋体" w:cs="Times New Roman"/>
          <w:b/>
          <w:sz w:val="36"/>
          <w:szCs w:val="36"/>
          <w:highlight w:val="none"/>
        </w:rPr>
      </w:pPr>
    </w:p>
    <w:p w14:paraId="571BA97E">
      <w:pPr>
        <w:spacing w:line="360" w:lineRule="auto"/>
        <w:outlineLvl w:val="9"/>
        <w:rPr>
          <w:rFonts w:ascii="Times New Roman" w:hAnsi="Times New Roman" w:eastAsia="宋体" w:cs="Times New Roman"/>
          <w:b/>
          <w:sz w:val="36"/>
          <w:szCs w:val="36"/>
          <w:highlight w:val="none"/>
        </w:rPr>
      </w:pPr>
    </w:p>
    <w:p w14:paraId="5B423D15">
      <w:pPr>
        <w:spacing w:line="480" w:lineRule="auto"/>
        <w:ind w:left="420" w:firstLine="420"/>
        <w:outlineLvl w:val="9"/>
        <w:rPr>
          <w:rFonts w:ascii="Times New Roman" w:hAnsi="Times New Roman" w:eastAsia="宋体" w:cs="Times New Roman"/>
          <w:b/>
          <w:sz w:val="28"/>
          <w:szCs w:val="28"/>
          <w:highlight w:val="none"/>
          <w:u w:val="single"/>
        </w:rPr>
      </w:pPr>
      <w:r>
        <w:rPr>
          <w:rFonts w:ascii="Times New Roman" w:hAnsi="Times New Roman" w:eastAsia="宋体" w:cs="Times New Roman"/>
          <w:b/>
          <w:sz w:val="28"/>
          <w:szCs w:val="28"/>
          <w:highlight w:val="none"/>
        </w:rPr>
        <w:t>甲方：</w:t>
      </w:r>
      <w:r>
        <w:rPr>
          <w:rFonts w:ascii="Times New Roman" w:hAnsi="Times New Roman" w:eastAsia="宋体" w:cs="Times New Roman"/>
          <w:b/>
          <w:sz w:val="28"/>
          <w:szCs w:val="28"/>
          <w:highlight w:val="none"/>
          <w:u w:val="single"/>
        </w:rPr>
        <w:t xml:space="preserve">    哈尔滨工业大学（深圳） </w:t>
      </w:r>
    </w:p>
    <w:p w14:paraId="172E4791">
      <w:pPr>
        <w:spacing w:line="480" w:lineRule="auto"/>
        <w:ind w:left="420" w:firstLine="420"/>
        <w:outlineLvl w:val="9"/>
        <w:rPr>
          <w:rFonts w:ascii="Times New Roman" w:hAnsi="Times New Roman" w:eastAsia="宋体" w:cs="Times New Roman"/>
          <w:b/>
          <w:sz w:val="28"/>
          <w:szCs w:val="28"/>
          <w:highlight w:val="none"/>
          <w:u w:val="single"/>
        </w:rPr>
      </w:pPr>
      <w:r>
        <w:rPr>
          <w:rFonts w:ascii="Times New Roman" w:hAnsi="Times New Roman" w:eastAsia="宋体" w:cs="Times New Roman"/>
          <w:b/>
          <w:sz w:val="28"/>
          <w:szCs w:val="28"/>
          <w:highlight w:val="none"/>
        </w:rPr>
        <w:t>乙方：</w:t>
      </w:r>
      <w:r>
        <w:rPr>
          <w:rFonts w:ascii="Times New Roman" w:hAnsi="Times New Roman" w:eastAsia="宋体" w:cs="Times New Roman"/>
          <w:b/>
          <w:sz w:val="28"/>
          <w:szCs w:val="28"/>
          <w:highlight w:val="none"/>
          <w:u w:val="single"/>
        </w:rPr>
        <w:t xml:space="preserve">    </w:t>
      </w:r>
      <w:r>
        <w:rPr>
          <w:rFonts w:hint="eastAsia" w:ascii="Times New Roman" w:hAnsi="Times New Roman" w:eastAsia="宋体" w:cs="Times New Roman"/>
          <w:b/>
          <w:sz w:val="28"/>
          <w:szCs w:val="28"/>
          <w:highlight w:val="none"/>
          <w:u w:val="single"/>
        </w:rPr>
        <w:t xml:space="preserve"> </w:t>
      </w:r>
      <w:r>
        <w:rPr>
          <w:rFonts w:ascii="Times New Roman" w:hAnsi="Times New Roman" w:eastAsia="宋体" w:cs="Times New Roman"/>
          <w:b/>
          <w:sz w:val="28"/>
          <w:szCs w:val="28"/>
          <w:highlight w:val="none"/>
          <w:u w:val="single"/>
        </w:rPr>
        <w:t xml:space="preserve">                      </w:t>
      </w:r>
    </w:p>
    <w:p w14:paraId="657C3F98">
      <w:pPr>
        <w:outlineLvl w:val="9"/>
        <w:rPr>
          <w:rFonts w:ascii="Times New Roman" w:hAnsi="Times New Roman" w:eastAsia="宋体" w:cs="Times New Roman"/>
          <w:b/>
          <w:sz w:val="24"/>
          <w:szCs w:val="24"/>
          <w:highlight w:val="none"/>
          <w:u w:val="single"/>
        </w:rPr>
      </w:pPr>
    </w:p>
    <w:p w14:paraId="6AA093B7">
      <w:pPr>
        <w:outlineLvl w:val="9"/>
        <w:rPr>
          <w:rFonts w:ascii="Times New Roman" w:hAnsi="Times New Roman" w:eastAsia="宋体" w:cs="Times New Roman"/>
          <w:b/>
          <w:sz w:val="24"/>
          <w:szCs w:val="24"/>
          <w:highlight w:val="none"/>
          <w:u w:val="single"/>
        </w:rPr>
      </w:pPr>
    </w:p>
    <w:p w14:paraId="2D4FCA18">
      <w:pPr>
        <w:jc w:val="center"/>
        <w:outlineLvl w:val="9"/>
        <w:rPr>
          <w:rFonts w:ascii="Times New Roman" w:hAnsi="Times New Roman" w:eastAsia="宋体" w:cs="Times New Roman"/>
          <w:b/>
          <w:sz w:val="24"/>
          <w:szCs w:val="24"/>
          <w:highlight w:val="none"/>
        </w:rPr>
        <w:sectPr>
          <w:footerReference r:id="rId4" w:type="default"/>
          <w:pgSz w:w="11906" w:h="16838"/>
          <w:pgMar w:top="1440" w:right="1800" w:bottom="1440" w:left="1800" w:header="851" w:footer="992" w:gutter="0"/>
          <w:cols w:space="720" w:num="1"/>
          <w:docGrid w:type="lines" w:linePitch="312" w:charSpace="0"/>
        </w:sectPr>
      </w:pPr>
      <w:r>
        <w:rPr>
          <w:rFonts w:ascii="Times New Roman" w:hAnsi="Times New Roman" w:eastAsia="宋体" w:cs="Times New Roman"/>
          <w:b/>
          <w:sz w:val="24"/>
          <w:szCs w:val="24"/>
          <w:highlight w:val="none"/>
        </w:rPr>
        <w:t>日期：</w:t>
      </w:r>
      <w:r>
        <w:rPr>
          <w:rFonts w:ascii="Times New Roman" w:hAnsi="Times New Roman" w:eastAsia="宋体" w:cs="Times New Roman"/>
          <w:b/>
          <w:sz w:val="24"/>
          <w:szCs w:val="24"/>
          <w:highlight w:val="none"/>
          <w:u w:val="single"/>
        </w:rPr>
        <w:t xml:space="preserve">    </w:t>
      </w:r>
      <w:r>
        <w:rPr>
          <w:rFonts w:ascii="Times New Roman" w:hAnsi="Times New Roman" w:eastAsia="宋体" w:cs="Times New Roman"/>
          <w:b/>
          <w:sz w:val="24"/>
          <w:szCs w:val="24"/>
          <w:highlight w:val="none"/>
        </w:rPr>
        <w:t>年</w:t>
      </w:r>
      <w:r>
        <w:rPr>
          <w:rFonts w:ascii="Times New Roman" w:hAnsi="Times New Roman" w:eastAsia="宋体" w:cs="Times New Roman"/>
          <w:b/>
          <w:sz w:val="24"/>
          <w:szCs w:val="24"/>
          <w:highlight w:val="none"/>
          <w:u w:val="single"/>
        </w:rPr>
        <w:t xml:space="preserve">    </w:t>
      </w:r>
      <w:r>
        <w:rPr>
          <w:rFonts w:ascii="Times New Roman" w:hAnsi="Times New Roman" w:eastAsia="宋体" w:cs="Times New Roman"/>
          <w:b/>
          <w:sz w:val="24"/>
          <w:szCs w:val="24"/>
          <w:highlight w:val="none"/>
        </w:rPr>
        <w:t>月</w:t>
      </w:r>
      <w:r>
        <w:rPr>
          <w:rFonts w:ascii="Times New Roman" w:hAnsi="Times New Roman" w:eastAsia="宋体" w:cs="Times New Roman"/>
          <w:b/>
          <w:sz w:val="24"/>
          <w:szCs w:val="24"/>
          <w:highlight w:val="none"/>
          <w:u w:val="single"/>
        </w:rPr>
        <w:t xml:space="preserve">    </w:t>
      </w:r>
      <w:r>
        <w:rPr>
          <w:rFonts w:ascii="Times New Roman" w:hAnsi="Times New Roman" w:eastAsia="宋体" w:cs="Times New Roman"/>
          <w:b/>
          <w:sz w:val="24"/>
          <w:szCs w:val="24"/>
          <w:highlight w:val="none"/>
        </w:rPr>
        <w:t>日</w:t>
      </w:r>
    </w:p>
    <w:p w14:paraId="6908C2CC">
      <w:pPr>
        <w:numPr>
          <w:ilvl w:val="0"/>
          <w:numId w:val="5"/>
        </w:numPr>
        <w:spacing w:line="560" w:lineRule="exact"/>
        <w:ind w:hanging="6"/>
        <w:outlineLvl w:val="9"/>
        <w:rPr>
          <w:rFonts w:ascii="Times New Roman" w:hAnsi="Times New Roman" w:eastAsia="宋体" w:cs="Times New Roman"/>
          <w:kern w:val="0"/>
          <w:sz w:val="22"/>
          <w:szCs w:val="22"/>
          <w:highlight w:val="none"/>
        </w:rPr>
      </w:pPr>
      <w:r>
        <w:rPr>
          <w:rFonts w:ascii="Times New Roman" w:hAnsi="Times New Roman" w:eastAsia="宋体" w:cs="Times New Roman"/>
          <w:b/>
          <w:sz w:val="22"/>
          <w:szCs w:val="22"/>
          <w:highlight w:val="none"/>
        </w:rPr>
        <w:t>设备概况</w:t>
      </w:r>
    </w:p>
    <w:p w14:paraId="10260246">
      <w:pPr>
        <w:spacing w:line="560" w:lineRule="exact"/>
        <w:ind w:firstLine="420"/>
        <w:outlineLvl w:val="9"/>
        <w:rPr>
          <w:rFonts w:ascii="Times New Roman" w:hAnsi="Times New Roman" w:eastAsia="宋体" w:cs="Times New Roman"/>
          <w:bCs/>
          <w:sz w:val="22"/>
          <w:szCs w:val="22"/>
          <w:highlight w:val="none"/>
        </w:rPr>
      </w:pPr>
      <w:r>
        <w:rPr>
          <w:rFonts w:hint="eastAsia" w:ascii="Times New Roman" w:hAnsi="Times New Roman" w:eastAsia="宋体" w:cs="Times New Roman"/>
          <w:bCs/>
          <w:sz w:val="22"/>
          <w:szCs w:val="22"/>
          <w:highlight w:val="none"/>
        </w:rPr>
        <w:t xml:space="preserve"> </w:t>
      </w:r>
    </w:p>
    <w:p w14:paraId="1D31FC11">
      <w:pPr>
        <w:numPr>
          <w:ilvl w:val="0"/>
          <w:numId w:val="5"/>
        </w:numPr>
        <w:spacing w:line="560" w:lineRule="exact"/>
        <w:ind w:hanging="6"/>
        <w:outlineLvl w:val="9"/>
        <w:rPr>
          <w:rFonts w:ascii="Times New Roman" w:hAnsi="Times New Roman" w:eastAsia="宋体" w:cs="Times New Roman"/>
          <w:b/>
          <w:sz w:val="22"/>
          <w:szCs w:val="22"/>
          <w:highlight w:val="none"/>
        </w:rPr>
      </w:pPr>
      <w:r>
        <w:rPr>
          <w:rFonts w:ascii="Times New Roman" w:hAnsi="Times New Roman" w:eastAsia="宋体" w:cs="Times New Roman"/>
          <w:b/>
          <w:sz w:val="22"/>
          <w:szCs w:val="22"/>
          <w:highlight w:val="none"/>
        </w:rPr>
        <w:t>设备技术指标</w:t>
      </w:r>
      <w:r>
        <w:rPr>
          <w:rFonts w:hint="eastAsia" w:ascii="Times New Roman" w:hAnsi="Times New Roman" w:eastAsia="宋体" w:cs="Times New Roman"/>
          <w:b/>
          <w:sz w:val="22"/>
          <w:szCs w:val="22"/>
          <w:highlight w:val="none"/>
        </w:rPr>
        <w:t>及任务分解结构</w:t>
      </w:r>
    </w:p>
    <w:p w14:paraId="43FE7E68">
      <w:pPr>
        <w:spacing w:line="560" w:lineRule="exact"/>
        <w:ind w:firstLine="440" w:firstLineChars="200"/>
        <w:outlineLvl w:val="9"/>
        <w:rPr>
          <w:rFonts w:ascii="Times New Roman" w:hAnsi="Times New Roman" w:eastAsia="宋体" w:cs="Times New Roman"/>
          <w:bCs/>
          <w:sz w:val="22"/>
          <w:szCs w:val="22"/>
          <w:highlight w:val="none"/>
        </w:rPr>
      </w:pPr>
      <w:r>
        <w:rPr>
          <w:rFonts w:ascii="Times New Roman" w:hAnsi="Times New Roman" w:eastAsia="宋体" w:cs="Times New Roman"/>
          <w:bCs/>
          <w:sz w:val="22"/>
          <w:szCs w:val="22"/>
          <w:highlight w:val="none"/>
        </w:rPr>
        <w:t>指标要求要覆盖招标文件中的所有提及的指标，指标确定值可以允许正偏离。</w:t>
      </w:r>
      <w:r>
        <w:rPr>
          <w:rFonts w:hint="eastAsia" w:ascii="Times New Roman" w:hAnsi="Times New Roman" w:eastAsia="宋体" w:cs="Times New Roman"/>
          <w:bCs/>
          <w:sz w:val="22"/>
          <w:szCs w:val="22"/>
          <w:highlight w:val="none"/>
        </w:rPr>
        <w:t>表格还需体现出</w:t>
      </w:r>
      <w:r>
        <w:rPr>
          <w:rFonts w:ascii="Times New Roman" w:hAnsi="Times New Roman" w:eastAsia="宋体" w:cs="Times New Roman"/>
          <w:bCs/>
          <w:sz w:val="22"/>
          <w:szCs w:val="22"/>
          <w:highlight w:val="none"/>
        </w:rPr>
        <w:t>全部合同范围</w:t>
      </w:r>
      <w:r>
        <w:rPr>
          <w:rFonts w:hint="eastAsia" w:ascii="Times New Roman" w:hAnsi="Times New Roman" w:eastAsia="宋体" w:cs="Times New Roman"/>
          <w:bCs/>
          <w:sz w:val="22"/>
          <w:szCs w:val="22"/>
          <w:highlight w:val="none"/>
        </w:rPr>
        <w:t>内</w:t>
      </w:r>
      <w:r>
        <w:rPr>
          <w:rFonts w:ascii="Times New Roman" w:hAnsi="Times New Roman" w:eastAsia="宋体" w:cs="Times New Roman"/>
          <w:bCs/>
          <w:sz w:val="22"/>
          <w:szCs w:val="22"/>
          <w:highlight w:val="none"/>
        </w:rPr>
        <w:t>WBS</w:t>
      </w:r>
      <w:r>
        <w:rPr>
          <w:rFonts w:hint="eastAsia" w:ascii="Times New Roman" w:hAnsi="Times New Roman" w:eastAsia="宋体" w:cs="Times New Roman"/>
          <w:bCs/>
          <w:sz w:val="22"/>
          <w:szCs w:val="22"/>
          <w:highlight w:val="none"/>
        </w:rPr>
        <w:t>任务分解结构，</w:t>
      </w:r>
      <w:r>
        <w:rPr>
          <w:rFonts w:ascii="Times New Roman" w:hAnsi="Times New Roman" w:eastAsia="宋体" w:cs="Times New Roman"/>
          <w:bCs/>
          <w:sz w:val="22"/>
          <w:szCs w:val="22"/>
          <w:highlight w:val="none"/>
        </w:rPr>
        <w:t>尤其是技术边界和交付物</w:t>
      </w:r>
      <w:r>
        <w:rPr>
          <w:rFonts w:hint="eastAsia" w:ascii="Times New Roman" w:hAnsi="Times New Roman" w:eastAsia="宋体" w:cs="Times New Roman"/>
          <w:bCs/>
          <w:sz w:val="22"/>
          <w:szCs w:val="22"/>
          <w:highlight w:val="none"/>
        </w:rPr>
        <w:t>。（本次工作任务分解结构结构：乙方承接的工作内容例如设备建造、工程配套、联调配套、技术服务等。）</w:t>
      </w:r>
    </w:p>
    <w:p w14:paraId="219FDA57">
      <w:pPr>
        <w:spacing w:line="560" w:lineRule="exact"/>
        <w:ind w:firstLine="440" w:firstLineChars="200"/>
        <w:outlineLvl w:val="9"/>
        <w:rPr>
          <w:rFonts w:ascii="Times New Roman" w:hAnsi="Times New Roman" w:eastAsia="宋体" w:cs="Times New Roman"/>
          <w:bCs/>
          <w:sz w:val="22"/>
          <w:szCs w:val="22"/>
          <w:highlight w:val="none"/>
        </w:rPr>
      </w:pPr>
      <w:r>
        <w:rPr>
          <w:rFonts w:hint="eastAsia" w:ascii="Times New Roman" w:hAnsi="Times New Roman" w:eastAsia="宋体" w:cs="Times New Roman"/>
          <w:bCs/>
          <w:sz w:val="22"/>
          <w:szCs w:val="22"/>
          <w:highlight w:val="none"/>
        </w:rPr>
        <w:t>WBS任务分解结构</w:t>
      </w:r>
    </w:p>
    <w:p w14:paraId="4B784340">
      <w:pPr>
        <w:spacing w:line="560" w:lineRule="exact"/>
        <w:ind w:firstLine="440" w:firstLineChars="200"/>
        <w:outlineLvl w:val="9"/>
        <w:rPr>
          <w:rFonts w:ascii="Times New Roman" w:hAnsi="Times New Roman" w:eastAsia="宋体" w:cs="Times New Roman"/>
          <w:bCs/>
          <w:sz w:val="22"/>
          <w:szCs w:val="22"/>
          <w:highlight w:val="none"/>
        </w:rPr>
      </w:pPr>
      <w:r>
        <w:rPr>
          <w:rFonts w:ascii="Times New Roman" w:hAnsi="Times New Roman" w:eastAsia="宋体" w:cs="Times New Roman"/>
          <w:bCs/>
          <w:sz w:val="22"/>
          <w:szCs w:val="22"/>
          <w:highlight w:val="none"/>
        </w:rPr>
        <w:drawing>
          <wp:anchor distT="0" distB="0" distL="114300" distR="114300" simplePos="0" relativeHeight="251663360" behindDoc="0" locked="0" layoutInCell="1" allowOverlap="1">
            <wp:simplePos x="0" y="0"/>
            <wp:positionH relativeFrom="column">
              <wp:posOffset>196850</wp:posOffset>
            </wp:positionH>
            <wp:positionV relativeFrom="paragraph">
              <wp:posOffset>327025</wp:posOffset>
            </wp:positionV>
            <wp:extent cx="5165725" cy="1876425"/>
            <wp:effectExtent l="0" t="0" r="15875"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65725" cy="1876425"/>
                    </a:xfrm>
                    <a:prstGeom prst="rect">
                      <a:avLst/>
                    </a:prstGeom>
                    <a:noFill/>
                    <a:ln>
                      <a:noFill/>
                    </a:ln>
                  </pic:spPr>
                </pic:pic>
              </a:graphicData>
            </a:graphic>
          </wp:anchor>
        </w:drawing>
      </w:r>
    </w:p>
    <w:p w14:paraId="4CDB8EC5">
      <w:pPr>
        <w:spacing w:line="560" w:lineRule="exact"/>
        <w:ind w:firstLine="440" w:firstLineChars="200"/>
        <w:outlineLvl w:val="9"/>
        <w:rPr>
          <w:rFonts w:ascii="Times New Roman" w:hAnsi="Times New Roman" w:eastAsia="宋体" w:cs="Times New Roman"/>
          <w:bCs/>
          <w:sz w:val="22"/>
          <w:szCs w:val="22"/>
          <w:highlight w:val="none"/>
        </w:rPr>
      </w:pPr>
    </w:p>
    <w:p w14:paraId="267D00D3">
      <w:pPr>
        <w:spacing w:line="560" w:lineRule="exact"/>
        <w:ind w:firstLine="440" w:firstLineChars="200"/>
        <w:outlineLvl w:val="9"/>
        <w:rPr>
          <w:rFonts w:ascii="Times New Roman" w:hAnsi="Times New Roman" w:eastAsia="宋体" w:cs="Times New Roman"/>
          <w:bCs/>
          <w:sz w:val="22"/>
          <w:szCs w:val="22"/>
          <w:highlight w:val="none"/>
        </w:rPr>
      </w:pPr>
    </w:p>
    <w:p w14:paraId="5ED8B691">
      <w:pPr>
        <w:spacing w:line="560" w:lineRule="exact"/>
        <w:ind w:firstLine="440" w:firstLineChars="200"/>
        <w:outlineLvl w:val="9"/>
        <w:rPr>
          <w:rFonts w:ascii="Times New Roman" w:hAnsi="Times New Roman" w:eastAsia="宋体" w:cs="Times New Roman"/>
          <w:bCs/>
          <w:sz w:val="22"/>
          <w:szCs w:val="22"/>
          <w:highlight w:val="none"/>
        </w:rPr>
      </w:pPr>
    </w:p>
    <w:p w14:paraId="78A76DC1">
      <w:pPr>
        <w:spacing w:line="560" w:lineRule="exact"/>
        <w:ind w:firstLine="440" w:firstLineChars="200"/>
        <w:outlineLvl w:val="9"/>
        <w:rPr>
          <w:rFonts w:ascii="Times New Roman" w:hAnsi="Times New Roman" w:eastAsia="宋体" w:cs="Times New Roman"/>
          <w:bCs/>
          <w:sz w:val="22"/>
          <w:szCs w:val="22"/>
          <w:highlight w:val="none"/>
        </w:rPr>
      </w:pPr>
    </w:p>
    <w:p w14:paraId="5CD8FFB4">
      <w:pPr>
        <w:spacing w:line="560" w:lineRule="exact"/>
        <w:ind w:firstLine="440" w:firstLineChars="200"/>
        <w:outlineLvl w:val="9"/>
        <w:rPr>
          <w:rFonts w:ascii="Times New Roman" w:hAnsi="Times New Roman" w:eastAsia="宋体" w:cs="Times New Roman"/>
          <w:bCs/>
          <w:sz w:val="22"/>
          <w:szCs w:val="22"/>
          <w:highlight w:val="none"/>
        </w:rPr>
      </w:pPr>
    </w:p>
    <w:p w14:paraId="5435B95D">
      <w:pPr>
        <w:spacing w:line="560" w:lineRule="exact"/>
        <w:outlineLvl w:val="9"/>
        <w:rPr>
          <w:rFonts w:ascii="Times New Roman" w:hAnsi="Times New Roman" w:eastAsia="宋体" w:cs="Times New Roman"/>
          <w:bCs/>
          <w:sz w:val="22"/>
          <w:szCs w:val="22"/>
          <w:highlight w:val="none"/>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994"/>
        <w:gridCol w:w="5621"/>
      </w:tblGrid>
      <w:tr w14:paraId="623E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32" w:type="pct"/>
            <w:vAlign w:val="center"/>
          </w:tcPr>
          <w:p w14:paraId="0C87FDFF">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序号</w:t>
            </w:r>
          </w:p>
        </w:tc>
        <w:tc>
          <w:tcPr>
            <w:tcW w:w="1170" w:type="pct"/>
            <w:vAlign w:val="center"/>
          </w:tcPr>
          <w:p w14:paraId="5827D090">
            <w:pPr>
              <w:widowControl/>
              <w:outlineLvl w:val="9"/>
              <w:rPr>
                <w:rFonts w:ascii="Times New Roman" w:hAnsi="Times New Roman" w:eastAsia="宋体" w:cs="Times New Roman"/>
                <w:sz w:val="21"/>
                <w:szCs w:val="18"/>
                <w:highlight w:val="none"/>
              </w:rPr>
            </w:pPr>
            <w:r>
              <w:rPr>
                <w:rFonts w:hint="eastAsia" w:ascii="Times New Roman" w:hAnsi="Times New Roman" w:eastAsia="宋体" w:cs="Times New Roman"/>
                <w:sz w:val="21"/>
                <w:szCs w:val="18"/>
                <w:highlight w:val="none"/>
              </w:rPr>
              <w:t>任务</w:t>
            </w:r>
            <w:r>
              <w:rPr>
                <w:rFonts w:ascii="Times New Roman" w:hAnsi="Times New Roman" w:eastAsia="宋体" w:cs="Times New Roman"/>
                <w:sz w:val="21"/>
                <w:szCs w:val="18"/>
                <w:highlight w:val="none"/>
              </w:rPr>
              <w:t>名称</w:t>
            </w:r>
          </w:p>
        </w:tc>
        <w:tc>
          <w:tcPr>
            <w:tcW w:w="3298" w:type="pct"/>
            <w:vAlign w:val="center"/>
          </w:tcPr>
          <w:p w14:paraId="0A79159C">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技术要求</w:t>
            </w:r>
          </w:p>
        </w:tc>
      </w:tr>
      <w:tr w14:paraId="148D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2" w:type="pct"/>
            <w:vMerge w:val="restart"/>
            <w:vAlign w:val="center"/>
          </w:tcPr>
          <w:p w14:paraId="18A75C46">
            <w:pPr>
              <w:outlineLvl w:val="9"/>
              <w:rPr>
                <w:rFonts w:ascii="Times New Roman" w:hAnsi="Times New Roman" w:eastAsia="宋体" w:cs="Times New Roman"/>
                <w:bCs/>
                <w:sz w:val="21"/>
                <w:szCs w:val="18"/>
                <w:highlight w:val="none"/>
              </w:rPr>
            </w:pPr>
            <w:r>
              <w:rPr>
                <w:rFonts w:ascii="Times New Roman" w:hAnsi="Times New Roman" w:eastAsia="宋体" w:cs="Times New Roman"/>
                <w:bCs/>
                <w:sz w:val="21"/>
                <w:szCs w:val="18"/>
                <w:highlight w:val="none"/>
              </w:rPr>
              <w:t>1</w:t>
            </w:r>
          </w:p>
        </w:tc>
        <w:tc>
          <w:tcPr>
            <w:tcW w:w="1170" w:type="pct"/>
            <w:vMerge w:val="restart"/>
          </w:tcPr>
          <w:p w14:paraId="678BB9D3">
            <w:pPr>
              <w:outlineLvl w:val="9"/>
              <w:rPr>
                <w:rFonts w:ascii="Times New Roman" w:hAnsi="Times New Roman" w:eastAsia="宋体" w:cs="Times New Roman"/>
                <w:bCs/>
                <w:sz w:val="21"/>
                <w:szCs w:val="18"/>
                <w:highlight w:val="none"/>
              </w:rPr>
            </w:pPr>
            <w:r>
              <w:rPr>
                <w:rFonts w:ascii="Times New Roman" w:hAnsi="Times New Roman" w:eastAsia="宋体" w:cs="Times New Roman"/>
                <w:bCs/>
                <w:sz w:val="21"/>
                <w:szCs w:val="18"/>
                <w:highlight w:val="none"/>
              </w:rPr>
              <w:t xml:space="preserve"> </w:t>
            </w:r>
          </w:p>
        </w:tc>
        <w:tc>
          <w:tcPr>
            <w:tcW w:w="3298" w:type="pct"/>
          </w:tcPr>
          <w:p w14:paraId="7664D008">
            <w:pPr>
              <w:outlineLvl w:val="9"/>
              <w:rPr>
                <w:rFonts w:ascii="Times New Roman" w:hAnsi="Times New Roman" w:eastAsia="宋体" w:cs="Times New Roman"/>
                <w:bCs/>
                <w:sz w:val="21"/>
                <w:szCs w:val="18"/>
                <w:highlight w:val="none"/>
              </w:rPr>
            </w:pPr>
            <w:r>
              <w:rPr>
                <w:rFonts w:ascii="Times New Roman" w:hAnsi="Times New Roman" w:eastAsia="宋体" w:cs="Times New Roman"/>
                <w:bCs/>
                <w:sz w:val="21"/>
                <w:szCs w:val="18"/>
                <w:highlight w:val="none"/>
              </w:rPr>
              <w:t>1.1</w:t>
            </w:r>
          </w:p>
        </w:tc>
      </w:tr>
      <w:tr w14:paraId="350F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2" w:type="pct"/>
            <w:vMerge w:val="continue"/>
            <w:vAlign w:val="center"/>
          </w:tcPr>
          <w:p w14:paraId="1AC57A7A">
            <w:pPr>
              <w:outlineLvl w:val="9"/>
              <w:rPr>
                <w:rFonts w:ascii="Times New Roman" w:hAnsi="Times New Roman" w:eastAsia="宋体" w:cs="Times New Roman"/>
                <w:bCs/>
                <w:sz w:val="21"/>
                <w:szCs w:val="18"/>
                <w:highlight w:val="none"/>
              </w:rPr>
            </w:pPr>
          </w:p>
        </w:tc>
        <w:tc>
          <w:tcPr>
            <w:tcW w:w="1170" w:type="pct"/>
            <w:vMerge w:val="continue"/>
          </w:tcPr>
          <w:p w14:paraId="24F85C69">
            <w:pPr>
              <w:outlineLvl w:val="9"/>
              <w:rPr>
                <w:rFonts w:ascii="Times New Roman" w:hAnsi="Times New Roman" w:eastAsia="宋体" w:cs="Times New Roman"/>
                <w:bCs/>
                <w:sz w:val="21"/>
                <w:szCs w:val="18"/>
                <w:highlight w:val="none"/>
              </w:rPr>
            </w:pPr>
          </w:p>
        </w:tc>
        <w:tc>
          <w:tcPr>
            <w:tcW w:w="3298" w:type="pct"/>
          </w:tcPr>
          <w:p w14:paraId="66FDE390">
            <w:pPr>
              <w:outlineLvl w:val="9"/>
              <w:rPr>
                <w:rFonts w:ascii="Times New Roman" w:hAnsi="Times New Roman" w:eastAsia="宋体" w:cs="Times New Roman"/>
                <w:bCs/>
                <w:sz w:val="21"/>
                <w:szCs w:val="18"/>
                <w:highlight w:val="none"/>
              </w:rPr>
            </w:pPr>
            <w:r>
              <w:rPr>
                <w:rFonts w:ascii="Times New Roman" w:hAnsi="Times New Roman" w:eastAsia="宋体" w:cs="Times New Roman"/>
                <w:bCs/>
                <w:sz w:val="21"/>
                <w:szCs w:val="18"/>
                <w:highlight w:val="none"/>
              </w:rPr>
              <w:t xml:space="preserve">1.2 </w:t>
            </w:r>
          </w:p>
        </w:tc>
      </w:tr>
      <w:tr w14:paraId="4312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2" w:type="pct"/>
            <w:vMerge w:val="continue"/>
            <w:vAlign w:val="center"/>
          </w:tcPr>
          <w:p w14:paraId="3E133820">
            <w:pPr>
              <w:outlineLvl w:val="9"/>
              <w:rPr>
                <w:rFonts w:ascii="Times New Roman" w:hAnsi="Times New Roman" w:eastAsia="宋体" w:cs="Times New Roman"/>
                <w:bCs/>
                <w:sz w:val="21"/>
                <w:szCs w:val="18"/>
                <w:highlight w:val="none"/>
              </w:rPr>
            </w:pPr>
          </w:p>
        </w:tc>
        <w:tc>
          <w:tcPr>
            <w:tcW w:w="1170" w:type="pct"/>
            <w:vMerge w:val="continue"/>
          </w:tcPr>
          <w:p w14:paraId="025CF334">
            <w:pPr>
              <w:outlineLvl w:val="9"/>
              <w:rPr>
                <w:rFonts w:ascii="Times New Roman" w:hAnsi="Times New Roman" w:eastAsia="宋体" w:cs="Times New Roman"/>
                <w:bCs/>
                <w:sz w:val="21"/>
                <w:szCs w:val="18"/>
                <w:highlight w:val="none"/>
              </w:rPr>
            </w:pPr>
          </w:p>
        </w:tc>
        <w:tc>
          <w:tcPr>
            <w:tcW w:w="3298" w:type="pct"/>
          </w:tcPr>
          <w:p w14:paraId="42EAC19F">
            <w:pPr>
              <w:outlineLvl w:val="9"/>
              <w:rPr>
                <w:rFonts w:ascii="Times New Roman" w:hAnsi="Times New Roman" w:eastAsia="宋体" w:cs="Times New Roman"/>
                <w:bCs/>
                <w:sz w:val="21"/>
                <w:szCs w:val="18"/>
                <w:highlight w:val="none"/>
              </w:rPr>
            </w:pPr>
            <w:r>
              <w:rPr>
                <w:rFonts w:ascii="Times New Roman" w:hAnsi="Times New Roman" w:eastAsia="宋体" w:cs="Times New Roman"/>
                <w:bCs/>
                <w:sz w:val="21"/>
                <w:szCs w:val="18"/>
                <w:highlight w:val="none"/>
              </w:rPr>
              <w:t xml:space="preserve">1.3 </w:t>
            </w:r>
          </w:p>
        </w:tc>
      </w:tr>
      <w:tr w14:paraId="0E14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2" w:type="pct"/>
            <w:vMerge w:val="continue"/>
            <w:vAlign w:val="center"/>
          </w:tcPr>
          <w:p w14:paraId="41415226">
            <w:pPr>
              <w:outlineLvl w:val="9"/>
              <w:rPr>
                <w:rFonts w:ascii="Times New Roman" w:hAnsi="Times New Roman" w:eastAsia="宋体" w:cs="Times New Roman"/>
                <w:bCs/>
                <w:sz w:val="21"/>
                <w:szCs w:val="18"/>
                <w:highlight w:val="none"/>
              </w:rPr>
            </w:pPr>
          </w:p>
        </w:tc>
        <w:tc>
          <w:tcPr>
            <w:tcW w:w="1170" w:type="pct"/>
            <w:vMerge w:val="continue"/>
          </w:tcPr>
          <w:p w14:paraId="01F95499">
            <w:pPr>
              <w:outlineLvl w:val="9"/>
              <w:rPr>
                <w:rFonts w:ascii="Times New Roman" w:hAnsi="Times New Roman" w:eastAsia="宋体" w:cs="Times New Roman"/>
                <w:bCs/>
                <w:sz w:val="21"/>
                <w:szCs w:val="18"/>
                <w:highlight w:val="none"/>
              </w:rPr>
            </w:pPr>
          </w:p>
        </w:tc>
        <w:tc>
          <w:tcPr>
            <w:tcW w:w="3298" w:type="pct"/>
          </w:tcPr>
          <w:p w14:paraId="552F2E6C">
            <w:pPr>
              <w:outlineLvl w:val="9"/>
              <w:rPr>
                <w:rFonts w:ascii="Times New Roman" w:hAnsi="Times New Roman" w:eastAsia="宋体" w:cs="Times New Roman"/>
                <w:bCs/>
                <w:sz w:val="21"/>
                <w:szCs w:val="18"/>
                <w:highlight w:val="none"/>
              </w:rPr>
            </w:pPr>
            <w:r>
              <w:rPr>
                <w:rFonts w:ascii="Times New Roman" w:hAnsi="Times New Roman" w:eastAsia="宋体" w:cs="Times New Roman"/>
                <w:bCs/>
                <w:sz w:val="21"/>
                <w:szCs w:val="18"/>
                <w:highlight w:val="none"/>
              </w:rPr>
              <w:t xml:space="preserve">1.4 </w:t>
            </w:r>
          </w:p>
        </w:tc>
      </w:tr>
      <w:tr w14:paraId="26DD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2" w:type="pct"/>
            <w:vMerge w:val="continue"/>
            <w:vAlign w:val="center"/>
          </w:tcPr>
          <w:p w14:paraId="4FC783FD">
            <w:pPr>
              <w:outlineLvl w:val="9"/>
              <w:rPr>
                <w:rFonts w:ascii="Times New Roman" w:hAnsi="Times New Roman" w:eastAsia="宋体" w:cs="Times New Roman"/>
                <w:bCs/>
                <w:sz w:val="21"/>
                <w:szCs w:val="18"/>
                <w:highlight w:val="none"/>
              </w:rPr>
            </w:pPr>
          </w:p>
        </w:tc>
        <w:tc>
          <w:tcPr>
            <w:tcW w:w="1170" w:type="pct"/>
            <w:vMerge w:val="continue"/>
          </w:tcPr>
          <w:p w14:paraId="341F4E89">
            <w:pPr>
              <w:outlineLvl w:val="9"/>
              <w:rPr>
                <w:rFonts w:ascii="Times New Roman" w:hAnsi="Times New Roman" w:eastAsia="宋体" w:cs="Times New Roman"/>
                <w:bCs/>
                <w:sz w:val="21"/>
                <w:szCs w:val="18"/>
                <w:highlight w:val="none"/>
              </w:rPr>
            </w:pPr>
          </w:p>
        </w:tc>
        <w:tc>
          <w:tcPr>
            <w:tcW w:w="3298" w:type="pct"/>
          </w:tcPr>
          <w:p w14:paraId="3014BE81">
            <w:pPr>
              <w:outlineLvl w:val="9"/>
              <w:rPr>
                <w:rFonts w:ascii="Times New Roman" w:hAnsi="Times New Roman" w:eastAsia="宋体" w:cs="Times New Roman"/>
                <w:bCs/>
                <w:sz w:val="21"/>
                <w:szCs w:val="18"/>
                <w:highlight w:val="none"/>
              </w:rPr>
            </w:pPr>
            <w:r>
              <w:rPr>
                <w:rFonts w:ascii="Times New Roman" w:hAnsi="Times New Roman" w:eastAsia="宋体" w:cs="Times New Roman"/>
                <w:bCs/>
                <w:sz w:val="21"/>
                <w:szCs w:val="18"/>
                <w:highlight w:val="none"/>
              </w:rPr>
              <w:t xml:space="preserve">1.5 </w:t>
            </w:r>
          </w:p>
        </w:tc>
      </w:tr>
      <w:tr w14:paraId="7368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532" w:type="pct"/>
            <w:vAlign w:val="center"/>
          </w:tcPr>
          <w:p w14:paraId="6E14820D">
            <w:pPr>
              <w:jc w:val="center"/>
              <w:outlineLvl w:val="9"/>
              <w:rPr>
                <w:rFonts w:ascii="Times New Roman" w:hAnsi="Times New Roman" w:eastAsia="宋体" w:cs="Times New Roman"/>
                <w:bCs/>
                <w:sz w:val="21"/>
                <w:szCs w:val="18"/>
                <w:highlight w:val="none"/>
              </w:rPr>
            </w:pPr>
            <w:r>
              <w:rPr>
                <w:rFonts w:hint="eastAsia" w:ascii="Times New Roman" w:hAnsi="Times New Roman" w:eastAsia="宋体" w:cs="Times New Roman"/>
                <w:bCs/>
                <w:sz w:val="21"/>
                <w:szCs w:val="18"/>
                <w:highlight w:val="none"/>
              </w:rPr>
              <w:t>……</w:t>
            </w:r>
          </w:p>
        </w:tc>
        <w:tc>
          <w:tcPr>
            <w:tcW w:w="1170" w:type="pct"/>
          </w:tcPr>
          <w:p w14:paraId="23CE2309">
            <w:pPr>
              <w:jc w:val="center"/>
              <w:outlineLvl w:val="9"/>
              <w:rPr>
                <w:rFonts w:ascii="Times New Roman" w:hAnsi="Times New Roman" w:eastAsia="宋体" w:cs="Times New Roman"/>
                <w:bCs/>
                <w:sz w:val="21"/>
                <w:szCs w:val="18"/>
                <w:highlight w:val="none"/>
              </w:rPr>
            </w:pPr>
          </w:p>
        </w:tc>
        <w:tc>
          <w:tcPr>
            <w:tcW w:w="3298" w:type="pct"/>
          </w:tcPr>
          <w:p w14:paraId="3622E2EB">
            <w:pPr>
              <w:jc w:val="center"/>
              <w:outlineLvl w:val="9"/>
              <w:rPr>
                <w:rFonts w:ascii="Times New Roman" w:hAnsi="Times New Roman" w:eastAsia="宋体" w:cs="Times New Roman"/>
                <w:bCs/>
                <w:sz w:val="21"/>
                <w:szCs w:val="18"/>
                <w:highlight w:val="none"/>
              </w:rPr>
            </w:pPr>
          </w:p>
        </w:tc>
      </w:tr>
      <w:tr w14:paraId="6374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532" w:type="pct"/>
            <w:vAlign w:val="center"/>
          </w:tcPr>
          <w:p w14:paraId="0DEFCCE0">
            <w:pPr>
              <w:jc w:val="center"/>
              <w:outlineLvl w:val="9"/>
              <w:rPr>
                <w:rFonts w:ascii="Times New Roman" w:hAnsi="Times New Roman" w:eastAsia="宋体" w:cs="Times New Roman"/>
                <w:bCs/>
                <w:sz w:val="21"/>
                <w:szCs w:val="18"/>
                <w:highlight w:val="none"/>
              </w:rPr>
            </w:pPr>
            <w:r>
              <w:rPr>
                <w:rFonts w:hint="eastAsia" w:ascii="Times New Roman" w:hAnsi="Times New Roman" w:eastAsia="宋体" w:cs="Times New Roman"/>
                <w:bCs/>
                <w:sz w:val="21"/>
                <w:szCs w:val="18"/>
                <w:highlight w:val="none"/>
              </w:rPr>
              <w:t>4</w:t>
            </w:r>
          </w:p>
          <w:p w14:paraId="229373AC">
            <w:pPr>
              <w:jc w:val="center"/>
              <w:outlineLvl w:val="9"/>
              <w:rPr>
                <w:rFonts w:ascii="Times New Roman" w:hAnsi="Times New Roman" w:eastAsia="宋体" w:cs="Times New Roman"/>
                <w:bCs/>
                <w:sz w:val="21"/>
                <w:szCs w:val="18"/>
                <w:highlight w:val="none"/>
              </w:rPr>
            </w:pPr>
            <w:r>
              <w:rPr>
                <w:rFonts w:hint="eastAsia" w:ascii="Times New Roman" w:hAnsi="Times New Roman" w:eastAsia="宋体" w:cs="Times New Roman"/>
                <w:bCs/>
                <w:sz w:val="21"/>
                <w:szCs w:val="18"/>
                <w:highlight w:val="none"/>
              </w:rPr>
              <w:t>(举例)</w:t>
            </w:r>
          </w:p>
        </w:tc>
        <w:tc>
          <w:tcPr>
            <w:tcW w:w="1170" w:type="pct"/>
          </w:tcPr>
          <w:p w14:paraId="0DC95040">
            <w:pPr>
              <w:jc w:val="center"/>
              <w:outlineLvl w:val="9"/>
              <w:rPr>
                <w:rFonts w:ascii="Times New Roman" w:hAnsi="Times New Roman" w:eastAsia="宋体" w:cs="Times New Roman"/>
                <w:bCs/>
                <w:sz w:val="21"/>
                <w:szCs w:val="18"/>
                <w:highlight w:val="none"/>
              </w:rPr>
            </w:pPr>
            <w:r>
              <w:rPr>
                <w:rFonts w:hint="eastAsia" w:ascii="Times New Roman" w:hAnsi="Times New Roman" w:eastAsia="宋体" w:cs="Times New Roman"/>
                <w:bCs/>
                <w:sz w:val="21"/>
                <w:szCs w:val="18"/>
                <w:highlight w:val="none"/>
              </w:rPr>
              <w:t>屋内绝缘材料铺设</w:t>
            </w:r>
          </w:p>
        </w:tc>
        <w:tc>
          <w:tcPr>
            <w:tcW w:w="3298" w:type="pct"/>
          </w:tcPr>
          <w:p w14:paraId="7F1854A7">
            <w:pPr>
              <w:jc w:val="left"/>
              <w:outlineLvl w:val="9"/>
              <w:rPr>
                <w:rFonts w:ascii="Times New Roman" w:hAnsi="Times New Roman" w:eastAsia="宋体" w:cs="Times New Roman"/>
                <w:bCs/>
                <w:sz w:val="21"/>
                <w:szCs w:val="18"/>
                <w:highlight w:val="none"/>
              </w:rPr>
            </w:pPr>
            <w:r>
              <w:rPr>
                <w:rFonts w:hint="eastAsia" w:ascii="Times New Roman" w:hAnsi="Times New Roman" w:eastAsia="宋体" w:cs="Times New Roman"/>
                <w:bCs/>
                <w:sz w:val="21"/>
                <w:szCs w:val="18"/>
                <w:highlight w:val="none"/>
              </w:rPr>
              <w:t>要求：4</w:t>
            </w:r>
            <w:r>
              <w:rPr>
                <w:rFonts w:ascii="Times New Roman" w:hAnsi="Times New Roman" w:eastAsia="宋体" w:cs="Times New Roman"/>
                <w:bCs/>
                <w:sz w:val="21"/>
                <w:szCs w:val="18"/>
                <w:highlight w:val="none"/>
              </w:rPr>
              <w:t>.1</w:t>
            </w:r>
          </w:p>
        </w:tc>
      </w:tr>
    </w:tbl>
    <w:p w14:paraId="39CA12C9">
      <w:pPr>
        <w:numPr>
          <w:ilvl w:val="0"/>
          <w:numId w:val="5"/>
        </w:numPr>
        <w:spacing w:line="560" w:lineRule="exact"/>
        <w:ind w:hanging="6"/>
        <w:outlineLvl w:val="9"/>
        <w:rPr>
          <w:rFonts w:ascii="Times New Roman" w:hAnsi="Times New Roman" w:eastAsia="宋体" w:cs="Times New Roman"/>
          <w:b/>
          <w:sz w:val="22"/>
          <w:szCs w:val="22"/>
          <w:highlight w:val="none"/>
        </w:rPr>
      </w:pPr>
      <w:r>
        <w:rPr>
          <w:rFonts w:ascii="Times New Roman" w:hAnsi="Times New Roman" w:eastAsia="宋体" w:cs="Times New Roman"/>
          <w:b/>
          <w:sz w:val="22"/>
          <w:szCs w:val="22"/>
          <w:highlight w:val="none"/>
        </w:rPr>
        <w:t>设备配置单</w:t>
      </w:r>
    </w:p>
    <w:p w14:paraId="183F78D2">
      <w:pPr>
        <w:spacing w:line="560" w:lineRule="exact"/>
        <w:ind w:firstLine="440" w:firstLineChars="200"/>
        <w:outlineLvl w:val="9"/>
        <w:rPr>
          <w:rFonts w:ascii="Times New Roman" w:hAnsi="Times New Roman" w:eastAsia="宋体" w:cs="Times New Roman"/>
          <w:bCs/>
          <w:sz w:val="22"/>
          <w:szCs w:val="22"/>
          <w:highlight w:val="none"/>
        </w:rPr>
      </w:pPr>
      <w:r>
        <w:rPr>
          <w:rFonts w:ascii="Times New Roman" w:hAnsi="Times New Roman" w:eastAsia="宋体" w:cs="Times New Roman"/>
          <w:bCs/>
          <w:sz w:val="22"/>
          <w:szCs w:val="22"/>
          <w:highlight w:val="none"/>
        </w:rPr>
        <w:t>（1）需要写清设备包含的主要零部件、规格、供货商，并阐明是否需要进口，如果进口写明产地属国</w:t>
      </w:r>
      <w:r>
        <w:rPr>
          <w:rFonts w:hint="eastAsia" w:ascii="Times New Roman" w:hAnsi="Times New Roman" w:eastAsia="宋体" w:cs="Times New Roman"/>
          <w:bCs/>
          <w:sz w:val="22"/>
          <w:szCs w:val="22"/>
          <w:highlight w:val="none"/>
        </w:rPr>
        <w:t>，</w:t>
      </w:r>
      <w:r>
        <w:rPr>
          <w:rFonts w:ascii="Times New Roman" w:hAnsi="Times New Roman" w:eastAsia="宋体" w:cs="Times New Roman"/>
          <w:bCs/>
          <w:sz w:val="22"/>
          <w:szCs w:val="22"/>
          <w:highlight w:val="none"/>
        </w:rPr>
        <w:t>。</w:t>
      </w:r>
    </w:p>
    <w:tbl>
      <w:tblPr>
        <w:tblStyle w:val="1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60"/>
        <w:gridCol w:w="927"/>
        <w:gridCol w:w="794"/>
        <w:gridCol w:w="4143"/>
        <w:gridCol w:w="457"/>
        <w:gridCol w:w="602"/>
        <w:gridCol w:w="1139"/>
      </w:tblGrid>
      <w:tr w14:paraId="4D9FF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 w:type="pct"/>
            <w:shd w:val="clear" w:color="auto" w:fill="FFFFFF"/>
            <w:vAlign w:val="center"/>
          </w:tcPr>
          <w:p w14:paraId="560AD4EC">
            <w:pPr>
              <w:outlineLvl w:val="9"/>
              <w:rPr>
                <w:rFonts w:ascii="Times New Roman" w:hAnsi="Times New Roman" w:eastAsia="宋体" w:cs="Times New Roman"/>
                <w:sz w:val="21"/>
                <w:szCs w:val="18"/>
                <w:highlight w:val="none"/>
              </w:rPr>
            </w:pPr>
            <w:bookmarkStart w:id="86" w:name="OLE_LINK3"/>
            <w:r>
              <w:rPr>
                <w:rFonts w:ascii="Times New Roman" w:hAnsi="Times New Roman" w:eastAsia="宋体" w:cs="Times New Roman"/>
                <w:sz w:val="21"/>
                <w:szCs w:val="18"/>
                <w:highlight w:val="none"/>
              </w:rPr>
              <w:t>序号</w:t>
            </w:r>
          </w:p>
        </w:tc>
        <w:tc>
          <w:tcPr>
            <w:tcW w:w="544" w:type="pct"/>
            <w:shd w:val="clear" w:color="auto" w:fill="FFFFFF"/>
            <w:vAlign w:val="center"/>
          </w:tcPr>
          <w:p w14:paraId="78974A42">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名称</w:t>
            </w:r>
          </w:p>
        </w:tc>
        <w:tc>
          <w:tcPr>
            <w:tcW w:w="466" w:type="pct"/>
            <w:shd w:val="clear" w:color="auto" w:fill="FFFFFF"/>
            <w:vAlign w:val="center"/>
          </w:tcPr>
          <w:p w14:paraId="5F08AEBA">
            <w:pPr>
              <w:jc w:val="left"/>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主要规格</w:t>
            </w:r>
          </w:p>
        </w:tc>
        <w:tc>
          <w:tcPr>
            <w:tcW w:w="2431" w:type="pct"/>
            <w:shd w:val="clear" w:color="auto" w:fill="FFFFFF"/>
            <w:vAlign w:val="center"/>
          </w:tcPr>
          <w:p w14:paraId="6B23ED02">
            <w:pPr>
              <w:jc w:val="cente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主要参数</w:t>
            </w:r>
          </w:p>
        </w:tc>
        <w:tc>
          <w:tcPr>
            <w:tcW w:w="268" w:type="pct"/>
            <w:shd w:val="clear" w:color="auto" w:fill="FFFFFF"/>
            <w:vAlign w:val="center"/>
          </w:tcPr>
          <w:p w14:paraId="5C4864F4">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数量</w:t>
            </w:r>
          </w:p>
        </w:tc>
        <w:tc>
          <w:tcPr>
            <w:tcW w:w="353" w:type="pct"/>
            <w:shd w:val="clear" w:color="auto" w:fill="FFFFFF"/>
            <w:vAlign w:val="center"/>
          </w:tcPr>
          <w:p w14:paraId="6055CEF6">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备选供货商</w:t>
            </w:r>
          </w:p>
        </w:tc>
        <w:tc>
          <w:tcPr>
            <w:tcW w:w="668" w:type="pct"/>
            <w:shd w:val="clear" w:color="auto" w:fill="FFFFFF"/>
            <w:vAlign w:val="center"/>
          </w:tcPr>
          <w:p w14:paraId="56F1A9E7">
            <w:pPr>
              <w:spacing w:line="480" w:lineRule="exact"/>
              <w:jc w:val="cente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产地</w:t>
            </w:r>
          </w:p>
          <w:p w14:paraId="100FEA66">
            <w:pPr>
              <w:jc w:val="cente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（国内/进口）</w:t>
            </w:r>
          </w:p>
        </w:tc>
      </w:tr>
      <w:tr w14:paraId="38F6D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 w:type="pct"/>
            <w:shd w:val="clear" w:color="auto" w:fill="FFFFFF"/>
            <w:vAlign w:val="center"/>
          </w:tcPr>
          <w:p w14:paraId="0D11634C">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1</w:t>
            </w:r>
          </w:p>
        </w:tc>
        <w:tc>
          <w:tcPr>
            <w:tcW w:w="544" w:type="pct"/>
            <w:shd w:val="clear" w:color="auto" w:fill="FFFFFF"/>
            <w:vAlign w:val="center"/>
          </w:tcPr>
          <w:p w14:paraId="6F1B204A">
            <w:pPr>
              <w:outlineLvl w:val="9"/>
              <w:rPr>
                <w:rFonts w:ascii="Times New Roman" w:hAnsi="Times New Roman" w:eastAsia="宋体" w:cs="Times New Roman"/>
                <w:sz w:val="21"/>
                <w:szCs w:val="18"/>
                <w:highlight w:val="none"/>
              </w:rPr>
            </w:pPr>
          </w:p>
        </w:tc>
        <w:tc>
          <w:tcPr>
            <w:tcW w:w="466" w:type="pct"/>
            <w:shd w:val="clear" w:color="auto" w:fill="FFFFFF"/>
            <w:vAlign w:val="center"/>
          </w:tcPr>
          <w:p w14:paraId="7EB2B43C">
            <w:pPr>
              <w:outlineLvl w:val="9"/>
              <w:rPr>
                <w:rFonts w:ascii="Times New Roman" w:hAnsi="Times New Roman" w:eastAsia="宋体" w:cs="Times New Roman"/>
                <w:sz w:val="21"/>
                <w:szCs w:val="18"/>
                <w:highlight w:val="none"/>
              </w:rPr>
            </w:pPr>
          </w:p>
        </w:tc>
        <w:tc>
          <w:tcPr>
            <w:tcW w:w="2431" w:type="pct"/>
            <w:shd w:val="clear" w:color="auto" w:fill="FFFFFF"/>
            <w:vAlign w:val="center"/>
          </w:tcPr>
          <w:p w14:paraId="28B95DA8">
            <w:pPr>
              <w:outlineLvl w:val="9"/>
              <w:rPr>
                <w:rFonts w:ascii="Times New Roman" w:hAnsi="Times New Roman" w:eastAsia="宋体" w:cs="Times New Roman"/>
                <w:sz w:val="21"/>
                <w:szCs w:val="18"/>
                <w:highlight w:val="none"/>
              </w:rPr>
            </w:pPr>
          </w:p>
        </w:tc>
        <w:tc>
          <w:tcPr>
            <w:tcW w:w="268" w:type="pct"/>
            <w:shd w:val="clear" w:color="auto" w:fill="FFFFFF"/>
            <w:vAlign w:val="center"/>
          </w:tcPr>
          <w:p w14:paraId="6A4AB33F">
            <w:pPr>
              <w:outlineLvl w:val="9"/>
              <w:rPr>
                <w:rFonts w:ascii="Times New Roman" w:hAnsi="Times New Roman" w:eastAsia="宋体" w:cs="Times New Roman"/>
                <w:sz w:val="21"/>
                <w:szCs w:val="18"/>
                <w:highlight w:val="none"/>
              </w:rPr>
            </w:pPr>
          </w:p>
        </w:tc>
        <w:tc>
          <w:tcPr>
            <w:tcW w:w="353" w:type="pct"/>
            <w:shd w:val="clear" w:color="auto" w:fill="FFFFFF"/>
            <w:vAlign w:val="center"/>
          </w:tcPr>
          <w:p w14:paraId="4ECB6116">
            <w:pPr>
              <w:outlineLvl w:val="9"/>
              <w:rPr>
                <w:rFonts w:ascii="Times New Roman" w:hAnsi="Times New Roman" w:eastAsia="宋体" w:cs="Times New Roman"/>
                <w:sz w:val="21"/>
                <w:szCs w:val="18"/>
                <w:highlight w:val="none"/>
              </w:rPr>
            </w:pPr>
          </w:p>
        </w:tc>
        <w:tc>
          <w:tcPr>
            <w:tcW w:w="668" w:type="pct"/>
            <w:shd w:val="clear" w:color="auto" w:fill="FFFFFF"/>
            <w:vAlign w:val="center"/>
          </w:tcPr>
          <w:p w14:paraId="6B5863BA">
            <w:pPr>
              <w:outlineLvl w:val="9"/>
              <w:rPr>
                <w:rFonts w:ascii="Times New Roman" w:hAnsi="Times New Roman" w:eastAsia="宋体" w:cs="Times New Roman"/>
                <w:sz w:val="21"/>
                <w:szCs w:val="18"/>
                <w:highlight w:val="none"/>
              </w:rPr>
            </w:pPr>
          </w:p>
        </w:tc>
      </w:tr>
      <w:tr w14:paraId="6C1C5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 w:type="pct"/>
            <w:shd w:val="clear" w:color="auto" w:fill="FFFFFF"/>
            <w:vAlign w:val="center"/>
          </w:tcPr>
          <w:p w14:paraId="6CE94E09">
            <w:pPr>
              <w:outlineLvl w:val="9"/>
              <w:rPr>
                <w:rFonts w:ascii="Times New Roman" w:hAnsi="Times New Roman" w:eastAsia="宋体" w:cs="Times New Roman"/>
                <w:sz w:val="21"/>
                <w:szCs w:val="18"/>
                <w:highlight w:val="none"/>
              </w:rPr>
            </w:pPr>
            <w:r>
              <w:rPr>
                <w:rFonts w:hint="eastAsia" w:ascii="Times New Roman" w:hAnsi="Times New Roman" w:eastAsia="宋体" w:cs="Times New Roman"/>
                <w:sz w:val="21"/>
                <w:szCs w:val="18"/>
                <w:highlight w:val="none"/>
              </w:rPr>
              <w:t>2</w:t>
            </w:r>
          </w:p>
        </w:tc>
        <w:tc>
          <w:tcPr>
            <w:tcW w:w="544" w:type="pct"/>
            <w:shd w:val="clear" w:color="auto" w:fill="FFFFFF"/>
            <w:vAlign w:val="center"/>
          </w:tcPr>
          <w:p w14:paraId="4D639B2A">
            <w:pPr>
              <w:outlineLvl w:val="9"/>
              <w:rPr>
                <w:rFonts w:ascii="Times New Roman" w:hAnsi="Times New Roman" w:eastAsia="宋体" w:cs="Times New Roman"/>
                <w:sz w:val="21"/>
                <w:szCs w:val="18"/>
                <w:highlight w:val="none"/>
              </w:rPr>
            </w:pPr>
          </w:p>
        </w:tc>
        <w:tc>
          <w:tcPr>
            <w:tcW w:w="466" w:type="pct"/>
            <w:shd w:val="clear" w:color="auto" w:fill="FFFFFF"/>
            <w:vAlign w:val="center"/>
          </w:tcPr>
          <w:p w14:paraId="014489AE">
            <w:pPr>
              <w:outlineLvl w:val="9"/>
              <w:rPr>
                <w:rFonts w:ascii="Times New Roman" w:hAnsi="Times New Roman" w:eastAsia="宋体" w:cs="Times New Roman"/>
                <w:sz w:val="21"/>
                <w:szCs w:val="18"/>
                <w:highlight w:val="none"/>
              </w:rPr>
            </w:pPr>
          </w:p>
        </w:tc>
        <w:tc>
          <w:tcPr>
            <w:tcW w:w="2431" w:type="pct"/>
            <w:shd w:val="clear" w:color="auto" w:fill="FFFFFF"/>
            <w:vAlign w:val="center"/>
          </w:tcPr>
          <w:p w14:paraId="3D628F82">
            <w:pPr>
              <w:outlineLvl w:val="9"/>
              <w:rPr>
                <w:rFonts w:ascii="Times New Roman" w:hAnsi="Times New Roman" w:eastAsia="宋体" w:cs="Times New Roman"/>
                <w:sz w:val="21"/>
                <w:szCs w:val="18"/>
                <w:highlight w:val="none"/>
              </w:rPr>
            </w:pPr>
          </w:p>
        </w:tc>
        <w:tc>
          <w:tcPr>
            <w:tcW w:w="268" w:type="pct"/>
            <w:shd w:val="clear" w:color="auto" w:fill="FFFFFF"/>
            <w:vAlign w:val="center"/>
          </w:tcPr>
          <w:p w14:paraId="09284A05">
            <w:pPr>
              <w:outlineLvl w:val="9"/>
              <w:rPr>
                <w:rFonts w:ascii="Times New Roman" w:hAnsi="Times New Roman" w:eastAsia="宋体" w:cs="Times New Roman"/>
                <w:sz w:val="21"/>
                <w:szCs w:val="18"/>
                <w:highlight w:val="none"/>
              </w:rPr>
            </w:pPr>
          </w:p>
        </w:tc>
        <w:tc>
          <w:tcPr>
            <w:tcW w:w="353" w:type="pct"/>
            <w:shd w:val="clear" w:color="auto" w:fill="FFFFFF"/>
            <w:vAlign w:val="center"/>
          </w:tcPr>
          <w:p w14:paraId="69AC4DF2">
            <w:pPr>
              <w:outlineLvl w:val="9"/>
              <w:rPr>
                <w:rFonts w:ascii="Times New Roman" w:hAnsi="Times New Roman" w:eastAsia="宋体" w:cs="Times New Roman"/>
                <w:sz w:val="21"/>
                <w:szCs w:val="18"/>
                <w:highlight w:val="none"/>
              </w:rPr>
            </w:pPr>
          </w:p>
        </w:tc>
        <w:tc>
          <w:tcPr>
            <w:tcW w:w="668" w:type="pct"/>
            <w:shd w:val="clear" w:color="auto" w:fill="FFFFFF"/>
            <w:vAlign w:val="center"/>
          </w:tcPr>
          <w:p w14:paraId="12373C98">
            <w:pPr>
              <w:outlineLvl w:val="9"/>
              <w:rPr>
                <w:rFonts w:ascii="Times New Roman" w:hAnsi="Times New Roman" w:eastAsia="宋体" w:cs="Times New Roman"/>
                <w:sz w:val="21"/>
                <w:szCs w:val="18"/>
                <w:highlight w:val="none"/>
              </w:rPr>
            </w:pPr>
          </w:p>
        </w:tc>
      </w:tr>
      <w:tr w14:paraId="457BE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 w:type="pct"/>
            <w:shd w:val="clear" w:color="auto" w:fill="FFFFFF"/>
            <w:vAlign w:val="center"/>
          </w:tcPr>
          <w:p w14:paraId="38777B2E">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3</w:t>
            </w:r>
          </w:p>
        </w:tc>
        <w:tc>
          <w:tcPr>
            <w:tcW w:w="544" w:type="pct"/>
            <w:shd w:val="clear" w:color="auto" w:fill="FFFFFF"/>
            <w:vAlign w:val="center"/>
          </w:tcPr>
          <w:p w14:paraId="5ABD5DBD">
            <w:pPr>
              <w:outlineLvl w:val="9"/>
              <w:rPr>
                <w:rFonts w:ascii="Times New Roman" w:hAnsi="Times New Roman" w:eastAsia="宋体" w:cs="Times New Roman"/>
                <w:sz w:val="21"/>
                <w:szCs w:val="18"/>
                <w:highlight w:val="none"/>
              </w:rPr>
            </w:pPr>
          </w:p>
        </w:tc>
        <w:tc>
          <w:tcPr>
            <w:tcW w:w="466" w:type="pct"/>
            <w:shd w:val="clear" w:color="auto" w:fill="FFFFFF"/>
            <w:vAlign w:val="center"/>
          </w:tcPr>
          <w:p w14:paraId="2DC2072F">
            <w:pPr>
              <w:outlineLvl w:val="9"/>
              <w:rPr>
                <w:rFonts w:ascii="Times New Roman" w:hAnsi="Times New Roman" w:eastAsia="宋体" w:cs="Times New Roman"/>
                <w:sz w:val="21"/>
                <w:szCs w:val="18"/>
                <w:highlight w:val="none"/>
              </w:rPr>
            </w:pPr>
          </w:p>
        </w:tc>
        <w:tc>
          <w:tcPr>
            <w:tcW w:w="2431" w:type="pct"/>
            <w:shd w:val="clear" w:color="auto" w:fill="FFFFFF"/>
            <w:vAlign w:val="center"/>
          </w:tcPr>
          <w:p w14:paraId="079A62A8">
            <w:pPr>
              <w:outlineLvl w:val="9"/>
              <w:rPr>
                <w:rFonts w:ascii="Times New Roman" w:hAnsi="Times New Roman" w:eastAsia="宋体" w:cs="Times New Roman"/>
                <w:sz w:val="21"/>
                <w:szCs w:val="18"/>
                <w:highlight w:val="none"/>
              </w:rPr>
            </w:pPr>
          </w:p>
        </w:tc>
        <w:tc>
          <w:tcPr>
            <w:tcW w:w="268" w:type="pct"/>
            <w:shd w:val="clear" w:color="auto" w:fill="FFFFFF"/>
            <w:vAlign w:val="center"/>
          </w:tcPr>
          <w:p w14:paraId="48C76C92">
            <w:pPr>
              <w:outlineLvl w:val="9"/>
              <w:rPr>
                <w:rFonts w:ascii="Times New Roman" w:hAnsi="Times New Roman" w:eastAsia="宋体" w:cs="Times New Roman"/>
                <w:sz w:val="21"/>
                <w:szCs w:val="18"/>
                <w:highlight w:val="none"/>
              </w:rPr>
            </w:pPr>
          </w:p>
        </w:tc>
        <w:tc>
          <w:tcPr>
            <w:tcW w:w="353" w:type="pct"/>
            <w:shd w:val="clear" w:color="auto" w:fill="FFFFFF"/>
            <w:vAlign w:val="center"/>
          </w:tcPr>
          <w:p w14:paraId="259CF6F4">
            <w:pPr>
              <w:outlineLvl w:val="9"/>
              <w:rPr>
                <w:rFonts w:ascii="Times New Roman" w:hAnsi="Times New Roman" w:eastAsia="宋体" w:cs="Times New Roman"/>
                <w:sz w:val="21"/>
                <w:szCs w:val="18"/>
                <w:highlight w:val="none"/>
              </w:rPr>
            </w:pPr>
          </w:p>
        </w:tc>
        <w:tc>
          <w:tcPr>
            <w:tcW w:w="668" w:type="pct"/>
            <w:shd w:val="clear" w:color="auto" w:fill="FFFFFF"/>
            <w:vAlign w:val="center"/>
          </w:tcPr>
          <w:p w14:paraId="11BAC749">
            <w:pPr>
              <w:outlineLvl w:val="9"/>
              <w:rPr>
                <w:rFonts w:ascii="Times New Roman" w:hAnsi="Times New Roman" w:eastAsia="宋体" w:cs="Times New Roman"/>
                <w:sz w:val="21"/>
                <w:szCs w:val="18"/>
                <w:highlight w:val="none"/>
              </w:rPr>
            </w:pPr>
          </w:p>
        </w:tc>
      </w:tr>
      <w:tr w14:paraId="5C277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 w:type="pct"/>
            <w:shd w:val="clear" w:color="auto" w:fill="FFFFFF"/>
            <w:vAlign w:val="center"/>
          </w:tcPr>
          <w:p w14:paraId="3DDD2633">
            <w:pPr>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4</w:t>
            </w:r>
          </w:p>
        </w:tc>
        <w:tc>
          <w:tcPr>
            <w:tcW w:w="544" w:type="pct"/>
            <w:shd w:val="clear" w:color="auto" w:fill="FFFFFF"/>
            <w:vAlign w:val="center"/>
          </w:tcPr>
          <w:p w14:paraId="680F3AC2">
            <w:pPr>
              <w:outlineLvl w:val="9"/>
              <w:rPr>
                <w:rFonts w:ascii="Times New Roman" w:hAnsi="Times New Roman" w:eastAsia="宋体" w:cs="Times New Roman"/>
                <w:sz w:val="21"/>
                <w:szCs w:val="18"/>
                <w:highlight w:val="none"/>
              </w:rPr>
            </w:pPr>
          </w:p>
        </w:tc>
        <w:tc>
          <w:tcPr>
            <w:tcW w:w="466" w:type="pct"/>
            <w:shd w:val="clear" w:color="auto" w:fill="FFFFFF"/>
            <w:vAlign w:val="center"/>
          </w:tcPr>
          <w:p w14:paraId="2B4E0237">
            <w:pPr>
              <w:outlineLvl w:val="9"/>
              <w:rPr>
                <w:rFonts w:ascii="Times New Roman" w:hAnsi="Times New Roman" w:eastAsia="宋体" w:cs="Times New Roman"/>
                <w:sz w:val="21"/>
                <w:szCs w:val="18"/>
                <w:highlight w:val="none"/>
              </w:rPr>
            </w:pPr>
          </w:p>
        </w:tc>
        <w:tc>
          <w:tcPr>
            <w:tcW w:w="2431" w:type="pct"/>
            <w:shd w:val="clear" w:color="auto" w:fill="FFFFFF"/>
            <w:vAlign w:val="center"/>
          </w:tcPr>
          <w:p w14:paraId="6AB7B45F">
            <w:pPr>
              <w:outlineLvl w:val="9"/>
              <w:rPr>
                <w:rFonts w:ascii="Times New Roman" w:hAnsi="Times New Roman" w:eastAsia="宋体" w:cs="Times New Roman"/>
                <w:sz w:val="21"/>
                <w:szCs w:val="18"/>
                <w:highlight w:val="none"/>
              </w:rPr>
            </w:pPr>
          </w:p>
        </w:tc>
        <w:tc>
          <w:tcPr>
            <w:tcW w:w="268" w:type="pct"/>
            <w:shd w:val="clear" w:color="auto" w:fill="FFFFFF"/>
            <w:vAlign w:val="center"/>
          </w:tcPr>
          <w:p w14:paraId="248F89CA">
            <w:pPr>
              <w:outlineLvl w:val="9"/>
              <w:rPr>
                <w:rFonts w:ascii="Times New Roman" w:hAnsi="Times New Roman" w:eastAsia="宋体" w:cs="Times New Roman"/>
                <w:sz w:val="21"/>
                <w:szCs w:val="18"/>
                <w:highlight w:val="none"/>
              </w:rPr>
            </w:pPr>
          </w:p>
        </w:tc>
        <w:tc>
          <w:tcPr>
            <w:tcW w:w="353" w:type="pct"/>
            <w:shd w:val="clear" w:color="auto" w:fill="FFFFFF"/>
            <w:vAlign w:val="center"/>
          </w:tcPr>
          <w:p w14:paraId="31A5C5BA">
            <w:pPr>
              <w:outlineLvl w:val="9"/>
              <w:rPr>
                <w:rFonts w:ascii="Times New Roman" w:hAnsi="Times New Roman" w:eastAsia="宋体" w:cs="Times New Roman"/>
                <w:sz w:val="21"/>
                <w:szCs w:val="18"/>
                <w:highlight w:val="none"/>
              </w:rPr>
            </w:pPr>
          </w:p>
        </w:tc>
        <w:tc>
          <w:tcPr>
            <w:tcW w:w="668" w:type="pct"/>
            <w:shd w:val="clear" w:color="auto" w:fill="FFFFFF"/>
            <w:vAlign w:val="center"/>
          </w:tcPr>
          <w:p w14:paraId="3F9F4504">
            <w:pPr>
              <w:outlineLvl w:val="9"/>
              <w:rPr>
                <w:rFonts w:ascii="Times New Roman" w:hAnsi="Times New Roman" w:eastAsia="宋体" w:cs="Times New Roman"/>
                <w:sz w:val="21"/>
                <w:szCs w:val="18"/>
                <w:highlight w:val="none"/>
              </w:rPr>
            </w:pPr>
          </w:p>
        </w:tc>
      </w:tr>
      <w:bookmarkEnd w:id="86"/>
    </w:tbl>
    <w:p w14:paraId="4208A9B3">
      <w:pPr>
        <w:spacing w:line="560" w:lineRule="exact"/>
        <w:ind w:firstLine="440" w:firstLineChars="200"/>
        <w:outlineLvl w:val="9"/>
        <w:rPr>
          <w:rFonts w:ascii="Times New Roman" w:hAnsi="Times New Roman" w:eastAsia="宋体" w:cs="Times New Roman"/>
          <w:bCs/>
          <w:sz w:val="22"/>
          <w:szCs w:val="22"/>
          <w:highlight w:val="none"/>
        </w:rPr>
      </w:pPr>
      <w:r>
        <w:rPr>
          <w:rFonts w:ascii="Times New Roman" w:hAnsi="Times New Roman" w:eastAsia="宋体" w:cs="Times New Roman"/>
          <w:bCs/>
          <w:sz w:val="22"/>
          <w:szCs w:val="22"/>
          <w:highlight w:val="none"/>
        </w:rPr>
        <w:t>除主要零部件外，用于联机及控制相关的配套零部件同样包含在配置单内，如插板阀（含控制接口）、波纹管等。</w:t>
      </w:r>
    </w:p>
    <w:p w14:paraId="7445E21D">
      <w:pPr>
        <w:spacing w:line="560" w:lineRule="exact"/>
        <w:ind w:firstLine="440" w:firstLineChars="200"/>
        <w:outlineLvl w:val="9"/>
        <w:rPr>
          <w:rFonts w:ascii="Times New Roman" w:hAnsi="Times New Roman" w:eastAsia="宋体" w:cs="Times New Roman"/>
          <w:bCs/>
          <w:sz w:val="22"/>
          <w:szCs w:val="22"/>
          <w:highlight w:val="none"/>
        </w:rPr>
      </w:pPr>
    </w:p>
    <w:p w14:paraId="6163122A">
      <w:pPr>
        <w:numPr>
          <w:ilvl w:val="0"/>
          <w:numId w:val="5"/>
        </w:numPr>
        <w:spacing w:line="560" w:lineRule="exact"/>
        <w:ind w:hanging="6"/>
        <w:outlineLvl w:val="9"/>
        <w:rPr>
          <w:rFonts w:ascii="Times New Roman" w:hAnsi="Times New Roman" w:eastAsia="宋体" w:cs="Times New Roman"/>
          <w:b/>
          <w:sz w:val="22"/>
          <w:szCs w:val="22"/>
          <w:highlight w:val="none"/>
        </w:rPr>
      </w:pPr>
      <w:r>
        <w:rPr>
          <w:rFonts w:ascii="Times New Roman" w:hAnsi="Times New Roman" w:eastAsia="宋体" w:cs="Times New Roman"/>
          <w:b/>
          <w:sz w:val="22"/>
          <w:szCs w:val="22"/>
          <w:highlight w:val="none"/>
        </w:rPr>
        <w:t>备品备件</w:t>
      </w:r>
    </w:p>
    <w:p w14:paraId="548A21BE">
      <w:pPr>
        <w:spacing w:line="560" w:lineRule="exact"/>
        <w:ind w:firstLine="440" w:firstLineChars="200"/>
        <w:outlineLvl w:val="9"/>
        <w:rPr>
          <w:rFonts w:ascii="Times New Roman" w:hAnsi="Times New Roman" w:eastAsia="宋体" w:cs="Times New Roman"/>
          <w:bCs/>
          <w:sz w:val="22"/>
          <w:szCs w:val="22"/>
          <w:highlight w:val="none"/>
        </w:rPr>
      </w:pPr>
      <w:r>
        <w:rPr>
          <w:rFonts w:ascii="Times New Roman" w:hAnsi="Times New Roman" w:eastAsia="宋体" w:cs="Times New Roman"/>
          <w:bCs/>
          <w:sz w:val="22"/>
          <w:szCs w:val="22"/>
          <w:highlight w:val="none"/>
        </w:rPr>
        <w:t>备品备件及易损件清单：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3177"/>
        <w:gridCol w:w="1218"/>
        <w:gridCol w:w="1152"/>
      </w:tblGrid>
      <w:tr w14:paraId="12D2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39" w:type="dxa"/>
            <w:vAlign w:val="center"/>
          </w:tcPr>
          <w:p w14:paraId="523D45BF">
            <w:pPr>
              <w:widowControl w:val="0"/>
              <w:jc w:val="both"/>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序号</w:t>
            </w:r>
          </w:p>
        </w:tc>
        <w:tc>
          <w:tcPr>
            <w:tcW w:w="3177" w:type="dxa"/>
            <w:vAlign w:val="center"/>
          </w:tcPr>
          <w:p w14:paraId="13A9946B">
            <w:pPr>
              <w:widowControl w:val="0"/>
              <w:jc w:val="both"/>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名称</w:t>
            </w:r>
          </w:p>
        </w:tc>
        <w:tc>
          <w:tcPr>
            <w:tcW w:w="1218" w:type="dxa"/>
            <w:vAlign w:val="center"/>
          </w:tcPr>
          <w:p w14:paraId="6BAF9327">
            <w:pPr>
              <w:widowControl w:val="0"/>
              <w:jc w:val="both"/>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数量</w:t>
            </w:r>
          </w:p>
        </w:tc>
        <w:tc>
          <w:tcPr>
            <w:tcW w:w="1152" w:type="dxa"/>
            <w:vAlign w:val="center"/>
          </w:tcPr>
          <w:p w14:paraId="49AD278B">
            <w:pPr>
              <w:widowControl w:val="0"/>
              <w:jc w:val="both"/>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单位</w:t>
            </w:r>
          </w:p>
        </w:tc>
      </w:tr>
      <w:tr w14:paraId="2635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239" w:type="dxa"/>
            <w:vAlign w:val="center"/>
          </w:tcPr>
          <w:p w14:paraId="3E10C81B">
            <w:pPr>
              <w:widowControl w:val="0"/>
              <w:jc w:val="both"/>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1</w:t>
            </w:r>
          </w:p>
        </w:tc>
        <w:tc>
          <w:tcPr>
            <w:tcW w:w="3177" w:type="dxa"/>
            <w:vAlign w:val="center"/>
          </w:tcPr>
          <w:p w14:paraId="24D979DE">
            <w:pPr>
              <w:widowControl w:val="0"/>
              <w:jc w:val="both"/>
              <w:outlineLvl w:val="9"/>
              <w:rPr>
                <w:rFonts w:ascii="Times New Roman" w:hAnsi="Times New Roman" w:eastAsia="宋体" w:cs="Times New Roman"/>
                <w:sz w:val="21"/>
                <w:szCs w:val="18"/>
                <w:highlight w:val="none"/>
              </w:rPr>
            </w:pPr>
          </w:p>
        </w:tc>
        <w:tc>
          <w:tcPr>
            <w:tcW w:w="1218" w:type="dxa"/>
            <w:vAlign w:val="center"/>
          </w:tcPr>
          <w:p w14:paraId="46250D1E">
            <w:pPr>
              <w:widowControl w:val="0"/>
              <w:jc w:val="both"/>
              <w:outlineLvl w:val="9"/>
              <w:rPr>
                <w:rFonts w:ascii="Times New Roman" w:hAnsi="Times New Roman" w:eastAsia="宋体" w:cs="Times New Roman"/>
                <w:sz w:val="21"/>
                <w:szCs w:val="18"/>
                <w:highlight w:val="none"/>
              </w:rPr>
            </w:pPr>
          </w:p>
        </w:tc>
        <w:tc>
          <w:tcPr>
            <w:tcW w:w="1152" w:type="dxa"/>
            <w:vAlign w:val="center"/>
          </w:tcPr>
          <w:p w14:paraId="16751F14">
            <w:pPr>
              <w:widowControl w:val="0"/>
              <w:jc w:val="both"/>
              <w:outlineLvl w:val="9"/>
              <w:rPr>
                <w:rFonts w:ascii="Times New Roman" w:hAnsi="Times New Roman" w:eastAsia="宋体" w:cs="Times New Roman"/>
                <w:sz w:val="21"/>
                <w:szCs w:val="18"/>
                <w:highlight w:val="none"/>
              </w:rPr>
            </w:pPr>
          </w:p>
        </w:tc>
      </w:tr>
      <w:tr w14:paraId="3FD6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7FD0A3CE">
            <w:pPr>
              <w:widowControl w:val="0"/>
              <w:jc w:val="both"/>
              <w:outlineLvl w:val="9"/>
              <w:rPr>
                <w:rFonts w:ascii="Times New Roman" w:hAnsi="Times New Roman" w:eastAsia="宋体" w:cs="Times New Roman"/>
                <w:sz w:val="21"/>
                <w:szCs w:val="18"/>
                <w:highlight w:val="none"/>
              </w:rPr>
            </w:pPr>
            <w:r>
              <w:rPr>
                <w:rFonts w:ascii="Times New Roman" w:hAnsi="Times New Roman" w:eastAsia="宋体" w:cs="Times New Roman"/>
                <w:sz w:val="21"/>
                <w:szCs w:val="18"/>
                <w:highlight w:val="none"/>
              </w:rPr>
              <w:t>2</w:t>
            </w:r>
          </w:p>
        </w:tc>
        <w:tc>
          <w:tcPr>
            <w:tcW w:w="3177" w:type="dxa"/>
            <w:vAlign w:val="center"/>
          </w:tcPr>
          <w:p w14:paraId="02290063">
            <w:pPr>
              <w:widowControl w:val="0"/>
              <w:jc w:val="both"/>
              <w:outlineLvl w:val="9"/>
              <w:rPr>
                <w:rFonts w:ascii="Times New Roman" w:hAnsi="Times New Roman" w:eastAsia="宋体" w:cs="Times New Roman"/>
                <w:sz w:val="21"/>
                <w:szCs w:val="18"/>
                <w:highlight w:val="none"/>
              </w:rPr>
            </w:pPr>
          </w:p>
        </w:tc>
        <w:tc>
          <w:tcPr>
            <w:tcW w:w="1218" w:type="dxa"/>
            <w:vAlign w:val="center"/>
          </w:tcPr>
          <w:p w14:paraId="7A0094D4">
            <w:pPr>
              <w:widowControl w:val="0"/>
              <w:jc w:val="both"/>
              <w:outlineLvl w:val="9"/>
              <w:rPr>
                <w:rFonts w:ascii="Times New Roman" w:hAnsi="Times New Roman" w:eastAsia="宋体" w:cs="Times New Roman"/>
                <w:sz w:val="21"/>
                <w:szCs w:val="18"/>
                <w:highlight w:val="none"/>
              </w:rPr>
            </w:pPr>
          </w:p>
        </w:tc>
        <w:tc>
          <w:tcPr>
            <w:tcW w:w="1152" w:type="dxa"/>
            <w:vAlign w:val="center"/>
          </w:tcPr>
          <w:p w14:paraId="035A7212">
            <w:pPr>
              <w:widowControl w:val="0"/>
              <w:jc w:val="both"/>
              <w:outlineLvl w:val="9"/>
              <w:rPr>
                <w:rFonts w:ascii="Times New Roman" w:hAnsi="Times New Roman" w:eastAsia="宋体" w:cs="Times New Roman"/>
                <w:sz w:val="21"/>
                <w:szCs w:val="18"/>
                <w:highlight w:val="none"/>
              </w:rPr>
            </w:pPr>
          </w:p>
        </w:tc>
      </w:tr>
      <w:tr w14:paraId="043C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307829CC">
            <w:pPr>
              <w:widowControl w:val="0"/>
              <w:jc w:val="both"/>
              <w:outlineLvl w:val="9"/>
              <w:rPr>
                <w:rFonts w:ascii="Times New Roman" w:hAnsi="Times New Roman" w:eastAsia="宋体" w:cs="Times New Roman"/>
                <w:sz w:val="21"/>
                <w:szCs w:val="18"/>
                <w:highlight w:val="none"/>
              </w:rPr>
            </w:pPr>
          </w:p>
        </w:tc>
        <w:tc>
          <w:tcPr>
            <w:tcW w:w="3177" w:type="dxa"/>
            <w:vAlign w:val="center"/>
          </w:tcPr>
          <w:p w14:paraId="0CE8415E">
            <w:pPr>
              <w:widowControl w:val="0"/>
              <w:jc w:val="both"/>
              <w:outlineLvl w:val="9"/>
              <w:rPr>
                <w:rFonts w:ascii="Times New Roman" w:hAnsi="Times New Roman" w:eastAsia="宋体" w:cs="Times New Roman"/>
                <w:sz w:val="21"/>
                <w:szCs w:val="18"/>
                <w:highlight w:val="none"/>
              </w:rPr>
            </w:pPr>
          </w:p>
        </w:tc>
        <w:tc>
          <w:tcPr>
            <w:tcW w:w="1218" w:type="dxa"/>
            <w:vAlign w:val="center"/>
          </w:tcPr>
          <w:p w14:paraId="452066D9">
            <w:pPr>
              <w:widowControl w:val="0"/>
              <w:jc w:val="both"/>
              <w:outlineLvl w:val="9"/>
              <w:rPr>
                <w:rFonts w:ascii="Times New Roman" w:hAnsi="Times New Roman" w:eastAsia="宋体" w:cs="Times New Roman"/>
                <w:sz w:val="21"/>
                <w:szCs w:val="18"/>
                <w:highlight w:val="none"/>
              </w:rPr>
            </w:pPr>
          </w:p>
        </w:tc>
        <w:tc>
          <w:tcPr>
            <w:tcW w:w="1152" w:type="dxa"/>
            <w:vAlign w:val="center"/>
          </w:tcPr>
          <w:p w14:paraId="0716796A">
            <w:pPr>
              <w:widowControl w:val="0"/>
              <w:jc w:val="both"/>
              <w:outlineLvl w:val="9"/>
              <w:rPr>
                <w:rFonts w:ascii="Times New Roman" w:hAnsi="Times New Roman" w:eastAsia="宋体" w:cs="Times New Roman"/>
                <w:sz w:val="21"/>
                <w:szCs w:val="18"/>
                <w:highlight w:val="none"/>
              </w:rPr>
            </w:pPr>
          </w:p>
        </w:tc>
      </w:tr>
      <w:tr w14:paraId="5672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1FC12D56">
            <w:pPr>
              <w:widowControl w:val="0"/>
              <w:jc w:val="both"/>
              <w:outlineLvl w:val="9"/>
              <w:rPr>
                <w:rFonts w:ascii="Times New Roman" w:hAnsi="Times New Roman" w:eastAsia="宋体" w:cs="Times New Roman"/>
                <w:sz w:val="21"/>
                <w:szCs w:val="18"/>
                <w:highlight w:val="none"/>
              </w:rPr>
            </w:pPr>
          </w:p>
        </w:tc>
        <w:tc>
          <w:tcPr>
            <w:tcW w:w="3177" w:type="dxa"/>
            <w:vAlign w:val="center"/>
          </w:tcPr>
          <w:p w14:paraId="50F4FD6E">
            <w:pPr>
              <w:widowControl w:val="0"/>
              <w:jc w:val="both"/>
              <w:outlineLvl w:val="9"/>
              <w:rPr>
                <w:rFonts w:ascii="Times New Roman" w:hAnsi="Times New Roman" w:eastAsia="宋体" w:cs="Times New Roman"/>
                <w:sz w:val="21"/>
                <w:szCs w:val="18"/>
                <w:highlight w:val="none"/>
              </w:rPr>
            </w:pPr>
          </w:p>
        </w:tc>
        <w:tc>
          <w:tcPr>
            <w:tcW w:w="1218" w:type="dxa"/>
            <w:vAlign w:val="center"/>
          </w:tcPr>
          <w:p w14:paraId="61AB3FD9">
            <w:pPr>
              <w:widowControl w:val="0"/>
              <w:jc w:val="both"/>
              <w:outlineLvl w:val="9"/>
              <w:rPr>
                <w:rFonts w:ascii="Times New Roman" w:hAnsi="Times New Roman" w:eastAsia="宋体" w:cs="Times New Roman"/>
                <w:sz w:val="21"/>
                <w:szCs w:val="18"/>
                <w:highlight w:val="none"/>
              </w:rPr>
            </w:pPr>
          </w:p>
        </w:tc>
        <w:tc>
          <w:tcPr>
            <w:tcW w:w="1152" w:type="dxa"/>
            <w:vAlign w:val="center"/>
          </w:tcPr>
          <w:p w14:paraId="01BD4E57">
            <w:pPr>
              <w:widowControl w:val="0"/>
              <w:jc w:val="both"/>
              <w:outlineLvl w:val="9"/>
              <w:rPr>
                <w:rFonts w:ascii="Times New Roman" w:hAnsi="Times New Roman" w:eastAsia="宋体" w:cs="Times New Roman"/>
                <w:sz w:val="21"/>
                <w:szCs w:val="18"/>
                <w:highlight w:val="none"/>
              </w:rPr>
            </w:pPr>
          </w:p>
        </w:tc>
      </w:tr>
      <w:tr w14:paraId="003D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14B90073">
            <w:pPr>
              <w:widowControl w:val="0"/>
              <w:jc w:val="both"/>
              <w:outlineLvl w:val="9"/>
              <w:rPr>
                <w:rFonts w:ascii="Times New Roman" w:hAnsi="Times New Roman" w:eastAsia="宋体" w:cs="Times New Roman"/>
                <w:sz w:val="21"/>
                <w:szCs w:val="18"/>
                <w:highlight w:val="none"/>
              </w:rPr>
            </w:pPr>
          </w:p>
        </w:tc>
        <w:tc>
          <w:tcPr>
            <w:tcW w:w="3177" w:type="dxa"/>
            <w:vAlign w:val="center"/>
          </w:tcPr>
          <w:p w14:paraId="1852ED3C">
            <w:pPr>
              <w:widowControl w:val="0"/>
              <w:jc w:val="both"/>
              <w:outlineLvl w:val="9"/>
              <w:rPr>
                <w:rFonts w:ascii="Times New Roman" w:hAnsi="Times New Roman" w:eastAsia="宋体" w:cs="Times New Roman"/>
                <w:sz w:val="21"/>
                <w:szCs w:val="18"/>
                <w:highlight w:val="none"/>
              </w:rPr>
            </w:pPr>
          </w:p>
        </w:tc>
        <w:tc>
          <w:tcPr>
            <w:tcW w:w="1218" w:type="dxa"/>
            <w:vAlign w:val="center"/>
          </w:tcPr>
          <w:p w14:paraId="4063C5C7">
            <w:pPr>
              <w:widowControl w:val="0"/>
              <w:jc w:val="both"/>
              <w:outlineLvl w:val="9"/>
              <w:rPr>
                <w:rFonts w:ascii="Times New Roman" w:hAnsi="Times New Roman" w:eastAsia="宋体" w:cs="Times New Roman"/>
                <w:sz w:val="21"/>
                <w:szCs w:val="18"/>
                <w:highlight w:val="none"/>
              </w:rPr>
            </w:pPr>
          </w:p>
        </w:tc>
        <w:tc>
          <w:tcPr>
            <w:tcW w:w="1152" w:type="dxa"/>
            <w:vAlign w:val="center"/>
          </w:tcPr>
          <w:p w14:paraId="4EA738DC">
            <w:pPr>
              <w:widowControl w:val="0"/>
              <w:jc w:val="both"/>
              <w:outlineLvl w:val="9"/>
              <w:rPr>
                <w:rFonts w:ascii="Times New Roman" w:hAnsi="Times New Roman" w:eastAsia="宋体" w:cs="Times New Roman"/>
                <w:sz w:val="21"/>
                <w:szCs w:val="18"/>
                <w:highlight w:val="none"/>
              </w:rPr>
            </w:pPr>
          </w:p>
        </w:tc>
      </w:tr>
      <w:tr w14:paraId="63AE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47F612CD">
            <w:pPr>
              <w:widowControl w:val="0"/>
              <w:jc w:val="both"/>
              <w:outlineLvl w:val="9"/>
              <w:rPr>
                <w:rFonts w:ascii="Times New Roman" w:hAnsi="Times New Roman" w:eastAsia="宋体" w:cs="Times New Roman"/>
                <w:sz w:val="21"/>
                <w:szCs w:val="18"/>
                <w:highlight w:val="none"/>
              </w:rPr>
            </w:pPr>
          </w:p>
        </w:tc>
        <w:tc>
          <w:tcPr>
            <w:tcW w:w="3177" w:type="dxa"/>
            <w:vAlign w:val="center"/>
          </w:tcPr>
          <w:p w14:paraId="463C21B5">
            <w:pPr>
              <w:widowControl w:val="0"/>
              <w:jc w:val="both"/>
              <w:outlineLvl w:val="9"/>
              <w:rPr>
                <w:rFonts w:ascii="Times New Roman" w:hAnsi="Times New Roman" w:eastAsia="宋体" w:cs="Times New Roman"/>
                <w:sz w:val="21"/>
                <w:szCs w:val="18"/>
                <w:highlight w:val="none"/>
              </w:rPr>
            </w:pPr>
          </w:p>
        </w:tc>
        <w:tc>
          <w:tcPr>
            <w:tcW w:w="1218" w:type="dxa"/>
            <w:vAlign w:val="center"/>
          </w:tcPr>
          <w:p w14:paraId="0BE5FFD0">
            <w:pPr>
              <w:widowControl w:val="0"/>
              <w:jc w:val="both"/>
              <w:outlineLvl w:val="9"/>
              <w:rPr>
                <w:rFonts w:ascii="Times New Roman" w:hAnsi="Times New Roman" w:eastAsia="宋体" w:cs="Times New Roman"/>
                <w:sz w:val="21"/>
                <w:szCs w:val="18"/>
                <w:highlight w:val="none"/>
              </w:rPr>
            </w:pPr>
          </w:p>
        </w:tc>
        <w:tc>
          <w:tcPr>
            <w:tcW w:w="1152" w:type="dxa"/>
            <w:vAlign w:val="center"/>
          </w:tcPr>
          <w:p w14:paraId="119386FD">
            <w:pPr>
              <w:widowControl w:val="0"/>
              <w:jc w:val="both"/>
              <w:outlineLvl w:val="9"/>
              <w:rPr>
                <w:rFonts w:ascii="Times New Roman" w:hAnsi="Times New Roman" w:eastAsia="宋体" w:cs="Times New Roman"/>
                <w:sz w:val="21"/>
                <w:szCs w:val="18"/>
                <w:highlight w:val="none"/>
              </w:rPr>
            </w:pPr>
          </w:p>
        </w:tc>
      </w:tr>
      <w:tr w14:paraId="7F71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2F445583">
            <w:pPr>
              <w:widowControl w:val="0"/>
              <w:jc w:val="both"/>
              <w:outlineLvl w:val="9"/>
              <w:rPr>
                <w:rFonts w:ascii="Times New Roman" w:hAnsi="Times New Roman" w:eastAsia="宋体" w:cs="Times New Roman"/>
                <w:sz w:val="21"/>
                <w:szCs w:val="18"/>
                <w:highlight w:val="none"/>
              </w:rPr>
            </w:pPr>
          </w:p>
        </w:tc>
        <w:tc>
          <w:tcPr>
            <w:tcW w:w="3177" w:type="dxa"/>
            <w:vAlign w:val="center"/>
          </w:tcPr>
          <w:p w14:paraId="6B91432D">
            <w:pPr>
              <w:widowControl w:val="0"/>
              <w:jc w:val="both"/>
              <w:outlineLvl w:val="9"/>
              <w:rPr>
                <w:rFonts w:ascii="Times New Roman" w:hAnsi="Times New Roman" w:eastAsia="宋体" w:cs="Times New Roman"/>
                <w:sz w:val="21"/>
                <w:szCs w:val="18"/>
                <w:highlight w:val="none"/>
              </w:rPr>
            </w:pPr>
          </w:p>
        </w:tc>
        <w:tc>
          <w:tcPr>
            <w:tcW w:w="1218" w:type="dxa"/>
            <w:vAlign w:val="center"/>
          </w:tcPr>
          <w:p w14:paraId="3ECB0537">
            <w:pPr>
              <w:widowControl w:val="0"/>
              <w:jc w:val="both"/>
              <w:outlineLvl w:val="9"/>
              <w:rPr>
                <w:rFonts w:ascii="Times New Roman" w:hAnsi="Times New Roman" w:eastAsia="宋体" w:cs="Times New Roman"/>
                <w:sz w:val="21"/>
                <w:szCs w:val="18"/>
                <w:highlight w:val="none"/>
              </w:rPr>
            </w:pPr>
          </w:p>
        </w:tc>
        <w:tc>
          <w:tcPr>
            <w:tcW w:w="1152" w:type="dxa"/>
            <w:vAlign w:val="center"/>
          </w:tcPr>
          <w:p w14:paraId="0D93F02A">
            <w:pPr>
              <w:widowControl w:val="0"/>
              <w:jc w:val="both"/>
              <w:outlineLvl w:val="9"/>
              <w:rPr>
                <w:rFonts w:ascii="Times New Roman" w:hAnsi="Times New Roman" w:eastAsia="宋体" w:cs="Times New Roman"/>
                <w:sz w:val="21"/>
                <w:szCs w:val="18"/>
                <w:highlight w:val="none"/>
              </w:rPr>
            </w:pPr>
          </w:p>
        </w:tc>
      </w:tr>
      <w:tr w14:paraId="1AC7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377BED0B">
            <w:pPr>
              <w:widowControl w:val="0"/>
              <w:jc w:val="both"/>
              <w:outlineLvl w:val="9"/>
              <w:rPr>
                <w:rFonts w:ascii="Times New Roman" w:hAnsi="Times New Roman" w:eastAsia="宋体" w:cs="Times New Roman"/>
                <w:sz w:val="21"/>
                <w:szCs w:val="18"/>
                <w:highlight w:val="none"/>
              </w:rPr>
            </w:pPr>
          </w:p>
        </w:tc>
        <w:tc>
          <w:tcPr>
            <w:tcW w:w="3177" w:type="dxa"/>
            <w:vAlign w:val="center"/>
          </w:tcPr>
          <w:p w14:paraId="28418BA6">
            <w:pPr>
              <w:widowControl w:val="0"/>
              <w:jc w:val="both"/>
              <w:outlineLvl w:val="9"/>
              <w:rPr>
                <w:rFonts w:ascii="Times New Roman" w:hAnsi="Times New Roman" w:eastAsia="宋体" w:cs="Times New Roman"/>
                <w:sz w:val="21"/>
                <w:szCs w:val="18"/>
                <w:highlight w:val="none"/>
              </w:rPr>
            </w:pPr>
          </w:p>
        </w:tc>
        <w:tc>
          <w:tcPr>
            <w:tcW w:w="1218" w:type="dxa"/>
            <w:vAlign w:val="center"/>
          </w:tcPr>
          <w:p w14:paraId="7597322C">
            <w:pPr>
              <w:widowControl w:val="0"/>
              <w:jc w:val="both"/>
              <w:outlineLvl w:val="9"/>
              <w:rPr>
                <w:rFonts w:ascii="Times New Roman" w:hAnsi="Times New Roman" w:eastAsia="宋体" w:cs="Times New Roman"/>
                <w:sz w:val="21"/>
                <w:szCs w:val="18"/>
                <w:highlight w:val="none"/>
              </w:rPr>
            </w:pPr>
          </w:p>
        </w:tc>
        <w:tc>
          <w:tcPr>
            <w:tcW w:w="1152" w:type="dxa"/>
            <w:vAlign w:val="center"/>
          </w:tcPr>
          <w:p w14:paraId="446CBE24">
            <w:pPr>
              <w:widowControl w:val="0"/>
              <w:jc w:val="both"/>
              <w:outlineLvl w:val="9"/>
              <w:rPr>
                <w:rFonts w:ascii="Times New Roman" w:hAnsi="Times New Roman" w:eastAsia="宋体" w:cs="Times New Roman"/>
                <w:sz w:val="21"/>
                <w:szCs w:val="18"/>
                <w:highlight w:val="none"/>
              </w:rPr>
            </w:pPr>
          </w:p>
        </w:tc>
      </w:tr>
      <w:tr w14:paraId="2D2E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698EFE55">
            <w:pPr>
              <w:widowControl w:val="0"/>
              <w:jc w:val="both"/>
              <w:outlineLvl w:val="9"/>
              <w:rPr>
                <w:rFonts w:ascii="Times New Roman" w:hAnsi="Times New Roman" w:eastAsia="宋体" w:cs="Times New Roman"/>
                <w:sz w:val="21"/>
                <w:szCs w:val="18"/>
                <w:highlight w:val="none"/>
              </w:rPr>
            </w:pPr>
          </w:p>
        </w:tc>
        <w:tc>
          <w:tcPr>
            <w:tcW w:w="3177" w:type="dxa"/>
            <w:vAlign w:val="center"/>
          </w:tcPr>
          <w:p w14:paraId="2DC0057B">
            <w:pPr>
              <w:widowControl w:val="0"/>
              <w:jc w:val="both"/>
              <w:outlineLvl w:val="9"/>
              <w:rPr>
                <w:rFonts w:ascii="Times New Roman" w:hAnsi="Times New Roman" w:eastAsia="宋体" w:cs="Times New Roman"/>
                <w:sz w:val="21"/>
                <w:szCs w:val="18"/>
                <w:highlight w:val="none"/>
              </w:rPr>
            </w:pPr>
          </w:p>
        </w:tc>
        <w:tc>
          <w:tcPr>
            <w:tcW w:w="1218" w:type="dxa"/>
            <w:vAlign w:val="center"/>
          </w:tcPr>
          <w:p w14:paraId="3A9F0A2A">
            <w:pPr>
              <w:widowControl w:val="0"/>
              <w:jc w:val="both"/>
              <w:outlineLvl w:val="9"/>
              <w:rPr>
                <w:rFonts w:ascii="Times New Roman" w:hAnsi="Times New Roman" w:eastAsia="宋体" w:cs="Times New Roman"/>
                <w:sz w:val="21"/>
                <w:szCs w:val="18"/>
                <w:highlight w:val="none"/>
              </w:rPr>
            </w:pPr>
          </w:p>
        </w:tc>
        <w:tc>
          <w:tcPr>
            <w:tcW w:w="1152" w:type="dxa"/>
            <w:vAlign w:val="center"/>
          </w:tcPr>
          <w:p w14:paraId="0255B5DE">
            <w:pPr>
              <w:widowControl w:val="0"/>
              <w:jc w:val="both"/>
              <w:outlineLvl w:val="9"/>
              <w:rPr>
                <w:rFonts w:ascii="Times New Roman" w:hAnsi="Times New Roman" w:eastAsia="宋体" w:cs="Times New Roman"/>
                <w:sz w:val="21"/>
                <w:szCs w:val="18"/>
                <w:highlight w:val="none"/>
              </w:rPr>
            </w:pPr>
          </w:p>
        </w:tc>
      </w:tr>
      <w:tr w14:paraId="421A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748F31A6">
            <w:pPr>
              <w:widowControl w:val="0"/>
              <w:jc w:val="both"/>
              <w:outlineLvl w:val="9"/>
              <w:rPr>
                <w:rFonts w:ascii="Times New Roman" w:hAnsi="Times New Roman" w:eastAsia="宋体" w:cs="Times New Roman"/>
                <w:sz w:val="21"/>
                <w:szCs w:val="18"/>
                <w:highlight w:val="none"/>
              </w:rPr>
            </w:pPr>
          </w:p>
        </w:tc>
        <w:tc>
          <w:tcPr>
            <w:tcW w:w="3177" w:type="dxa"/>
            <w:vAlign w:val="center"/>
          </w:tcPr>
          <w:p w14:paraId="3470AF75">
            <w:pPr>
              <w:widowControl w:val="0"/>
              <w:jc w:val="both"/>
              <w:outlineLvl w:val="9"/>
              <w:rPr>
                <w:rFonts w:ascii="Times New Roman" w:hAnsi="Times New Roman" w:eastAsia="宋体" w:cs="Times New Roman"/>
                <w:sz w:val="21"/>
                <w:szCs w:val="18"/>
                <w:highlight w:val="none"/>
              </w:rPr>
            </w:pPr>
          </w:p>
        </w:tc>
        <w:tc>
          <w:tcPr>
            <w:tcW w:w="1218" w:type="dxa"/>
            <w:vAlign w:val="center"/>
          </w:tcPr>
          <w:p w14:paraId="6207E29C">
            <w:pPr>
              <w:widowControl w:val="0"/>
              <w:jc w:val="both"/>
              <w:outlineLvl w:val="9"/>
              <w:rPr>
                <w:rFonts w:ascii="Times New Roman" w:hAnsi="Times New Roman" w:eastAsia="宋体" w:cs="Times New Roman"/>
                <w:sz w:val="21"/>
                <w:szCs w:val="18"/>
                <w:highlight w:val="none"/>
              </w:rPr>
            </w:pPr>
          </w:p>
        </w:tc>
        <w:tc>
          <w:tcPr>
            <w:tcW w:w="1152" w:type="dxa"/>
            <w:vAlign w:val="center"/>
          </w:tcPr>
          <w:p w14:paraId="638D62F8">
            <w:pPr>
              <w:widowControl w:val="0"/>
              <w:jc w:val="both"/>
              <w:outlineLvl w:val="9"/>
              <w:rPr>
                <w:rFonts w:ascii="Times New Roman" w:hAnsi="Times New Roman" w:eastAsia="宋体" w:cs="Times New Roman"/>
                <w:sz w:val="21"/>
                <w:szCs w:val="18"/>
                <w:highlight w:val="none"/>
              </w:rPr>
            </w:pPr>
          </w:p>
        </w:tc>
      </w:tr>
      <w:tr w14:paraId="43F3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39" w:type="dxa"/>
            <w:vAlign w:val="center"/>
          </w:tcPr>
          <w:p w14:paraId="69EC67C3">
            <w:pPr>
              <w:widowControl w:val="0"/>
              <w:jc w:val="both"/>
              <w:outlineLvl w:val="9"/>
              <w:rPr>
                <w:rFonts w:ascii="Times New Roman" w:hAnsi="Times New Roman" w:eastAsia="宋体" w:cs="Times New Roman"/>
                <w:sz w:val="21"/>
                <w:szCs w:val="18"/>
                <w:highlight w:val="none"/>
              </w:rPr>
            </w:pPr>
          </w:p>
        </w:tc>
        <w:tc>
          <w:tcPr>
            <w:tcW w:w="3177" w:type="dxa"/>
            <w:vAlign w:val="center"/>
          </w:tcPr>
          <w:p w14:paraId="2D55895F">
            <w:pPr>
              <w:widowControl w:val="0"/>
              <w:jc w:val="both"/>
              <w:outlineLvl w:val="9"/>
              <w:rPr>
                <w:rFonts w:ascii="Times New Roman" w:hAnsi="Times New Roman" w:eastAsia="宋体" w:cs="Times New Roman"/>
                <w:sz w:val="21"/>
                <w:szCs w:val="18"/>
                <w:highlight w:val="none"/>
              </w:rPr>
            </w:pPr>
          </w:p>
        </w:tc>
        <w:tc>
          <w:tcPr>
            <w:tcW w:w="1218" w:type="dxa"/>
            <w:vAlign w:val="center"/>
          </w:tcPr>
          <w:p w14:paraId="4583B9B5">
            <w:pPr>
              <w:widowControl w:val="0"/>
              <w:jc w:val="both"/>
              <w:outlineLvl w:val="9"/>
              <w:rPr>
                <w:rFonts w:ascii="Times New Roman" w:hAnsi="Times New Roman" w:eastAsia="宋体" w:cs="Times New Roman"/>
                <w:sz w:val="21"/>
                <w:szCs w:val="18"/>
                <w:highlight w:val="none"/>
              </w:rPr>
            </w:pPr>
          </w:p>
        </w:tc>
        <w:tc>
          <w:tcPr>
            <w:tcW w:w="1152" w:type="dxa"/>
            <w:vAlign w:val="center"/>
          </w:tcPr>
          <w:p w14:paraId="6978376F">
            <w:pPr>
              <w:widowControl w:val="0"/>
              <w:jc w:val="both"/>
              <w:outlineLvl w:val="9"/>
              <w:rPr>
                <w:rFonts w:ascii="Times New Roman" w:hAnsi="Times New Roman" w:eastAsia="宋体" w:cs="Times New Roman"/>
                <w:sz w:val="21"/>
                <w:szCs w:val="18"/>
                <w:highlight w:val="none"/>
              </w:rPr>
            </w:pPr>
          </w:p>
        </w:tc>
      </w:tr>
    </w:tbl>
    <w:p w14:paraId="7A77B14A">
      <w:pPr>
        <w:numPr>
          <w:ilvl w:val="0"/>
          <w:numId w:val="5"/>
        </w:numPr>
        <w:spacing w:line="560" w:lineRule="exact"/>
        <w:ind w:hanging="6"/>
        <w:outlineLvl w:val="9"/>
        <w:rPr>
          <w:rFonts w:ascii="Times New Roman" w:hAnsi="Times New Roman" w:eastAsia="宋体" w:cs="Times New Roman"/>
          <w:b/>
          <w:sz w:val="22"/>
          <w:szCs w:val="22"/>
          <w:highlight w:val="none"/>
        </w:rPr>
      </w:pPr>
      <w:r>
        <w:rPr>
          <w:rFonts w:hint="eastAsia" w:ascii="Times New Roman" w:hAnsi="Times New Roman" w:eastAsia="宋体" w:cs="Times New Roman"/>
          <w:b/>
          <w:sz w:val="22"/>
          <w:szCs w:val="22"/>
          <w:highlight w:val="none"/>
        </w:rPr>
        <w:t>成果交付</w:t>
      </w:r>
      <w:r>
        <w:rPr>
          <w:rFonts w:ascii="Times New Roman" w:hAnsi="Times New Roman" w:eastAsia="宋体" w:cs="Times New Roman"/>
          <w:b/>
          <w:sz w:val="22"/>
          <w:szCs w:val="22"/>
          <w:highlight w:val="none"/>
        </w:rPr>
        <w:t>形式</w:t>
      </w:r>
    </w:p>
    <w:p w14:paraId="5CD960DD">
      <w:pPr>
        <w:spacing w:line="560" w:lineRule="exact"/>
        <w:ind w:firstLine="440" w:firstLineChars="200"/>
        <w:outlineLvl w:val="9"/>
        <w:rPr>
          <w:rFonts w:ascii="Times New Roman" w:hAnsi="Times New Roman" w:eastAsia="宋体" w:cs="Times New Roman"/>
          <w:bCs/>
          <w:sz w:val="22"/>
          <w:szCs w:val="22"/>
          <w:highlight w:val="none"/>
        </w:rPr>
      </w:pPr>
      <w:r>
        <w:rPr>
          <w:rFonts w:ascii="Times New Roman" w:hAnsi="Times New Roman" w:eastAsia="宋体" w:cs="Times New Roman"/>
          <w:bCs/>
          <w:sz w:val="22"/>
          <w:szCs w:val="22"/>
          <w:highlight w:val="none"/>
        </w:rPr>
        <w:t>以列表形式给出，除了以“（如有）”字样外，其他内容为必须提交项目。每个项目根据设备的不同及合同中约定的时间，按照自定的时间点提交。</w:t>
      </w:r>
    </w:p>
    <w:p w14:paraId="1A65D73A">
      <w:pPr>
        <w:spacing w:line="560" w:lineRule="exact"/>
        <w:ind w:firstLine="440" w:firstLineChars="200"/>
        <w:outlineLvl w:val="9"/>
        <w:rPr>
          <w:rFonts w:ascii="Times New Roman" w:hAnsi="Times New Roman" w:eastAsia="宋体" w:cs="Times New Roman"/>
          <w:bCs/>
          <w:sz w:val="22"/>
          <w:szCs w:val="22"/>
          <w:highlight w:val="none"/>
        </w:rPr>
      </w:pPr>
      <w:r>
        <w:rPr>
          <w:rFonts w:ascii="Times New Roman" w:hAnsi="Times New Roman" w:eastAsia="宋体" w:cs="Times New Roman"/>
          <w:bCs/>
          <w:sz w:val="22"/>
          <w:szCs w:val="22"/>
          <w:highlight w:val="none"/>
        </w:rPr>
        <w:t>（1）文档交付清单</w:t>
      </w:r>
    </w:p>
    <w:tbl>
      <w:tblPr>
        <w:tblStyle w:val="3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6579"/>
      </w:tblGrid>
      <w:tr w14:paraId="65CF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4FFE96D9">
            <w:pPr>
              <w:ind w:left="0" w:firstLine="0"/>
              <w:jc w:val="center"/>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序号</w:t>
            </w:r>
          </w:p>
        </w:tc>
        <w:tc>
          <w:tcPr>
            <w:tcW w:w="6870" w:type="dxa"/>
            <w:vAlign w:val="center"/>
          </w:tcPr>
          <w:p w14:paraId="74EDE74F">
            <w:pPr>
              <w:ind w:left="0" w:firstLine="0"/>
              <w:jc w:val="both"/>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文件资料名称</w:t>
            </w:r>
          </w:p>
        </w:tc>
      </w:tr>
      <w:tr w14:paraId="0306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259" w:type="dxa"/>
            <w:vAlign w:val="center"/>
          </w:tcPr>
          <w:p w14:paraId="6BE48864">
            <w:pPr>
              <w:ind w:left="0" w:firstLine="0"/>
              <w:jc w:val="center"/>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一</w:t>
            </w:r>
          </w:p>
        </w:tc>
        <w:tc>
          <w:tcPr>
            <w:tcW w:w="6870" w:type="dxa"/>
            <w:vAlign w:val="center"/>
          </w:tcPr>
          <w:p w14:paraId="395167C1">
            <w:pPr>
              <w:ind w:left="0" w:firstLine="0"/>
              <w:jc w:val="both"/>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合同签订后提交</w:t>
            </w:r>
            <w:r>
              <w:rPr>
                <w:rFonts w:hint="eastAsia" w:ascii="Times New Roman" w:hAnsi="Times New Roman" w:eastAsia="宋体" w:cs="Times New Roman"/>
                <w:b/>
                <w:bCs/>
                <w:kern w:val="0"/>
                <w:sz w:val="18"/>
                <w:szCs w:val="18"/>
                <w:highlight w:val="none"/>
              </w:rPr>
              <w:t>（合同签订1</w:t>
            </w:r>
            <w:r>
              <w:rPr>
                <w:rFonts w:ascii="Times New Roman" w:hAnsi="Times New Roman" w:eastAsia="宋体" w:cs="Times New Roman"/>
                <w:b/>
                <w:bCs/>
                <w:kern w:val="0"/>
                <w:sz w:val="18"/>
                <w:szCs w:val="18"/>
                <w:highlight w:val="none"/>
              </w:rPr>
              <w:t>0</w:t>
            </w:r>
            <w:r>
              <w:rPr>
                <w:rFonts w:hint="eastAsia" w:ascii="Times New Roman" w:hAnsi="Times New Roman" w:eastAsia="宋体" w:cs="Times New Roman"/>
                <w:b/>
                <w:bCs/>
                <w:kern w:val="0"/>
                <w:sz w:val="18"/>
                <w:szCs w:val="18"/>
                <w:highlight w:val="none"/>
              </w:rPr>
              <w:t>日历日）</w:t>
            </w:r>
          </w:p>
        </w:tc>
      </w:tr>
      <w:tr w14:paraId="63D6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1D466CB3">
            <w:pPr>
              <w:ind w:left="0" w:firstLine="0"/>
              <w:jc w:val="center"/>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1</w:t>
            </w:r>
          </w:p>
        </w:tc>
        <w:tc>
          <w:tcPr>
            <w:tcW w:w="6870" w:type="dxa"/>
            <w:vAlign w:val="center"/>
          </w:tcPr>
          <w:p w14:paraId="31C4BEC3">
            <w:pPr>
              <w:ind w:left="0" w:firstLine="0"/>
              <w:jc w:val="both"/>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加工制造</w:t>
            </w:r>
            <w:r>
              <w:rPr>
                <w:rFonts w:ascii="Times New Roman" w:hAnsi="Times New Roman" w:eastAsia="宋体" w:cs="Times New Roman"/>
                <w:kern w:val="0"/>
                <w:sz w:val="18"/>
                <w:szCs w:val="18"/>
                <w:highlight w:val="none"/>
              </w:rPr>
              <w:t>实施方案</w:t>
            </w:r>
          </w:p>
        </w:tc>
      </w:tr>
      <w:tr w14:paraId="016C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32F1F764">
            <w:pPr>
              <w:ind w:left="0" w:firstLine="0"/>
              <w:jc w:val="center"/>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二</w:t>
            </w:r>
          </w:p>
        </w:tc>
        <w:tc>
          <w:tcPr>
            <w:tcW w:w="6870" w:type="dxa"/>
            <w:vAlign w:val="center"/>
          </w:tcPr>
          <w:p w14:paraId="07AC8B67">
            <w:pPr>
              <w:ind w:left="0" w:firstLine="0"/>
              <w:jc w:val="both"/>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详细设计</w:t>
            </w:r>
            <w:r>
              <w:rPr>
                <w:rFonts w:hint="eastAsia" w:ascii="Times New Roman" w:hAnsi="Times New Roman" w:eastAsia="宋体" w:cs="Times New Roman"/>
                <w:b/>
                <w:bCs/>
                <w:kern w:val="0"/>
                <w:sz w:val="18"/>
                <w:szCs w:val="18"/>
                <w:highlight w:val="none"/>
              </w:rPr>
              <w:t>输出文件</w:t>
            </w:r>
            <w:r>
              <w:rPr>
                <w:rFonts w:ascii="Times New Roman" w:hAnsi="Times New Roman" w:eastAsia="宋体" w:cs="Times New Roman"/>
                <w:b/>
                <w:bCs/>
                <w:kern w:val="0"/>
                <w:sz w:val="18"/>
                <w:szCs w:val="18"/>
                <w:highlight w:val="none"/>
              </w:rPr>
              <w:t>提交</w:t>
            </w:r>
            <w:r>
              <w:rPr>
                <w:rFonts w:hint="eastAsia" w:ascii="Times New Roman" w:hAnsi="Times New Roman" w:eastAsia="宋体" w:cs="Times New Roman"/>
                <w:b/>
                <w:bCs/>
                <w:kern w:val="0"/>
                <w:sz w:val="18"/>
                <w:szCs w:val="18"/>
                <w:highlight w:val="none"/>
              </w:rPr>
              <w:t>（合同签订</w:t>
            </w:r>
            <w:r>
              <w:rPr>
                <w:rFonts w:ascii="Times New Roman" w:hAnsi="Times New Roman" w:eastAsia="宋体" w:cs="Times New Roman"/>
                <w:b/>
                <w:bCs/>
                <w:kern w:val="0"/>
                <w:sz w:val="18"/>
                <w:szCs w:val="18"/>
                <w:highlight w:val="none"/>
              </w:rPr>
              <w:t>30</w:t>
            </w:r>
            <w:r>
              <w:rPr>
                <w:rFonts w:hint="eastAsia" w:ascii="Times New Roman" w:hAnsi="Times New Roman" w:eastAsia="宋体" w:cs="Times New Roman"/>
                <w:b/>
                <w:bCs/>
                <w:kern w:val="0"/>
                <w:sz w:val="18"/>
                <w:szCs w:val="18"/>
                <w:highlight w:val="none"/>
              </w:rPr>
              <w:t>日历日）</w:t>
            </w:r>
          </w:p>
        </w:tc>
      </w:tr>
      <w:tr w14:paraId="171E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259" w:type="dxa"/>
            <w:vAlign w:val="center"/>
          </w:tcPr>
          <w:p w14:paraId="3E666D0E">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p>
        </w:tc>
        <w:tc>
          <w:tcPr>
            <w:tcW w:w="6870" w:type="dxa"/>
            <w:vAlign w:val="center"/>
          </w:tcPr>
          <w:p w14:paraId="7A7289D3">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详细设计报告（含工程设计图纸）</w:t>
            </w:r>
          </w:p>
        </w:tc>
      </w:tr>
      <w:tr w14:paraId="078F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03E99A4F">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p>
        </w:tc>
        <w:tc>
          <w:tcPr>
            <w:tcW w:w="6870" w:type="dxa"/>
            <w:vAlign w:val="center"/>
          </w:tcPr>
          <w:p w14:paraId="33D182B2">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零部件明细表</w:t>
            </w:r>
          </w:p>
        </w:tc>
      </w:tr>
      <w:tr w14:paraId="5B04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26B0E71F">
            <w:pPr>
              <w:ind w:left="840" w:hanging="42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4</w:t>
            </w:r>
          </w:p>
        </w:tc>
        <w:tc>
          <w:tcPr>
            <w:tcW w:w="6870" w:type="dxa"/>
            <w:vAlign w:val="center"/>
          </w:tcPr>
          <w:p w14:paraId="6B9F581E">
            <w:pPr>
              <w:ind w:left="0" w:firstLine="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8"/>
                <w:szCs w:val="18"/>
                <w:highlight w:val="none"/>
              </w:rPr>
              <w:t>验收大纲</w:t>
            </w:r>
          </w:p>
        </w:tc>
      </w:tr>
      <w:tr w14:paraId="5C12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31F618FE">
            <w:pPr>
              <w:ind w:left="840" w:hanging="42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5</w:t>
            </w:r>
          </w:p>
        </w:tc>
        <w:tc>
          <w:tcPr>
            <w:tcW w:w="6870" w:type="dxa"/>
            <w:vAlign w:val="center"/>
          </w:tcPr>
          <w:p w14:paraId="49299A52">
            <w:pPr>
              <w:ind w:left="0" w:firstLine="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8"/>
                <w:szCs w:val="18"/>
                <w:highlight w:val="none"/>
              </w:rPr>
              <w:t>经济性分析报告</w:t>
            </w:r>
          </w:p>
        </w:tc>
      </w:tr>
      <w:tr w14:paraId="553E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3CCAE75E">
            <w:pPr>
              <w:ind w:left="840" w:hanging="420"/>
              <w:jc w:val="both"/>
              <w:outlineLvl w:val="9"/>
              <w:rPr>
                <w:rFonts w:ascii="Times New Roman" w:hAnsi="Times New Roman" w:eastAsia="宋体" w:cs="Times New Roman"/>
                <w:b/>
                <w:kern w:val="0"/>
                <w:sz w:val="16"/>
                <w:szCs w:val="18"/>
                <w:highlight w:val="none"/>
              </w:rPr>
            </w:pPr>
            <w:r>
              <w:rPr>
                <w:rFonts w:ascii="Times New Roman" w:hAnsi="Times New Roman" w:eastAsia="宋体" w:cs="Times New Roman"/>
                <w:b/>
                <w:bCs/>
                <w:kern w:val="0"/>
                <w:sz w:val="18"/>
                <w:szCs w:val="18"/>
                <w:highlight w:val="none"/>
              </w:rPr>
              <w:t>三</w:t>
            </w:r>
          </w:p>
        </w:tc>
        <w:tc>
          <w:tcPr>
            <w:tcW w:w="6870" w:type="dxa"/>
            <w:vAlign w:val="center"/>
          </w:tcPr>
          <w:p w14:paraId="4F1AE135">
            <w:pPr>
              <w:ind w:left="0" w:firstLine="0"/>
              <w:jc w:val="both"/>
              <w:outlineLvl w:val="9"/>
              <w:rPr>
                <w:rFonts w:ascii="Times New Roman" w:hAnsi="Times New Roman" w:eastAsia="宋体" w:cs="Times New Roman"/>
                <w:kern w:val="0"/>
                <w:sz w:val="16"/>
                <w:szCs w:val="18"/>
                <w:highlight w:val="none"/>
              </w:rPr>
            </w:pPr>
            <w:r>
              <w:rPr>
                <w:rFonts w:ascii="Times New Roman" w:hAnsi="Times New Roman" w:eastAsia="宋体" w:cs="Times New Roman"/>
                <w:b/>
                <w:bCs/>
                <w:kern w:val="0"/>
                <w:sz w:val="18"/>
                <w:szCs w:val="18"/>
                <w:highlight w:val="none"/>
              </w:rPr>
              <w:t>研制生产过程中提交</w:t>
            </w:r>
          </w:p>
        </w:tc>
      </w:tr>
      <w:tr w14:paraId="6C48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586CE68C">
            <w:pPr>
              <w:ind w:left="840" w:hanging="42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6</w:t>
            </w:r>
          </w:p>
        </w:tc>
        <w:tc>
          <w:tcPr>
            <w:tcW w:w="6870" w:type="dxa"/>
            <w:vAlign w:val="center"/>
          </w:tcPr>
          <w:p w14:paraId="64D57727">
            <w:pPr>
              <w:ind w:left="0" w:firstLine="0"/>
              <w:jc w:val="both"/>
              <w:outlineLvl w:val="9"/>
              <w:rPr>
                <w:rFonts w:ascii="Times New Roman" w:hAnsi="Times New Roman" w:eastAsia="宋体" w:cs="Times New Roman"/>
                <w:kern w:val="0"/>
                <w:sz w:val="16"/>
                <w:szCs w:val="18"/>
                <w:highlight w:val="none"/>
              </w:rPr>
            </w:pPr>
            <w:r>
              <w:rPr>
                <w:rFonts w:ascii="Times New Roman" w:hAnsi="Times New Roman" w:eastAsia="宋体" w:cs="Times New Roman"/>
                <w:kern w:val="0"/>
                <w:sz w:val="18"/>
                <w:szCs w:val="18"/>
                <w:highlight w:val="none"/>
              </w:rPr>
              <w:t>加工制造过程系列文件（</w:t>
            </w:r>
            <w:r>
              <w:rPr>
                <w:rFonts w:hint="eastAsia" w:ascii="Times New Roman" w:hAnsi="Times New Roman" w:eastAsia="宋体" w:cs="Times New Roman"/>
                <w:kern w:val="0"/>
                <w:sz w:val="18"/>
                <w:szCs w:val="18"/>
                <w:highlight w:val="none"/>
              </w:rPr>
              <w:t>节点文件、</w:t>
            </w:r>
            <w:r>
              <w:rPr>
                <w:rFonts w:ascii="Times New Roman" w:hAnsi="Times New Roman" w:eastAsia="宋体" w:cs="Times New Roman"/>
                <w:kern w:val="0"/>
                <w:sz w:val="18"/>
                <w:szCs w:val="18"/>
                <w:highlight w:val="none"/>
              </w:rPr>
              <w:t>阶段测试报告、总结、变更记录等）</w:t>
            </w:r>
          </w:p>
        </w:tc>
      </w:tr>
      <w:tr w14:paraId="2C8E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6039D11D">
            <w:pPr>
              <w:ind w:left="840" w:hanging="420"/>
              <w:jc w:val="both"/>
              <w:outlineLvl w:val="9"/>
              <w:rPr>
                <w:rFonts w:ascii="Times New Roman" w:hAnsi="Times New Roman" w:eastAsia="宋体" w:cs="Times New Roman"/>
                <w:kern w:val="0"/>
                <w:sz w:val="16"/>
                <w:szCs w:val="18"/>
                <w:highlight w:val="none"/>
              </w:rPr>
            </w:pPr>
            <w:r>
              <w:rPr>
                <w:rFonts w:ascii="Times New Roman" w:hAnsi="Times New Roman" w:eastAsia="宋体" w:cs="Times New Roman"/>
                <w:b/>
                <w:bCs/>
                <w:kern w:val="0"/>
                <w:sz w:val="18"/>
                <w:szCs w:val="18"/>
                <w:highlight w:val="none"/>
              </w:rPr>
              <w:t>四</w:t>
            </w:r>
          </w:p>
        </w:tc>
        <w:tc>
          <w:tcPr>
            <w:tcW w:w="6870" w:type="dxa"/>
            <w:vAlign w:val="center"/>
          </w:tcPr>
          <w:p w14:paraId="251833FB">
            <w:pPr>
              <w:ind w:left="0" w:firstLine="0"/>
              <w:jc w:val="both"/>
              <w:outlineLvl w:val="9"/>
              <w:rPr>
                <w:rFonts w:ascii="Times New Roman" w:hAnsi="Times New Roman" w:eastAsia="宋体" w:cs="Times New Roman"/>
                <w:kern w:val="0"/>
                <w:sz w:val="16"/>
                <w:szCs w:val="18"/>
                <w:highlight w:val="none"/>
              </w:rPr>
            </w:pPr>
            <w:r>
              <w:rPr>
                <w:rFonts w:ascii="Times New Roman" w:hAnsi="Times New Roman" w:eastAsia="宋体" w:cs="Times New Roman"/>
                <w:b/>
                <w:bCs/>
                <w:kern w:val="0"/>
                <w:sz w:val="18"/>
                <w:szCs w:val="18"/>
                <w:highlight w:val="none"/>
              </w:rPr>
              <w:t>出厂验收、现场联调前</w:t>
            </w:r>
            <w:r>
              <w:rPr>
                <w:rFonts w:hint="eastAsia" w:ascii="Times New Roman" w:hAnsi="Times New Roman" w:eastAsia="宋体" w:cs="Times New Roman"/>
                <w:b/>
                <w:bCs/>
                <w:kern w:val="0"/>
                <w:sz w:val="18"/>
                <w:szCs w:val="18"/>
                <w:highlight w:val="none"/>
              </w:rPr>
              <w:t>（2</w:t>
            </w:r>
            <w:r>
              <w:rPr>
                <w:rFonts w:ascii="Times New Roman" w:hAnsi="Times New Roman" w:eastAsia="宋体" w:cs="Times New Roman"/>
                <w:b/>
                <w:bCs/>
                <w:kern w:val="0"/>
                <w:sz w:val="18"/>
                <w:szCs w:val="18"/>
                <w:highlight w:val="none"/>
              </w:rPr>
              <w:t>0</w:t>
            </w:r>
            <w:r>
              <w:rPr>
                <w:rFonts w:hint="eastAsia" w:ascii="Times New Roman" w:hAnsi="Times New Roman" w:eastAsia="宋体" w:cs="Times New Roman"/>
                <w:b/>
                <w:bCs/>
                <w:kern w:val="0"/>
                <w:sz w:val="18"/>
                <w:szCs w:val="18"/>
                <w:highlight w:val="none"/>
              </w:rPr>
              <w:t>日历日）</w:t>
            </w:r>
            <w:r>
              <w:rPr>
                <w:rFonts w:ascii="Times New Roman" w:hAnsi="Times New Roman" w:eastAsia="宋体" w:cs="Times New Roman"/>
                <w:b/>
                <w:bCs/>
                <w:kern w:val="0"/>
                <w:sz w:val="18"/>
                <w:szCs w:val="18"/>
                <w:highlight w:val="none"/>
              </w:rPr>
              <w:t>提交</w:t>
            </w:r>
          </w:p>
        </w:tc>
      </w:tr>
      <w:tr w14:paraId="4F30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62160620">
            <w:pPr>
              <w:ind w:left="840" w:hanging="42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7</w:t>
            </w:r>
          </w:p>
        </w:tc>
        <w:tc>
          <w:tcPr>
            <w:tcW w:w="6870" w:type="dxa"/>
            <w:vAlign w:val="center"/>
          </w:tcPr>
          <w:p w14:paraId="01F5D672">
            <w:pPr>
              <w:ind w:left="0" w:firstLine="0"/>
              <w:jc w:val="both"/>
              <w:outlineLvl w:val="9"/>
              <w:rPr>
                <w:rFonts w:ascii="Times New Roman" w:hAnsi="Times New Roman" w:eastAsia="宋体" w:cs="Times New Roman"/>
                <w:kern w:val="0"/>
                <w:sz w:val="16"/>
                <w:szCs w:val="18"/>
                <w:highlight w:val="none"/>
              </w:rPr>
            </w:pPr>
            <w:r>
              <w:rPr>
                <w:rFonts w:ascii="Times New Roman" w:hAnsi="Times New Roman" w:eastAsia="宋体" w:cs="Times New Roman"/>
                <w:kern w:val="0"/>
                <w:sz w:val="18"/>
                <w:szCs w:val="18"/>
                <w:highlight w:val="none"/>
              </w:rPr>
              <w:t>现场安装调试实施方案（现场安装调试方案、发货计划、安装</w:t>
            </w:r>
            <w:r>
              <w:rPr>
                <w:rFonts w:hint="eastAsia" w:ascii="Times New Roman" w:hAnsi="Times New Roman" w:eastAsia="宋体" w:cs="Times New Roman"/>
                <w:kern w:val="0"/>
                <w:sz w:val="18"/>
                <w:szCs w:val="18"/>
                <w:highlight w:val="none"/>
              </w:rPr>
              <w:t>调试</w:t>
            </w:r>
            <w:r>
              <w:rPr>
                <w:rFonts w:ascii="Times New Roman" w:hAnsi="Times New Roman" w:eastAsia="宋体" w:cs="Times New Roman"/>
                <w:kern w:val="0"/>
                <w:sz w:val="18"/>
                <w:szCs w:val="18"/>
                <w:highlight w:val="none"/>
              </w:rPr>
              <w:t>计划等）</w:t>
            </w:r>
          </w:p>
        </w:tc>
      </w:tr>
      <w:tr w14:paraId="4570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1CBCC544">
            <w:pPr>
              <w:ind w:left="0" w:firstLine="0"/>
              <w:jc w:val="center"/>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五</w:t>
            </w:r>
          </w:p>
        </w:tc>
        <w:tc>
          <w:tcPr>
            <w:tcW w:w="6870" w:type="dxa"/>
            <w:vAlign w:val="center"/>
          </w:tcPr>
          <w:p w14:paraId="10E89387">
            <w:pPr>
              <w:ind w:left="0" w:firstLine="0"/>
              <w:jc w:val="both"/>
              <w:outlineLvl w:val="9"/>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最终验收前提交</w:t>
            </w:r>
          </w:p>
        </w:tc>
      </w:tr>
      <w:tr w14:paraId="7E76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259" w:type="dxa"/>
            <w:vAlign w:val="center"/>
          </w:tcPr>
          <w:p w14:paraId="039309B7">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8</w:t>
            </w:r>
          </w:p>
        </w:tc>
        <w:tc>
          <w:tcPr>
            <w:tcW w:w="6870" w:type="dxa"/>
            <w:vAlign w:val="center"/>
          </w:tcPr>
          <w:p w14:paraId="3AE8579F">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设备出厂测试报告或合格证明文件</w:t>
            </w:r>
          </w:p>
        </w:tc>
      </w:tr>
      <w:tr w14:paraId="2DFA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259" w:type="dxa"/>
            <w:vAlign w:val="center"/>
          </w:tcPr>
          <w:p w14:paraId="17AA11B4">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9</w:t>
            </w:r>
          </w:p>
        </w:tc>
        <w:tc>
          <w:tcPr>
            <w:tcW w:w="6870" w:type="dxa"/>
            <w:vAlign w:val="center"/>
          </w:tcPr>
          <w:p w14:paraId="7275D85D">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设备/软件使用说明书（含具体操作流程、安全规范）</w:t>
            </w:r>
          </w:p>
        </w:tc>
      </w:tr>
      <w:tr w14:paraId="4FEF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259" w:type="dxa"/>
            <w:vAlign w:val="center"/>
          </w:tcPr>
          <w:p w14:paraId="7B573C83">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0</w:t>
            </w:r>
          </w:p>
        </w:tc>
        <w:tc>
          <w:tcPr>
            <w:tcW w:w="6870" w:type="dxa"/>
            <w:vAlign w:val="center"/>
          </w:tcPr>
          <w:p w14:paraId="5CB9689F">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设备维护手册</w:t>
            </w:r>
          </w:p>
        </w:tc>
      </w:tr>
      <w:tr w14:paraId="5302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31FAD58C">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1</w:t>
            </w:r>
          </w:p>
        </w:tc>
        <w:tc>
          <w:tcPr>
            <w:tcW w:w="6870" w:type="dxa"/>
            <w:vAlign w:val="center"/>
          </w:tcPr>
          <w:p w14:paraId="7EDF2E5A">
            <w:pPr>
              <w:ind w:left="0" w:firstLine="0"/>
              <w:jc w:val="both"/>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安装调试运行记录</w:t>
            </w:r>
          </w:p>
        </w:tc>
      </w:tr>
      <w:tr w14:paraId="5814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339BCBDF">
            <w:pPr>
              <w:ind w:left="840" w:hanging="42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1</w:t>
            </w:r>
            <w:r>
              <w:rPr>
                <w:rFonts w:ascii="Times New Roman" w:hAnsi="Times New Roman" w:eastAsia="宋体" w:cs="Times New Roman"/>
                <w:kern w:val="0"/>
                <w:sz w:val="16"/>
                <w:szCs w:val="18"/>
                <w:highlight w:val="none"/>
              </w:rPr>
              <w:t>2</w:t>
            </w:r>
          </w:p>
        </w:tc>
        <w:tc>
          <w:tcPr>
            <w:tcW w:w="6870" w:type="dxa"/>
            <w:vAlign w:val="center"/>
          </w:tcPr>
          <w:p w14:paraId="7AE90293">
            <w:pPr>
              <w:ind w:left="0" w:firstLine="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安装调试技术</w:t>
            </w:r>
            <w:r>
              <w:rPr>
                <w:rFonts w:hint="eastAsia" w:ascii="Calibri" w:hAnsi="Calibri" w:eastAsia="宋体"/>
                <w:kern w:val="0"/>
                <w:sz w:val="16"/>
                <w:szCs w:val="18"/>
                <w:highlight w:val="none"/>
              </w:rPr>
              <w:t>总结报告</w:t>
            </w:r>
          </w:p>
        </w:tc>
      </w:tr>
      <w:tr w14:paraId="5177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16535422">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3</w:t>
            </w:r>
          </w:p>
        </w:tc>
        <w:tc>
          <w:tcPr>
            <w:tcW w:w="6870" w:type="dxa"/>
            <w:vAlign w:val="center"/>
          </w:tcPr>
          <w:p w14:paraId="15CF6C3A">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保养记录</w:t>
            </w:r>
          </w:p>
        </w:tc>
      </w:tr>
      <w:tr w14:paraId="4E45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78230650">
            <w:pPr>
              <w:ind w:left="840" w:hanging="42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1</w:t>
            </w:r>
            <w:r>
              <w:rPr>
                <w:rFonts w:ascii="Times New Roman" w:hAnsi="Times New Roman" w:eastAsia="宋体" w:cs="Times New Roman"/>
                <w:kern w:val="0"/>
                <w:sz w:val="16"/>
                <w:szCs w:val="18"/>
                <w:highlight w:val="none"/>
              </w:rPr>
              <w:t>4</w:t>
            </w:r>
          </w:p>
        </w:tc>
        <w:tc>
          <w:tcPr>
            <w:tcW w:w="6870" w:type="dxa"/>
            <w:vAlign w:val="center"/>
          </w:tcPr>
          <w:p w14:paraId="72B614B6">
            <w:pPr>
              <w:ind w:left="0" w:firstLine="0"/>
              <w:jc w:val="both"/>
              <w:outlineLvl w:val="9"/>
              <w:rPr>
                <w:rFonts w:ascii="Times New Roman" w:hAnsi="Times New Roman" w:eastAsia="宋体" w:cs="Times New Roman"/>
                <w:kern w:val="0"/>
                <w:sz w:val="16"/>
                <w:szCs w:val="18"/>
                <w:highlight w:val="none"/>
              </w:rPr>
            </w:pPr>
            <w:r>
              <w:rPr>
                <w:rFonts w:hint="eastAsia" w:ascii="宋体" w:hAnsi="宋体" w:eastAsia="宋体"/>
                <w:kern w:val="0"/>
                <w:sz w:val="16"/>
                <w:szCs w:val="18"/>
                <w:highlight w:val="none"/>
              </w:rPr>
              <w:t>仪器设备履历书(使用、检修、故障、事故记录)</w:t>
            </w:r>
          </w:p>
        </w:tc>
      </w:tr>
      <w:tr w14:paraId="2905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195B53F8">
            <w:pPr>
              <w:ind w:left="840" w:hanging="42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1</w:t>
            </w:r>
            <w:r>
              <w:rPr>
                <w:rFonts w:ascii="Times New Roman" w:hAnsi="Times New Roman" w:eastAsia="宋体" w:cs="Times New Roman"/>
                <w:kern w:val="0"/>
                <w:sz w:val="16"/>
                <w:szCs w:val="18"/>
                <w:highlight w:val="none"/>
              </w:rPr>
              <w:t>5</w:t>
            </w:r>
          </w:p>
        </w:tc>
        <w:tc>
          <w:tcPr>
            <w:tcW w:w="6870" w:type="dxa"/>
            <w:vAlign w:val="center"/>
          </w:tcPr>
          <w:p w14:paraId="5FB11F2B">
            <w:pPr>
              <w:ind w:left="0" w:firstLine="0"/>
              <w:jc w:val="both"/>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出入库单</w:t>
            </w:r>
          </w:p>
        </w:tc>
      </w:tr>
      <w:tr w14:paraId="6C51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78F482E3">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w:t>
            </w:r>
          </w:p>
        </w:tc>
        <w:tc>
          <w:tcPr>
            <w:tcW w:w="6870" w:type="dxa"/>
            <w:vAlign w:val="center"/>
          </w:tcPr>
          <w:p w14:paraId="574E2797">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全套竣工图纸</w:t>
            </w:r>
          </w:p>
        </w:tc>
      </w:tr>
      <w:tr w14:paraId="1F1B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126879AF">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7</w:t>
            </w:r>
          </w:p>
        </w:tc>
        <w:tc>
          <w:tcPr>
            <w:tcW w:w="6870" w:type="dxa"/>
            <w:vAlign w:val="center"/>
          </w:tcPr>
          <w:p w14:paraId="4D10F887">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控制软件可执行程序、源代码</w:t>
            </w:r>
            <w:r>
              <w:rPr>
                <w:rFonts w:hint="eastAsia" w:ascii="Times New Roman" w:hAnsi="Times New Roman" w:eastAsia="宋体" w:cs="Times New Roman"/>
                <w:kern w:val="0"/>
                <w:sz w:val="18"/>
                <w:szCs w:val="18"/>
                <w:highlight w:val="none"/>
              </w:rPr>
              <w:t>、软件使用许可协议</w:t>
            </w:r>
          </w:p>
        </w:tc>
      </w:tr>
      <w:tr w14:paraId="1AAC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7230B947">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8</w:t>
            </w:r>
          </w:p>
        </w:tc>
        <w:tc>
          <w:tcPr>
            <w:tcW w:w="6870" w:type="dxa"/>
            <w:vAlign w:val="center"/>
          </w:tcPr>
          <w:p w14:paraId="5240CAAF">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产品及文件交付清单</w:t>
            </w:r>
          </w:p>
        </w:tc>
      </w:tr>
      <w:tr w14:paraId="73F3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259" w:type="dxa"/>
            <w:vAlign w:val="center"/>
          </w:tcPr>
          <w:p w14:paraId="65AB2EF8">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9</w:t>
            </w:r>
          </w:p>
        </w:tc>
        <w:tc>
          <w:tcPr>
            <w:tcW w:w="6870" w:type="dxa"/>
            <w:vAlign w:val="center"/>
          </w:tcPr>
          <w:p w14:paraId="7335D9D9">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电气元器件明细表</w:t>
            </w:r>
          </w:p>
        </w:tc>
      </w:tr>
      <w:tr w14:paraId="7209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5AC631F3">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p>
        </w:tc>
        <w:tc>
          <w:tcPr>
            <w:tcW w:w="6870" w:type="dxa"/>
            <w:vAlign w:val="center"/>
          </w:tcPr>
          <w:p w14:paraId="00770BBA">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电气接线图</w:t>
            </w:r>
          </w:p>
        </w:tc>
      </w:tr>
      <w:tr w14:paraId="10AD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72885B4D">
            <w:pPr>
              <w:ind w:left="0" w:firstLine="0"/>
              <w:jc w:val="center"/>
              <w:outlineLvl w:val="9"/>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1</w:t>
            </w:r>
          </w:p>
        </w:tc>
        <w:tc>
          <w:tcPr>
            <w:tcW w:w="6870" w:type="dxa"/>
            <w:vAlign w:val="center"/>
          </w:tcPr>
          <w:p w14:paraId="74237E33">
            <w:pPr>
              <w:ind w:left="0" w:firstLine="0"/>
              <w:jc w:val="both"/>
              <w:outlineLvl w:val="9"/>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操作人员培训记录</w:t>
            </w:r>
          </w:p>
        </w:tc>
      </w:tr>
      <w:tr w14:paraId="7528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59" w:type="dxa"/>
            <w:vAlign w:val="center"/>
          </w:tcPr>
          <w:p w14:paraId="5F2DC653">
            <w:pPr>
              <w:ind w:left="0" w:firstLine="0"/>
              <w:jc w:val="center"/>
              <w:outlineLvl w:val="9"/>
              <w:rPr>
                <w:rFonts w:ascii="Times New Roman" w:hAnsi="Times New Roman" w:eastAsia="宋体" w:cs="Times New Roman"/>
                <w:kern w:val="0"/>
                <w:sz w:val="16"/>
                <w:szCs w:val="18"/>
                <w:highlight w:val="none"/>
              </w:rPr>
            </w:pPr>
            <w:r>
              <w:rPr>
                <w:rFonts w:hint="eastAsia" w:ascii="Times New Roman" w:hAnsi="Times New Roman" w:eastAsia="宋体" w:cs="Times New Roman"/>
                <w:kern w:val="0"/>
                <w:sz w:val="16"/>
                <w:szCs w:val="18"/>
                <w:highlight w:val="none"/>
              </w:rPr>
              <w:t>2</w:t>
            </w:r>
            <w:r>
              <w:rPr>
                <w:rFonts w:ascii="Times New Roman" w:hAnsi="Times New Roman" w:eastAsia="宋体" w:cs="Times New Roman"/>
                <w:kern w:val="0"/>
                <w:sz w:val="16"/>
                <w:szCs w:val="18"/>
                <w:highlight w:val="none"/>
              </w:rPr>
              <w:t>2</w:t>
            </w:r>
          </w:p>
        </w:tc>
        <w:tc>
          <w:tcPr>
            <w:tcW w:w="6870" w:type="dxa"/>
            <w:vAlign w:val="center"/>
          </w:tcPr>
          <w:p w14:paraId="7A1E3D75">
            <w:pPr>
              <w:ind w:left="0" w:firstLine="0"/>
              <w:jc w:val="both"/>
              <w:outlineLvl w:val="9"/>
              <w:rPr>
                <w:rFonts w:ascii="Times New Roman" w:hAnsi="Times New Roman" w:eastAsia="宋体" w:cs="Times New Roman"/>
                <w:kern w:val="0"/>
                <w:sz w:val="16"/>
                <w:szCs w:val="16"/>
                <w:highlight w:val="none"/>
              </w:rPr>
            </w:pPr>
            <w:r>
              <w:rPr>
                <w:rFonts w:hint="eastAsia" w:ascii="Times New Roman" w:hAnsi="Times New Roman" w:eastAsia="宋体" w:cs="Times New Roman"/>
                <w:kern w:val="0"/>
                <w:sz w:val="18"/>
                <w:szCs w:val="20"/>
                <w:highlight w:val="none"/>
              </w:rPr>
              <w:t>项目研制总结报告</w:t>
            </w:r>
          </w:p>
        </w:tc>
      </w:tr>
    </w:tbl>
    <w:p w14:paraId="064228B0">
      <w:pPr>
        <w:numPr>
          <w:ilvl w:val="0"/>
          <w:numId w:val="5"/>
        </w:numPr>
        <w:spacing w:line="560" w:lineRule="exact"/>
        <w:ind w:hanging="6"/>
        <w:outlineLvl w:val="9"/>
        <w:rPr>
          <w:rFonts w:ascii="Times New Roman" w:hAnsi="Times New Roman" w:eastAsia="宋体" w:cs="Times New Roman"/>
          <w:b/>
          <w:sz w:val="22"/>
          <w:szCs w:val="22"/>
          <w:highlight w:val="none"/>
        </w:rPr>
      </w:pPr>
      <w:r>
        <w:rPr>
          <w:rFonts w:ascii="Times New Roman" w:hAnsi="Times New Roman" w:eastAsia="宋体" w:cs="Times New Roman"/>
          <w:b/>
          <w:sz w:val="22"/>
          <w:szCs w:val="22"/>
          <w:highlight w:val="none"/>
        </w:rPr>
        <w:t>设备的生产、运输、现场安装调试、验收要求</w:t>
      </w:r>
    </w:p>
    <w:p w14:paraId="6CD6C1D1">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hint="eastAsia" w:ascii="Times New Roman" w:hAnsi="Times New Roman" w:eastAsia="宋体" w:cs="Times New Roman"/>
          <w:snapToGrid w:val="0"/>
          <w:kern w:val="0"/>
          <w:sz w:val="22"/>
          <w:szCs w:val="22"/>
          <w:highlight w:val="none"/>
        </w:rPr>
        <w:t>设备</w:t>
      </w:r>
      <w:r>
        <w:rPr>
          <w:rFonts w:ascii="Times New Roman" w:hAnsi="Times New Roman" w:eastAsia="宋体" w:cs="Times New Roman"/>
          <w:snapToGrid w:val="0"/>
          <w:kern w:val="0"/>
          <w:sz w:val="22"/>
          <w:szCs w:val="22"/>
          <w:highlight w:val="none"/>
        </w:rPr>
        <w:t>布局、摆放位置、与其他设备或基建协调、要求等</w:t>
      </w:r>
      <w:r>
        <w:rPr>
          <w:rFonts w:hint="eastAsia" w:ascii="Times New Roman" w:hAnsi="Times New Roman" w:eastAsia="宋体" w:cs="Times New Roman"/>
          <w:snapToGrid w:val="0"/>
          <w:kern w:val="0"/>
          <w:sz w:val="22"/>
          <w:szCs w:val="22"/>
          <w:highlight w:val="none"/>
        </w:rPr>
        <w:t>（比如孔洞预留，设备安装与基建现场的配合）需补充内容</w:t>
      </w:r>
      <w:r>
        <w:rPr>
          <w:rFonts w:ascii="Times New Roman" w:hAnsi="Times New Roman" w:eastAsia="宋体" w:cs="Times New Roman"/>
          <w:snapToGrid w:val="0"/>
          <w:kern w:val="0"/>
          <w:sz w:val="22"/>
          <w:szCs w:val="22"/>
          <w:highlight w:val="none"/>
        </w:rPr>
        <w:t xml:space="preserve"> </w:t>
      </w:r>
      <w:r>
        <w:rPr>
          <w:rFonts w:hint="eastAsia" w:ascii="Times New Roman" w:hAnsi="Times New Roman" w:eastAsia="宋体" w:cs="Times New Roman"/>
          <w:snapToGrid w:val="0"/>
          <w:kern w:val="0"/>
          <w:sz w:val="22"/>
          <w:szCs w:val="22"/>
          <w:highlight w:val="none"/>
        </w:rPr>
        <w:t>，例如到货前需提前XXX天进行场地验证，并留存场地验证结果照片（具体详细步骤可以在《现场安装调试方案》中体现），对电路插头，摆放位置预测，接线插头要求等，提前做改造。</w:t>
      </w:r>
    </w:p>
    <w:p w14:paraId="43E6D095">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hint="eastAsia" w:ascii="Times New Roman" w:hAnsi="Times New Roman" w:eastAsia="宋体" w:cs="Times New Roman"/>
          <w:snapToGrid w:val="0"/>
          <w:kern w:val="0"/>
          <w:sz w:val="22"/>
          <w:szCs w:val="22"/>
          <w:highlight w:val="none"/>
        </w:rPr>
        <w:t>设备应</w:t>
      </w:r>
      <w:r>
        <w:rPr>
          <w:rFonts w:ascii="Times New Roman" w:hAnsi="Times New Roman" w:eastAsia="宋体" w:cs="Times New Roman"/>
          <w:snapToGrid w:val="0"/>
          <w:kern w:val="0"/>
          <w:sz w:val="22"/>
          <w:szCs w:val="22"/>
          <w:highlight w:val="none"/>
        </w:rPr>
        <w:t>采用的标准</w:t>
      </w:r>
      <w:r>
        <w:rPr>
          <w:rFonts w:hint="eastAsia" w:ascii="Times New Roman" w:hAnsi="Times New Roman" w:eastAsia="宋体" w:cs="Times New Roman"/>
          <w:snapToGrid w:val="0"/>
          <w:kern w:val="0"/>
          <w:sz w:val="22"/>
          <w:szCs w:val="22"/>
          <w:highlight w:val="none"/>
        </w:rPr>
        <w:t>（国家标准、行业标准、国家规范等），如有强制执行标准可以在此补充标准号</w:t>
      </w:r>
    </w:p>
    <w:p w14:paraId="47F89E23">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ascii="Times New Roman" w:hAnsi="Times New Roman" w:eastAsia="宋体" w:cs="Times New Roman"/>
          <w:snapToGrid w:val="0"/>
          <w:kern w:val="0"/>
          <w:sz w:val="22"/>
          <w:szCs w:val="22"/>
          <w:highlight w:val="none"/>
        </w:rPr>
        <w:t>对定制研制设备，分为详细设计阶段、加工制造阶段和现场安装调试及验收阶段。</w:t>
      </w:r>
    </w:p>
    <w:p w14:paraId="6F83D602">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hint="eastAsia" w:ascii="Times New Roman" w:hAnsi="Times New Roman" w:eastAsia="宋体" w:cs="Times New Roman"/>
          <w:snapToGrid w:val="0"/>
          <w:kern w:val="0"/>
          <w:sz w:val="22"/>
          <w:szCs w:val="22"/>
          <w:highlight w:val="none"/>
        </w:rPr>
        <w:t>在合同签订后</w:t>
      </w:r>
      <w:r>
        <w:rPr>
          <w:rFonts w:ascii="Times New Roman" w:hAnsi="Times New Roman" w:eastAsia="宋体" w:cs="Times New Roman"/>
          <w:snapToGrid w:val="0"/>
          <w:kern w:val="0"/>
          <w:sz w:val="22"/>
          <w:szCs w:val="22"/>
          <w:highlight w:val="none"/>
        </w:rPr>
        <w:t>10</w:t>
      </w:r>
      <w:r>
        <w:rPr>
          <w:rFonts w:hint="eastAsia" w:ascii="Times New Roman" w:hAnsi="Times New Roman" w:eastAsia="宋体" w:cs="Times New Roman"/>
          <w:snapToGrid w:val="0"/>
          <w:kern w:val="0"/>
          <w:sz w:val="22"/>
          <w:szCs w:val="22"/>
          <w:highlight w:val="none"/>
        </w:rPr>
        <w:t>日</w:t>
      </w:r>
      <w:r>
        <w:rPr>
          <w:rFonts w:ascii="Times New Roman" w:hAnsi="Times New Roman" w:eastAsia="宋体" w:cs="Times New Roman"/>
          <w:snapToGrid w:val="0"/>
          <w:kern w:val="0"/>
          <w:sz w:val="22"/>
          <w:szCs w:val="22"/>
          <w:highlight w:val="none"/>
        </w:rPr>
        <w:t>内，乙方完成项目</w:t>
      </w:r>
      <w:r>
        <w:rPr>
          <w:rFonts w:hint="eastAsia" w:ascii="Times New Roman" w:hAnsi="Times New Roman" w:eastAsia="宋体" w:cs="Times New Roman"/>
          <w:snapToGrid w:val="0"/>
          <w:kern w:val="0"/>
          <w:sz w:val="22"/>
          <w:szCs w:val="22"/>
          <w:highlight w:val="none"/>
        </w:rPr>
        <w:t>《加工制造实施方案》</w:t>
      </w:r>
      <w:r>
        <w:rPr>
          <w:rFonts w:ascii="Times New Roman" w:hAnsi="Times New Roman" w:eastAsia="宋体" w:cs="Times New Roman"/>
          <w:snapToGrid w:val="0"/>
          <w:kern w:val="0"/>
          <w:sz w:val="22"/>
          <w:szCs w:val="22"/>
          <w:highlight w:val="none"/>
        </w:rPr>
        <w:t>的编制</w:t>
      </w:r>
      <w:r>
        <w:rPr>
          <w:rFonts w:hint="eastAsia" w:ascii="Times New Roman" w:hAnsi="Times New Roman" w:eastAsia="宋体" w:cs="Times New Roman"/>
          <w:snapToGrid w:val="0"/>
          <w:kern w:val="0"/>
          <w:sz w:val="22"/>
          <w:szCs w:val="22"/>
          <w:highlight w:val="none"/>
        </w:rPr>
        <w:t>并</w:t>
      </w:r>
      <w:r>
        <w:rPr>
          <w:rFonts w:ascii="Times New Roman" w:hAnsi="Times New Roman" w:eastAsia="宋体" w:cs="Times New Roman"/>
          <w:snapToGrid w:val="0"/>
          <w:kern w:val="0"/>
          <w:sz w:val="22"/>
          <w:szCs w:val="22"/>
          <w:highlight w:val="none"/>
        </w:rPr>
        <w:t>提交预审稿，</w:t>
      </w:r>
      <w:r>
        <w:rPr>
          <w:rFonts w:hint="eastAsia" w:ascii="Times New Roman" w:hAnsi="Times New Roman" w:eastAsia="宋体" w:cs="Times New Roman"/>
          <w:snapToGrid w:val="0"/>
          <w:kern w:val="0"/>
          <w:sz w:val="22"/>
          <w:szCs w:val="22"/>
          <w:highlight w:val="none"/>
        </w:rPr>
        <w:t>提交甲方审核</w:t>
      </w:r>
      <w:r>
        <w:rPr>
          <w:rFonts w:ascii="Times New Roman" w:hAnsi="Times New Roman" w:eastAsia="宋体" w:cs="Times New Roman"/>
          <w:snapToGrid w:val="0"/>
          <w:kern w:val="0"/>
          <w:sz w:val="22"/>
          <w:szCs w:val="22"/>
          <w:highlight w:val="none"/>
        </w:rPr>
        <w:t>认可通过</w:t>
      </w:r>
      <w:r>
        <w:rPr>
          <w:rFonts w:hint="eastAsia" w:ascii="Times New Roman" w:hAnsi="Times New Roman" w:eastAsia="宋体" w:cs="Times New Roman"/>
          <w:snapToGrid w:val="0"/>
          <w:kern w:val="0"/>
          <w:sz w:val="22"/>
          <w:szCs w:val="22"/>
          <w:highlight w:val="none"/>
        </w:rPr>
        <w:t>；详细设计评审前3</w:t>
      </w:r>
      <w:r>
        <w:rPr>
          <w:rFonts w:ascii="Times New Roman" w:hAnsi="Times New Roman" w:eastAsia="宋体" w:cs="Times New Roman"/>
          <w:snapToGrid w:val="0"/>
          <w:kern w:val="0"/>
          <w:sz w:val="22"/>
          <w:szCs w:val="22"/>
          <w:highlight w:val="none"/>
        </w:rPr>
        <w:t>0个自然日</w:t>
      </w:r>
      <w:r>
        <w:rPr>
          <w:rFonts w:hint="eastAsia" w:ascii="Times New Roman" w:hAnsi="Times New Roman" w:eastAsia="宋体" w:cs="Times New Roman"/>
          <w:snapToGrid w:val="0"/>
          <w:kern w:val="0"/>
          <w:sz w:val="22"/>
          <w:szCs w:val="22"/>
          <w:highlight w:val="none"/>
        </w:rPr>
        <w:t>内需提交《详细设计报告》、《验收大纲》、《经济性分析报》、《工程设计图纸》等相关文件（见“文件交付清单”）进行预审，乙方组织专家进行</w:t>
      </w:r>
      <w:r>
        <w:rPr>
          <w:rFonts w:ascii="Times New Roman" w:hAnsi="Times New Roman" w:eastAsia="宋体" w:cs="Times New Roman"/>
          <w:snapToGrid w:val="0"/>
          <w:kern w:val="0"/>
          <w:sz w:val="22"/>
          <w:szCs w:val="22"/>
          <w:highlight w:val="none"/>
        </w:rPr>
        <w:t>详细设计评审</w:t>
      </w:r>
      <w:r>
        <w:rPr>
          <w:rFonts w:hint="eastAsia" w:ascii="Times New Roman" w:hAnsi="Times New Roman" w:eastAsia="宋体" w:cs="Times New Roman"/>
          <w:snapToGrid w:val="0"/>
          <w:kern w:val="0"/>
          <w:sz w:val="22"/>
          <w:szCs w:val="22"/>
          <w:highlight w:val="none"/>
        </w:rPr>
        <w:t>，评审会通过后，</w:t>
      </w:r>
      <w:r>
        <w:rPr>
          <w:rFonts w:ascii="Times New Roman" w:hAnsi="Times New Roman" w:eastAsia="宋体" w:cs="Times New Roman"/>
          <w:snapToGrid w:val="0"/>
          <w:kern w:val="0"/>
          <w:sz w:val="22"/>
          <w:szCs w:val="22"/>
          <w:highlight w:val="none"/>
        </w:rPr>
        <w:t>7日内</w:t>
      </w:r>
      <w:r>
        <w:rPr>
          <w:rFonts w:hint="eastAsia" w:ascii="Times New Roman" w:hAnsi="Times New Roman" w:eastAsia="宋体" w:cs="Times New Roman"/>
          <w:snapToGrid w:val="0"/>
          <w:kern w:val="0"/>
          <w:sz w:val="22"/>
          <w:szCs w:val="22"/>
          <w:highlight w:val="none"/>
        </w:rPr>
        <w:t>完</w:t>
      </w:r>
      <w:r>
        <w:rPr>
          <w:rFonts w:ascii="Times New Roman" w:hAnsi="Times New Roman" w:eastAsia="宋体" w:cs="Times New Roman"/>
          <w:snapToGrid w:val="0"/>
          <w:kern w:val="0"/>
          <w:sz w:val="22"/>
          <w:szCs w:val="22"/>
          <w:highlight w:val="none"/>
        </w:rPr>
        <w:t>成专家意见修改及归档工作</w:t>
      </w:r>
      <w:r>
        <w:rPr>
          <w:rFonts w:hint="eastAsia" w:ascii="Times New Roman" w:hAnsi="Times New Roman" w:eastAsia="宋体" w:cs="Times New Roman"/>
          <w:snapToGrid w:val="0"/>
          <w:kern w:val="0"/>
          <w:sz w:val="22"/>
          <w:szCs w:val="22"/>
          <w:highlight w:val="none"/>
        </w:rPr>
        <w:t>，详细设计评审认可通过，方可进入加工制造阶段；</w:t>
      </w:r>
    </w:p>
    <w:p w14:paraId="5C56C295">
      <w:pPr>
        <w:widowControl/>
        <w:spacing w:line="560" w:lineRule="exact"/>
        <w:ind w:firstLine="440" w:firstLineChars="200"/>
        <w:outlineLvl w:val="9"/>
        <w:rPr>
          <w:rFonts w:ascii="Times New Roman" w:hAnsi="Times New Roman" w:eastAsia="宋体" w:cs="Times New Roman"/>
          <w:snapToGrid w:val="0"/>
          <w:kern w:val="0"/>
          <w:sz w:val="22"/>
          <w:szCs w:val="22"/>
          <w:highlight w:val="none"/>
        </w:rPr>
      </w:pPr>
      <w:r>
        <w:rPr>
          <w:rFonts w:hint="eastAsia" w:ascii="Times New Roman" w:hAnsi="Times New Roman" w:eastAsia="宋体" w:cs="Times New Roman"/>
          <w:snapToGrid w:val="0"/>
          <w:kern w:val="0"/>
          <w:sz w:val="22"/>
          <w:szCs w:val="22"/>
          <w:highlight w:val="none"/>
        </w:rPr>
        <w:t>设计阶段</w:t>
      </w:r>
      <w:r>
        <w:rPr>
          <w:rFonts w:ascii="Times New Roman" w:hAnsi="Times New Roman" w:eastAsia="宋体" w:cs="Times New Roman"/>
          <w:snapToGrid w:val="0"/>
          <w:kern w:val="0"/>
          <w:sz w:val="22"/>
          <w:szCs w:val="22"/>
          <w:highlight w:val="none"/>
        </w:rPr>
        <w:t>乙方应对以下（但不限于）情况，</w:t>
      </w:r>
      <w:bookmarkStart w:id="87" w:name="OLE_LINK4"/>
      <w:r>
        <w:rPr>
          <w:rFonts w:ascii="Times New Roman" w:hAnsi="Times New Roman" w:eastAsia="宋体" w:cs="Times New Roman"/>
          <w:snapToGrid w:val="0"/>
          <w:kern w:val="0"/>
          <w:sz w:val="22"/>
          <w:szCs w:val="22"/>
          <w:highlight w:val="none"/>
        </w:rPr>
        <w:t>设置关键质量控制点</w:t>
      </w:r>
      <w:r>
        <w:rPr>
          <w:rFonts w:hint="eastAsia" w:ascii="Times New Roman" w:hAnsi="Times New Roman" w:eastAsia="宋体" w:cs="Times New Roman"/>
          <w:snapToGrid w:val="0"/>
          <w:kern w:val="0"/>
          <w:sz w:val="22"/>
          <w:szCs w:val="22"/>
          <w:highlight w:val="none"/>
        </w:rPr>
        <w:t>，并配合甲方审核管控：</w:t>
      </w:r>
    </w:p>
    <w:p w14:paraId="7E74FEEE">
      <w:pPr>
        <w:widowControl/>
        <w:spacing w:line="560" w:lineRule="exact"/>
        <w:ind w:firstLine="660" w:firstLineChars="300"/>
        <w:outlineLvl w:val="9"/>
        <w:rPr>
          <w:rFonts w:ascii="Times New Roman" w:hAnsi="Times New Roman" w:eastAsia="宋体" w:cs="Times New Roman"/>
          <w:snapToGrid w:val="0"/>
          <w:kern w:val="0"/>
          <w:sz w:val="22"/>
          <w:szCs w:val="22"/>
          <w:highlight w:val="none"/>
        </w:rPr>
      </w:pPr>
      <w:r>
        <w:rPr>
          <w:rFonts w:hint="eastAsia" w:ascii="Times New Roman" w:hAnsi="Times New Roman" w:eastAsia="宋体" w:cs="Times New Roman"/>
          <w:snapToGrid w:val="0"/>
          <w:kern w:val="0"/>
          <w:sz w:val="22"/>
          <w:szCs w:val="22"/>
          <w:highlight w:val="none"/>
        </w:rPr>
        <w:t>a</w:t>
      </w:r>
      <w:r>
        <w:rPr>
          <w:rFonts w:ascii="Times New Roman" w:hAnsi="Times New Roman" w:eastAsia="宋体" w:cs="Times New Roman"/>
          <w:snapToGrid w:val="0"/>
          <w:kern w:val="0"/>
          <w:sz w:val="22"/>
          <w:szCs w:val="22"/>
          <w:highlight w:val="none"/>
        </w:rPr>
        <w:t>)关键单元技术验证、b）系统研制中过程监督与控制、c）出厂前系统级集成联调出厂验收、d）现场系统级集成联调、e）系统（设备）联机试运行、f）系统（设备）性能测试及验收等情况。</w:t>
      </w:r>
    </w:p>
    <w:p w14:paraId="5929BF88">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hint="eastAsia" w:ascii="Times New Roman" w:hAnsi="Times New Roman" w:eastAsia="宋体" w:cs="Times New Roman"/>
          <w:snapToGrid w:val="0"/>
          <w:kern w:val="0"/>
          <w:sz w:val="22"/>
          <w:szCs w:val="22"/>
          <w:highlight w:val="none"/>
        </w:rPr>
        <w:t>加工制造阶段，</w:t>
      </w:r>
      <w:r>
        <w:rPr>
          <w:rFonts w:ascii="Times New Roman" w:hAnsi="Times New Roman" w:eastAsia="宋体" w:cs="Times New Roman"/>
          <w:snapToGrid w:val="0"/>
          <w:kern w:val="0"/>
          <w:sz w:val="22"/>
          <w:szCs w:val="22"/>
          <w:highlight w:val="none"/>
        </w:rPr>
        <w:t>甲方派人定期或不定期对乙方合同执行情况进行监督、检查，并严格按照《</w:t>
      </w:r>
      <w:r>
        <w:rPr>
          <w:rFonts w:hint="eastAsia" w:ascii="Times New Roman" w:hAnsi="Times New Roman" w:eastAsia="宋体" w:cs="Times New Roman"/>
          <w:snapToGrid w:val="0"/>
          <w:kern w:val="0"/>
          <w:sz w:val="22"/>
          <w:szCs w:val="22"/>
          <w:highlight w:val="none"/>
        </w:rPr>
        <w:t>加工制造</w:t>
      </w:r>
      <w:r>
        <w:rPr>
          <w:rFonts w:ascii="Times New Roman" w:hAnsi="Times New Roman" w:eastAsia="宋体" w:cs="Times New Roman"/>
          <w:snapToGrid w:val="0"/>
          <w:kern w:val="0"/>
          <w:sz w:val="22"/>
          <w:szCs w:val="22"/>
          <w:highlight w:val="none"/>
        </w:rPr>
        <w:t>实施方案》的要求对质量控制点（H/W/R点）进行控制并记录。乙方应在停工待检点（H点）、见证点（W点）实施之前10天书面通知甲方派代表到场检查、见证，形成书面检查、见证意见</w:t>
      </w:r>
      <w:r>
        <w:rPr>
          <w:rFonts w:hint="eastAsia" w:ascii="Times New Roman" w:hAnsi="Times New Roman" w:eastAsia="宋体" w:cs="Times New Roman"/>
          <w:snapToGrid w:val="0"/>
          <w:kern w:val="0"/>
          <w:sz w:val="22"/>
          <w:szCs w:val="22"/>
          <w:highlight w:val="none"/>
        </w:rPr>
        <w:t>并归档；文件点（R点），甲方认可检查合格后，5个工作日内完成归档工作，记录须提交电子档及纸质档案两类存储形式的文件</w:t>
      </w:r>
      <w:r>
        <w:rPr>
          <w:rFonts w:ascii="Times New Roman" w:hAnsi="Times New Roman" w:eastAsia="宋体" w:cs="Times New Roman"/>
          <w:snapToGrid w:val="0"/>
          <w:kern w:val="0"/>
          <w:sz w:val="22"/>
          <w:szCs w:val="22"/>
          <w:highlight w:val="none"/>
        </w:rPr>
        <w:t>。</w:t>
      </w:r>
      <w:bookmarkEnd w:id="87"/>
      <w:bookmarkStart w:id="88" w:name="_Hlk187852630"/>
      <w:r>
        <w:rPr>
          <w:rFonts w:hint="eastAsia" w:ascii="Times New Roman" w:hAnsi="Times New Roman" w:eastAsia="宋体" w:cs="Times New Roman"/>
          <w:snapToGrid w:val="0"/>
          <w:kern w:val="0"/>
          <w:sz w:val="22"/>
          <w:szCs w:val="22"/>
          <w:highlight w:val="none"/>
        </w:rPr>
        <w:t>若有设计或计划变更，需及时向甲方提出变更申请，待甲方审核通过后方可施行，留存变更记录，甲乙双方留存文件备查；</w:t>
      </w:r>
    </w:p>
    <w:p w14:paraId="35860ABD">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ascii="Times New Roman" w:hAnsi="Times New Roman" w:eastAsia="宋体" w:cs="Times New Roman"/>
          <w:snapToGrid w:val="0"/>
          <w:kern w:val="0"/>
          <w:sz w:val="22"/>
          <w:szCs w:val="22"/>
          <w:highlight w:val="none"/>
        </w:rPr>
        <w:t>乙方应区分详细设计过程和工程实施过程（关键里程碑）</w:t>
      </w:r>
      <w:bookmarkEnd w:id="88"/>
      <w:r>
        <w:rPr>
          <w:rFonts w:ascii="Times New Roman" w:hAnsi="Times New Roman" w:eastAsia="宋体" w:cs="Times New Roman"/>
          <w:snapToGrid w:val="0"/>
          <w:kern w:val="0"/>
          <w:sz w:val="22"/>
          <w:szCs w:val="22"/>
          <w:highlight w:val="none"/>
        </w:rPr>
        <w:t>，乙方需要有专人跟进项目进度管理，定时提交双周</w:t>
      </w:r>
      <w:r>
        <w:rPr>
          <w:rFonts w:hint="eastAsia" w:ascii="Times New Roman" w:hAnsi="Times New Roman" w:eastAsia="宋体" w:cs="Times New Roman"/>
          <w:snapToGrid w:val="0"/>
          <w:kern w:val="0"/>
          <w:sz w:val="22"/>
          <w:szCs w:val="22"/>
          <w:highlight w:val="none"/>
        </w:rPr>
        <w:t>进度报告</w:t>
      </w:r>
      <w:r>
        <w:rPr>
          <w:rFonts w:ascii="Times New Roman" w:hAnsi="Times New Roman" w:eastAsia="宋体" w:cs="Times New Roman"/>
          <w:snapToGrid w:val="0"/>
          <w:kern w:val="0"/>
          <w:sz w:val="22"/>
          <w:szCs w:val="22"/>
          <w:highlight w:val="none"/>
        </w:rPr>
        <w:t>。</w:t>
      </w:r>
    </w:p>
    <w:p w14:paraId="29AFCB21">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ascii="Times New Roman" w:hAnsi="Times New Roman" w:eastAsia="宋体" w:cs="Times New Roman"/>
          <w:snapToGrid w:val="0"/>
          <w:kern w:val="0"/>
          <w:sz w:val="22"/>
          <w:szCs w:val="22"/>
          <w:highlight w:val="none"/>
        </w:rPr>
        <w:t>甲方可派人参与乙方设备的研制过程，包括设计、加工、制造、调试、检测、验收、评审等工作。相关人员需遵守保密义务，不能将本项目获取的相关</w:t>
      </w:r>
      <w:r>
        <w:rPr>
          <w:rFonts w:hint="eastAsia" w:ascii="Times New Roman" w:hAnsi="Times New Roman" w:eastAsia="宋体" w:cs="Times New Roman"/>
          <w:snapToGrid w:val="0"/>
          <w:kern w:val="0"/>
          <w:sz w:val="22"/>
          <w:szCs w:val="22"/>
          <w:highlight w:val="none"/>
        </w:rPr>
        <w:t>方案、资料以及其他技术秘密用于该项目以外的用途或转交他人。</w:t>
      </w:r>
    </w:p>
    <w:p w14:paraId="6F2318AD">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ascii="Times New Roman" w:hAnsi="Times New Roman" w:eastAsia="宋体" w:cs="Times New Roman"/>
          <w:snapToGrid w:val="0"/>
          <w:kern w:val="0"/>
          <w:sz w:val="22"/>
          <w:szCs w:val="22"/>
          <w:highlight w:val="none"/>
        </w:rPr>
        <w:t>乙方在</w:t>
      </w:r>
      <w:r>
        <w:rPr>
          <w:rFonts w:hint="eastAsia" w:ascii="Times New Roman" w:hAnsi="Times New Roman" w:eastAsia="宋体" w:cs="Times New Roman"/>
          <w:snapToGrid w:val="0"/>
          <w:kern w:val="0"/>
          <w:sz w:val="22"/>
          <w:szCs w:val="22"/>
          <w:highlight w:val="none"/>
        </w:rPr>
        <w:t>设备</w:t>
      </w:r>
      <w:r>
        <w:rPr>
          <w:rFonts w:ascii="Times New Roman" w:hAnsi="Times New Roman" w:eastAsia="宋体" w:cs="Times New Roman"/>
          <w:snapToGrid w:val="0"/>
          <w:kern w:val="0"/>
          <w:sz w:val="22"/>
          <w:szCs w:val="22"/>
          <w:highlight w:val="none"/>
        </w:rPr>
        <w:t>出厂及现场联调前</w:t>
      </w:r>
      <w:r>
        <w:rPr>
          <w:rFonts w:hint="eastAsia" w:ascii="Times New Roman" w:hAnsi="Times New Roman" w:eastAsia="宋体" w:cs="Times New Roman"/>
          <w:snapToGrid w:val="0"/>
          <w:kern w:val="0"/>
          <w:sz w:val="22"/>
          <w:szCs w:val="22"/>
          <w:highlight w:val="none"/>
        </w:rPr>
        <w:t>，乙方须考察的现场条件，</w:t>
      </w:r>
      <w:r>
        <w:rPr>
          <w:rFonts w:ascii="Times New Roman" w:hAnsi="Times New Roman" w:eastAsia="宋体" w:cs="Times New Roman"/>
          <w:snapToGrid w:val="0"/>
          <w:kern w:val="0"/>
          <w:sz w:val="22"/>
          <w:szCs w:val="22"/>
          <w:highlight w:val="none"/>
        </w:rPr>
        <w:t>编制《现场安装调试实施方案</w:t>
      </w:r>
      <w:r>
        <w:rPr>
          <w:rFonts w:hint="eastAsia" w:ascii="Times New Roman" w:hAnsi="Times New Roman" w:eastAsia="宋体" w:cs="Times New Roman"/>
          <w:snapToGrid w:val="0"/>
          <w:kern w:val="0"/>
          <w:sz w:val="22"/>
          <w:szCs w:val="22"/>
          <w:highlight w:val="none"/>
        </w:rPr>
        <w:t>/安装调试计划</w:t>
      </w:r>
      <w:r>
        <w:rPr>
          <w:rFonts w:ascii="Times New Roman" w:hAnsi="Times New Roman" w:eastAsia="宋体" w:cs="Times New Roman"/>
          <w:snapToGrid w:val="0"/>
          <w:kern w:val="0"/>
          <w:sz w:val="22"/>
          <w:szCs w:val="22"/>
          <w:highlight w:val="none"/>
        </w:rPr>
        <w:t>》，以上文件经甲方同意，双方达成一致后，甲乙双方按照《现场安装调试实施方案》组织设备的运输及现场安装、调试</w:t>
      </w:r>
      <w:r>
        <w:rPr>
          <w:rFonts w:hint="eastAsia" w:ascii="Times New Roman" w:hAnsi="Times New Roman" w:eastAsia="宋体" w:cs="Times New Roman"/>
          <w:snapToGrid w:val="0"/>
          <w:kern w:val="0"/>
          <w:sz w:val="22"/>
          <w:szCs w:val="22"/>
          <w:highlight w:val="none"/>
        </w:rPr>
        <w:t>，实施过程中保留安装调试记录、系统级测试记录、安装验收单</w:t>
      </w:r>
      <w:r>
        <w:rPr>
          <w:rFonts w:ascii="Times New Roman" w:hAnsi="Times New Roman" w:eastAsia="宋体" w:cs="Times New Roman"/>
          <w:snapToGrid w:val="0"/>
          <w:kern w:val="0"/>
          <w:sz w:val="22"/>
          <w:szCs w:val="22"/>
          <w:highlight w:val="none"/>
        </w:rPr>
        <w:t>。</w:t>
      </w:r>
    </w:p>
    <w:p w14:paraId="3EE4837E">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ascii="Times New Roman" w:hAnsi="Times New Roman" w:eastAsia="宋体" w:cs="Times New Roman"/>
          <w:snapToGrid w:val="0"/>
          <w:sz w:val="22"/>
          <w:szCs w:val="22"/>
          <w:highlight w:val="none"/>
        </w:rPr>
        <w:t>产品到货后必须及时进行产品验证检验，检查是否含有</w:t>
      </w:r>
      <w:r>
        <w:rPr>
          <w:rFonts w:hint="eastAsia" w:ascii="Times New Roman" w:hAnsi="Times New Roman" w:eastAsia="宋体" w:cs="Times New Roman"/>
          <w:snapToGrid w:val="0"/>
          <w:sz w:val="22"/>
          <w:szCs w:val="22"/>
          <w:highlight w:val="none"/>
        </w:rPr>
        <w:t>货物合格证（或经国家有关部门颁发的产品鉴定证书、检测报告、</w:t>
      </w:r>
      <w:r>
        <w:rPr>
          <w:rFonts w:ascii="Times New Roman" w:hAnsi="Times New Roman" w:eastAsia="宋体" w:cs="Times New Roman"/>
          <w:snapToGrid w:val="0"/>
          <w:sz w:val="22"/>
          <w:szCs w:val="22"/>
          <w:highlight w:val="none"/>
        </w:rPr>
        <w:t>出厂测试报告</w:t>
      </w:r>
      <w:r>
        <w:rPr>
          <w:rFonts w:hint="eastAsia" w:ascii="Times New Roman" w:hAnsi="Times New Roman" w:eastAsia="宋体" w:cs="Times New Roman"/>
          <w:snapToGrid w:val="0"/>
          <w:sz w:val="22"/>
          <w:szCs w:val="22"/>
          <w:highlight w:val="none"/>
        </w:rPr>
        <w:t>）、使用许可证、用户手册、保修手册、有关图纸印刷本、使用说明书、安全证明</w:t>
      </w:r>
      <w:r>
        <w:rPr>
          <w:rFonts w:ascii="Times New Roman" w:hAnsi="Times New Roman" w:eastAsia="宋体" w:cs="Times New Roman"/>
          <w:snapToGrid w:val="0"/>
          <w:sz w:val="22"/>
          <w:szCs w:val="22"/>
          <w:highlight w:val="none"/>
        </w:rPr>
        <w:t>、维护手册</w:t>
      </w:r>
      <w:r>
        <w:rPr>
          <w:rFonts w:hint="eastAsia" w:ascii="Times New Roman" w:hAnsi="Times New Roman" w:eastAsia="宋体" w:cs="Times New Roman"/>
          <w:snapToGrid w:val="0"/>
          <w:sz w:val="22"/>
          <w:szCs w:val="22"/>
          <w:highlight w:val="none"/>
        </w:rPr>
        <w:t>、资料及配件、随机工具等一并交付给甲方，</w:t>
      </w:r>
      <w:r>
        <w:rPr>
          <w:rFonts w:ascii="Times New Roman" w:hAnsi="Times New Roman" w:eastAsia="宋体" w:cs="Times New Roman"/>
          <w:snapToGrid w:val="0"/>
          <w:sz w:val="22"/>
          <w:szCs w:val="22"/>
          <w:highlight w:val="none"/>
        </w:rPr>
        <w:t>验证过程需</w:t>
      </w:r>
      <w:r>
        <w:rPr>
          <w:rFonts w:hint="eastAsia" w:ascii="Times New Roman" w:hAnsi="Times New Roman" w:eastAsia="宋体" w:cs="Times New Roman"/>
          <w:snapToGrid w:val="0"/>
          <w:sz w:val="22"/>
          <w:szCs w:val="22"/>
          <w:highlight w:val="none"/>
        </w:rPr>
        <w:t>符合校档案馆验收标准，</w:t>
      </w:r>
      <w:r>
        <w:rPr>
          <w:rFonts w:ascii="Times New Roman" w:hAnsi="Times New Roman" w:eastAsia="宋体" w:cs="Times New Roman"/>
          <w:snapToGrid w:val="0"/>
          <w:sz w:val="22"/>
          <w:szCs w:val="22"/>
          <w:highlight w:val="none"/>
        </w:rPr>
        <w:t>留存开箱照片，</w:t>
      </w:r>
      <w:r>
        <w:rPr>
          <w:rFonts w:hint="eastAsia" w:ascii="Times New Roman" w:hAnsi="Times New Roman" w:eastAsia="宋体" w:cs="Times New Roman"/>
          <w:snapToGrid w:val="0"/>
          <w:sz w:val="22"/>
          <w:szCs w:val="22"/>
          <w:highlight w:val="none"/>
        </w:rPr>
        <w:t>留存有效</w:t>
      </w:r>
      <w:r>
        <w:rPr>
          <w:rFonts w:ascii="Times New Roman" w:hAnsi="Times New Roman" w:eastAsia="宋体" w:cs="Times New Roman"/>
          <w:snapToGrid w:val="0"/>
          <w:sz w:val="22"/>
          <w:szCs w:val="22"/>
          <w:highlight w:val="none"/>
        </w:rPr>
        <w:t>检验验证记录</w:t>
      </w:r>
      <w:r>
        <w:rPr>
          <w:rFonts w:hint="eastAsia" w:ascii="Times New Roman" w:hAnsi="Times New Roman" w:eastAsia="宋体" w:cs="Times New Roman"/>
          <w:snapToGrid w:val="0"/>
          <w:sz w:val="22"/>
          <w:szCs w:val="22"/>
          <w:highlight w:val="none"/>
        </w:rPr>
        <w:t>，记录须提交电子档及纸质档案两类存储形式，检查完成后，乙方提交开箱检查记录双方签字确认</w:t>
      </w:r>
      <w:r>
        <w:rPr>
          <w:rFonts w:ascii="Times New Roman" w:hAnsi="Times New Roman" w:eastAsia="宋体" w:cs="Times New Roman"/>
          <w:snapToGrid w:val="0"/>
          <w:sz w:val="22"/>
          <w:szCs w:val="22"/>
          <w:highlight w:val="none"/>
        </w:rPr>
        <w:t>。</w:t>
      </w:r>
    </w:p>
    <w:p w14:paraId="088B4AA7">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hint="eastAsia" w:ascii="Times New Roman" w:hAnsi="Times New Roman" w:eastAsia="宋体" w:cs="Times New Roman"/>
          <w:snapToGrid w:val="0"/>
          <w:kern w:val="0"/>
          <w:sz w:val="22"/>
          <w:szCs w:val="22"/>
          <w:highlight w:val="none"/>
        </w:rPr>
        <w:t>如涉及与外接设备联调，乙方须配合甲方编写《联合调试大纲》参与（或组织）联合调试的成果验收评审，此过程中所涉及的相关方须到场并积极配合交付材料。</w:t>
      </w:r>
    </w:p>
    <w:p w14:paraId="72FA42B7">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ascii="Times New Roman" w:hAnsi="Times New Roman" w:eastAsia="宋体" w:cs="Times New Roman"/>
          <w:snapToGrid w:val="0"/>
          <w:sz w:val="22"/>
          <w:szCs w:val="22"/>
          <w:highlight w:val="none"/>
        </w:rPr>
        <w:t>现场安装调试阶段，</w:t>
      </w:r>
      <w:r>
        <w:rPr>
          <w:rFonts w:hint="eastAsia" w:ascii="Times New Roman" w:hAnsi="Times New Roman" w:eastAsia="宋体" w:cs="Times New Roman"/>
          <w:snapToGrid w:val="0"/>
          <w:sz w:val="22"/>
          <w:szCs w:val="22"/>
          <w:highlight w:val="none"/>
        </w:rPr>
        <w:t>记录要求见“第8条”</w:t>
      </w:r>
      <w:r>
        <w:rPr>
          <w:rFonts w:ascii="Times New Roman" w:hAnsi="Times New Roman" w:eastAsia="宋体" w:cs="Times New Roman"/>
          <w:snapToGrid w:val="0"/>
          <w:sz w:val="22"/>
          <w:szCs w:val="22"/>
          <w:highlight w:val="none"/>
        </w:rPr>
        <w:t>。</w:t>
      </w:r>
    </w:p>
    <w:p w14:paraId="2B043890">
      <w:pPr>
        <w:pStyle w:val="27"/>
        <w:widowControl/>
        <w:numPr>
          <w:ilvl w:val="1"/>
          <w:numId w:val="6"/>
        </w:numPr>
        <w:spacing w:line="560" w:lineRule="exact"/>
        <w:ind w:left="0" w:firstLine="420" w:firstLineChars="0"/>
        <w:outlineLvl w:val="9"/>
        <w:rPr>
          <w:rFonts w:ascii="Times New Roman" w:hAnsi="Times New Roman" w:eastAsia="宋体" w:cs="Times New Roman"/>
          <w:snapToGrid w:val="0"/>
          <w:kern w:val="0"/>
          <w:sz w:val="22"/>
          <w:szCs w:val="22"/>
          <w:highlight w:val="none"/>
        </w:rPr>
      </w:pPr>
      <w:r>
        <w:rPr>
          <w:rFonts w:ascii="Times New Roman" w:hAnsi="Times New Roman" w:eastAsia="宋体" w:cs="Times New Roman"/>
          <w:snapToGrid w:val="0"/>
          <w:sz w:val="22"/>
          <w:szCs w:val="22"/>
          <w:highlight w:val="none"/>
        </w:rPr>
        <w:t>现场验收分为预验收和最终验收，具体验收细则详见合同正文</w:t>
      </w:r>
      <w:r>
        <w:rPr>
          <w:rFonts w:hint="eastAsia" w:ascii="Times New Roman" w:hAnsi="Times New Roman" w:eastAsia="宋体" w:cs="Times New Roman"/>
          <w:snapToGrid w:val="0"/>
          <w:sz w:val="22"/>
          <w:szCs w:val="22"/>
          <w:highlight w:val="none"/>
        </w:rPr>
        <w:t>“</w:t>
      </w:r>
      <w:r>
        <w:rPr>
          <w:rFonts w:ascii="Times New Roman" w:hAnsi="Times New Roman" w:eastAsia="宋体" w:cs="Times New Roman"/>
          <w:snapToGrid w:val="0"/>
          <w:sz w:val="22"/>
          <w:szCs w:val="22"/>
          <w:highlight w:val="none"/>
        </w:rPr>
        <w:t>第七条</w:t>
      </w:r>
      <w:r>
        <w:rPr>
          <w:rFonts w:hint="eastAsia" w:ascii="Times New Roman" w:hAnsi="Times New Roman" w:eastAsia="宋体" w:cs="Times New Roman"/>
          <w:snapToGrid w:val="0"/>
          <w:sz w:val="22"/>
          <w:szCs w:val="22"/>
          <w:highlight w:val="none"/>
        </w:rPr>
        <w:t>5、验收方法”</w:t>
      </w:r>
      <w:r>
        <w:rPr>
          <w:rFonts w:hint="eastAsia" w:ascii="Times New Roman" w:hAnsi="Times New Roman" w:eastAsia="宋体" w:cs="Times New Roman"/>
          <w:snapToGrid w:val="0"/>
          <w:kern w:val="0"/>
          <w:sz w:val="22"/>
          <w:szCs w:val="22"/>
          <w:highlight w:val="none"/>
        </w:rPr>
        <w:t xml:space="preserve"> ，</w:t>
      </w:r>
      <w:r>
        <w:rPr>
          <w:rFonts w:ascii="Times New Roman" w:hAnsi="Times New Roman" w:eastAsia="宋体" w:cs="Times New Roman"/>
          <w:snapToGrid w:val="0"/>
          <w:kern w:val="0"/>
          <w:sz w:val="22"/>
          <w:szCs w:val="22"/>
          <w:highlight w:val="none"/>
        </w:rPr>
        <w:t>按照《</w:t>
      </w:r>
      <w:r>
        <w:rPr>
          <w:rFonts w:ascii="Times New Roman" w:hAnsi="Times New Roman" w:eastAsia="宋体" w:cs="Times New Roman"/>
          <w:kern w:val="0"/>
          <w:sz w:val="22"/>
          <w:szCs w:val="22"/>
          <w:highlight w:val="none"/>
        </w:rPr>
        <w:t>验收大纲》（技术验收规范）</w:t>
      </w:r>
      <w:bookmarkStart w:id="89" w:name="_Hlk187855568"/>
      <w:r>
        <w:rPr>
          <w:rFonts w:ascii="Times New Roman" w:hAnsi="Times New Roman" w:eastAsia="宋体" w:cs="Times New Roman"/>
          <w:snapToGrid w:val="0"/>
          <w:kern w:val="0"/>
          <w:sz w:val="22"/>
          <w:szCs w:val="22"/>
          <w:highlight w:val="none"/>
        </w:rPr>
        <w:t>细化验收工作及内容</w:t>
      </w:r>
      <w:bookmarkEnd w:id="89"/>
      <w:r>
        <w:rPr>
          <w:rFonts w:ascii="Times New Roman" w:hAnsi="Times New Roman" w:eastAsia="宋体" w:cs="Times New Roman"/>
          <w:snapToGrid w:val="0"/>
          <w:sz w:val="22"/>
          <w:szCs w:val="22"/>
          <w:highlight w:val="none"/>
        </w:rPr>
        <w:t>。</w:t>
      </w:r>
      <w:r>
        <w:rPr>
          <w:rFonts w:ascii="Times New Roman" w:hAnsi="Times New Roman" w:eastAsia="宋体" w:cs="Times New Roman"/>
          <w:b/>
          <w:sz w:val="22"/>
          <w:szCs w:val="22"/>
          <w:highlight w:val="none"/>
        </w:rPr>
        <w:tab/>
      </w:r>
    </w:p>
    <w:p w14:paraId="5BFAA58E">
      <w:pPr>
        <w:numPr>
          <w:ilvl w:val="0"/>
          <w:numId w:val="5"/>
        </w:numPr>
        <w:spacing w:line="560" w:lineRule="exact"/>
        <w:ind w:hanging="6"/>
        <w:outlineLvl w:val="9"/>
        <w:rPr>
          <w:rFonts w:ascii="Times New Roman" w:hAnsi="Times New Roman" w:eastAsia="宋体" w:cs="Times New Roman"/>
          <w:b/>
          <w:sz w:val="22"/>
          <w:szCs w:val="22"/>
          <w:highlight w:val="none"/>
        </w:rPr>
      </w:pPr>
      <w:r>
        <w:rPr>
          <w:rFonts w:hint="eastAsia" w:ascii="Times New Roman" w:hAnsi="Times New Roman" w:eastAsia="宋体" w:cs="Times New Roman"/>
          <w:b/>
          <w:sz w:val="22"/>
          <w:szCs w:val="22"/>
          <w:highlight w:val="none"/>
        </w:rPr>
        <w:t>设备现场需求及保证</w:t>
      </w:r>
      <w:r>
        <w:rPr>
          <w:rFonts w:ascii="Times New Roman" w:hAnsi="Times New Roman" w:eastAsia="宋体" w:cs="Times New Roman"/>
          <w:b/>
          <w:sz w:val="22"/>
          <w:szCs w:val="22"/>
          <w:highlight w:val="none"/>
        </w:rPr>
        <w:t>：</w:t>
      </w:r>
    </w:p>
    <w:p w14:paraId="39AE3019">
      <w:pPr>
        <w:numPr>
          <w:ilvl w:val="0"/>
          <w:numId w:val="7"/>
        </w:numPr>
        <w:spacing w:line="560" w:lineRule="exact"/>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甲方为乙方提供安装、调试所需的场地、电力及其他场地附属条件，并对乙方在场地范围内履行安全生产监督、检查、指导和管理责任；</w:t>
      </w:r>
    </w:p>
    <w:p w14:paraId="005257C6">
      <w:pPr>
        <w:numPr>
          <w:ilvl w:val="0"/>
          <w:numId w:val="7"/>
        </w:numPr>
        <w:spacing w:line="560" w:lineRule="exact"/>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napToGrid w:val="0"/>
          <w:sz w:val="22"/>
          <w:szCs w:val="22"/>
          <w:highlight w:val="none"/>
        </w:rPr>
        <w:t>乙方与甲方共同负责现场安全生产、文明施工，并签订</w:t>
      </w:r>
      <w:r>
        <w:rPr>
          <w:rFonts w:hint="eastAsia" w:ascii="Times New Roman" w:hAnsi="Times New Roman" w:eastAsia="宋体" w:cs="Times New Roman"/>
          <w:snapToGrid w:val="0"/>
          <w:sz w:val="22"/>
          <w:szCs w:val="22"/>
          <w:highlight w:val="none"/>
        </w:rPr>
        <w:t>《安全安装</w:t>
      </w:r>
      <w:r>
        <w:rPr>
          <w:rFonts w:ascii="Times New Roman" w:hAnsi="Times New Roman" w:eastAsia="宋体" w:cs="Times New Roman"/>
          <w:snapToGrid w:val="0"/>
          <w:sz w:val="22"/>
          <w:szCs w:val="22"/>
          <w:highlight w:val="none"/>
        </w:rPr>
        <w:t>/</w:t>
      </w:r>
      <w:r>
        <w:rPr>
          <w:rFonts w:hint="eastAsia" w:ascii="Times New Roman" w:hAnsi="Times New Roman" w:eastAsia="宋体" w:cs="Times New Roman"/>
          <w:snapToGrid w:val="0"/>
          <w:sz w:val="22"/>
          <w:szCs w:val="22"/>
          <w:highlight w:val="none"/>
        </w:rPr>
        <w:t>施工协议》。</w:t>
      </w:r>
      <w:r>
        <w:rPr>
          <w:rFonts w:ascii="Times New Roman" w:hAnsi="Times New Roman" w:eastAsia="宋体" w:cs="Times New Roman"/>
          <w:snapToGrid w:val="0"/>
          <w:sz w:val="22"/>
          <w:szCs w:val="22"/>
          <w:highlight w:val="none"/>
        </w:rPr>
        <w:t>乙方负责乙方工作人员在甲方场地服务期间的一切保险，承担因乙方工作人员违反相关安装规定导致的</w:t>
      </w:r>
      <w:r>
        <w:rPr>
          <w:rFonts w:hint="eastAsia" w:ascii="Times New Roman" w:hAnsi="Times New Roman" w:eastAsia="宋体" w:cs="Times New Roman"/>
          <w:snapToGrid w:val="0"/>
          <w:sz w:val="22"/>
          <w:szCs w:val="22"/>
          <w:highlight w:val="none"/>
        </w:rPr>
        <w:t>相关方</w:t>
      </w:r>
      <w:r>
        <w:rPr>
          <w:rFonts w:ascii="Times New Roman" w:hAnsi="Times New Roman" w:eastAsia="宋体" w:cs="Times New Roman"/>
          <w:snapToGrid w:val="0"/>
          <w:sz w:val="22"/>
          <w:szCs w:val="22"/>
          <w:highlight w:val="none"/>
        </w:rPr>
        <w:t>安全事故责任</w:t>
      </w:r>
      <w:r>
        <w:rPr>
          <w:rFonts w:hint="eastAsia" w:ascii="Times New Roman" w:hAnsi="Times New Roman" w:eastAsia="宋体" w:cs="Times New Roman"/>
          <w:snapToGrid w:val="0"/>
          <w:sz w:val="22"/>
          <w:szCs w:val="22"/>
          <w:highlight w:val="none"/>
        </w:rPr>
        <w:t>。</w:t>
      </w:r>
    </w:p>
    <w:p w14:paraId="6A77FE0E">
      <w:pPr>
        <w:numPr>
          <w:ilvl w:val="0"/>
          <w:numId w:val="7"/>
        </w:numPr>
        <w:spacing w:line="560" w:lineRule="exact"/>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乙方</w:t>
      </w:r>
      <w:r>
        <w:rPr>
          <w:rFonts w:hint="eastAsia" w:ascii="Times New Roman" w:hAnsi="Times New Roman" w:eastAsia="宋体" w:cs="Times New Roman"/>
          <w:sz w:val="22"/>
          <w:szCs w:val="22"/>
          <w:highlight w:val="none"/>
        </w:rPr>
        <w:t>依据《现场安装调试实施方案》及设备厂家执行的管理规范进行安装工艺规程，</w:t>
      </w:r>
      <w:r>
        <w:rPr>
          <w:rFonts w:ascii="Times New Roman" w:hAnsi="Times New Roman" w:eastAsia="宋体" w:cs="Times New Roman"/>
          <w:sz w:val="22"/>
          <w:szCs w:val="22"/>
          <w:highlight w:val="none"/>
        </w:rPr>
        <w:t>提供设备现场安装、调试及集成服务</w:t>
      </w:r>
      <w:r>
        <w:rPr>
          <w:rFonts w:hint="eastAsia" w:ascii="Times New Roman" w:hAnsi="Times New Roman" w:eastAsia="宋体" w:cs="Times New Roman"/>
          <w:sz w:val="22"/>
          <w:szCs w:val="22"/>
          <w:highlight w:val="none"/>
        </w:rPr>
        <w:t>，（如有）叙述非标设备入场后，设备的现场保护等（外壳防护等）要求</w:t>
      </w:r>
      <w:r>
        <w:rPr>
          <w:rFonts w:ascii="Times New Roman" w:hAnsi="Times New Roman" w:eastAsia="宋体" w:cs="Times New Roman"/>
          <w:sz w:val="22"/>
          <w:szCs w:val="22"/>
          <w:highlight w:val="none"/>
        </w:rPr>
        <w:t>；</w:t>
      </w:r>
    </w:p>
    <w:p w14:paraId="5ADBD006">
      <w:pPr>
        <w:numPr>
          <w:ilvl w:val="0"/>
          <w:numId w:val="7"/>
        </w:numPr>
        <w:spacing w:line="560" w:lineRule="exact"/>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乙方严格按照甲方要求和技术文件进行安装，如有变动，与甲方协商并形成书面技术协议后才可做变动；</w:t>
      </w:r>
    </w:p>
    <w:p w14:paraId="3DC85ACF">
      <w:pPr>
        <w:numPr>
          <w:ilvl w:val="0"/>
          <w:numId w:val="7"/>
        </w:numPr>
        <w:spacing w:line="560" w:lineRule="exact"/>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乙方严格遵守甲方现场的安全要求，设备走线规范；</w:t>
      </w:r>
    </w:p>
    <w:p w14:paraId="4A508EDD">
      <w:pPr>
        <w:numPr>
          <w:ilvl w:val="0"/>
          <w:numId w:val="7"/>
        </w:numPr>
        <w:spacing w:line="560" w:lineRule="exact"/>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乙方严格遵守甲方的现场管理办法，做到现场整洁干净、整齐有序、秩序良好。</w:t>
      </w:r>
    </w:p>
    <w:p w14:paraId="0F85A20F">
      <w:pPr>
        <w:numPr>
          <w:ilvl w:val="0"/>
          <w:numId w:val="5"/>
        </w:numPr>
        <w:ind w:hanging="6"/>
        <w:outlineLvl w:val="9"/>
        <w:rPr>
          <w:rFonts w:ascii="Times New Roman" w:hAnsi="Times New Roman" w:eastAsia="宋体" w:cs="Times New Roman"/>
          <w:b/>
          <w:sz w:val="22"/>
          <w:szCs w:val="22"/>
          <w:highlight w:val="none"/>
        </w:rPr>
      </w:pPr>
      <w:r>
        <w:rPr>
          <w:rFonts w:hint="eastAsia" w:ascii="Times New Roman" w:hAnsi="Times New Roman" w:eastAsia="宋体" w:cs="Times New Roman"/>
          <w:b/>
          <w:sz w:val="22"/>
          <w:szCs w:val="22"/>
          <w:highlight w:val="none"/>
        </w:rPr>
        <w:t>培训具体要求</w:t>
      </w:r>
      <w:r>
        <w:rPr>
          <w:rFonts w:ascii="Times New Roman" w:hAnsi="Times New Roman" w:eastAsia="宋体" w:cs="Times New Roman"/>
          <w:b/>
          <w:sz w:val="22"/>
          <w:szCs w:val="22"/>
          <w:highlight w:val="none"/>
        </w:rPr>
        <w:t>：</w:t>
      </w:r>
    </w:p>
    <w:p w14:paraId="14A6D0E6">
      <w:pPr>
        <w:numPr>
          <w:ilvl w:val="0"/>
          <w:numId w:val="8"/>
        </w:numPr>
        <w:spacing w:line="560" w:lineRule="exact"/>
        <w:ind w:firstLine="330" w:firstLineChars="15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技术培训</w:t>
      </w:r>
    </w:p>
    <w:p w14:paraId="5EA8CAEA">
      <w:pPr>
        <w:spacing w:line="360" w:lineRule="auto"/>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培训目的：让用户了解整个装置的基本原理，设备构成，运行过程，安全事项及紧急情况处理。</w:t>
      </w:r>
    </w:p>
    <w:p w14:paraId="0C7D582A">
      <w:pPr>
        <w:spacing w:line="360" w:lineRule="auto"/>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培训人员：用户方员工、实验室人员。</w:t>
      </w:r>
    </w:p>
    <w:p w14:paraId="3FABFEFA">
      <w:pPr>
        <w:spacing w:line="360" w:lineRule="auto"/>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培训方式：线下教学，理论与实践结合。</w:t>
      </w:r>
    </w:p>
    <w:p w14:paraId="44618DBE">
      <w:pPr>
        <w:spacing w:line="360" w:lineRule="auto"/>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培训讲师：乙方工程技术人员。</w:t>
      </w:r>
    </w:p>
    <w:p w14:paraId="6D879274">
      <w:pPr>
        <w:spacing w:line="360" w:lineRule="auto"/>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培训教材：乙方提供教材。</w:t>
      </w:r>
    </w:p>
    <w:p w14:paraId="21E380E9">
      <w:pPr>
        <w:spacing w:line="360" w:lineRule="auto"/>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考核方式：</w:t>
      </w:r>
      <w:r>
        <w:rPr>
          <w:rFonts w:hint="eastAsia" w:ascii="Times New Roman" w:hAnsi="Times New Roman" w:eastAsia="宋体" w:cs="Times New Roman"/>
          <w:sz w:val="22"/>
          <w:szCs w:val="22"/>
          <w:highlight w:val="none"/>
        </w:rPr>
        <w:t>有/</w:t>
      </w:r>
      <w:r>
        <w:rPr>
          <w:rFonts w:ascii="Times New Roman" w:hAnsi="Times New Roman" w:eastAsia="宋体" w:cs="Times New Roman"/>
          <w:sz w:val="22"/>
          <w:szCs w:val="22"/>
          <w:highlight w:val="none"/>
        </w:rPr>
        <w:t>无考核</w:t>
      </w:r>
    </w:p>
    <w:p w14:paraId="050A6395">
      <w:pPr>
        <w:spacing w:line="360" w:lineRule="auto"/>
        <w:ind w:firstLine="440" w:firstLineChars="200"/>
        <w:outlineLvl w:val="9"/>
        <w:rPr>
          <w:rFonts w:ascii="Times New Roman" w:hAnsi="Times New Roman" w:eastAsia="宋体" w:cs="Times New Roman"/>
          <w:sz w:val="22"/>
          <w:szCs w:val="22"/>
          <w:highlight w:val="none"/>
        </w:rPr>
      </w:pPr>
      <w:r>
        <w:rPr>
          <w:rFonts w:hint="eastAsia" w:ascii="Times New Roman" w:hAnsi="Times New Roman" w:eastAsia="宋体" w:cs="Times New Roman"/>
          <w:sz w:val="22"/>
          <w:szCs w:val="22"/>
          <w:highlight w:val="none"/>
        </w:rPr>
        <w:t>培训记录：保留培训记录，甲方提供统一模板</w:t>
      </w:r>
      <w:r>
        <w:rPr>
          <w:rFonts w:ascii="Times New Roman" w:hAnsi="Times New Roman" w:eastAsia="宋体" w:cs="Times New Roman"/>
          <w:sz w:val="22"/>
          <w:szCs w:val="22"/>
          <w:highlight w:val="none"/>
        </w:rPr>
        <w:t>。</w:t>
      </w:r>
    </w:p>
    <w:tbl>
      <w:tblPr>
        <w:tblStyle w:val="1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65"/>
        <w:gridCol w:w="2376"/>
        <w:gridCol w:w="3365"/>
        <w:gridCol w:w="1254"/>
      </w:tblGrid>
      <w:tr w14:paraId="7E74D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165" w:type="dxa"/>
            <w:shd w:val="clear" w:color="auto" w:fill="FFFFFF"/>
            <w:vAlign w:val="center"/>
          </w:tcPr>
          <w:p w14:paraId="7A9AECEB">
            <w:pPr>
              <w:snapToGrid w:val="0"/>
              <w:outlineLvl w:val="9"/>
              <w:rPr>
                <w:rFonts w:ascii="Times New Roman" w:hAnsi="Times New Roman" w:eastAsia="宋体" w:cs="Times New Roman"/>
                <w:b/>
                <w:bCs/>
                <w:sz w:val="22"/>
                <w:szCs w:val="22"/>
                <w:highlight w:val="none"/>
              </w:rPr>
            </w:pPr>
            <w:r>
              <w:rPr>
                <w:rFonts w:ascii="Times New Roman" w:hAnsi="Times New Roman" w:eastAsia="宋体" w:cs="Times New Roman"/>
                <w:b/>
                <w:bCs/>
                <w:sz w:val="22"/>
                <w:szCs w:val="22"/>
                <w:highlight w:val="none"/>
              </w:rPr>
              <w:t>序号</w:t>
            </w:r>
          </w:p>
        </w:tc>
        <w:tc>
          <w:tcPr>
            <w:tcW w:w="2376" w:type="dxa"/>
            <w:shd w:val="clear" w:color="auto" w:fill="FFFFFF"/>
            <w:vAlign w:val="center"/>
          </w:tcPr>
          <w:p w14:paraId="247FF081">
            <w:pPr>
              <w:snapToGrid w:val="0"/>
              <w:outlineLvl w:val="9"/>
              <w:rPr>
                <w:rFonts w:ascii="Times New Roman" w:hAnsi="Times New Roman" w:eastAsia="宋体" w:cs="Times New Roman"/>
                <w:b/>
                <w:bCs/>
                <w:sz w:val="22"/>
                <w:szCs w:val="22"/>
                <w:highlight w:val="none"/>
              </w:rPr>
            </w:pPr>
            <w:r>
              <w:rPr>
                <w:rFonts w:ascii="Times New Roman" w:hAnsi="Times New Roman" w:eastAsia="宋体" w:cs="Times New Roman"/>
                <w:b/>
                <w:bCs/>
                <w:sz w:val="22"/>
                <w:szCs w:val="22"/>
                <w:highlight w:val="none"/>
              </w:rPr>
              <w:t>教学内容</w:t>
            </w:r>
          </w:p>
        </w:tc>
        <w:tc>
          <w:tcPr>
            <w:tcW w:w="3365" w:type="dxa"/>
            <w:shd w:val="clear" w:color="auto" w:fill="FFFFFF"/>
            <w:vAlign w:val="center"/>
          </w:tcPr>
          <w:p w14:paraId="5B3A4586">
            <w:pPr>
              <w:snapToGrid w:val="0"/>
              <w:outlineLvl w:val="9"/>
              <w:rPr>
                <w:rFonts w:ascii="Times New Roman" w:hAnsi="Times New Roman" w:eastAsia="宋体" w:cs="Times New Roman"/>
                <w:b/>
                <w:bCs/>
                <w:sz w:val="22"/>
                <w:szCs w:val="22"/>
                <w:highlight w:val="none"/>
              </w:rPr>
            </w:pPr>
            <w:r>
              <w:rPr>
                <w:rFonts w:ascii="Times New Roman" w:hAnsi="Times New Roman" w:eastAsia="宋体" w:cs="Times New Roman"/>
                <w:b/>
                <w:bCs/>
                <w:sz w:val="22"/>
                <w:szCs w:val="22"/>
                <w:highlight w:val="none"/>
              </w:rPr>
              <w:t>具体内容</w:t>
            </w:r>
          </w:p>
        </w:tc>
        <w:tc>
          <w:tcPr>
            <w:tcW w:w="1254" w:type="dxa"/>
            <w:shd w:val="clear" w:color="auto" w:fill="FFFFFF"/>
            <w:vAlign w:val="center"/>
          </w:tcPr>
          <w:p w14:paraId="658A1C84">
            <w:pPr>
              <w:snapToGrid w:val="0"/>
              <w:outlineLvl w:val="9"/>
              <w:rPr>
                <w:rFonts w:ascii="Times New Roman" w:hAnsi="Times New Roman" w:eastAsia="宋体" w:cs="Times New Roman"/>
                <w:b/>
                <w:bCs/>
                <w:sz w:val="22"/>
                <w:szCs w:val="22"/>
                <w:highlight w:val="none"/>
              </w:rPr>
            </w:pPr>
            <w:r>
              <w:rPr>
                <w:rFonts w:ascii="Times New Roman" w:hAnsi="Times New Roman" w:eastAsia="宋体" w:cs="Times New Roman"/>
                <w:b/>
                <w:bCs/>
                <w:sz w:val="22"/>
                <w:szCs w:val="22"/>
                <w:highlight w:val="none"/>
              </w:rPr>
              <w:t>时间(天)</w:t>
            </w:r>
          </w:p>
        </w:tc>
      </w:tr>
      <w:tr w14:paraId="02664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165" w:type="dxa"/>
            <w:shd w:val="clear" w:color="auto" w:fill="FFFFFF"/>
            <w:vAlign w:val="center"/>
          </w:tcPr>
          <w:p w14:paraId="628070FC">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1</w:t>
            </w:r>
          </w:p>
        </w:tc>
        <w:tc>
          <w:tcPr>
            <w:tcW w:w="2376" w:type="dxa"/>
            <w:shd w:val="clear" w:color="auto" w:fill="FFFFFF"/>
            <w:vAlign w:val="center"/>
          </w:tcPr>
          <w:p w14:paraId="747B5FAA">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基础知识培训</w:t>
            </w:r>
          </w:p>
        </w:tc>
        <w:tc>
          <w:tcPr>
            <w:tcW w:w="3365" w:type="dxa"/>
            <w:shd w:val="clear" w:color="auto" w:fill="FFFFFF"/>
            <w:vAlign w:val="center"/>
          </w:tcPr>
          <w:p w14:paraId="3C120115">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19C05414">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p>
        </w:tc>
      </w:tr>
      <w:tr w14:paraId="0A727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165" w:type="dxa"/>
            <w:shd w:val="clear" w:color="auto" w:fill="FFFFFF"/>
            <w:vAlign w:val="center"/>
          </w:tcPr>
          <w:p w14:paraId="28DB6B57">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2</w:t>
            </w:r>
          </w:p>
        </w:tc>
        <w:tc>
          <w:tcPr>
            <w:tcW w:w="2376" w:type="dxa"/>
            <w:shd w:val="clear" w:color="auto" w:fill="FFFFFF"/>
            <w:vAlign w:val="center"/>
          </w:tcPr>
          <w:p w14:paraId="04B1B33E">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操作培训</w:t>
            </w:r>
          </w:p>
        </w:tc>
        <w:tc>
          <w:tcPr>
            <w:tcW w:w="3365" w:type="dxa"/>
            <w:shd w:val="clear" w:color="auto" w:fill="FFFFFF"/>
            <w:vAlign w:val="center"/>
          </w:tcPr>
          <w:p w14:paraId="3035F258">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209EE2E0">
            <w:pPr>
              <w:snapToGrid w:val="0"/>
              <w:outlineLvl w:val="9"/>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w:t>
            </w:r>
            <w:r>
              <w:rPr>
                <w:rFonts w:ascii="Times New Roman" w:hAnsi="Times New Roman" w:eastAsia="宋体" w:cs="Times New Roman"/>
                <w:sz w:val="21"/>
                <w:szCs w:val="21"/>
                <w:highlight w:val="none"/>
              </w:rPr>
              <w:t>.5</w:t>
            </w:r>
          </w:p>
        </w:tc>
      </w:tr>
      <w:tr w14:paraId="77AA6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165" w:type="dxa"/>
            <w:shd w:val="clear" w:color="auto" w:fill="FFFFFF"/>
            <w:vAlign w:val="center"/>
          </w:tcPr>
          <w:p w14:paraId="64E9521C">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3</w:t>
            </w:r>
          </w:p>
        </w:tc>
        <w:tc>
          <w:tcPr>
            <w:tcW w:w="2376" w:type="dxa"/>
            <w:shd w:val="clear" w:color="auto" w:fill="FFFFFF"/>
            <w:vAlign w:val="center"/>
          </w:tcPr>
          <w:p w14:paraId="65FFE8D1">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操作培训</w:t>
            </w:r>
          </w:p>
        </w:tc>
        <w:tc>
          <w:tcPr>
            <w:tcW w:w="3365" w:type="dxa"/>
            <w:shd w:val="clear" w:color="auto" w:fill="FFFFFF"/>
            <w:vAlign w:val="center"/>
          </w:tcPr>
          <w:p w14:paraId="2593824E">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26FA9ECA">
            <w:pPr>
              <w:snapToGrid w:val="0"/>
              <w:outlineLvl w:val="9"/>
              <w:rPr>
                <w:rFonts w:ascii="Times New Roman" w:hAnsi="Times New Roman" w:eastAsia="宋体" w:cs="Times New Roman"/>
                <w:sz w:val="21"/>
                <w:szCs w:val="21"/>
                <w:highlight w:val="none"/>
              </w:rPr>
            </w:pPr>
          </w:p>
        </w:tc>
      </w:tr>
      <w:tr w14:paraId="1E3BD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165" w:type="dxa"/>
            <w:shd w:val="clear" w:color="auto" w:fill="FFFFFF"/>
            <w:vAlign w:val="center"/>
          </w:tcPr>
          <w:p w14:paraId="5EE065C3">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4</w:t>
            </w:r>
          </w:p>
        </w:tc>
        <w:tc>
          <w:tcPr>
            <w:tcW w:w="2376" w:type="dxa"/>
            <w:shd w:val="clear" w:color="auto" w:fill="FFFFFF"/>
            <w:vAlign w:val="center"/>
          </w:tcPr>
          <w:p w14:paraId="61ACE372">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操作培训</w:t>
            </w:r>
          </w:p>
        </w:tc>
        <w:tc>
          <w:tcPr>
            <w:tcW w:w="3365" w:type="dxa"/>
            <w:shd w:val="clear" w:color="auto" w:fill="FFFFFF"/>
            <w:vAlign w:val="center"/>
          </w:tcPr>
          <w:p w14:paraId="409E850D">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1C630822">
            <w:pPr>
              <w:snapToGrid w:val="0"/>
              <w:outlineLvl w:val="9"/>
              <w:rPr>
                <w:rFonts w:ascii="Times New Roman" w:hAnsi="Times New Roman" w:eastAsia="宋体" w:cs="Times New Roman"/>
                <w:sz w:val="21"/>
                <w:szCs w:val="21"/>
                <w:highlight w:val="none"/>
              </w:rPr>
            </w:pPr>
          </w:p>
        </w:tc>
      </w:tr>
      <w:tr w14:paraId="70B41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165" w:type="dxa"/>
            <w:shd w:val="clear" w:color="auto" w:fill="FFFFFF"/>
            <w:vAlign w:val="center"/>
          </w:tcPr>
          <w:p w14:paraId="783FC634">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5</w:t>
            </w:r>
          </w:p>
        </w:tc>
        <w:tc>
          <w:tcPr>
            <w:tcW w:w="2376" w:type="dxa"/>
            <w:shd w:val="clear" w:color="auto" w:fill="FFFFFF"/>
            <w:vAlign w:val="center"/>
          </w:tcPr>
          <w:p w14:paraId="41A3B56C">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调束培训</w:t>
            </w:r>
          </w:p>
        </w:tc>
        <w:tc>
          <w:tcPr>
            <w:tcW w:w="3365" w:type="dxa"/>
            <w:shd w:val="clear" w:color="auto" w:fill="FFFFFF"/>
            <w:vAlign w:val="center"/>
          </w:tcPr>
          <w:p w14:paraId="4073C5E1">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347B13D1">
            <w:pPr>
              <w:snapToGrid w:val="0"/>
              <w:outlineLvl w:val="9"/>
              <w:rPr>
                <w:rFonts w:ascii="Times New Roman" w:hAnsi="Times New Roman" w:eastAsia="宋体" w:cs="Times New Roman"/>
                <w:sz w:val="21"/>
                <w:szCs w:val="21"/>
                <w:highlight w:val="none"/>
              </w:rPr>
            </w:pPr>
          </w:p>
        </w:tc>
      </w:tr>
      <w:tr w14:paraId="07E38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165" w:type="dxa"/>
            <w:shd w:val="clear" w:color="auto" w:fill="FFFFFF"/>
            <w:vAlign w:val="center"/>
          </w:tcPr>
          <w:p w14:paraId="47467A9E">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6</w:t>
            </w:r>
          </w:p>
        </w:tc>
        <w:tc>
          <w:tcPr>
            <w:tcW w:w="2376" w:type="dxa"/>
            <w:shd w:val="clear" w:color="auto" w:fill="FFFFFF"/>
            <w:vAlign w:val="center"/>
          </w:tcPr>
          <w:p w14:paraId="75DAD08B">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加速器束线维护</w:t>
            </w:r>
          </w:p>
        </w:tc>
        <w:tc>
          <w:tcPr>
            <w:tcW w:w="3365" w:type="dxa"/>
            <w:shd w:val="clear" w:color="auto" w:fill="FFFFFF"/>
            <w:vAlign w:val="center"/>
          </w:tcPr>
          <w:p w14:paraId="667F59D5">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3EA62B9A">
            <w:pPr>
              <w:snapToGrid w:val="0"/>
              <w:outlineLvl w:val="9"/>
              <w:rPr>
                <w:rFonts w:ascii="Times New Roman" w:hAnsi="Times New Roman" w:eastAsia="宋体" w:cs="Times New Roman"/>
                <w:sz w:val="21"/>
                <w:szCs w:val="21"/>
                <w:highlight w:val="none"/>
              </w:rPr>
            </w:pPr>
          </w:p>
        </w:tc>
      </w:tr>
      <w:tr w14:paraId="093F3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165" w:type="dxa"/>
            <w:shd w:val="clear" w:color="auto" w:fill="FFFFFF"/>
            <w:vAlign w:val="center"/>
          </w:tcPr>
          <w:p w14:paraId="3F32717A">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7</w:t>
            </w:r>
          </w:p>
        </w:tc>
        <w:tc>
          <w:tcPr>
            <w:tcW w:w="2376" w:type="dxa"/>
            <w:shd w:val="clear" w:color="auto" w:fill="FFFFFF"/>
            <w:vAlign w:val="center"/>
          </w:tcPr>
          <w:p w14:paraId="0D382DBD">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实操训练</w:t>
            </w:r>
          </w:p>
        </w:tc>
        <w:tc>
          <w:tcPr>
            <w:tcW w:w="3365" w:type="dxa"/>
            <w:shd w:val="clear" w:color="auto" w:fill="FFFFFF"/>
            <w:vAlign w:val="center"/>
          </w:tcPr>
          <w:p w14:paraId="3F3F6C06">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7F1FFD24">
            <w:pPr>
              <w:snapToGrid w:val="0"/>
              <w:outlineLvl w:val="9"/>
              <w:rPr>
                <w:rFonts w:ascii="Times New Roman" w:hAnsi="Times New Roman" w:eastAsia="宋体" w:cs="Times New Roman"/>
                <w:sz w:val="21"/>
                <w:szCs w:val="21"/>
                <w:highlight w:val="none"/>
              </w:rPr>
            </w:pPr>
          </w:p>
        </w:tc>
      </w:tr>
      <w:tr w14:paraId="3A2AA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165" w:type="dxa"/>
            <w:shd w:val="clear" w:color="auto" w:fill="FFFFFF"/>
            <w:vAlign w:val="center"/>
          </w:tcPr>
          <w:p w14:paraId="59DC523C">
            <w:pPr>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8</w:t>
            </w:r>
          </w:p>
        </w:tc>
        <w:tc>
          <w:tcPr>
            <w:tcW w:w="2376" w:type="dxa"/>
            <w:shd w:val="clear" w:color="auto" w:fill="FFFFFF"/>
            <w:vAlign w:val="center"/>
          </w:tcPr>
          <w:p w14:paraId="744BA29B">
            <w:pPr>
              <w:snapToGrid w:val="0"/>
              <w:outlineLvl w:val="9"/>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紧急事件处理</w:t>
            </w:r>
          </w:p>
        </w:tc>
        <w:tc>
          <w:tcPr>
            <w:tcW w:w="3365" w:type="dxa"/>
            <w:shd w:val="clear" w:color="auto" w:fill="FFFFFF"/>
            <w:vAlign w:val="center"/>
          </w:tcPr>
          <w:p w14:paraId="14AA1A35">
            <w:pPr>
              <w:adjustRightInd w:val="0"/>
              <w:snapToGrid w:val="0"/>
              <w:outlineLvl w:val="9"/>
              <w:rPr>
                <w:rFonts w:ascii="Times New Roman" w:hAnsi="Times New Roman" w:eastAsia="宋体" w:cs="Times New Roman"/>
                <w:sz w:val="21"/>
                <w:szCs w:val="21"/>
                <w:highlight w:val="none"/>
              </w:rPr>
            </w:pPr>
          </w:p>
        </w:tc>
        <w:tc>
          <w:tcPr>
            <w:tcW w:w="1254" w:type="dxa"/>
            <w:shd w:val="clear" w:color="auto" w:fill="FFFFFF"/>
            <w:vAlign w:val="center"/>
          </w:tcPr>
          <w:p w14:paraId="5CBC2D82">
            <w:pPr>
              <w:snapToGrid w:val="0"/>
              <w:outlineLvl w:val="9"/>
              <w:rPr>
                <w:rFonts w:ascii="Times New Roman" w:hAnsi="Times New Roman" w:eastAsia="宋体" w:cs="Times New Roman"/>
                <w:sz w:val="21"/>
                <w:szCs w:val="21"/>
                <w:highlight w:val="none"/>
              </w:rPr>
            </w:pPr>
          </w:p>
        </w:tc>
      </w:tr>
    </w:tbl>
    <w:p w14:paraId="126D3376">
      <w:pPr>
        <w:numPr>
          <w:ilvl w:val="0"/>
          <w:numId w:val="8"/>
        </w:numPr>
        <w:spacing w:line="560" w:lineRule="exact"/>
        <w:ind w:firstLine="330" w:firstLineChars="15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产品维修</w:t>
      </w:r>
    </w:p>
    <w:p w14:paraId="1EE7DA8B">
      <w:pPr>
        <w:spacing w:line="360" w:lineRule="auto"/>
        <w:ind w:firstLine="440" w:firstLineChars="20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设备的备品备件、耗材应能保证在设备30年寿命期间可靠供应。质保期内外的产品维修售后服务内容详见合同正文第八条。</w:t>
      </w:r>
    </w:p>
    <w:p w14:paraId="3FB7C7B0">
      <w:pPr>
        <w:spacing w:line="360" w:lineRule="auto"/>
        <w:ind w:firstLine="420"/>
        <w:outlineLvl w:val="9"/>
        <w:rPr>
          <w:rFonts w:ascii="Times New Roman" w:hAnsi="Times New Roman" w:eastAsia="宋体" w:cs="Times New Roman"/>
          <w:sz w:val="22"/>
          <w:szCs w:val="22"/>
          <w:highlight w:val="none"/>
        </w:rPr>
      </w:pPr>
    </w:p>
    <w:p w14:paraId="08747678">
      <w:pPr>
        <w:numPr>
          <w:ilvl w:val="0"/>
          <w:numId w:val="5"/>
        </w:numPr>
        <w:ind w:hanging="6"/>
        <w:outlineLvl w:val="9"/>
        <w:rPr>
          <w:rFonts w:ascii="Times New Roman" w:hAnsi="Times New Roman" w:eastAsia="宋体" w:cs="Times New Roman"/>
          <w:b/>
          <w:sz w:val="22"/>
          <w:szCs w:val="22"/>
          <w:highlight w:val="none"/>
        </w:rPr>
      </w:pPr>
      <w:r>
        <w:rPr>
          <w:rFonts w:ascii="Times New Roman" w:hAnsi="Times New Roman" w:eastAsia="宋体" w:cs="Times New Roman"/>
          <w:b/>
          <w:sz w:val="22"/>
          <w:szCs w:val="22"/>
          <w:highlight w:val="none"/>
        </w:rPr>
        <w:t>本技术附件为设备买卖合同不可分割的一部分，与设备买卖合同同时生效。</w:t>
      </w:r>
    </w:p>
    <w:p w14:paraId="76F190AA">
      <w:pPr>
        <w:adjustRightInd w:val="0"/>
        <w:snapToGrid w:val="0"/>
        <w:spacing w:line="360" w:lineRule="auto"/>
        <w:outlineLvl w:val="9"/>
        <w:rPr>
          <w:rFonts w:ascii="Times New Roman" w:hAnsi="Times New Roman" w:eastAsia="宋体" w:cs="Times New Roman"/>
          <w:sz w:val="22"/>
          <w:szCs w:val="22"/>
          <w:highlight w:val="none"/>
        </w:rPr>
      </w:pPr>
    </w:p>
    <w:tbl>
      <w:tblPr>
        <w:tblStyle w:val="18"/>
        <w:tblpPr w:leftFromText="180" w:rightFromText="180" w:vertAnchor="text" w:horzAnchor="page" w:tblpX="1412" w:tblpY="426"/>
        <w:tblOverlap w:val="never"/>
        <w:tblW w:w="9180" w:type="dxa"/>
        <w:tblInd w:w="0" w:type="dxa"/>
        <w:tblLayout w:type="fixed"/>
        <w:tblCellMar>
          <w:top w:w="0" w:type="dxa"/>
          <w:left w:w="108" w:type="dxa"/>
          <w:bottom w:w="0" w:type="dxa"/>
          <w:right w:w="108" w:type="dxa"/>
        </w:tblCellMar>
      </w:tblPr>
      <w:tblGrid>
        <w:gridCol w:w="4487"/>
        <w:gridCol w:w="4693"/>
      </w:tblGrid>
      <w:tr w14:paraId="6C95F295">
        <w:trPr>
          <w:cantSplit/>
        </w:trPr>
        <w:tc>
          <w:tcPr>
            <w:tcW w:w="4487" w:type="dxa"/>
          </w:tcPr>
          <w:p w14:paraId="2C47B701">
            <w:pPr>
              <w:adjustRightInd w:val="0"/>
              <w:snapToGrid w:val="0"/>
              <w:spacing w:line="360" w:lineRule="auto"/>
              <w:outlineLvl w:val="9"/>
              <w:rPr>
                <w:rFonts w:ascii="Times New Roman" w:hAnsi="Times New Roman" w:eastAsia="宋体" w:cs="Times New Roman"/>
                <w:sz w:val="22"/>
                <w:szCs w:val="22"/>
                <w:highlight w:val="none"/>
              </w:rPr>
            </w:pPr>
            <w:bookmarkStart w:id="90" w:name="_Hlk89349696"/>
            <w:r>
              <w:rPr>
                <w:rFonts w:ascii="Times New Roman" w:hAnsi="Times New Roman" w:eastAsia="宋体" w:cs="Times New Roman"/>
                <w:sz w:val="22"/>
                <w:szCs w:val="22"/>
                <w:highlight w:val="none"/>
              </w:rPr>
              <w:t>甲方：哈尔滨工业大学（深圳）</w:t>
            </w:r>
          </w:p>
          <w:p w14:paraId="564474E8">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（盖章）</w:t>
            </w:r>
          </w:p>
        </w:tc>
        <w:tc>
          <w:tcPr>
            <w:tcW w:w="4693" w:type="dxa"/>
          </w:tcPr>
          <w:p w14:paraId="1B45D66E">
            <w:pPr>
              <w:widowControl/>
              <w:adjustRightInd w:val="0"/>
              <w:snapToGrid w:val="0"/>
              <w:spacing w:line="360" w:lineRule="auto"/>
              <w:outlineLvl w:val="9"/>
              <w:rPr>
                <w:rFonts w:ascii="Times New Roman" w:hAnsi="Times New Roman" w:eastAsia="宋体" w:cs="Times New Roman"/>
                <w:kern w:val="0"/>
                <w:sz w:val="22"/>
                <w:szCs w:val="22"/>
                <w:highlight w:val="none"/>
              </w:rPr>
            </w:pPr>
            <w:r>
              <w:rPr>
                <w:rFonts w:ascii="Times New Roman" w:hAnsi="Times New Roman" w:eastAsia="宋体" w:cs="Times New Roman"/>
                <w:kern w:val="0"/>
                <w:sz w:val="22"/>
                <w:szCs w:val="22"/>
                <w:highlight w:val="none"/>
              </w:rPr>
              <w:t>乙方：中国原子能科学研究院</w:t>
            </w:r>
          </w:p>
          <w:p w14:paraId="613FEDE2">
            <w:pPr>
              <w:widowControl/>
              <w:adjustRightInd w:val="0"/>
              <w:snapToGrid w:val="0"/>
              <w:spacing w:line="360" w:lineRule="auto"/>
              <w:outlineLvl w:val="9"/>
              <w:rPr>
                <w:rFonts w:ascii="Times New Roman" w:hAnsi="Times New Roman" w:eastAsia="宋体" w:cs="Times New Roman"/>
                <w:kern w:val="0"/>
                <w:sz w:val="22"/>
                <w:szCs w:val="22"/>
                <w:highlight w:val="none"/>
              </w:rPr>
            </w:pPr>
            <w:r>
              <w:rPr>
                <w:rFonts w:ascii="Times New Roman" w:hAnsi="Times New Roman" w:eastAsia="宋体" w:cs="Times New Roman"/>
                <w:kern w:val="0"/>
                <w:sz w:val="22"/>
                <w:szCs w:val="22"/>
                <w:highlight w:val="none"/>
              </w:rPr>
              <w:t xml:space="preserve">(盖章) </w:t>
            </w:r>
          </w:p>
        </w:tc>
      </w:tr>
      <w:tr w14:paraId="1CF50951">
        <w:tblPrEx>
          <w:tblCellMar>
            <w:top w:w="0" w:type="dxa"/>
            <w:left w:w="108" w:type="dxa"/>
            <w:bottom w:w="0" w:type="dxa"/>
            <w:right w:w="108" w:type="dxa"/>
          </w:tblCellMar>
        </w:tblPrEx>
        <w:trPr>
          <w:cantSplit/>
        </w:trPr>
        <w:tc>
          <w:tcPr>
            <w:tcW w:w="4487" w:type="dxa"/>
          </w:tcPr>
          <w:p w14:paraId="4F882528">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法定代表人（负责人）或</w:t>
            </w:r>
          </w:p>
          <w:p w14:paraId="35064015">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授权代表（签字）：</w:t>
            </w:r>
          </w:p>
        </w:tc>
        <w:tc>
          <w:tcPr>
            <w:tcW w:w="4693" w:type="dxa"/>
          </w:tcPr>
          <w:p w14:paraId="4BD52338">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法定代表人（负责人）或</w:t>
            </w:r>
          </w:p>
          <w:p w14:paraId="4AB50105">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授权代表（签字）：</w:t>
            </w:r>
          </w:p>
        </w:tc>
      </w:tr>
      <w:tr w14:paraId="295B4F86">
        <w:tblPrEx>
          <w:tblCellMar>
            <w:top w:w="0" w:type="dxa"/>
            <w:left w:w="108" w:type="dxa"/>
            <w:bottom w:w="0" w:type="dxa"/>
            <w:right w:w="108" w:type="dxa"/>
          </w:tblCellMar>
        </w:tblPrEx>
        <w:trPr>
          <w:cantSplit/>
        </w:trPr>
        <w:tc>
          <w:tcPr>
            <w:tcW w:w="4487" w:type="dxa"/>
          </w:tcPr>
          <w:p w14:paraId="7F731C7F">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联系人：</w:t>
            </w:r>
          </w:p>
        </w:tc>
        <w:tc>
          <w:tcPr>
            <w:tcW w:w="4693" w:type="dxa"/>
          </w:tcPr>
          <w:p w14:paraId="7E193D8D">
            <w:pPr>
              <w:adjustRightInd w:val="0"/>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联系人：</w:t>
            </w:r>
          </w:p>
        </w:tc>
      </w:tr>
      <w:tr w14:paraId="397D8F69">
        <w:tblPrEx>
          <w:tblCellMar>
            <w:top w:w="0" w:type="dxa"/>
            <w:left w:w="108" w:type="dxa"/>
            <w:bottom w:w="0" w:type="dxa"/>
            <w:right w:w="108" w:type="dxa"/>
          </w:tblCellMar>
        </w:tblPrEx>
        <w:trPr>
          <w:cantSplit/>
        </w:trPr>
        <w:tc>
          <w:tcPr>
            <w:tcW w:w="4487" w:type="dxa"/>
          </w:tcPr>
          <w:p w14:paraId="2F06808D">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电话：</w:t>
            </w:r>
          </w:p>
        </w:tc>
        <w:tc>
          <w:tcPr>
            <w:tcW w:w="4693" w:type="dxa"/>
          </w:tcPr>
          <w:p w14:paraId="277E75E5">
            <w:pPr>
              <w:adjustRightInd w:val="0"/>
              <w:snapToGrid w:val="0"/>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电话：</w:t>
            </w:r>
          </w:p>
        </w:tc>
      </w:tr>
      <w:tr w14:paraId="4DE24226">
        <w:tblPrEx>
          <w:tblCellMar>
            <w:top w:w="0" w:type="dxa"/>
            <w:left w:w="108" w:type="dxa"/>
            <w:bottom w:w="0" w:type="dxa"/>
            <w:right w:w="108" w:type="dxa"/>
          </w:tblCellMar>
        </w:tblPrEx>
        <w:trPr>
          <w:cantSplit/>
        </w:trPr>
        <w:tc>
          <w:tcPr>
            <w:tcW w:w="4487" w:type="dxa"/>
          </w:tcPr>
          <w:p w14:paraId="20F371FC">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传真：</w:t>
            </w:r>
          </w:p>
          <w:p w14:paraId="366884EC">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Email：</w:t>
            </w:r>
          </w:p>
        </w:tc>
        <w:tc>
          <w:tcPr>
            <w:tcW w:w="4693" w:type="dxa"/>
          </w:tcPr>
          <w:p w14:paraId="62C02A4C">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传真：</w:t>
            </w:r>
          </w:p>
          <w:p w14:paraId="7AED49C0">
            <w:pPr>
              <w:adjustRightInd w:val="0"/>
              <w:snapToGrid w:val="0"/>
              <w:spacing w:line="360" w:lineRule="auto"/>
              <w:outlineLvl w:val="9"/>
              <w:rPr>
                <w:rFonts w:ascii="Times New Roman" w:hAnsi="Times New Roman" w:eastAsia="宋体" w:cs="Times New Roman"/>
                <w:sz w:val="22"/>
                <w:szCs w:val="22"/>
                <w:highlight w:val="none"/>
              </w:rPr>
            </w:pPr>
            <w:r>
              <w:rPr>
                <w:rFonts w:ascii="Times New Roman" w:hAnsi="Times New Roman" w:eastAsia="宋体" w:cs="Times New Roman"/>
                <w:sz w:val="22"/>
                <w:szCs w:val="22"/>
                <w:highlight w:val="none"/>
              </w:rPr>
              <w:t>Email：</w:t>
            </w:r>
          </w:p>
          <w:p w14:paraId="01239A47">
            <w:pPr>
              <w:adjustRightInd w:val="0"/>
              <w:snapToGrid w:val="0"/>
              <w:spacing w:line="360" w:lineRule="auto"/>
              <w:outlineLvl w:val="9"/>
              <w:rPr>
                <w:rFonts w:ascii="Times New Roman" w:hAnsi="Times New Roman" w:eastAsia="宋体" w:cs="Times New Roman"/>
                <w:sz w:val="22"/>
                <w:szCs w:val="22"/>
                <w:highlight w:val="none"/>
              </w:rPr>
            </w:pPr>
          </w:p>
        </w:tc>
      </w:tr>
      <w:bookmarkEnd w:id="90"/>
    </w:tbl>
    <w:p w14:paraId="7C109A06">
      <w:pPr>
        <w:outlineLvl w:val="9"/>
        <w:rPr>
          <w:rFonts w:ascii="Times New Roman" w:hAnsi="Times New Roman" w:eastAsia="宋体" w:cs="Times New Roman"/>
          <w:highlight w:val="none"/>
        </w:rPr>
      </w:pPr>
    </w:p>
    <w:p w14:paraId="2A1A35BA">
      <w:pPr>
        <w:rPr>
          <w:rFonts w:hint="eastAsia" w:ascii="黑体" w:hAnsi="黑体" w:eastAsia="黑体"/>
          <w:sz w:val="28"/>
          <w:szCs w:val="28"/>
        </w:rPr>
      </w:pPr>
      <w:r>
        <w:rPr>
          <w:rFonts w:hint="eastAsia" w:ascii="黑体" w:hAnsi="黑体" w:eastAsia="黑体"/>
          <w:sz w:val="28"/>
          <w:szCs w:val="28"/>
        </w:rPr>
        <w:br w:type="page"/>
      </w:r>
    </w:p>
    <w:p w14:paraId="3E64A4BE">
      <w:pPr>
        <w:pStyle w:val="5"/>
        <w:snapToGrid w:val="0"/>
        <w:spacing w:before="120" w:beforeLines="50"/>
        <w:rPr>
          <w:rFonts w:ascii="黑体" w:hAnsi="黑体" w:eastAsia="黑体"/>
          <w:sz w:val="28"/>
          <w:szCs w:val="28"/>
        </w:rPr>
      </w:pPr>
      <w:r>
        <w:rPr>
          <w:rFonts w:hint="eastAsia" w:ascii="黑体" w:hAnsi="黑体" w:eastAsia="黑体"/>
          <w:sz w:val="28"/>
          <w:szCs w:val="28"/>
        </w:rPr>
        <w:t>第二节 政府采购合同通用条款</w:t>
      </w:r>
      <w:bookmarkEnd w:id="85"/>
    </w:p>
    <w:p w14:paraId="20B1F694">
      <w:pPr>
        <w:tabs>
          <w:tab w:val="left" w:pos="8820"/>
          <w:tab w:val="left" w:pos="9345"/>
          <w:tab w:val="left" w:pos="9765"/>
        </w:tabs>
        <w:adjustRightInd w:val="0"/>
        <w:snapToGrid w:val="0"/>
        <w:spacing w:line="400" w:lineRule="exact"/>
        <w:rPr>
          <w:rFonts w:ascii="宋体" w:hAnsi="宋体"/>
          <w:b/>
          <w:bCs/>
        </w:rPr>
      </w:pPr>
      <w:r>
        <w:rPr>
          <w:rFonts w:hint="eastAsia" w:ascii="宋体" w:hAnsi="宋体"/>
          <w:b/>
        </w:rPr>
        <w:t xml:space="preserve">1. </w:t>
      </w:r>
      <w:r>
        <w:rPr>
          <w:rFonts w:hint="eastAsia" w:ascii="宋体" w:hAnsi="宋体"/>
          <w:b/>
          <w:bCs/>
        </w:rPr>
        <w:t>定义</w:t>
      </w:r>
    </w:p>
    <w:p w14:paraId="46A4BD30">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1.1合同当事人</w:t>
      </w:r>
    </w:p>
    <w:p w14:paraId="6ABAD7A3">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5E104019">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2004F402">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szCs w:val="21"/>
        </w:rPr>
        <w:t>。</w:t>
      </w:r>
    </w:p>
    <w:p w14:paraId="3A29391D">
      <w:pPr>
        <w:tabs>
          <w:tab w:val="left" w:pos="570"/>
          <w:tab w:val="left" w:pos="9240"/>
          <w:tab w:val="left" w:pos="9555"/>
        </w:tabs>
        <w:adjustRightInd w:val="0"/>
        <w:snapToGrid w:val="0"/>
        <w:spacing w:line="400" w:lineRule="exact"/>
        <w:ind w:firstLine="480" w:firstLineChars="200"/>
        <w:rPr>
          <w:rFonts w:ascii="宋体" w:hAnsi="宋体"/>
          <w:szCs w:val="21"/>
        </w:rPr>
      </w:pPr>
      <w:r>
        <w:rPr>
          <w:rFonts w:hint="eastAsia" w:ascii="宋体" w:hAnsi="宋体"/>
          <w:szCs w:val="21"/>
        </w:rPr>
        <w:t>1.2本合同下列术语应解释为：</w:t>
      </w:r>
    </w:p>
    <w:p w14:paraId="549C1858">
      <w:pPr>
        <w:adjustRightInd w:val="0"/>
        <w:snapToGrid w:val="0"/>
        <w:spacing w:line="400" w:lineRule="exact"/>
        <w:ind w:firstLine="480" w:firstLineChars="200"/>
        <w:rPr>
          <w:rFonts w:ascii="宋体" w:hAnsi="宋体"/>
          <w:szCs w:val="21"/>
        </w:rPr>
      </w:pPr>
      <w:r>
        <w:rPr>
          <w:rFonts w:hint="eastAsia" w:ascii="宋体" w:hAnsi="宋体"/>
          <w:szCs w:val="21"/>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eastAsia="宋体" w:cs="宋体"/>
          <w:color w:val="000000" w:themeColor="text1"/>
          <w:kern w:val="2"/>
          <w:sz w:val="21"/>
          <w:szCs w:val="21"/>
          <w14:textFill>
            <w14:solidFill>
              <w14:schemeClr w14:val="tx1"/>
            </w14:solidFill>
          </w14:textFill>
        </w:rPr>
        <w:t>国家法律、行政法规和规章制度规定或合同约定的作为合同组成部分的其他文件</w:t>
      </w:r>
      <w:r>
        <w:rPr>
          <w:rFonts w:hint="eastAsia" w:ascii="宋体" w:hAnsi="宋体"/>
          <w:szCs w:val="21"/>
        </w:rPr>
        <w:t>。</w:t>
      </w:r>
    </w:p>
    <w:p w14:paraId="6DCA8075">
      <w:pPr>
        <w:tabs>
          <w:tab w:val="left" w:pos="570"/>
          <w:tab w:val="left" w:pos="9240"/>
          <w:tab w:val="left" w:pos="9555"/>
        </w:tabs>
        <w:adjustRightInd w:val="0"/>
        <w:snapToGrid w:val="0"/>
        <w:spacing w:line="400" w:lineRule="exact"/>
        <w:ind w:firstLine="480" w:firstLineChars="200"/>
        <w:rPr>
          <w:rFonts w:ascii="宋体" w:hAnsi="宋体"/>
          <w:szCs w:val="21"/>
        </w:rPr>
      </w:pPr>
      <w:r>
        <w:rPr>
          <w:rFonts w:hint="eastAsia" w:ascii="宋体" w:hAnsi="宋体"/>
          <w:szCs w:val="21"/>
        </w:rPr>
        <w:t>（2）“合同价款”系指根据本合同规定乙方在全面履行合同义务后甲方应支付给乙方的价款。</w:t>
      </w:r>
    </w:p>
    <w:p w14:paraId="4EAA6880">
      <w:pPr>
        <w:tabs>
          <w:tab w:val="left" w:pos="570"/>
          <w:tab w:val="left" w:pos="9240"/>
          <w:tab w:val="left" w:pos="9555"/>
        </w:tabs>
        <w:adjustRightInd w:val="0"/>
        <w:snapToGrid w:val="0"/>
        <w:spacing w:line="400" w:lineRule="exact"/>
        <w:ind w:firstLine="480" w:firstLineChars="200"/>
        <w:rPr>
          <w:rFonts w:ascii="宋体" w:hAnsi="宋体" w:eastAsia="宋体"/>
          <w:color w:val="000000" w:themeColor="text1"/>
          <w:szCs w:val="21"/>
          <w14:textFill>
            <w14:solidFill>
              <w14:schemeClr w14:val="tx1"/>
            </w14:solidFill>
          </w14:textFill>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themeColor="text1"/>
          <w:szCs w:val="21"/>
          <w14:textFill>
            <w14:solidFill>
              <w14:schemeClr w14:val="tx1"/>
            </w14:solidFill>
          </w14:textFill>
        </w:rPr>
        <w:t>包括软件）及相关的其备品备件、工具、手册及</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技术资料和材料等。</w:t>
      </w:r>
    </w:p>
    <w:p w14:paraId="1880BE3B">
      <w:pPr>
        <w:adjustRightInd w:val="0"/>
        <w:snapToGrid w:val="0"/>
        <w:spacing w:line="400" w:lineRule="exact"/>
        <w:ind w:firstLine="480" w:firstLineChars="200"/>
        <w:rPr>
          <w:rFonts w:ascii="宋体" w:hAnsi="宋体" w:eastAsia="宋体"/>
          <w:color w:val="000000" w:themeColor="text1"/>
          <w:szCs w:val="21"/>
          <w:highlight w:val="yellow"/>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hint="eastAsia" w:ascii="宋体" w:hAnsi="宋体"/>
          <w:szCs w:val="21"/>
        </w:rPr>
        <w:t>相关</w:t>
      </w:r>
      <w:r>
        <w:rPr>
          <w:rFonts w:hint="eastAsia" w:ascii="宋体" w:hAnsi="宋体"/>
          <w:color w:val="000000" w:themeColor="text1"/>
          <w:szCs w:val="21"/>
          <w14:textFill>
            <w14:solidFill>
              <w14:schemeClr w14:val="tx1"/>
            </w14:solidFill>
          </w14:textFill>
        </w:rPr>
        <w:t>服务”系指根据合同规定，乙方应提供的与货物有关的技术、管理和</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义务。</w:t>
      </w:r>
    </w:p>
    <w:p w14:paraId="747F5E4B">
      <w:pPr>
        <w:adjustRightInd w:val="0"/>
        <w:snapToGrid w:val="0"/>
        <w:spacing w:line="400" w:lineRule="exact"/>
        <w:ind w:firstLine="480" w:firstLineChars="200"/>
        <w:rPr>
          <w:rFonts w:ascii="宋体" w:hAnsi="宋体" w:eastAsia="宋体"/>
          <w:color w:val="000000" w:themeColor="text1"/>
          <w:szCs w:val="21"/>
          <w:highlight w:val="yellow"/>
          <w14:textFill>
            <w14:solidFill>
              <w14:schemeClr w14:val="tx1"/>
            </w14:solidFill>
          </w14:textFill>
        </w:rPr>
      </w:pPr>
      <w:r>
        <w:rPr>
          <w:rFonts w:hint="eastAsia" w:ascii="宋体" w:hAnsi="宋体"/>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5CD54E7">
      <w:pPr>
        <w:tabs>
          <w:tab w:val="left" w:pos="570"/>
          <w:tab w:val="left" w:pos="9240"/>
          <w:tab w:val="left" w:pos="9555"/>
        </w:tabs>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themeColor="text1"/>
          <w:szCs w:val="2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w:t>
      </w:r>
    </w:p>
    <w:p w14:paraId="73517370">
      <w:pPr>
        <w:tabs>
          <w:tab w:val="left" w:pos="570"/>
          <w:tab w:val="left" w:pos="9240"/>
          <w:tab w:val="left" w:pos="9555"/>
        </w:tabs>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（7）其他术语解释，见【</w:t>
      </w:r>
      <w:r>
        <w:rPr>
          <w:rFonts w:hint="eastAsia" w:ascii="宋体" w:hAnsi="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w:t>
      </w:r>
    </w:p>
    <w:p w14:paraId="3787A458">
      <w:pPr>
        <w:numPr>
          <w:ilvl w:val="0"/>
          <w:numId w:val="9"/>
        </w:numPr>
        <w:autoSpaceDE w:val="0"/>
        <w:autoSpaceDN w:val="0"/>
        <w:adjustRightInd w:val="0"/>
        <w:snapToGrid w:val="0"/>
        <w:spacing w:line="400" w:lineRule="exact"/>
        <w:rPr>
          <w:rFonts w:ascii="宋体" w:hAnsi="宋体"/>
          <w:b/>
          <w:bCs/>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合同标的及金额</w:t>
      </w:r>
    </w:p>
    <w:p w14:paraId="72791A7F">
      <w:pPr>
        <w:autoSpaceDE w:val="0"/>
        <w:autoSpaceDN w:val="0"/>
        <w:adjustRightInd w:val="0"/>
        <w:snapToGrid w:val="0"/>
        <w:spacing w:line="400" w:lineRule="exact"/>
        <w:ind w:firstLine="480" w:firstLineChars="200"/>
        <w:rPr>
          <w:rFonts w:ascii="宋体" w:hAnsi="宋体"/>
          <w:b/>
          <w:bCs/>
          <w:i/>
          <w:i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任何费用。</w:t>
      </w:r>
    </w:p>
    <w:p w14:paraId="35A50AF2">
      <w:pPr>
        <w:adjustRightInd w:val="0"/>
        <w:snapToGrid w:val="0"/>
        <w:spacing w:line="400" w:lineRule="exact"/>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3. 履行合同的时间、地点和方式</w:t>
      </w:r>
    </w:p>
    <w:p w14:paraId="3015BF9E">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3.1 </w:t>
      </w:r>
      <w:r>
        <w:rPr>
          <w:rFonts w:hint="eastAsia" w:ascii="宋体" w:hAnsi="宋体" w:eastAsia="宋体" w:cs="宋体"/>
          <w:szCs w:val="21"/>
        </w:rPr>
        <w:t>乙方应当在约定的时间、地点</w:t>
      </w:r>
      <w:r>
        <w:rPr>
          <w:rFonts w:hint="eastAsia" w:ascii="宋体" w:hAnsi="宋体" w:cs="宋体"/>
          <w:szCs w:val="21"/>
        </w:rPr>
        <w:t>，按照约定</w:t>
      </w:r>
      <w:r>
        <w:rPr>
          <w:rFonts w:hint="eastAsia" w:ascii="宋体" w:hAnsi="宋体" w:eastAsia="宋体" w:cs="宋体"/>
          <w:szCs w:val="21"/>
        </w:rPr>
        <w:t>方式履行合同。</w:t>
      </w:r>
    </w:p>
    <w:p w14:paraId="3347BAF6">
      <w:pPr>
        <w:autoSpaceDE w:val="0"/>
        <w:autoSpaceDN w:val="0"/>
        <w:adjustRightInd w:val="0"/>
        <w:snapToGrid w:val="0"/>
        <w:spacing w:line="400" w:lineRule="exact"/>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4. 甲方的权利和义务</w:t>
      </w:r>
    </w:p>
    <w:p w14:paraId="57CF7D75">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w:t>
      </w:r>
      <w:r>
        <w:rPr>
          <w:rFonts w:ascii="宋体" w:hAnsi="宋体"/>
          <w:color w:val="000000" w:themeColor="text1"/>
          <w:szCs w:val="21"/>
          <w14:textFill>
            <w14:solidFill>
              <w14:schemeClr w14:val="tx1"/>
            </w14:solidFill>
          </w14:textFill>
        </w:rPr>
        <w:t xml:space="preserve"> 签署合同后，甲方</w:t>
      </w:r>
      <w:r>
        <w:rPr>
          <w:rFonts w:hint="eastAsia" w:ascii="宋体" w:hAnsi="宋体"/>
          <w:color w:val="000000" w:themeColor="text1"/>
          <w:szCs w:val="21"/>
          <w14:textFill>
            <w14:solidFill>
              <w14:schemeClr w14:val="tx1"/>
            </w14:solidFill>
          </w14:textFill>
        </w:rPr>
        <w:t>应</w:t>
      </w:r>
      <w:r>
        <w:rPr>
          <w:rFonts w:ascii="宋体" w:hAnsi="宋体"/>
          <w:color w:val="000000" w:themeColor="text1"/>
          <w:szCs w:val="21"/>
          <w14:textFill>
            <w14:solidFill>
              <w14:schemeClr w14:val="tx1"/>
            </w14:solidFill>
          </w14:textFill>
        </w:rPr>
        <w:t>确定</w:t>
      </w:r>
      <w:r>
        <w:rPr>
          <w:rFonts w:hint="eastAsia" w:ascii="宋体" w:hAnsi="宋体"/>
          <w:color w:val="000000" w:themeColor="text1"/>
          <w:szCs w:val="21"/>
          <w14:textFill>
            <w14:solidFill>
              <w14:schemeClr w14:val="tx1"/>
            </w14:solidFill>
          </w14:textFill>
        </w:rPr>
        <w:t>项目负责人（或项目联系人）</w:t>
      </w:r>
      <w:r>
        <w:rPr>
          <w:rFonts w:ascii="宋体" w:hAnsi="宋体"/>
          <w:color w:val="000000" w:themeColor="text1"/>
          <w:szCs w:val="21"/>
          <w14:textFill>
            <w14:solidFill>
              <w14:schemeClr w14:val="tx1"/>
            </w14:solidFill>
          </w14:textFill>
        </w:rPr>
        <w:t>，负责与本合同有关的事务。</w:t>
      </w:r>
      <w:r>
        <w:rPr>
          <w:rFonts w:hint="eastAsia" w:ascii="宋体" w:hAnsi="宋体"/>
          <w:color w:val="000000" w:themeColor="text1"/>
          <w:szCs w:val="21"/>
          <w14:textFill>
            <w14:solidFill>
              <w14:schemeClr w14:val="tx1"/>
            </w14:solidFill>
          </w14:textFill>
        </w:rPr>
        <w:t>甲方有权对乙方的履约行为进行检查，并</w:t>
      </w:r>
      <w:r>
        <w:rPr>
          <w:rFonts w:ascii="宋体" w:hAnsi="宋体"/>
          <w:color w:val="000000" w:themeColor="text1"/>
          <w:szCs w:val="21"/>
          <w14:textFill>
            <w14:solidFill>
              <w14:schemeClr w14:val="tx1"/>
            </w14:solidFill>
          </w14:textFill>
        </w:rPr>
        <w:t>及时确认乙方提交的事项</w:t>
      </w:r>
      <w:r>
        <w:rPr>
          <w:rFonts w:hint="eastAsia" w:ascii="宋体" w:hAnsi="宋体"/>
          <w:color w:val="000000" w:themeColor="text1"/>
          <w:szCs w:val="21"/>
          <w14:textFill>
            <w14:solidFill>
              <w14:schemeClr w14:val="tx1"/>
            </w14:solidFill>
          </w14:textFill>
        </w:rPr>
        <w:t>。甲方应当</w:t>
      </w:r>
      <w:r>
        <w:rPr>
          <w:rFonts w:ascii="宋体" w:hAnsi="宋体"/>
          <w:color w:val="000000" w:themeColor="text1"/>
          <w:szCs w:val="21"/>
          <w14:textFill>
            <w14:solidFill>
              <w14:schemeClr w14:val="tx1"/>
            </w14:solidFill>
          </w14:textFill>
        </w:rPr>
        <w:t>配合乙方完成</w:t>
      </w:r>
      <w:r>
        <w:rPr>
          <w:rFonts w:hint="eastAsia" w:ascii="宋体" w:hAnsi="宋体"/>
          <w:color w:val="000000" w:themeColor="text1"/>
          <w:szCs w:val="21"/>
          <w14:textFill>
            <w14:solidFill>
              <w14:schemeClr w14:val="tx1"/>
            </w14:solidFill>
          </w14:textFill>
        </w:rPr>
        <w:t>相关项目</w:t>
      </w:r>
      <w:r>
        <w:rPr>
          <w:rFonts w:ascii="宋体" w:hAnsi="宋体"/>
          <w:color w:val="000000" w:themeColor="text1"/>
          <w:szCs w:val="21"/>
          <w14:textFill>
            <w14:solidFill>
              <w14:schemeClr w14:val="tx1"/>
            </w14:solidFill>
          </w14:textFill>
        </w:rPr>
        <w:t>实施工作。</w:t>
      </w:r>
    </w:p>
    <w:p w14:paraId="186D6BB6">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4.2 </w:t>
      </w:r>
      <w:r>
        <w:rPr>
          <w:rFonts w:ascii="宋体" w:hAnsi="宋体"/>
          <w:color w:val="000000" w:themeColor="text1"/>
          <w:szCs w:val="21"/>
          <w14:textFill>
            <w14:solidFill>
              <w14:schemeClr w14:val="tx1"/>
            </w14:solidFill>
          </w14:textFill>
        </w:rPr>
        <w:t>甲方有权要求乙方按时提交各阶段有关</w:t>
      </w:r>
      <w:r>
        <w:rPr>
          <w:rFonts w:hint="eastAsia" w:ascii="宋体" w:hAnsi="宋体"/>
          <w:color w:val="000000" w:themeColor="text1"/>
          <w:szCs w:val="21"/>
          <w14:textFill>
            <w14:solidFill>
              <w14:schemeClr w14:val="tx1"/>
            </w14:solidFill>
          </w14:textFill>
        </w:rPr>
        <w:t>安排计划</w:t>
      </w:r>
      <w:r>
        <w:rPr>
          <w:rFonts w:ascii="宋体" w:hAnsi="宋体"/>
          <w:color w:val="000000" w:themeColor="text1"/>
          <w:szCs w:val="21"/>
          <w14:textFill>
            <w14:solidFill>
              <w14:schemeClr w14:val="tx1"/>
            </w14:solidFill>
          </w14:textFill>
        </w:rPr>
        <w:t>，并有权</w:t>
      </w:r>
      <w:r>
        <w:rPr>
          <w:rFonts w:hint="eastAsia" w:ascii="宋体" w:hAnsi="宋体"/>
          <w:color w:val="000000" w:themeColor="text1"/>
          <w:szCs w:val="21"/>
          <w14:textFill>
            <w14:solidFill>
              <w14:schemeClr w14:val="tx1"/>
            </w14:solidFill>
          </w14:textFill>
        </w:rPr>
        <w:t>定期核对乙方提供货物数量、规格、质量等内容。甲方</w:t>
      </w:r>
      <w:r>
        <w:rPr>
          <w:rFonts w:ascii="宋体" w:hAnsi="宋体"/>
          <w:color w:val="000000" w:themeColor="text1"/>
          <w:szCs w:val="21"/>
          <w14:textFill>
            <w14:solidFill>
              <w14:schemeClr w14:val="tx1"/>
            </w14:solidFill>
          </w14:textFill>
        </w:rPr>
        <w:t>有权督促乙方工作并要求乙方</w:t>
      </w:r>
      <w:r>
        <w:rPr>
          <w:rFonts w:hint="eastAsia" w:ascii="宋体" w:hAnsi="宋体"/>
          <w:color w:val="000000" w:themeColor="text1"/>
          <w:szCs w:val="21"/>
          <w14:textFill>
            <w14:solidFill>
              <w14:schemeClr w14:val="tx1"/>
            </w14:solidFill>
          </w14:textFill>
        </w:rPr>
        <w:t>更</w:t>
      </w:r>
      <w:r>
        <w:rPr>
          <w:rFonts w:ascii="宋体" w:hAnsi="宋体"/>
          <w:color w:val="000000" w:themeColor="text1"/>
          <w:szCs w:val="21"/>
          <w14:textFill>
            <w14:solidFill>
              <w14:schemeClr w14:val="tx1"/>
            </w14:solidFill>
          </w14:textFill>
        </w:rPr>
        <w:t>换不符合要求的</w:t>
      </w:r>
      <w:r>
        <w:rPr>
          <w:rFonts w:hint="eastAsia" w:ascii="宋体" w:hAnsi="宋体"/>
          <w:color w:val="000000" w:themeColor="text1"/>
          <w:szCs w:val="21"/>
          <w14:textFill>
            <w14:solidFill>
              <w14:schemeClr w14:val="tx1"/>
            </w14:solidFill>
          </w14:textFill>
        </w:rPr>
        <w:t>货物</w:t>
      </w:r>
      <w:r>
        <w:rPr>
          <w:rFonts w:ascii="宋体" w:hAnsi="宋体"/>
          <w:color w:val="000000" w:themeColor="text1"/>
          <w:szCs w:val="21"/>
          <w14:textFill>
            <w14:solidFill>
              <w14:schemeClr w14:val="tx1"/>
            </w14:solidFill>
          </w14:textFill>
        </w:rPr>
        <w:t>。</w:t>
      </w:r>
    </w:p>
    <w:p w14:paraId="6FE6F28E">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甲方</w:t>
      </w:r>
      <w:r>
        <w:rPr>
          <w:rFonts w:hint="eastAsia" w:ascii="宋体" w:hAnsi="宋体"/>
          <w:color w:val="000000" w:themeColor="text1"/>
          <w:szCs w:val="21"/>
          <w14:textFill>
            <w14:solidFill>
              <w14:schemeClr w14:val="tx1"/>
            </w14:solidFill>
          </w14:textFill>
        </w:rPr>
        <w:t>有权要求乙方对缺陷部分予以修复，并按合同约定享有货物保修及其他合同约定的权利。</w:t>
      </w:r>
    </w:p>
    <w:p w14:paraId="56C2DF02">
      <w:pPr>
        <w:snapToGrid w:val="0"/>
        <w:spacing w:line="400" w:lineRule="exact"/>
        <w:ind w:firstLine="480" w:firstLineChars="200"/>
        <w:rPr>
          <w:rFonts w:eastAsia="华文楷体"/>
        </w:rPr>
      </w:pPr>
      <w:r>
        <w:rPr>
          <w:rFonts w:ascii="宋体" w:hAnsi="宋体"/>
          <w:color w:val="000000" w:themeColor="text1"/>
          <w:szCs w:val="21"/>
          <w14:textFill>
            <w14:solidFill>
              <w14:schemeClr w14:val="tx1"/>
            </w14:solidFill>
          </w14:textFill>
        </w:rPr>
        <w:t>4.4 甲方应当按照合同约定及时对交付的货物进行验收</w:t>
      </w:r>
      <w:r>
        <w:rPr>
          <w:rFonts w:hint="eastAsia" w:ascii="宋体" w:hAnsi="宋体"/>
          <w:color w:val="000000" w:themeColor="text1"/>
          <w:szCs w:val="21"/>
          <w14:textFill>
            <w14:solidFill>
              <w14:schemeClr w14:val="tx1"/>
            </w14:solidFill>
          </w14:textFill>
        </w:rPr>
        <w:t>，</w:t>
      </w:r>
      <w:r>
        <w:rPr>
          <w:rFonts w:hint="eastAsia" w:ascii="宋体" w:hAnsi="宋体" w:cs="宋体"/>
          <w:szCs w:val="21"/>
        </w:rPr>
        <w:t>未</w:t>
      </w:r>
      <w:r>
        <w:rPr>
          <w:rFonts w:hint="eastAsia" w:ascii="宋体" w:hAnsi="宋体"/>
          <w:color w:val="000000" w:themeColor="text1"/>
          <w:szCs w:val="21"/>
          <w14:textFill>
            <w14:solidFill>
              <w14:schemeClr w14:val="tx1"/>
            </w14:solidFill>
          </w14:textFill>
        </w:rPr>
        <w:t>在</w:t>
      </w:r>
      <w:r>
        <w:rPr>
          <w:rFonts w:hint="eastAsia" w:ascii="宋体" w:hAnsi="宋体" w:eastAsia="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themeColor="text1"/>
          <w:szCs w:val="21"/>
          <w14:textFill>
            <w14:solidFill>
              <w14:schemeClr w14:val="tx1"/>
            </w14:solidFill>
          </w14:textFill>
        </w:rPr>
        <w:t>视为验收通过。</w:t>
      </w:r>
    </w:p>
    <w:p w14:paraId="322AB15F">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 xml:space="preserve">5 </w:t>
      </w:r>
      <w:r>
        <w:rPr>
          <w:rFonts w:hint="eastAsia" w:ascii="宋体" w:hAnsi="宋体"/>
          <w:color w:val="000000" w:themeColor="text1"/>
          <w:szCs w:val="21"/>
          <w14:textFill>
            <w14:solidFill>
              <w14:schemeClr w14:val="tx1"/>
            </w14:solidFill>
          </w14:textFill>
        </w:rPr>
        <w:t>甲方应当根据合同约定及时向乙方支付合同价款</w:t>
      </w:r>
      <w:r>
        <w:rPr>
          <w:rFonts w:ascii="宋体" w:hAnsi="宋体"/>
          <w:color w:val="000000" w:themeColor="text1"/>
          <w:szCs w:val="21"/>
          <w14:textFill>
            <w14:solidFill>
              <w14:schemeClr w14:val="tx1"/>
            </w14:solidFill>
          </w14:textFill>
        </w:rPr>
        <w:t>，不得以内部人员变更、履行内部付款流程等为由，拒绝或迟延支付。</w:t>
      </w:r>
    </w:p>
    <w:p w14:paraId="16243E7C">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国家法律法规规定及</w:t>
      </w:r>
      <w:r>
        <w:rPr>
          <w:rFonts w:hint="eastAsia" w:ascii="宋体" w:hAnsi="宋体" w:eastAsia="宋体" w:cs="宋体"/>
          <w:b/>
          <w:bCs/>
          <w:szCs w:val="21"/>
        </w:rPr>
        <w:t>【政府采购合同专用条款】</w:t>
      </w:r>
      <w:r>
        <w:rPr>
          <w:rFonts w:hint="eastAsia" w:ascii="宋体" w:hAnsi="宋体"/>
          <w:color w:val="000000" w:themeColor="text1"/>
          <w:szCs w:val="21"/>
          <w14:textFill>
            <w14:solidFill>
              <w14:schemeClr w14:val="tx1"/>
            </w14:solidFill>
          </w14:textFill>
        </w:rPr>
        <w:t>约定应由甲方承担的其他义务和责任。</w:t>
      </w:r>
    </w:p>
    <w:p w14:paraId="5124C07E">
      <w:pPr>
        <w:autoSpaceDE w:val="0"/>
        <w:autoSpaceDN w:val="0"/>
        <w:adjustRightInd w:val="0"/>
        <w:snapToGrid w:val="0"/>
        <w:spacing w:line="400" w:lineRule="exact"/>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5. 乙方的权利和义务</w:t>
      </w:r>
    </w:p>
    <w:p w14:paraId="2B100E6F">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5.1 </w:t>
      </w:r>
      <w:r>
        <w:rPr>
          <w:rFonts w:ascii="宋体" w:hAnsi="宋体"/>
          <w:color w:val="000000" w:themeColor="text1"/>
          <w:szCs w:val="21"/>
          <w14:textFill>
            <w14:solidFill>
              <w14:schemeClr w14:val="tx1"/>
            </w14:solidFill>
          </w14:textFill>
        </w:rPr>
        <w:t>签署合同后，乙方</w:t>
      </w:r>
      <w:r>
        <w:rPr>
          <w:rFonts w:hint="eastAsia" w:ascii="宋体" w:hAnsi="宋体"/>
          <w:color w:val="000000" w:themeColor="text1"/>
          <w:szCs w:val="21"/>
          <w14:textFill>
            <w14:solidFill>
              <w14:schemeClr w14:val="tx1"/>
            </w14:solidFill>
          </w14:textFill>
        </w:rPr>
        <w:t>应</w:t>
      </w:r>
      <w:r>
        <w:rPr>
          <w:rFonts w:ascii="宋体" w:hAnsi="宋体"/>
          <w:color w:val="000000" w:themeColor="text1"/>
          <w:szCs w:val="21"/>
          <w14:textFill>
            <w14:solidFill>
              <w14:schemeClr w14:val="tx1"/>
            </w14:solidFill>
          </w14:textFill>
        </w:rPr>
        <w:t>确定</w:t>
      </w:r>
      <w:r>
        <w:rPr>
          <w:rFonts w:hint="eastAsia" w:ascii="宋体" w:hAnsi="宋体"/>
          <w:color w:val="000000" w:themeColor="text1"/>
          <w:szCs w:val="21"/>
          <w14:textFill>
            <w14:solidFill>
              <w14:schemeClr w14:val="tx1"/>
            </w14:solidFill>
          </w14:textFill>
        </w:rPr>
        <w:t>项目负责人（或项目联系人）</w:t>
      </w:r>
      <w:r>
        <w:rPr>
          <w:rFonts w:ascii="宋体" w:hAnsi="宋体"/>
          <w:color w:val="000000" w:themeColor="text1"/>
          <w:szCs w:val="21"/>
          <w14:textFill>
            <w14:solidFill>
              <w14:schemeClr w14:val="tx1"/>
            </w14:solidFill>
          </w14:textFill>
        </w:rPr>
        <w:t>，负责与本合同有关的事务。</w:t>
      </w:r>
    </w:p>
    <w:p w14:paraId="278E8A2C">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2 乙方应按照合同要求</w:t>
      </w:r>
      <w:r>
        <w:rPr>
          <w:rFonts w:hint="eastAsia" w:ascii="宋体" w:hAnsi="宋体"/>
          <w:color w:val="000000" w:themeColor="text1"/>
          <w:szCs w:val="21"/>
          <w14:textFill>
            <w14:solidFill>
              <w14:schemeClr w14:val="tx1"/>
            </w14:solidFill>
          </w14:textFill>
        </w:rPr>
        <w:t>履约</w:t>
      </w:r>
      <w:r>
        <w:rPr>
          <w:rFonts w:ascii="宋体" w:hAnsi="宋体"/>
          <w:color w:val="000000" w:themeColor="text1"/>
          <w:szCs w:val="21"/>
          <w14:textFill>
            <w14:solidFill>
              <w14:schemeClr w14:val="tx1"/>
            </w14:solidFill>
          </w14:textFill>
        </w:rPr>
        <w:t>，充分合理安排，确保</w:t>
      </w:r>
      <w:r>
        <w:rPr>
          <w:rFonts w:hint="eastAsia" w:ascii="宋体" w:hAnsi="宋体"/>
          <w:color w:val="000000" w:themeColor="text1"/>
          <w:szCs w:val="21"/>
          <w14:textFill>
            <w14:solidFill>
              <w14:schemeClr w14:val="tx1"/>
            </w14:solidFill>
          </w14:textFill>
        </w:rPr>
        <w:t>提供的货物及相关服务符合合同有关</w:t>
      </w:r>
      <w:r>
        <w:rPr>
          <w:rFonts w:ascii="宋体" w:hAnsi="宋体"/>
          <w:color w:val="000000" w:themeColor="text1"/>
          <w:szCs w:val="21"/>
          <w14:textFill>
            <w14:solidFill>
              <w14:schemeClr w14:val="tx1"/>
            </w14:solidFill>
          </w14:textFill>
        </w:rPr>
        <w:t>要求</w:t>
      </w:r>
      <w:r>
        <w:rPr>
          <w:rFonts w:hint="eastAsia" w:ascii="宋体" w:hAnsi="宋体"/>
          <w:color w:val="000000" w:themeColor="text1"/>
          <w:szCs w:val="21"/>
          <w14:textFill>
            <w14:solidFill>
              <w14:schemeClr w14:val="tx1"/>
            </w14:solidFill>
          </w14:textFill>
        </w:rPr>
        <w:t>。接受项目行业管理部门及政府有关部门的指导，配合甲方的履约检查及验收，并</w:t>
      </w:r>
      <w:r>
        <w:rPr>
          <w:rFonts w:ascii="宋体" w:hAnsi="宋体"/>
          <w:color w:val="000000" w:themeColor="text1"/>
          <w:szCs w:val="21"/>
          <w14:textFill>
            <w14:solidFill>
              <w14:schemeClr w14:val="tx1"/>
            </w14:solidFill>
          </w14:textFill>
        </w:rPr>
        <w:t>负责项目实施过程中的所有协调工作。</w:t>
      </w:r>
    </w:p>
    <w:p w14:paraId="5758C324">
      <w:pPr>
        <w:pStyle w:val="8"/>
        <w:spacing w:after="0" w:line="400" w:lineRule="exact"/>
        <w:ind w:firstLine="422" w:firstLineChars="176"/>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乙方有权</w:t>
      </w:r>
      <w:r>
        <w:rPr>
          <w:rFonts w:hint="eastAsia" w:ascii="宋体" w:hAnsi="宋体" w:cs="宋体"/>
          <w:color w:val="000000" w:themeColor="text1"/>
          <w:szCs w:val="21"/>
          <w14:textFill>
            <w14:solidFill>
              <w14:schemeClr w14:val="tx1"/>
            </w14:solidFill>
          </w14:textFill>
        </w:rPr>
        <w:t>根据合同约定向甲方收取合同价款。</w:t>
      </w:r>
    </w:p>
    <w:p w14:paraId="1AFC64B4">
      <w:pPr>
        <w:pStyle w:val="8"/>
        <w:spacing w:after="0" w:line="400" w:lineRule="exact"/>
        <w:ind w:firstLine="422" w:firstLineChars="176"/>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国家法律法规规定</w:t>
      </w:r>
      <w:r>
        <w:rPr>
          <w:rFonts w:hint="eastAsia" w:ascii="宋体" w:hAnsi="宋体"/>
          <w:color w:val="000000" w:themeColor="text1"/>
          <w:szCs w:val="21"/>
          <w14:textFill>
            <w14:solidFill>
              <w14:schemeClr w14:val="tx1"/>
            </w14:solidFill>
          </w14:textFill>
        </w:rPr>
        <w:t>及</w:t>
      </w:r>
      <w:r>
        <w:rPr>
          <w:rFonts w:hint="eastAsia" w:ascii="宋体" w:hAnsi="宋体" w:eastAsia="宋体" w:cs="宋体"/>
          <w:b/>
          <w:bCs/>
          <w:szCs w:val="21"/>
        </w:rPr>
        <w:t>【政府采购合同专用条款】</w:t>
      </w:r>
      <w:r>
        <w:rPr>
          <w:rFonts w:hint="eastAsia" w:ascii="宋体" w:hAnsi="宋体" w:cs="宋体"/>
          <w:szCs w:val="21"/>
        </w:rPr>
        <w:t>约定应</w:t>
      </w:r>
      <w:r>
        <w:rPr>
          <w:rFonts w:hint="eastAsia" w:ascii="宋体" w:hAnsi="宋体" w:cs="宋体"/>
          <w:color w:val="000000" w:themeColor="text1"/>
          <w:szCs w:val="21"/>
          <w14:textFill>
            <w14:solidFill>
              <w14:schemeClr w14:val="tx1"/>
            </w14:solidFill>
          </w14:textFill>
        </w:rPr>
        <w:t>由乙方承担的其他义务和责任。</w:t>
      </w:r>
    </w:p>
    <w:p w14:paraId="00595BCD">
      <w:pPr>
        <w:numPr>
          <w:ilvl w:val="0"/>
          <w:numId w:val="10"/>
        </w:numPr>
        <w:autoSpaceDE w:val="0"/>
        <w:autoSpaceDN w:val="0"/>
        <w:adjustRightInd w:val="0"/>
        <w:snapToGrid w:val="0"/>
        <w:spacing w:line="400" w:lineRule="exact"/>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合同履行</w:t>
      </w:r>
    </w:p>
    <w:p w14:paraId="7D9E4807">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6.1 甲乙双方应当按照</w:t>
      </w:r>
      <w:r>
        <w:rPr>
          <w:rFonts w:hint="eastAsia" w:ascii="宋体" w:hAnsi="宋体" w:eastAsia="宋体" w:cs="宋体"/>
          <w:b/>
          <w:bCs/>
          <w:szCs w:val="21"/>
        </w:rPr>
        <w:t>【政府采购合同专用条款】</w:t>
      </w:r>
      <w:r>
        <w:rPr>
          <w:rFonts w:hint="eastAsia" w:ascii="宋体" w:hAnsi="宋体"/>
          <w:color w:val="000000" w:themeColor="text1"/>
          <w:szCs w:val="21"/>
          <w14:textFill>
            <w14:solidFill>
              <w14:schemeClr w14:val="tx1"/>
            </w14:solidFill>
          </w14:textFill>
        </w:rPr>
        <w:t>约定顺序履行合同义务；如果没有先后顺序的，应当同时履行。</w:t>
      </w:r>
    </w:p>
    <w:p w14:paraId="7C8B3FD7">
      <w:pPr>
        <w:autoSpaceDE w:val="0"/>
        <w:autoSpaceDN w:val="0"/>
        <w:adjustRightInd w:val="0"/>
        <w:snapToGrid w:val="0"/>
        <w:spacing w:line="400" w:lineRule="exact"/>
        <w:ind w:firstLine="480" w:firstLineChars="200"/>
      </w:pPr>
      <w:r>
        <w:rPr>
          <w:rFonts w:hint="eastAsia" w:ascii="宋体" w:hAnsi="宋体"/>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47DCF7A0">
      <w:pPr>
        <w:adjustRightInd w:val="0"/>
        <w:snapToGrid w:val="0"/>
        <w:spacing w:line="400" w:lineRule="exact"/>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7. 货物包装、运输、保险和交付要求</w:t>
      </w:r>
    </w:p>
    <w:p w14:paraId="3F4D4A4D">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 本合同</w:t>
      </w:r>
      <w:r>
        <w:rPr>
          <w:rFonts w:hint="eastAsia" w:ascii="宋体" w:hAnsi="宋体"/>
          <w:bCs/>
          <w:color w:val="000000" w:themeColor="text1"/>
          <w:szCs w:val="21"/>
          <w14:textFill>
            <w14:solidFill>
              <w14:schemeClr w14:val="tx1"/>
            </w14:solidFill>
          </w14:textFill>
        </w:rPr>
        <w:t>涉及商品包装、快递包装的，</w:t>
      </w:r>
      <w:r>
        <w:rPr>
          <w:rFonts w:hint="eastAsia" w:ascii="宋体" w:hAnsi="宋体"/>
          <w:color w:val="000000" w:themeColor="text1"/>
          <w:szCs w:val="21"/>
          <w14:textFill>
            <w14:solidFill>
              <w14:schemeClr w14:val="tx1"/>
            </w14:solidFill>
          </w14:textFill>
        </w:rPr>
        <w:t>除</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另有约定外，</w:t>
      </w:r>
      <w:r>
        <w:rPr>
          <w:rFonts w:hint="eastAsia" w:ascii="宋体" w:hAnsi="宋体"/>
          <w:color w:val="000000" w:themeColor="text1"/>
          <w:szCs w:val="21"/>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约定的</w:t>
      </w:r>
      <w:r>
        <w:rPr>
          <w:rFonts w:hint="eastAsia" w:ascii="宋体" w:hAnsi="宋体"/>
          <w:color w:val="000000" w:themeColor="text1"/>
          <w:szCs w:val="21"/>
          <w14:textFill>
            <w14:solidFill>
              <w14:schemeClr w14:val="tx1"/>
            </w14:solidFill>
          </w14:textFill>
        </w:rPr>
        <w:t>指定现场。</w:t>
      </w:r>
    </w:p>
    <w:p w14:paraId="0D35DC2F">
      <w:pPr>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7.2 除</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另有约定外，</w:t>
      </w:r>
      <w:r>
        <w:rPr>
          <w:rFonts w:hint="eastAsia" w:ascii="宋体" w:hAnsi="宋体"/>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16DD83AE">
      <w:pPr>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7.3 货物保险要求按</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规定执行</w:t>
      </w:r>
      <w:r>
        <w:rPr>
          <w:rFonts w:hint="eastAsia" w:ascii="宋体" w:hAnsi="宋体"/>
          <w:color w:val="000000" w:themeColor="text1"/>
          <w:szCs w:val="21"/>
          <w14:textFill>
            <w14:solidFill>
              <w14:schemeClr w14:val="tx1"/>
            </w14:solidFill>
          </w14:textFill>
        </w:rPr>
        <w:t>。</w:t>
      </w:r>
    </w:p>
    <w:p w14:paraId="5D335724">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951BC54">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rPr>
        <w:t>应</w:t>
      </w:r>
      <w:r>
        <w:rPr>
          <w:rFonts w:hint="eastAsia" w:ascii="宋体" w:hAnsi="宋体" w:eastAsia="宋体" w:cs="宋体"/>
          <w:color w:val="000000"/>
          <w:szCs w:val="21"/>
        </w:rPr>
        <w:t>提前通知</w:t>
      </w:r>
      <w:r>
        <w:rPr>
          <w:rFonts w:hint="eastAsia" w:ascii="宋体" w:hAnsi="宋体" w:cs="宋体"/>
          <w:color w:val="000000"/>
          <w:szCs w:val="21"/>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rPr>
        <w:t>，甲方配合乙方做好货物的接收工作。</w:t>
      </w:r>
    </w:p>
    <w:p w14:paraId="1CF9D734">
      <w:pPr>
        <w:pStyle w:val="25"/>
        <w:ind w:firstLine="420"/>
        <w:rPr>
          <w:sz w:val="21"/>
        </w:rPr>
      </w:pPr>
      <w:r>
        <w:rPr>
          <w:rFonts w:hint="eastAsia" w:ascii="宋体" w:hAnsi="宋体" w:eastAsia="宋体" w:cs="Times New Roman"/>
          <w:color w:val="000000" w:themeColor="text1"/>
          <w:kern w:val="2"/>
          <w:sz w:val="21"/>
          <w14:textFill>
            <w14:solidFill>
              <w14:schemeClr w14:val="tx1"/>
            </w14:solidFill>
          </w14:textFill>
        </w:rPr>
        <w:t xml:space="preserve">7.6 </w:t>
      </w:r>
      <w:r>
        <w:rPr>
          <w:rFonts w:hint="eastAsia" w:ascii="宋体" w:hAnsi="宋体" w:eastAsia="宋体" w:cs="Times New Roman"/>
          <w:color w:val="000000"/>
          <w:kern w:val="2"/>
          <w:sz w:val="21"/>
        </w:rPr>
        <w:t>如因包装、运输问题导致货物</w:t>
      </w:r>
      <w:r>
        <w:rPr>
          <w:rFonts w:hint="eastAsia" w:ascii="宋体" w:hAnsi="宋体" w:eastAsia="宋体" w:cs="Times New Roman"/>
          <w:color w:val="000000" w:themeColor="text1"/>
          <w:kern w:val="2"/>
          <w:sz w:val="21"/>
          <w14:textFill>
            <w14:solidFill>
              <w14:schemeClr w14:val="tx1"/>
            </w14:solidFill>
          </w14:textFill>
        </w:rPr>
        <w:t>损毁、丢失</w:t>
      </w:r>
      <w:r>
        <w:rPr>
          <w:rFonts w:hint="eastAsia" w:ascii="宋体" w:hAnsi="宋体" w:eastAsia="宋体" w:cs="Times New Roman"/>
          <w:color w:val="000000"/>
          <w:kern w:val="2"/>
          <w:sz w:val="21"/>
        </w:rPr>
        <w:t>或者品质下降，甲方有权要求降价、换货、拒收部分或整批货物，由此产生的费用和损失，均由乙方承担。</w:t>
      </w:r>
    </w:p>
    <w:p w14:paraId="40FD0341">
      <w:pPr>
        <w:adjustRightInd w:val="0"/>
        <w:snapToGrid w:val="0"/>
        <w:spacing w:line="400" w:lineRule="exact"/>
        <w:rPr>
          <w:rFonts w:ascii="宋体" w:hAnsi="宋体"/>
          <w:b/>
        </w:rPr>
      </w:pPr>
      <w:r>
        <w:rPr>
          <w:rFonts w:hint="eastAsia" w:ascii="宋体" w:hAnsi="宋体"/>
          <w:b/>
          <w:color w:val="000000" w:themeColor="text1"/>
          <w14:textFill>
            <w14:solidFill>
              <w14:schemeClr w14:val="tx1"/>
            </w14:solidFill>
          </w14:textFill>
        </w:rPr>
        <w:t xml:space="preserve">8. </w:t>
      </w:r>
      <w:r>
        <w:rPr>
          <w:rFonts w:hint="eastAsia" w:ascii="宋体" w:hAnsi="宋体"/>
          <w:b/>
        </w:rPr>
        <w:t>质量标准和保证</w:t>
      </w:r>
    </w:p>
    <w:p w14:paraId="1AA6D4C1">
      <w:pPr>
        <w:pStyle w:val="11"/>
        <w:adjustRightInd w:val="0"/>
        <w:snapToGrid w:val="0"/>
        <w:spacing w:line="400" w:lineRule="exact"/>
        <w:ind w:firstLine="480" w:firstLineChars="200"/>
        <w:rPr>
          <w:rFonts w:hAnsi="宋体"/>
          <w:b/>
        </w:rPr>
      </w:pPr>
      <w:r>
        <w:rPr>
          <w:rFonts w:hint="eastAsia" w:hAnsi="宋体"/>
        </w:rPr>
        <w:t>8.1 质量标准</w:t>
      </w:r>
    </w:p>
    <w:p w14:paraId="68C5F161">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29091EC">
      <w:pPr>
        <w:pStyle w:val="11"/>
        <w:adjustRightInd w:val="0"/>
        <w:snapToGrid w:val="0"/>
        <w:spacing w:line="400" w:lineRule="exact"/>
        <w:ind w:firstLine="480" w:firstLineChars="200"/>
        <w:rPr>
          <w:rFonts w:hAnsi="宋体"/>
        </w:rPr>
      </w:pPr>
      <w:r>
        <w:rPr>
          <w:rFonts w:hint="eastAsia" w:hAnsi="宋体"/>
        </w:rPr>
        <w:t>（2）采用中华人民共和国法定计量单位。</w:t>
      </w:r>
    </w:p>
    <w:p w14:paraId="05C3F833">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（3）乙方所提供的货物应符合国家有关安全、环保、卫生的规定。</w:t>
      </w:r>
    </w:p>
    <w:p w14:paraId="09ECACD3">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420DA483">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8.2 保证</w:t>
      </w:r>
    </w:p>
    <w:p w14:paraId="5818480A">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rPr>
        <w:t>备合同约定</w:t>
      </w:r>
      <w:r>
        <w:rPr>
          <w:rFonts w:hint="eastAsia" w:ascii="宋体" w:hAnsi="宋体" w:eastAsia="宋体" w:cs="宋体"/>
          <w:szCs w:val="21"/>
        </w:rPr>
        <w:t>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08F972B3">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（2）在质量保证期内所发现的缺陷，甲方应尽快以书面形式通知乙方。</w:t>
      </w:r>
    </w:p>
    <w:p w14:paraId="7A47C2CB">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5530B8C5">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14:textFill>
            <w14:solidFill>
              <w14:schemeClr w14:val="tx1"/>
            </w14:solidFill>
          </w14:textFill>
        </w:rPr>
        <w:t>5</w:t>
      </w:r>
      <w:r>
        <w:rPr>
          <w:rFonts w:hint="eastAsia" w:ascii="宋体" w:hAnsi="宋体"/>
          <w:szCs w:val="21"/>
        </w:rPr>
        <w:t>.1条规定以书面形式</w:t>
      </w:r>
      <w:r>
        <w:rPr>
          <w:rFonts w:hint="eastAsia" w:ascii="宋体" w:hAnsi="宋体"/>
          <w:color w:val="000000" w:themeColor="text1"/>
          <w:szCs w:val="21"/>
          <w14:textFill>
            <w14:solidFill>
              <w14:schemeClr w14:val="tx1"/>
            </w14:solidFill>
          </w14:textFill>
        </w:rPr>
        <w:t>追究</w:t>
      </w:r>
      <w:r>
        <w:rPr>
          <w:rFonts w:hint="eastAsia" w:ascii="宋体" w:hAnsi="宋体"/>
          <w:szCs w:val="21"/>
        </w:rPr>
        <w:t>乙方</w:t>
      </w:r>
      <w:r>
        <w:rPr>
          <w:rFonts w:hint="eastAsia" w:ascii="宋体" w:hAnsi="宋体"/>
          <w:color w:val="000000" w:themeColor="text1"/>
          <w:szCs w:val="21"/>
          <w14:textFill>
            <w14:solidFill>
              <w14:schemeClr w14:val="tx1"/>
            </w14:solidFill>
          </w14:textFill>
        </w:rPr>
        <w:t>的违约责任</w:t>
      </w:r>
      <w:r>
        <w:rPr>
          <w:rFonts w:hint="eastAsia" w:ascii="宋体" w:hAnsi="宋体"/>
          <w:szCs w:val="21"/>
        </w:rPr>
        <w:t>。</w:t>
      </w:r>
    </w:p>
    <w:p w14:paraId="6998AD64">
      <w:pPr>
        <w:adjustRightInd w:val="0"/>
        <w:snapToGrid w:val="0"/>
        <w:spacing w:line="400" w:lineRule="exact"/>
        <w:ind w:firstLine="480" w:firstLineChars="200"/>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39625AB8">
      <w:pPr>
        <w:adjustRightInd w:val="0"/>
        <w:snapToGrid w:val="0"/>
        <w:spacing w:line="400" w:lineRule="exact"/>
        <w:rPr>
          <w:rFonts w:ascii="宋体" w:hAnsi="宋体"/>
          <w:b/>
          <w:bCs/>
        </w:rPr>
      </w:pPr>
      <w:r>
        <w:rPr>
          <w:rFonts w:hint="eastAsia" w:ascii="宋体" w:hAnsi="宋体"/>
          <w:b/>
          <w:bCs/>
          <w:color w:val="000000" w:themeColor="text1"/>
          <w14:textFill>
            <w14:solidFill>
              <w14:schemeClr w14:val="tx1"/>
            </w14:solidFill>
          </w14:textFill>
        </w:rPr>
        <w:t>9</w:t>
      </w:r>
      <w:r>
        <w:rPr>
          <w:rFonts w:hint="eastAsia" w:ascii="宋体" w:hAnsi="宋体"/>
          <w:b/>
          <w:bCs/>
        </w:rPr>
        <w:t>.</w:t>
      </w:r>
      <w:r>
        <w:rPr>
          <w:rFonts w:hint="eastAsia" w:ascii="宋体" w:hAnsi="宋体"/>
          <w:b/>
          <w:bCs/>
          <w:color w:val="000000" w:themeColor="text1"/>
          <w14:textFill>
            <w14:solidFill>
              <w14:schemeClr w14:val="tx1"/>
            </w14:solidFill>
          </w14:textFill>
        </w:rPr>
        <w:t xml:space="preserve"> </w:t>
      </w:r>
      <w:r>
        <w:rPr>
          <w:rFonts w:hint="eastAsia" w:ascii="宋体" w:hAnsi="宋体"/>
          <w:b/>
          <w:bCs/>
        </w:rPr>
        <w:t>权利瑕疵担保</w:t>
      </w:r>
    </w:p>
    <w:p w14:paraId="01C23CE6">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 乙方保证对其出售的货物享有合法的权利。</w:t>
      </w:r>
    </w:p>
    <w:p w14:paraId="7FD83D59">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9.2 </w:t>
      </w:r>
      <w:r>
        <w:rPr>
          <w:rFonts w:hint="eastAsia" w:ascii="宋体" w:hAnsi="宋体" w:eastAsia="宋体" w:cs="宋体"/>
          <w:szCs w:val="15"/>
        </w:rPr>
        <w:t>乙方保证在交付的货物上不存在抵押权等担保物权。</w:t>
      </w:r>
    </w:p>
    <w:p w14:paraId="1D38F690">
      <w:pPr>
        <w:autoSpaceDE w:val="0"/>
        <w:autoSpaceDN w:val="0"/>
        <w:adjustRightInd w:val="0"/>
        <w:snapToGrid w:val="0"/>
        <w:spacing w:line="400" w:lineRule="exact"/>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9.3 如甲方使用上述货物构成对第三人侵权的，则由乙方承担全部责任。</w:t>
      </w:r>
    </w:p>
    <w:p w14:paraId="3FDF9479">
      <w:pPr>
        <w:autoSpaceDE w:val="0"/>
        <w:autoSpaceDN w:val="0"/>
        <w:adjustRightInd w:val="0"/>
        <w:snapToGrid w:val="0"/>
        <w:spacing w:line="400" w:lineRule="exact"/>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10. 知识产权保护</w:t>
      </w:r>
    </w:p>
    <w:p w14:paraId="5E4F2E9C">
      <w:pPr>
        <w:autoSpaceDE w:val="0"/>
        <w:autoSpaceDN w:val="0"/>
        <w:adjustRightInd w:val="0"/>
        <w:snapToGrid w:val="0"/>
        <w:spacing w:line="400" w:lineRule="exact"/>
        <w:ind w:firstLine="480" w:firstLineChars="200"/>
        <w:rPr>
          <w:rFonts w:ascii="宋体" w:hAnsi="宋体"/>
          <w:szCs w:val="21"/>
        </w:rPr>
      </w:pPr>
      <w:r>
        <w:rPr>
          <w:rFonts w:hint="eastAsia" w:ascii="宋体" w:hAnsi="宋体"/>
          <w:color w:val="000000" w:themeColor="text1"/>
          <w:szCs w:val="21"/>
          <w14:textFill>
            <w14:solidFill>
              <w14:schemeClr w14:val="tx1"/>
            </w14:solidFill>
          </w14:textFill>
        </w:rPr>
        <w:t>10.1 乙方对其所销售的货物应当享有知识产权或经权利人合法授权，保证没有侵犯任</w:t>
      </w:r>
      <w:r>
        <w:rPr>
          <w:rFonts w:hint="eastAsia" w:ascii="宋体" w:hAnsi="宋体"/>
          <w:szCs w:val="21"/>
        </w:rPr>
        <w:t>何第三人的知识产权等权利。</w:t>
      </w:r>
      <w:bookmarkStart w:id="9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91"/>
      <w:r>
        <w:rPr>
          <w:rFonts w:hint="eastAsia" w:ascii="宋体" w:hAnsi="宋体"/>
          <w:szCs w:val="21"/>
        </w:rPr>
        <w:t>。</w:t>
      </w:r>
    </w:p>
    <w:p w14:paraId="6A25AC70">
      <w:pPr>
        <w:autoSpaceDE w:val="0"/>
        <w:autoSpaceDN w:val="0"/>
        <w:adjustRightInd w:val="0"/>
        <w:snapToGrid w:val="0"/>
        <w:spacing w:line="400" w:lineRule="exact"/>
        <w:rPr>
          <w:rFonts w:ascii="宋体" w:hAnsi="宋体"/>
          <w:b/>
          <w:bCs/>
        </w:rPr>
      </w:pPr>
      <w:r>
        <w:rPr>
          <w:rFonts w:hint="eastAsia" w:ascii="宋体" w:hAnsi="宋体"/>
          <w:b/>
          <w:bCs/>
        </w:rPr>
        <w:t>11. 保密义务</w:t>
      </w:r>
    </w:p>
    <w:p w14:paraId="5388D485">
      <w:pPr>
        <w:autoSpaceDE w:val="0"/>
        <w:autoSpaceDN w:val="0"/>
        <w:adjustRightInd w:val="0"/>
        <w:snapToGrid w:val="0"/>
        <w:spacing w:line="400" w:lineRule="exact"/>
        <w:ind w:firstLine="480" w:firstLineChars="200"/>
        <w:rPr>
          <w:rFonts w:ascii="宋体" w:hAnsi="宋体" w:eastAsia="宋体" w:cs="宋体"/>
          <w:szCs w:val="15"/>
        </w:rPr>
      </w:pPr>
      <w:r>
        <w:rPr>
          <w:rFonts w:hint="eastAsia" w:ascii="宋体" w:hAnsi="宋体" w:cs="宋体"/>
          <w:szCs w:val="15"/>
        </w:rPr>
        <w:t xml:space="preserve">11.1 </w:t>
      </w:r>
      <w:r>
        <w:rPr>
          <w:rFonts w:hint="eastAsia" w:ascii="宋体" w:hAnsi="宋体" w:eastAsia="宋体" w:cs="宋体"/>
          <w:szCs w:val="15"/>
        </w:rPr>
        <w:t>甲、乙双方</w:t>
      </w:r>
      <w:r>
        <w:rPr>
          <w:rFonts w:hint="eastAsia" w:ascii="宋体" w:hAnsi="宋体" w:cs="宋体"/>
          <w:szCs w:val="15"/>
        </w:rPr>
        <w:t>对</w:t>
      </w:r>
      <w:r>
        <w:rPr>
          <w:rFonts w:hint="eastAsia" w:ascii="宋体" w:hAnsi="宋体" w:eastAsia="宋体" w:cs="宋体"/>
          <w:szCs w:val="15"/>
        </w:rPr>
        <w:t>采购和合同履行过程中所获悉的</w:t>
      </w:r>
      <w:r>
        <w:rPr>
          <w:rFonts w:hint="eastAsia" w:ascii="宋体" w:hAnsi="宋体" w:cs="宋体"/>
          <w:szCs w:val="15"/>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rPr>
        <w:t>国家秘密、工作秘密、</w:t>
      </w:r>
      <w:r>
        <w:rPr>
          <w:rFonts w:hint="eastAsia" w:ascii="宋体" w:hAnsi="宋体" w:eastAsia="宋体" w:cs="宋体"/>
          <w:szCs w:val="15"/>
        </w:rPr>
        <w:t>商业秘密或者</w:t>
      </w:r>
      <w:r>
        <w:rPr>
          <w:rFonts w:hint="eastAsia" w:ascii="宋体" w:hAnsi="宋体" w:cs="宋体"/>
          <w:szCs w:val="15"/>
        </w:rPr>
        <w:t>其他应当保密的</w:t>
      </w:r>
      <w:r>
        <w:rPr>
          <w:rFonts w:hint="eastAsia" w:ascii="宋体" w:hAnsi="宋体" w:eastAsia="宋体" w:cs="宋体"/>
          <w:szCs w:val="15"/>
        </w:rPr>
        <w:t>信息，应当承担</w:t>
      </w:r>
      <w:r>
        <w:rPr>
          <w:rFonts w:hint="eastAsia" w:ascii="宋体" w:hAnsi="宋体" w:cs="宋体"/>
          <w:szCs w:val="15"/>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283D2D44">
      <w:pPr>
        <w:autoSpaceDE w:val="0"/>
        <w:autoSpaceDN w:val="0"/>
        <w:adjustRightInd w:val="0"/>
        <w:snapToGrid w:val="0"/>
        <w:spacing w:line="400" w:lineRule="exact"/>
        <w:rPr>
          <w:rFonts w:ascii="宋体" w:hAnsi="宋体"/>
          <w:b/>
          <w:bCs/>
        </w:rPr>
      </w:pPr>
      <w:r>
        <w:rPr>
          <w:rFonts w:hint="eastAsia" w:ascii="宋体" w:hAnsi="宋体"/>
          <w:b/>
          <w:bCs/>
        </w:rPr>
        <w:t>12. 合同价款支付</w:t>
      </w:r>
    </w:p>
    <w:p w14:paraId="3F6EAA5D">
      <w:pPr>
        <w:adjustRightInd w:val="0"/>
        <w:snapToGrid w:val="0"/>
        <w:spacing w:line="400" w:lineRule="exact"/>
        <w:ind w:firstLine="480" w:firstLineChars="200"/>
        <w:jc w:val="both"/>
        <w:rPr>
          <w:rFonts w:ascii="宋体" w:hAnsi="宋体" w:eastAsia="宋体"/>
          <w:szCs w:val="21"/>
        </w:rPr>
      </w:pPr>
      <w:r>
        <w:rPr>
          <w:rFonts w:hint="eastAsia" w:ascii="宋体" w:hAnsi="宋体"/>
          <w:szCs w:val="21"/>
        </w:rPr>
        <w:t>12.1 合同价款支付按照国库集中支付制度及财政管理相关规定执行。</w:t>
      </w:r>
    </w:p>
    <w:p w14:paraId="6E8D4443">
      <w:pPr>
        <w:adjustRightInd w:val="0"/>
        <w:spacing w:line="400" w:lineRule="exact"/>
        <w:ind w:firstLine="420" w:firstLineChars="200"/>
        <w:jc w:val="both"/>
        <w:rPr>
          <w:rFonts w:eastAsia="宋体"/>
        </w:rPr>
      </w:pPr>
      <w:r>
        <w:rPr>
          <w:rFonts w:hint="eastAsia" w:ascii="宋体" w:hAnsi="宋体"/>
          <w:sz w:val="21"/>
          <w:szCs w:val="21"/>
        </w:rPr>
        <w:t xml:space="preserve">12.2 </w:t>
      </w:r>
      <w:r>
        <w:rPr>
          <w:rFonts w:hint="eastAsia" w:ascii="宋体" w:hAnsi="宋体" w:eastAsia="宋体"/>
          <w:kern w:val="2"/>
          <w:sz w:val="21"/>
          <w:szCs w:val="21"/>
        </w:rPr>
        <w:t>对于满足合同约定支付条件的，甲方</w:t>
      </w:r>
      <w:r>
        <w:rPr>
          <w:rFonts w:hint="eastAsia" w:ascii="宋体" w:hAnsi="宋体" w:eastAsia="宋体"/>
          <w:sz w:val="21"/>
          <w:szCs w:val="21"/>
        </w:rPr>
        <w:t>原则上应当自收到发票后10个工作日内</w:t>
      </w:r>
      <w:r>
        <w:rPr>
          <w:rFonts w:hint="eastAsia" w:ascii="宋体" w:hAnsi="宋体" w:eastAsia="宋体"/>
          <w:kern w:val="2"/>
          <w:sz w:val="21"/>
          <w:szCs w:val="21"/>
        </w:rPr>
        <w:t>将资金支付到合同约定的</w:t>
      </w:r>
      <w:r>
        <w:rPr>
          <w:rFonts w:hint="eastAsia" w:ascii="宋体" w:hAnsi="宋体"/>
          <w:kern w:val="2"/>
          <w:sz w:val="21"/>
          <w:szCs w:val="21"/>
        </w:rPr>
        <w:t>乙方</w:t>
      </w:r>
      <w:r>
        <w:rPr>
          <w:rFonts w:hint="eastAsia" w:ascii="宋体" w:hAnsi="宋体" w:eastAsia="宋体"/>
          <w:kern w:val="2"/>
          <w:sz w:val="21"/>
          <w:szCs w:val="21"/>
        </w:rPr>
        <w:t>账户，不得以机构变动、人员更替、政策调整等为由迟延付款，不得将采购文件和合同中未规定的义务作为向乙方付款的条件。具体合同价款支付时间在【</w:t>
      </w:r>
      <w:r>
        <w:rPr>
          <w:rFonts w:hint="eastAsia" w:ascii="宋体" w:hAnsi="宋体" w:eastAsia="宋体"/>
          <w:b/>
          <w:bCs/>
          <w:kern w:val="2"/>
          <w:sz w:val="21"/>
          <w:szCs w:val="21"/>
        </w:rPr>
        <w:t>政府采购合同专用条款</w:t>
      </w:r>
      <w:r>
        <w:rPr>
          <w:rFonts w:hint="eastAsia" w:ascii="宋体" w:hAnsi="宋体" w:eastAsia="宋体"/>
          <w:kern w:val="2"/>
          <w:sz w:val="21"/>
          <w:szCs w:val="21"/>
        </w:rPr>
        <w:t>】中</w:t>
      </w:r>
      <w:r>
        <w:rPr>
          <w:rFonts w:hint="eastAsia" w:ascii="宋体" w:hAnsi="宋体"/>
          <w:kern w:val="2"/>
          <w:sz w:val="21"/>
          <w:szCs w:val="21"/>
        </w:rPr>
        <w:t>约</w:t>
      </w:r>
      <w:r>
        <w:rPr>
          <w:rFonts w:hint="eastAsia" w:ascii="宋体" w:hAnsi="宋体" w:eastAsia="宋体"/>
          <w:kern w:val="2"/>
          <w:sz w:val="21"/>
          <w:szCs w:val="21"/>
        </w:rPr>
        <w:t>定。</w:t>
      </w:r>
    </w:p>
    <w:p w14:paraId="5B1C8DF2">
      <w:pPr>
        <w:pStyle w:val="8"/>
        <w:spacing w:after="0" w:line="400" w:lineRule="exact"/>
        <w:rPr>
          <w:rFonts w:ascii="宋体" w:hAnsi="宋体"/>
          <w:b/>
          <w:bCs/>
        </w:rPr>
      </w:pPr>
      <w:r>
        <w:rPr>
          <w:rFonts w:hint="eastAsia" w:ascii="宋体" w:hAnsi="宋体"/>
          <w:b/>
          <w:bCs/>
        </w:rPr>
        <w:t>13. 履约保证金</w:t>
      </w:r>
    </w:p>
    <w:p w14:paraId="36E5A650">
      <w:pPr>
        <w:adjustRightInd w:val="0"/>
        <w:snapToGrid w:val="0"/>
        <w:spacing w:line="400" w:lineRule="exact"/>
        <w:ind w:firstLine="480" w:firstLineChars="200"/>
        <w:rPr>
          <w:rFonts w:ascii="宋体" w:hAnsi="宋体"/>
          <w:szCs w:val="21"/>
        </w:rPr>
      </w:pPr>
      <w:r>
        <w:rPr>
          <w:rFonts w:hint="eastAsia" w:ascii="宋体" w:hAnsi="宋体"/>
          <w:szCs w:val="21"/>
        </w:rPr>
        <w:t xml:space="preserve">13.1 </w:t>
      </w:r>
      <w:r>
        <w:rPr>
          <w:rFonts w:hint="eastAsia" w:ascii="宋体" w:hAnsi="宋体" w:eastAsia="宋体" w:cs="宋体"/>
          <w:szCs w:val="15"/>
        </w:rPr>
        <w:t>乙方应当以支票、汇票、本票或者金融机构、担保机构出具的保函等非现金形式提交。</w:t>
      </w:r>
    </w:p>
    <w:p w14:paraId="361A2134">
      <w:pPr>
        <w:adjustRightInd w:val="0"/>
        <w:snapToGrid w:val="0"/>
        <w:spacing w:line="400" w:lineRule="exact"/>
        <w:ind w:firstLine="480" w:firstLineChars="200"/>
        <w:rPr>
          <w:rFonts w:ascii="宋体" w:hAnsi="宋体"/>
          <w:szCs w:val="21"/>
        </w:rPr>
      </w:pPr>
      <w:r>
        <w:rPr>
          <w:rFonts w:hint="eastAsia" w:ascii="宋体" w:hAnsi="宋体"/>
          <w:szCs w:val="21"/>
        </w:rPr>
        <w:t>13.2 如果乙方出现</w:t>
      </w:r>
      <w:r>
        <w:rPr>
          <w:rFonts w:hint="eastAsia" w:ascii="宋体" w:hAnsi="宋体" w:eastAsia="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60023753">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321A7F3F">
      <w:pPr>
        <w:autoSpaceDE w:val="0"/>
        <w:autoSpaceDN w:val="0"/>
        <w:adjustRightInd w:val="0"/>
        <w:snapToGrid w:val="0"/>
        <w:spacing w:line="400" w:lineRule="exact"/>
        <w:rPr>
          <w:rFonts w:ascii="宋体" w:hAnsi="宋体"/>
          <w:b/>
        </w:rPr>
      </w:pPr>
      <w:r>
        <w:rPr>
          <w:rFonts w:hint="eastAsia" w:ascii="宋体" w:hAnsi="宋体"/>
          <w:b/>
          <w:bCs/>
        </w:rPr>
        <w:t xml:space="preserve">14. </w:t>
      </w:r>
      <w:r>
        <w:rPr>
          <w:rFonts w:hint="eastAsia"/>
          <w:b/>
        </w:rPr>
        <w:t>售后</w:t>
      </w:r>
      <w:r>
        <w:rPr>
          <w:rFonts w:hint="eastAsia" w:ascii="宋体" w:hAnsi="宋体"/>
          <w:b/>
        </w:rPr>
        <w:t>服务</w:t>
      </w:r>
    </w:p>
    <w:p w14:paraId="03395EEC">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14.1 除项目不涉及或采购活动中明确约定无须承担外，乙方还应提供下列服务：</w:t>
      </w:r>
    </w:p>
    <w:p w14:paraId="5776DF42">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（1）货物的现场移动、安装、调试、启动监督及技术支持；</w:t>
      </w:r>
    </w:p>
    <w:p w14:paraId="6B76F9CC">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（2）提供货物组装和维修所需的专用工具和辅助材料；</w:t>
      </w:r>
    </w:p>
    <w:p w14:paraId="78E4B91F">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（3）在</w:t>
      </w:r>
      <w:r>
        <w:rPr>
          <w:rFonts w:hint="eastAsia" w:ascii="宋体" w:hAnsi="宋体" w:eastAsia="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013975AB">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4EF1B606">
      <w:pPr>
        <w:pStyle w:val="25"/>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64819426">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5B8C62CF">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14.2 乙方提供的售后服务的费用已包含在合同价款中，甲方不再另行支付。</w:t>
      </w:r>
    </w:p>
    <w:p w14:paraId="76919C0E">
      <w:pPr>
        <w:adjustRightInd w:val="0"/>
        <w:snapToGrid w:val="0"/>
        <w:spacing w:line="400" w:lineRule="exact"/>
        <w:rPr>
          <w:rFonts w:ascii="宋体" w:hAnsi="宋体"/>
          <w:b/>
          <w:bCs/>
        </w:rPr>
      </w:pPr>
      <w:r>
        <w:rPr>
          <w:rFonts w:hint="eastAsia" w:ascii="宋体" w:hAnsi="宋体"/>
          <w:b/>
          <w:bCs/>
        </w:rPr>
        <w:t>15. 违约责任</w:t>
      </w:r>
    </w:p>
    <w:p w14:paraId="0E9B6096">
      <w:pPr>
        <w:adjustRightInd w:val="0"/>
        <w:snapToGrid w:val="0"/>
        <w:spacing w:line="400" w:lineRule="exact"/>
        <w:ind w:firstLine="480" w:firstLineChars="200"/>
        <w:rPr>
          <w:rFonts w:ascii="宋体" w:hAnsi="宋体"/>
          <w:bCs/>
          <w:szCs w:val="21"/>
        </w:rPr>
      </w:pPr>
      <w:r>
        <w:rPr>
          <w:rFonts w:hint="eastAsia" w:ascii="宋体" w:hAnsi="宋体"/>
          <w:bCs/>
          <w:szCs w:val="21"/>
        </w:rPr>
        <w:t>15.1质量瑕疵的违约责任</w:t>
      </w:r>
    </w:p>
    <w:p w14:paraId="102AB570">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417C1B06">
      <w:pPr>
        <w:autoSpaceDE w:val="0"/>
        <w:autoSpaceDN w:val="0"/>
        <w:adjustRightInd w:val="0"/>
        <w:snapToGrid w:val="0"/>
        <w:spacing w:line="400" w:lineRule="exact"/>
        <w:ind w:firstLine="480" w:firstLineChars="200"/>
        <w:rPr>
          <w:rFonts w:ascii="宋体" w:hAnsi="宋体"/>
          <w:bCs/>
          <w:szCs w:val="21"/>
        </w:rPr>
      </w:pPr>
      <w:r>
        <w:rPr>
          <w:rFonts w:hint="eastAsia" w:ascii="宋体" w:hAnsi="宋体"/>
          <w:bCs/>
          <w:szCs w:val="21"/>
        </w:rPr>
        <w:t>15.2 迟延交货的违约责任</w:t>
      </w:r>
    </w:p>
    <w:p w14:paraId="73EB3497">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3883C4F">
      <w:pPr>
        <w:autoSpaceDE w:val="0"/>
        <w:autoSpaceDN w:val="0"/>
        <w:adjustRightInd w:val="0"/>
        <w:snapToGrid w:val="0"/>
        <w:spacing w:line="400" w:lineRule="exact"/>
        <w:ind w:firstLine="480" w:firstLineChars="200"/>
        <w:rPr>
          <w:rFonts w:ascii="宋体" w:hAnsi="宋体" w:eastAsia="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53AC29B1">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15.3 迟延支付的违约责任</w:t>
      </w:r>
    </w:p>
    <w:p w14:paraId="3AF08704">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2AB92509">
      <w:pPr>
        <w:adjustRightInd w:val="0"/>
        <w:snapToGrid w:val="0"/>
        <w:spacing w:line="400" w:lineRule="exact"/>
        <w:ind w:firstLine="480" w:firstLineChars="200"/>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00CCE4FE">
      <w:pPr>
        <w:numPr>
          <w:ilvl w:val="0"/>
          <w:numId w:val="11"/>
        </w:numPr>
        <w:autoSpaceDE w:val="0"/>
        <w:autoSpaceDN w:val="0"/>
        <w:adjustRightInd w:val="0"/>
        <w:snapToGrid w:val="0"/>
        <w:spacing w:line="400" w:lineRule="exact"/>
        <w:rPr>
          <w:rFonts w:ascii="宋体" w:hAnsi="宋体"/>
          <w:b/>
        </w:rPr>
      </w:pPr>
      <w:r>
        <w:rPr>
          <w:rFonts w:hint="eastAsia" w:ascii="宋体" w:hAnsi="宋体"/>
          <w:b/>
        </w:rPr>
        <w:t>合同变更、中止与终止</w:t>
      </w:r>
    </w:p>
    <w:p w14:paraId="06827BB1">
      <w:pPr>
        <w:adjustRightInd w:val="0"/>
        <w:snapToGrid w:val="0"/>
        <w:spacing w:line="400" w:lineRule="exact"/>
        <w:rPr>
          <w:rFonts w:ascii="宋体" w:hAnsi="宋体"/>
          <w:szCs w:val="21"/>
        </w:rPr>
      </w:pPr>
      <w:r>
        <w:rPr>
          <w:rFonts w:hint="eastAsia" w:ascii="宋体" w:hAnsi="宋体"/>
          <w:szCs w:val="21"/>
        </w:rPr>
        <w:t xml:space="preserve">    16.1合同的变更</w:t>
      </w:r>
    </w:p>
    <w:p w14:paraId="1D8B36C1">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7329E650">
      <w:pPr>
        <w:adjustRightInd w:val="0"/>
        <w:snapToGrid w:val="0"/>
        <w:spacing w:line="400" w:lineRule="exact"/>
        <w:ind w:firstLine="480" w:firstLineChars="200"/>
        <w:rPr>
          <w:rFonts w:ascii="宋体" w:hAnsi="宋体"/>
          <w:szCs w:val="21"/>
        </w:rPr>
      </w:pPr>
      <w:r>
        <w:rPr>
          <w:rFonts w:hint="eastAsia" w:ascii="宋体" w:hAnsi="宋体"/>
          <w:szCs w:val="21"/>
        </w:rPr>
        <w:t>16.2合同的中止</w:t>
      </w:r>
    </w:p>
    <w:p w14:paraId="36757030">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234712EA">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DA2E2AE">
      <w:pPr>
        <w:pStyle w:val="25"/>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4E0B535C">
      <w:pPr>
        <w:snapToGrid w:val="0"/>
        <w:spacing w:line="400" w:lineRule="exact"/>
        <w:ind w:firstLine="480" w:firstLineChars="200"/>
        <w:rPr>
          <w:sz w:val="21"/>
        </w:rPr>
      </w:pPr>
      <w:r>
        <w:rPr>
          <w:rFonts w:hint="eastAsia" w:ascii="宋体" w:hAnsi="宋体"/>
          <w:szCs w:val="21"/>
        </w:rPr>
        <w:t>（4）甲方不得以行政区划调整、政府换届、机构或者职能调整以及相关责任人更替为由中止合同。</w:t>
      </w:r>
    </w:p>
    <w:p w14:paraId="7692C0AE">
      <w:pPr>
        <w:adjustRightInd w:val="0"/>
        <w:snapToGrid w:val="0"/>
        <w:spacing w:line="400" w:lineRule="exact"/>
        <w:ind w:firstLine="480" w:firstLineChars="200"/>
        <w:rPr>
          <w:rFonts w:ascii="宋体" w:hAnsi="宋体"/>
          <w:szCs w:val="21"/>
        </w:rPr>
      </w:pPr>
      <w:r>
        <w:rPr>
          <w:rFonts w:hint="eastAsia" w:ascii="宋体" w:hAnsi="宋体"/>
          <w:szCs w:val="21"/>
        </w:rPr>
        <w:t>16.3合同的终止</w:t>
      </w:r>
    </w:p>
    <w:p w14:paraId="1B37E41C">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（1）合同因有效期限届满而终止；</w:t>
      </w:r>
    </w:p>
    <w:p w14:paraId="5D79D52E">
      <w:pPr>
        <w:snapToGrid w:val="0"/>
        <w:spacing w:line="400" w:lineRule="exact"/>
        <w:ind w:firstLine="480" w:firstLineChars="200"/>
        <w:rPr>
          <w:rFonts w:ascii="宋体" w:hAnsi="宋体" w:eastAsia="宋体" w:cs="宋体"/>
          <w:szCs w:val="21"/>
        </w:rPr>
      </w:pPr>
      <w:r>
        <w:rPr>
          <w:rFonts w:hint="eastAsia" w:ascii="宋体" w:hAnsi="宋体"/>
          <w:szCs w:val="21"/>
        </w:rPr>
        <w:t>（2）乙方未按合同约定履行，构成根本性违约的，甲方有权终止合同，</w:t>
      </w:r>
      <w:r>
        <w:rPr>
          <w:rFonts w:hint="eastAsia" w:ascii="宋体" w:hAnsi="宋体" w:eastAsia="宋体" w:cs="宋体"/>
          <w:szCs w:val="21"/>
        </w:rPr>
        <w:t>并追究乙方的违约责</w:t>
      </w:r>
      <w:r>
        <w:rPr>
          <w:rFonts w:hint="eastAsia" w:ascii="宋体" w:hAnsi="宋体" w:cs="宋体"/>
          <w:szCs w:val="21"/>
        </w:rPr>
        <w:t>任</w:t>
      </w:r>
      <w:r>
        <w:rPr>
          <w:rFonts w:hint="eastAsia" w:ascii="宋体" w:hAnsi="宋体"/>
          <w:szCs w:val="21"/>
        </w:rPr>
        <w:t>。</w:t>
      </w:r>
    </w:p>
    <w:p w14:paraId="4E92EA9B">
      <w:pPr>
        <w:pStyle w:val="25"/>
        <w:rPr>
          <w:rFonts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3C3524D2">
      <w:pPr>
        <w:pStyle w:val="25"/>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39D45741">
      <w:pPr>
        <w:autoSpaceDE w:val="0"/>
        <w:autoSpaceDN w:val="0"/>
        <w:adjustRightInd w:val="0"/>
        <w:snapToGrid w:val="0"/>
        <w:spacing w:line="400" w:lineRule="exact"/>
        <w:rPr>
          <w:rFonts w:ascii="宋体" w:hAnsi="宋体"/>
          <w:b/>
          <w:bCs/>
        </w:rPr>
      </w:pPr>
      <w:r>
        <w:rPr>
          <w:rFonts w:hint="eastAsia" w:ascii="宋体" w:hAnsi="宋体"/>
          <w:b/>
          <w:bCs/>
        </w:rPr>
        <w:t>17. 合同分包</w:t>
      </w:r>
    </w:p>
    <w:p w14:paraId="69A61575">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59A1CE9F">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37A21C9F">
      <w:pPr>
        <w:autoSpaceDE w:val="0"/>
        <w:autoSpaceDN w:val="0"/>
        <w:adjustRightInd w:val="0"/>
        <w:snapToGrid w:val="0"/>
        <w:spacing w:line="400" w:lineRule="exact"/>
        <w:rPr>
          <w:rFonts w:ascii="宋体" w:hAnsi="宋体"/>
          <w:b/>
          <w:bCs/>
        </w:rPr>
      </w:pPr>
      <w:r>
        <w:rPr>
          <w:rFonts w:hint="eastAsia" w:ascii="宋体" w:hAnsi="宋体"/>
          <w:b/>
          <w:bCs/>
        </w:rPr>
        <w:t>18. 不可抗力</w:t>
      </w:r>
    </w:p>
    <w:p w14:paraId="48B0B614">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18.1 不可抗力是指合同双方不能预见、不能避免且不能克服的客观情况。</w:t>
      </w:r>
    </w:p>
    <w:p w14:paraId="325838DF">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6F038408">
      <w:pPr>
        <w:autoSpaceDE w:val="0"/>
        <w:autoSpaceDN w:val="0"/>
        <w:adjustRightInd w:val="0"/>
        <w:snapToGrid w:val="0"/>
        <w:spacing w:line="400" w:lineRule="exact"/>
        <w:ind w:firstLine="480" w:firstLineChars="200"/>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23EA342">
      <w:pPr>
        <w:autoSpaceDE w:val="0"/>
        <w:autoSpaceDN w:val="0"/>
        <w:adjustRightInd w:val="0"/>
        <w:snapToGrid w:val="0"/>
        <w:spacing w:line="400" w:lineRule="exact"/>
        <w:rPr>
          <w:rFonts w:ascii="宋体" w:hAnsi="宋体"/>
          <w:b/>
          <w:bCs/>
        </w:rPr>
      </w:pPr>
      <w:r>
        <w:rPr>
          <w:rFonts w:hint="eastAsia" w:ascii="宋体" w:hAnsi="宋体"/>
          <w:b/>
          <w:bCs/>
        </w:rPr>
        <w:t>19. 解决争议的方法</w:t>
      </w:r>
    </w:p>
    <w:p w14:paraId="24A1AC6A">
      <w:pPr>
        <w:pStyle w:val="25"/>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152794A2">
      <w:pPr>
        <w:pStyle w:val="25"/>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6868BBE4">
      <w:pPr>
        <w:pStyle w:val="25"/>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36485CBC">
      <w:pPr>
        <w:autoSpaceDE w:val="0"/>
        <w:autoSpaceDN w:val="0"/>
        <w:adjustRightInd w:val="0"/>
        <w:snapToGrid w:val="0"/>
        <w:spacing w:line="400" w:lineRule="exact"/>
        <w:rPr>
          <w:rFonts w:ascii="宋体" w:hAnsi="宋体"/>
        </w:rPr>
      </w:pPr>
      <w:r>
        <w:rPr>
          <w:rFonts w:hint="eastAsia" w:ascii="宋体" w:hAnsi="宋体"/>
          <w:b/>
        </w:rPr>
        <w:t>20. 政府采购政策</w:t>
      </w:r>
    </w:p>
    <w:p w14:paraId="1DBD6B69">
      <w:pPr>
        <w:autoSpaceDE w:val="0"/>
        <w:autoSpaceDN w:val="0"/>
        <w:adjustRightInd w:val="0"/>
        <w:snapToGrid w:val="0"/>
        <w:spacing w:line="400" w:lineRule="exact"/>
        <w:ind w:firstLine="480" w:firstLineChars="200"/>
        <w:rPr>
          <w:rFonts w:ascii="宋体" w:hAnsi="宋体" w:eastAsia="宋体"/>
          <w:szCs w:val="21"/>
        </w:rPr>
      </w:pPr>
      <w:r>
        <w:rPr>
          <w:rFonts w:hint="eastAsia" w:ascii="宋体" w:hAnsi="宋体"/>
          <w:szCs w:val="21"/>
        </w:rPr>
        <w:t xml:space="preserve">20.1 </w:t>
      </w:r>
      <w:r>
        <w:rPr>
          <w:rFonts w:hint="eastAsia" w:ascii="宋体" w:hAnsi="宋体" w:eastAsia="宋体" w:cs="宋体"/>
          <w:lang w:val="en-GB"/>
        </w:rPr>
        <w:t>本合同应当按照规定执行政府采购政策。</w:t>
      </w:r>
    </w:p>
    <w:p w14:paraId="2D594606">
      <w:pPr>
        <w:autoSpaceDE w:val="0"/>
        <w:autoSpaceDN w:val="0"/>
        <w:adjustRightInd w:val="0"/>
        <w:snapToGrid w:val="0"/>
        <w:spacing w:line="400" w:lineRule="exact"/>
        <w:ind w:firstLine="480" w:firstLineChars="200"/>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eastAsia="宋体" w:cs="宋体"/>
          <w:sz w:val="21"/>
        </w:rPr>
        <w:t>甲乙双方</w:t>
      </w:r>
      <w:r>
        <w:rPr>
          <w:rFonts w:hint="eastAsia" w:ascii="宋体" w:hAnsi="宋体" w:eastAsia="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75D6722B">
      <w:pPr>
        <w:pStyle w:val="8"/>
        <w:spacing w:after="0" w:line="400" w:lineRule="exact"/>
        <w:ind w:firstLine="480" w:firstLineChars="200"/>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9D4FDFC">
      <w:pPr>
        <w:autoSpaceDE w:val="0"/>
        <w:autoSpaceDN w:val="0"/>
        <w:adjustRightInd w:val="0"/>
        <w:snapToGrid w:val="0"/>
        <w:spacing w:line="400" w:lineRule="exact"/>
        <w:rPr>
          <w:rFonts w:ascii="宋体" w:hAnsi="宋体"/>
          <w:b/>
        </w:rPr>
      </w:pPr>
      <w:r>
        <w:rPr>
          <w:rFonts w:hint="eastAsia" w:ascii="宋体" w:hAnsi="宋体"/>
          <w:b/>
        </w:rPr>
        <w:t>21. 法律适用</w:t>
      </w:r>
    </w:p>
    <w:p w14:paraId="0E666A5D">
      <w:pPr>
        <w:pStyle w:val="25"/>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2BAF8A0D">
      <w:pPr>
        <w:pStyle w:val="25"/>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1901C0F7">
      <w:pPr>
        <w:numPr>
          <w:ilvl w:val="255"/>
          <w:numId w:val="0"/>
        </w:numPr>
        <w:autoSpaceDE w:val="0"/>
        <w:autoSpaceDN w:val="0"/>
        <w:adjustRightInd w:val="0"/>
        <w:snapToGrid w:val="0"/>
        <w:spacing w:line="400" w:lineRule="exact"/>
        <w:rPr>
          <w:rFonts w:ascii="宋体" w:hAnsi="宋体"/>
          <w:b/>
        </w:rPr>
      </w:pPr>
      <w:r>
        <w:rPr>
          <w:rFonts w:hint="eastAsia" w:ascii="宋体" w:hAnsi="宋体"/>
          <w:b/>
        </w:rPr>
        <w:t>22. 通知</w:t>
      </w:r>
    </w:p>
    <w:p w14:paraId="60F2E3A4">
      <w:pPr>
        <w:pStyle w:val="25"/>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278FC68C">
      <w:pPr>
        <w:pStyle w:val="25"/>
        <w:ind w:firstLine="0" w:firstLineChars="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5BCC4852">
      <w:pPr>
        <w:adjustRightInd w:val="0"/>
        <w:snapToGrid w:val="0"/>
        <w:spacing w:line="400" w:lineRule="exact"/>
        <w:ind w:firstLine="480" w:firstLineChars="200"/>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53779808">
      <w:pPr>
        <w:adjustRightInd w:val="0"/>
        <w:snapToGrid w:val="0"/>
        <w:spacing w:line="400" w:lineRule="exact"/>
        <w:ind w:firstLine="480" w:firstLineChars="200"/>
        <w:rPr>
          <w:rFonts w:ascii="宋体" w:hAnsi="宋体"/>
          <w:szCs w:val="21"/>
        </w:rPr>
      </w:pPr>
      <w:r>
        <w:rPr>
          <w:rFonts w:hint="eastAsia" w:ascii="宋体" w:hAnsi="宋体"/>
          <w:szCs w:val="21"/>
        </w:rPr>
        <w:t>22.4通知以送达之日或通知书中规定的生效之日起生效，两者中以较迟之日为准。</w:t>
      </w:r>
    </w:p>
    <w:p w14:paraId="6899662D">
      <w:pPr>
        <w:numPr>
          <w:ilvl w:val="0"/>
          <w:numId w:val="12"/>
        </w:numPr>
        <w:adjustRightInd w:val="0"/>
        <w:snapToGrid w:val="0"/>
        <w:spacing w:line="400" w:lineRule="exact"/>
        <w:rPr>
          <w:rFonts w:ascii="宋体" w:hAnsi="宋体"/>
          <w:b/>
          <w:bCs/>
        </w:rPr>
      </w:pPr>
      <w:r>
        <w:rPr>
          <w:rFonts w:hint="eastAsia" w:ascii="宋体" w:hAnsi="宋体"/>
          <w:b/>
          <w:bCs/>
        </w:rPr>
        <w:t>合同未尽事项</w:t>
      </w:r>
    </w:p>
    <w:p w14:paraId="309EE8AD">
      <w:pPr>
        <w:adjustRightInd w:val="0"/>
        <w:snapToGrid w:val="0"/>
        <w:spacing w:line="400" w:lineRule="exact"/>
        <w:ind w:firstLine="480" w:firstLineChars="200"/>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0B812C2C">
      <w:pPr>
        <w:adjustRightInd w:val="0"/>
        <w:snapToGrid w:val="0"/>
        <w:spacing w:line="400" w:lineRule="exact"/>
        <w:rPr>
          <w:rFonts w:ascii="黑体" w:hAnsi="华文中宋" w:eastAsia="黑体"/>
          <w:sz w:val="28"/>
          <w:szCs w:val="28"/>
        </w:rPr>
      </w:pPr>
      <w:r>
        <w:rPr>
          <w:rFonts w:hint="eastAsia" w:ascii="宋体" w:hAnsi="宋体"/>
          <w:bCs/>
          <w:szCs w:val="21"/>
        </w:rPr>
        <w:t xml:space="preserve">    23.2 合同附件与合同正文具有同等的法律效力。</w:t>
      </w:r>
      <w:bookmarkStart w:id="92" w:name="_Toc20313"/>
    </w:p>
    <w:p w14:paraId="66FAD358">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14:paraId="6D6DA973">
      <w:pPr>
        <w:pStyle w:val="5"/>
        <w:snapToGrid w:val="0"/>
        <w:rPr>
          <w:rFonts w:ascii="黑体" w:hAnsi="华文中宋" w:eastAsia="黑体"/>
          <w:sz w:val="28"/>
          <w:szCs w:val="28"/>
        </w:rPr>
      </w:pPr>
      <w:r>
        <w:rPr>
          <w:rFonts w:hint="eastAsia" w:ascii="黑体" w:hAnsi="华文中宋" w:eastAsia="黑体"/>
          <w:sz w:val="28"/>
          <w:szCs w:val="28"/>
        </w:rPr>
        <w:t>第三节 政府采购合同专用条款</w:t>
      </w:r>
      <w:bookmarkEnd w:id="92"/>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139A0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92DD9E">
            <w:pPr>
              <w:adjustRightInd w:val="0"/>
              <w:snapToGrid w:val="0"/>
              <w:jc w:val="center"/>
              <w:rPr>
                <w:rFonts w:ascii="宋体" w:hAnsi="宋体"/>
                <w:szCs w:val="21"/>
              </w:rPr>
            </w:pPr>
            <w:r>
              <w:rPr>
                <w:rFonts w:hint="eastAsia" w:ascii="宋体" w:hAnsi="宋体"/>
                <w:szCs w:val="21"/>
              </w:rPr>
              <w:t>第二节</w:t>
            </w:r>
          </w:p>
          <w:p w14:paraId="5873E1ED">
            <w:pPr>
              <w:adjustRightInd w:val="0"/>
              <w:snapToGrid w:val="0"/>
              <w:jc w:val="center"/>
              <w:rPr>
                <w:rFonts w:ascii="宋体" w:hAnsi="宋体"/>
                <w:szCs w:val="21"/>
              </w:rPr>
            </w:pPr>
            <w:r>
              <w:rPr>
                <w:rFonts w:hint="eastAsia" w:ascii="宋体" w:hAnsi="宋体"/>
                <w:szCs w:val="21"/>
              </w:rPr>
              <w:t>第1.2（6）项</w:t>
            </w:r>
          </w:p>
        </w:tc>
        <w:tc>
          <w:tcPr>
            <w:tcW w:w="1742" w:type="dxa"/>
            <w:vAlign w:val="center"/>
          </w:tcPr>
          <w:p w14:paraId="67F037C0">
            <w:pPr>
              <w:adjustRightInd w:val="0"/>
              <w:snapToGrid w:val="0"/>
              <w:rPr>
                <w:rFonts w:ascii="宋体" w:hAnsi="宋体"/>
                <w:szCs w:val="21"/>
              </w:rPr>
            </w:pPr>
            <w:r>
              <w:rPr>
                <w:rFonts w:hint="eastAsia" w:ascii="宋体" w:hAnsi="宋体"/>
                <w:szCs w:val="21"/>
              </w:rPr>
              <w:t>联合体具体要求</w:t>
            </w:r>
          </w:p>
        </w:tc>
        <w:tc>
          <w:tcPr>
            <w:tcW w:w="5170" w:type="dxa"/>
            <w:vAlign w:val="center"/>
          </w:tcPr>
          <w:p w14:paraId="6B6AAE64">
            <w:pPr>
              <w:adjustRightInd w:val="0"/>
              <w:snapToGrid w:val="0"/>
              <w:rPr>
                <w:rFonts w:ascii="宋体" w:hAnsi="宋体"/>
                <w:szCs w:val="21"/>
              </w:rPr>
            </w:pPr>
          </w:p>
        </w:tc>
      </w:tr>
      <w:tr w14:paraId="7BCA24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113C8F2">
            <w:pPr>
              <w:adjustRightInd w:val="0"/>
              <w:snapToGrid w:val="0"/>
              <w:jc w:val="center"/>
              <w:rPr>
                <w:rFonts w:ascii="宋体" w:hAnsi="宋体"/>
                <w:szCs w:val="21"/>
              </w:rPr>
            </w:pPr>
            <w:r>
              <w:rPr>
                <w:rFonts w:hint="eastAsia" w:ascii="宋体" w:hAnsi="宋体"/>
                <w:szCs w:val="21"/>
              </w:rPr>
              <w:t>第二节</w:t>
            </w:r>
          </w:p>
          <w:p w14:paraId="0624B331">
            <w:pPr>
              <w:adjustRightInd w:val="0"/>
              <w:snapToGrid w:val="0"/>
              <w:jc w:val="center"/>
              <w:rPr>
                <w:rFonts w:ascii="宋体" w:hAnsi="宋体" w:eastAsia="宋体"/>
                <w:kern w:val="2"/>
                <w:sz w:val="21"/>
                <w:szCs w:val="21"/>
              </w:rPr>
            </w:pPr>
            <w:r>
              <w:rPr>
                <w:rFonts w:hint="eastAsia" w:ascii="宋体" w:hAnsi="宋体"/>
                <w:szCs w:val="21"/>
              </w:rPr>
              <w:t>第1.2（7）项</w:t>
            </w:r>
          </w:p>
        </w:tc>
        <w:tc>
          <w:tcPr>
            <w:tcW w:w="1742" w:type="dxa"/>
            <w:vAlign w:val="center"/>
          </w:tcPr>
          <w:p w14:paraId="18D77937">
            <w:pPr>
              <w:adjustRightInd w:val="0"/>
              <w:snapToGrid w:val="0"/>
              <w:rPr>
                <w:rFonts w:ascii="宋体" w:hAnsi="宋体" w:eastAsia="宋体"/>
                <w:kern w:val="2"/>
                <w:sz w:val="21"/>
                <w:szCs w:val="21"/>
              </w:rPr>
            </w:pPr>
            <w:r>
              <w:rPr>
                <w:rFonts w:hint="eastAsia" w:ascii="宋体" w:hAnsi="宋体"/>
                <w:szCs w:val="21"/>
              </w:rPr>
              <w:t>其他术语解释</w:t>
            </w:r>
          </w:p>
        </w:tc>
        <w:tc>
          <w:tcPr>
            <w:tcW w:w="5170" w:type="dxa"/>
            <w:vAlign w:val="center"/>
          </w:tcPr>
          <w:p w14:paraId="13851512">
            <w:pPr>
              <w:adjustRightInd w:val="0"/>
              <w:snapToGrid w:val="0"/>
              <w:rPr>
                <w:rFonts w:ascii="宋体" w:hAnsi="宋体" w:eastAsia="宋体"/>
                <w:kern w:val="2"/>
                <w:sz w:val="21"/>
                <w:szCs w:val="21"/>
              </w:rPr>
            </w:pPr>
          </w:p>
        </w:tc>
      </w:tr>
      <w:tr w14:paraId="008FBA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2A425">
            <w:pPr>
              <w:adjustRightInd w:val="0"/>
              <w:snapToGrid w:val="0"/>
              <w:jc w:val="center"/>
              <w:rPr>
                <w:rFonts w:ascii="宋体" w:hAnsi="宋体"/>
                <w:szCs w:val="21"/>
              </w:rPr>
            </w:pPr>
            <w:r>
              <w:rPr>
                <w:rFonts w:hint="eastAsia" w:ascii="宋体" w:hAnsi="宋体"/>
                <w:szCs w:val="21"/>
              </w:rPr>
              <w:t>第二节</w:t>
            </w:r>
          </w:p>
          <w:p w14:paraId="066F4CC9">
            <w:pPr>
              <w:adjustRightInd w:val="0"/>
              <w:snapToGrid w:val="0"/>
              <w:jc w:val="center"/>
              <w:rPr>
                <w:rFonts w:ascii="宋体" w:hAnsi="宋体" w:eastAsia="宋体"/>
                <w:szCs w:val="21"/>
              </w:rPr>
            </w:pPr>
            <w:r>
              <w:rPr>
                <w:rFonts w:hint="eastAsia" w:ascii="宋体" w:hAnsi="宋体"/>
                <w:szCs w:val="21"/>
              </w:rPr>
              <w:t>第4.4款</w:t>
            </w:r>
          </w:p>
        </w:tc>
        <w:tc>
          <w:tcPr>
            <w:tcW w:w="1742" w:type="dxa"/>
            <w:vAlign w:val="center"/>
          </w:tcPr>
          <w:p w14:paraId="230BA76D">
            <w:pPr>
              <w:adjustRightInd w:val="0"/>
              <w:snapToGrid w:val="0"/>
              <w:rPr>
                <w:rFonts w:ascii="宋体" w:hAnsi="宋体" w:eastAsia="宋体"/>
                <w:szCs w:val="21"/>
              </w:rPr>
            </w:pPr>
            <w:r>
              <w:rPr>
                <w:rFonts w:hint="eastAsia" w:ascii="宋体" w:hAnsi="宋体"/>
                <w:szCs w:val="21"/>
              </w:rPr>
              <w:t>履约验收中甲方提出异议或作出说明的期限</w:t>
            </w:r>
          </w:p>
        </w:tc>
        <w:tc>
          <w:tcPr>
            <w:tcW w:w="5170" w:type="dxa"/>
            <w:vAlign w:val="center"/>
          </w:tcPr>
          <w:p w14:paraId="2A551128">
            <w:pPr>
              <w:adjustRightInd w:val="0"/>
              <w:snapToGrid w:val="0"/>
              <w:rPr>
                <w:rFonts w:ascii="宋体" w:hAnsi="宋体" w:eastAsia="宋体"/>
                <w:kern w:val="2"/>
                <w:sz w:val="21"/>
                <w:szCs w:val="21"/>
              </w:rPr>
            </w:pPr>
          </w:p>
        </w:tc>
      </w:tr>
      <w:tr w14:paraId="4F95E7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0167E3">
            <w:pPr>
              <w:adjustRightInd w:val="0"/>
              <w:snapToGrid w:val="0"/>
              <w:jc w:val="center"/>
              <w:rPr>
                <w:rFonts w:ascii="宋体" w:hAnsi="宋体"/>
                <w:szCs w:val="21"/>
              </w:rPr>
            </w:pPr>
            <w:r>
              <w:rPr>
                <w:rFonts w:hint="eastAsia" w:ascii="宋体" w:hAnsi="宋体"/>
                <w:szCs w:val="21"/>
              </w:rPr>
              <w:t>第二节</w:t>
            </w:r>
          </w:p>
          <w:p w14:paraId="3C21D0FA">
            <w:pPr>
              <w:adjustRightInd w:val="0"/>
              <w:snapToGrid w:val="0"/>
              <w:jc w:val="center"/>
              <w:rPr>
                <w:rFonts w:ascii="宋体" w:hAnsi="宋体"/>
                <w:szCs w:val="21"/>
              </w:rPr>
            </w:pPr>
            <w:r>
              <w:rPr>
                <w:rFonts w:hint="eastAsia" w:ascii="宋体" w:hAnsi="宋体"/>
                <w:szCs w:val="21"/>
              </w:rPr>
              <w:t>第4.6款</w:t>
            </w:r>
          </w:p>
        </w:tc>
        <w:tc>
          <w:tcPr>
            <w:tcW w:w="1742" w:type="dxa"/>
            <w:vAlign w:val="center"/>
          </w:tcPr>
          <w:p w14:paraId="1D68F6C0">
            <w:pPr>
              <w:adjustRightInd w:val="0"/>
              <w:snapToGrid w:val="0"/>
              <w:rPr>
                <w:rFonts w:ascii="宋体" w:hAnsi="宋体" w:eastAsia="宋体"/>
                <w:szCs w:val="21"/>
              </w:rPr>
            </w:pPr>
            <w:r>
              <w:rPr>
                <w:rFonts w:hint="eastAsia" w:ascii="宋体" w:hAnsi="宋体"/>
                <w:szCs w:val="21"/>
              </w:rPr>
              <w:t>约定甲方承担的其他义务和责任</w:t>
            </w:r>
          </w:p>
        </w:tc>
        <w:tc>
          <w:tcPr>
            <w:tcW w:w="5170" w:type="dxa"/>
            <w:vAlign w:val="center"/>
          </w:tcPr>
          <w:p w14:paraId="43ECE5FB">
            <w:pPr>
              <w:adjustRightInd w:val="0"/>
              <w:snapToGrid w:val="0"/>
              <w:rPr>
                <w:rFonts w:ascii="宋体" w:hAnsi="宋体" w:eastAsia="宋体"/>
                <w:kern w:val="2"/>
                <w:sz w:val="21"/>
                <w:szCs w:val="21"/>
              </w:rPr>
            </w:pPr>
          </w:p>
        </w:tc>
      </w:tr>
      <w:tr w14:paraId="61CBD6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52AF80">
            <w:pPr>
              <w:adjustRightInd w:val="0"/>
              <w:snapToGrid w:val="0"/>
              <w:jc w:val="center"/>
              <w:rPr>
                <w:rFonts w:ascii="宋体" w:hAnsi="宋体"/>
                <w:szCs w:val="21"/>
              </w:rPr>
            </w:pPr>
            <w:r>
              <w:rPr>
                <w:rFonts w:hint="eastAsia" w:ascii="宋体" w:hAnsi="宋体"/>
                <w:szCs w:val="21"/>
              </w:rPr>
              <w:t>第二节</w:t>
            </w:r>
          </w:p>
          <w:p w14:paraId="3277D4C4">
            <w:pPr>
              <w:snapToGrid w:val="0"/>
              <w:jc w:val="center"/>
            </w:pPr>
            <w:r>
              <w:rPr>
                <w:rFonts w:hint="eastAsia" w:ascii="宋体" w:hAnsi="宋体"/>
                <w:szCs w:val="21"/>
              </w:rPr>
              <w:t>第5.4款</w:t>
            </w:r>
          </w:p>
        </w:tc>
        <w:tc>
          <w:tcPr>
            <w:tcW w:w="1742" w:type="dxa"/>
            <w:vAlign w:val="center"/>
          </w:tcPr>
          <w:p w14:paraId="1170DC2D">
            <w:pPr>
              <w:adjustRightInd w:val="0"/>
              <w:snapToGrid w:val="0"/>
              <w:rPr>
                <w:rFonts w:ascii="宋体" w:hAnsi="宋体"/>
                <w:szCs w:val="21"/>
              </w:rPr>
            </w:pPr>
            <w:r>
              <w:rPr>
                <w:rFonts w:hint="eastAsia" w:ascii="宋体" w:hAnsi="宋体"/>
                <w:szCs w:val="21"/>
              </w:rPr>
              <w:t>约定乙方承担的其他义务和责任</w:t>
            </w:r>
          </w:p>
        </w:tc>
        <w:tc>
          <w:tcPr>
            <w:tcW w:w="5170" w:type="dxa"/>
            <w:vAlign w:val="center"/>
          </w:tcPr>
          <w:p w14:paraId="059D6C5D">
            <w:pPr>
              <w:adjustRightInd w:val="0"/>
              <w:snapToGrid w:val="0"/>
              <w:rPr>
                <w:rFonts w:ascii="宋体" w:hAnsi="宋体" w:eastAsia="宋体"/>
                <w:kern w:val="2"/>
                <w:sz w:val="21"/>
                <w:szCs w:val="21"/>
              </w:rPr>
            </w:pPr>
          </w:p>
        </w:tc>
      </w:tr>
      <w:tr w14:paraId="1D2BDE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063466">
            <w:pPr>
              <w:adjustRightInd w:val="0"/>
              <w:snapToGrid w:val="0"/>
              <w:jc w:val="center"/>
              <w:rPr>
                <w:rFonts w:ascii="宋体" w:hAnsi="宋体"/>
                <w:szCs w:val="21"/>
              </w:rPr>
            </w:pPr>
            <w:r>
              <w:rPr>
                <w:rFonts w:hint="eastAsia" w:ascii="宋体" w:hAnsi="宋体"/>
                <w:szCs w:val="21"/>
              </w:rPr>
              <w:t>第二节</w:t>
            </w:r>
          </w:p>
          <w:p w14:paraId="17130532">
            <w:pPr>
              <w:snapToGrid w:val="0"/>
              <w:jc w:val="center"/>
              <w:rPr>
                <w:rFonts w:ascii="宋体" w:hAnsi="宋体"/>
                <w:szCs w:val="21"/>
              </w:rPr>
            </w:pPr>
            <w:r>
              <w:rPr>
                <w:rFonts w:hint="eastAsia" w:ascii="宋体" w:hAnsi="宋体"/>
                <w:szCs w:val="21"/>
              </w:rPr>
              <w:t>第6.1款</w:t>
            </w:r>
          </w:p>
        </w:tc>
        <w:tc>
          <w:tcPr>
            <w:tcW w:w="1742" w:type="dxa"/>
            <w:vAlign w:val="center"/>
          </w:tcPr>
          <w:p w14:paraId="0BBCB98D">
            <w:pPr>
              <w:adjustRightInd w:val="0"/>
              <w:snapToGrid w:val="0"/>
              <w:rPr>
                <w:rFonts w:ascii="宋体" w:hAnsi="宋体"/>
                <w:szCs w:val="21"/>
              </w:rPr>
            </w:pPr>
            <w:r>
              <w:rPr>
                <w:rFonts w:hint="eastAsia" w:ascii="宋体" w:hAnsi="宋体"/>
                <w:szCs w:val="21"/>
              </w:rPr>
              <w:t>履行合同义务的顺序</w:t>
            </w:r>
          </w:p>
        </w:tc>
        <w:tc>
          <w:tcPr>
            <w:tcW w:w="5170" w:type="dxa"/>
            <w:vAlign w:val="center"/>
          </w:tcPr>
          <w:p w14:paraId="7EF999DF">
            <w:pPr>
              <w:adjustRightInd w:val="0"/>
              <w:snapToGrid w:val="0"/>
              <w:rPr>
                <w:rFonts w:ascii="宋体" w:hAnsi="宋体" w:eastAsia="宋体"/>
                <w:kern w:val="2"/>
                <w:sz w:val="21"/>
                <w:szCs w:val="21"/>
              </w:rPr>
            </w:pPr>
          </w:p>
        </w:tc>
      </w:tr>
      <w:tr w14:paraId="0E6D86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01972F3">
            <w:pPr>
              <w:adjustRightInd w:val="0"/>
              <w:snapToGrid w:val="0"/>
              <w:jc w:val="center"/>
              <w:rPr>
                <w:rFonts w:ascii="宋体" w:hAnsi="宋体"/>
                <w:szCs w:val="21"/>
              </w:rPr>
            </w:pPr>
            <w:r>
              <w:rPr>
                <w:rFonts w:hint="eastAsia" w:ascii="宋体" w:hAnsi="宋体"/>
                <w:szCs w:val="21"/>
              </w:rPr>
              <w:t>第二节</w:t>
            </w:r>
          </w:p>
          <w:p w14:paraId="6A57ED31">
            <w:pPr>
              <w:adjustRightInd w:val="0"/>
              <w:snapToGrid w:val="0"/>
              <w:jc w:val="center"/>
              <w:rPr>
                <w:rFonts w:ascii="宋体" w:hAnsi="宋体"/>
                <w:szCs w:val="21"/>
              </w:rPr>
            </w:pPr>
            <w:r>
              <w:rPr>
                <w:rFonts w:hint="eastAsia" w:ascii="宋体" w:hAnsi="宋体"/>
                <w:szCs w:val="21"/>
              </w:rPr>
              <w:t>第7.1款</w:t>
            </w:r>
          </w:p>
        </w:tc>
        <w:tc>
          <w:tcPr>
            <w:tcW w:w="1742" w:type="dxa"/>
            <w:vAlign w:val="center"/>
          </w:tcPr>
          <w:p w14:paraId="3060299F">
            <w:pPr>
              <w:adjustRightInd w:val="0"/>
              <w:snapToGrid w:val="0"/>
              <w:rPr>
                <w:rFonts w:ascii="宋体" w:hAnsi="宋体"/>
                <w:szCs w:val="21"/>
              </w:rPr>
            </w:pPr>
            <w:r>
              <w:rPr>
                <w:rFonts w:hint="eastAsia" w:ascii="宋体" w:hAnsi="宋体"/>
                <w:szCs w:val="21"/>
              </w:rPr>
              <w:t>包装特殊要求</w:t>
            </w:r>
          </w:p>
        </w:tc>
        <w:tc>
          <w:tcPr>
            <w:tcW w:w="5170" w:type="dxa"/>
            <w:vAlign w:val="center"/>
          </w:tcPr>
          <w:p w14:paraId="15719814"/>
        </w:tc>
      </w:tr>
      <w:tr w14:paraId="7EA994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DDEC9C2">
            <w:pPr>
              <w:adjustRightInd w:val="0"/>
              <w:snapToGrid w:val="0"/>
              <w:jc w:val="center"/>
              <w:rPr>
                <w:rFonts w:ascii="宋体" w:hAnsi="宋体"/>
                <w:szCs w:val="21"/>
              </w:rPr>
            </w:pPr>
          </w:p>
        </w:tc>
        <w:tc>
          <w:tcPr>
            <w:tcW w:w="1742" w:type="dxa"/>
            <w:vAlign w:val="center"/>
          </w:tcPr>
          <w:p w14:paraId="6F561C2D">
            <w:pPr>
              <w:adjustRightInd w:val="0"/>
              <w:snapToGrid w:val="0"/>
              <w:rPr>
                <w:rFonts w:ascii="宋体" w:hAnsi="宋体" w:eastAsia="宋体"/>
                <w:szCs w:val="21"/>
              </w:rPr>
            </w:pPr>
            <w:r>
              <w:rPr>
                <w:rFonts w:hint="eastAsia" w:ascii="宋体" w:hAnsi="宋体"/>
                <w:szCs w:val="21"/>
              </w:rPr>
              <w:t>指定现场</w:t>
            </w:r>
          </w:p>
        </w:tc>
        <w:tc>
          <w:tcPr>
            <w:tcW w:w="5170" w:type="dxa"/>
            <w:vAlign w:val="center"/>
          </w:tcPr>
          <w:p w14:paraId="55CAA3BC"/>
        </w:tc>
      </w:tr>
      <w:tr w14:paraId="061F8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CAEA9D">
            <w:pPr>
              <w:adjustRightInd w:val="0"/>
              <w:snapToGrid w:val="0"/>
              <w:jc w:val="center"/>
              <w:rPr>
                <w:rFonts w:ascii="宋体" w:hAnsi="宋体"/>
                <w:szCs w:val="21"/>
              </w:rPr>
            </w:pPr>
            <w:r>
              <w:rPr>
                <w:rFonts w:hint="eastAsia" w:ascii="宋体" w:hAnsi="宋体"/>
                <w:szCs w:val="21"/>
              </w:rPr>
              <w:t>第二节</w:t>
            </w:r>
          </w:p>
          <w:p w14:paraId="1AC1F67B">
            <w:pPr>
              <w:adjustRightInd w:val="0"/>
              <w:snapToGrid w:val="0"/>
              <w:jc w:val="center"/>
              <w:rPr>
                <w:rFonts w:ascii="宋体" w:hAnsi="宋体"/>
                <w:szCs w:val="21"/>
              </w:rPr>
            </w:pPr>
            <w:r>
              <w:rPr>
                <w:rFonts w:hint="eastAsia" w:ascii="宋体" w:hAnsi="宋体"/>
                <w:szCs w:val="21"/>
              </w:rPr>
              <w:t>第7.2款</w:t>
            </w:r>
          </w:p>
        </w:tc>
        <w:tc>
          <w:tcPr>
            <w:tcW w:w="1742" w:type="dxa"/>
            <w:vAlign w:val="center"/>
          </w:tcPr>
          <w:p w14:paraId="0C016822">
            <w:pPr>
              <w:adjustRightInd w:val="0"/>
              <w:snapToGrid w:val="0"/>
              <w:rPr>
                <w:rFonts w:ascii="宋体" w:hAnsi="宋体" w:eastAsia="宋体"/>
                <w:szCs w:val="21"/>
              </w:rPr>
            </w:pPr>
            <w:r>
              <w:rPr>
                <w:rFonts w:hint="eastAsia" w:ascii="宋体" w:hAnsi="宋体"/>
                <w:szCs w:val="21"/>
              </w:rPr>
              <w:t>运输特殊要求</w:t>
            </w:r>
          </w:p>
        </w:tc>
        <w:tc>
          <w:tcPr>
            <w:tcW w:w="5170" w:type="dxa"/>
            <w:vAlign w:val="center"/>
          </w:tcPr>
          <w:p w14:paraId="695D61B0"/>
        </w:tc>
      </w:tr>
      <w:tr w14:paraId="729754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40203CF">
            <w:pPr>
              <w:adjustRightInd w:val="0"/>
              <w:snapToGrid w:val="0"/>
              <w:jc w:val="center"/>
              <w:rPr>
                <w:rFonts w:ascii="宋体" w:hAnsi="宋体"/>
                <w:szCs w:val="21"/>
              </w:rPr>
            </w:pPr>
            <w:r>
              <w:rPr>
                <w:rFonts w:hint="eastAsia" w:ascii="宋体" w:hAnsi="宋体"/>
                <w:szCs w:val="21"/>
              </w:rPr>
              <w:t>第二节</w:t>
            </w:r>
          </w:p>
          <w:p w14:paraId="7B5A2C53">
            <w:pPr>
              <w:adjustRightInd w:val="0"/>
              <w:snapToGrid w:val="0"/>
              <w:jc w:val="center"/>
              <w:rPr>
                <w:rFonts w:ascii="宋体" w:hAnsi="宋体"/>
                <w:szCs w:val="21"/>
              </w:rPr>
            </w:pPr>
            <w:r>
              <w:rPr>
                <w:rFonts w:hint="eastAsia" w:ascii="宋体" w:hAnsi="宋体"/>
                <w:szCs w:val="21"/>
              </w:rPr>
              <w:t>第7.3款</w:t>
            </w:r>
          </w:p>
        </w:tc>
        <w:tc>
          <w:tcPr>
            <w:tcW w:w="1742" w:type="dxa"/>
            <w:vAlign w:val="center"/>
          </w:tcPr>
          <w:p w14:paraId="00B7B10C">
            <w:pPr>
              <w:adjustRightInd w:val="0"/>
              <w:snapToGrid w:val="0"/>
              <w:rPr>
                <w:rFonts w:ascii="宋体" w:hAnsi="宋体" w:eastAsia="宋体"/>
                <w:szCs w:val="21"/>
              </w:rPr>
            </w:pPr>
            <w:r>
              <w:rPr>
                <w:rFonts w:hint="eastAsia" w:ascii="宋体" w:hAnsi="宋体"/>
                <w:szCs w:val="21"/>
              </w:rPr>
              <w:t>保险要求</w:t>
            </w:r>
          </w:p>
        </w:tc>
        <w:tc>
          <w:tcPr>
            <w:tcW w:w="5170" w:type="dxa"/>
            <w:vAlign w:val="center"/>
          </w:tcPr>
          <w:p w14:paraId="1B7E83EE"/>
        </w:tc>
      </w:tr>
      <w:tr w14:paraId="00DE26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C0E622">
            <w:pPr>
              <w:adjustRightInd w:val="0"/>
              <w:snapToGrid w:val="0"/>
              <w:jc w:val="center"/>
              <w:rPr>
                <w:rFonts w:ascii="宋体" w:hAnsi="宋体"/>
                <w:szCs w:val="21"/>
              </w:rPr>
            </w:pPr>
            <w:r>
              <w:rPr>
                <w:rFonts w:hint="eastAsia" w:ascii="宋体" w:hAnsi="宋体"/>
                <w:szCs w:val="21"/>
              </w:rPr>
              <w:t>第二节</w:t>
            </w:r>
          </w:p>
          <w:p w14:paraId="44DBC718">
            <w:pPr>
              <w:adjustRightInd w:val="0"/>
              <w:snapToGrid w:val="0"/>
              <w:jc w:val="center"/>
              <w:rPr>
                <w:rFonts w:ascii="宋体" w:hAnsi="宋体"/>
                <w:szCs w:val="21"/>
              </w:rPr>
            </w:pPr>
            <w:r>
              <w:rPr>
                <w:rFonts w:hint="eastAsia" w:ascii="宋体" w:hAnsi="宋体"/>
                <w:szCs w:val="21"/>
              </w:rPr>
              <w:t>第8.2（1）项</w:t>
            </w:r>
          </w:p>
        </w:tc>
        <w:tc>
          <w:tcPr>
            <w:tcW w:w="1742" w:type="dxa"/>
            <w:vAlign w:val="center"/>
          </w:tcPr>
          <w:p w14:paraId="00A3C614">
            <w:pPr>
              <w:adjustRightInd w:val="0"/>
              <w:snapToGrid w:val="0"/>
              <w:rPr>
                <w:rFonts w:ascii="宋体" w:hAnsi="宋体"/>
                <w:szCs w:val="21"/>
              </w:rPr>
            </w:pPr>
            <w:r>
              <w:rPr>
                <w:rFonts w:hint="eastAsia" w:ascii="宋体" w:hAnsi="宋体"/>
                <w:szCs w:val="21"/>
              </w:rPr>
              <w:t>质量保证期</w:t>
            </w:r>
          </w:p>
        </w:tc>
        <w:tc>
          <w:tcPr>
            <w:tcW w:w="5170" w:type="dxa"/>
            <w:vAlign w:val="center"/>
          </w:tcPr>
          <w:p w14:paraId="109EEA30">
            <w:pPr>
              <w:autoSpaceDE w:val="0"/>
              <w:autoSpaceDN w:val="0"/>
              <w:adjustRightInd w:val="0"/>
              <w:snapToGrid w:val="0"/>
              <w:ind w:firstLine="480" w:firstLineChars="200"/>
              <w:rPr>
                <w:rFonts w:ascii="宋体" w:hAnsi="宋体"/>
                <w:szCs w:val="21"/>
              </w:rPr>
            </w:pPr>
          </w:p>
        </w:tc>
      </w:tr>
      <w:tr w14:paraId="7EE84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C77934">
            <w:pPr>
              <w:adjustRightInd w:val="0"/>
              <w:snapToGrid w:val="0"/>
              <w:jc w:val="center"/>
              <w:rPr>
                <w:rFonts w:ascii="宋体" w:hAnsi="宋体"/>
                <w:szCs w:val="21"/>
              </w:rPr>
            </w:pPr>
            <w:r>
              <w:rPr>
                <w:rFonts w:hint="eastAsia" w:ascii="宋体" w:hAnsi="宋体"/>
                <w:szCs w:val="21"/>
              </w:rPr>
              <w:t>第二节</w:t>
            </w:r>
          </w:p>
          <w:p w14:paraId="7ACC49A6">
            <w:pPr>
              <w:adjustRightInd w:val="0"/>
              <w:snapToGrid w:val="0"/>
              <w:jc w:val="center"/>
              <w:rPr>
                <w:rFonts w:ascii="宋体" w:hAnsi="宋体"/>
                <w:szCs w:val="21"/>
              </w:rPr>
            </w:pPr>
            <w:r>
              <w:rPr>
                <w:rFonts w:hint="eastAsia" w:ascii="宋体" w:hAnsi="宋体"/>
                <w:szCs w:val="21"/>
              </w:rPr>
              <w:t>第8.2（3）项</w:t>
            </w:r>
          </w:p>
        </w:tc>
        <w:tc>
          <w:tcPr>
            <w:tcW w:w="1742" w:type="dxa"/>
            <w:vAlign w:val="center"/>
          </w:tcPr>
          <w:p w14:paraId="5E2979F9">
            <w:pPr>
              <w:adjustRightInd w:val="0"/>
              <w:snapToGrid w:val="0"/>
              <w:rPr>
                <w:rFonts w:ascii="宋体" w:hAnsi="宋体"/>
                <w:szCs w:val="21"/>
              </w:rPr>
            </w:pPr>
            <w:r>
              <w:rPr>
                <w:rFonts w:hint="eastAsia" w:ascii="宋体" w:hAnsi="宋体"/>
                <w:szCs w:val="21"/>
              </w:rPr>
              <w:t>货物质量缺陷</w:t>
            </w:r>
          </w:p>
          <w:p w14:paraId="5D54A015">
            <w:pPr>
              <w:adjustRightInd w:val="0"/>
              <w:snapToGrid w:val="0"/>
              <w:rPr>
                <w:rFonts w:ascii="宋体" w:hAnsi="宋体"/>
                <w:szCs w:val="21"/>
              </w:rPr>
            </w:pPr>
            <w:r>
              <w:rPr>
                <w:rFonts w:hint="eastAsia" w:ascii="宋体" w:hAnsi="宋体"/>
                <w:szCs w:val="21"/>
              </w:rPr>
              <w:t>响应时间</w:t>
            </w:r>
          </w:p>
        </w:tc>
        <w:tc>
          <w:tcPr>
            <w:tcW w:w="5170" w:type="dxa"/>
            <w:vAlign w:val="center"/>
          </w:tcPr>
          <w:p w14:paraId="12DD085A">
            <w:pPr>
              <w:adjustRightInd w:val="0"/>
              <w:snapToGrid w:val="0"/>
              <w:rPr>
                <w:rFonts w:ascii="宋体" w:hAnsi="宋体"/>
                <w:szCs w:val="21"/>
              </w:rPr>
            </w:pPr>
          </w:p>
        </w:tc>
      </w:tr>
      <w:tr w14:paraId="1A59B6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EC3491">
            <w:pPr>
              <w:snapToGrid w:val="0"/>
              <w:jc w:val="center"/>
              <w:rPr>
                <w:rFonts w:ascii="宋体" w:hAnsi="宋体" w:cs="宋体"/>
                <w:szCs w:val="21"/>
              </w:rPr>
            </w:pPr>
            <w:r>
              <w:rPr>
                <w:rFonts w:hint="eastAsia" w:ascii="宋体" w:hAnsi="宋体" w:cs="宋体"/>
                <w:szCs w:val="21"/>
              </w:rPr>
              <w:t>第二节</w:t>
            </w:r>
          </w:p>
          <w:p w14:paraId="17A66BDE">
            <w:pPr>
              <w:pStyle w:val="25"/>
              <w:ind w:firstLine="0" w:firstLineChars="0"/>
              <w:jc w:val="center"/>
            </w:pPr>
            <w:r>
              <w:rPr>
                <w:rFonts w:hint="eastAsia" w:ascii="宋体" w:hAnsi="宋体" w:eastAsia="宋体" w:cs="宋体"/>
              </w:rPr>
              <w:t>第11.1款</w:t>
            </w:r>
          </w:p>
        </w:tc>
        <w:tc>
          <w:tcPr>
            <w:tcW w:w="1742" w:type="dxa"/>
            <w:vAlign w:val="center"/>
          </w:tcPr>
          <w:p w14:paraId="7618F8C7">
            <w:pPr>
              <w:adjustRightInd w:val="0"/>
              <w:snapToGrid w:val="0"/>
              <w:jc w:val="both"/>
              <w:rPr>
                <w:rFonts w:ascii="宋体" w:hAnsi="宋体" w:eastAsia="宋体"/>
                <w:szCs w:val="21"/>
              </w:rPr>
            </w:pPr>
            <w:r>
              <w:rPr>
                <w:rFonts w:hint="eastAsia" w:ascii="宋体" w:hAnsi="宋体"/>
                <w:szCs w:val="21"/>
              </w:rPr>
              <w:t>其他应当保密的信息</w:t>
            </w:r>
          </w:p>
        </w:tc>
        <w:tc>
          <w:tcPr>
            <w:tcW w:w="5170" w:type="dxa"/>
            <w:vAlign w:val="center"/>
          </w:tcPr>
          <w:p w14:paraId="097E7560">
            <w:pPr>
              <w:adjustRightInd w:val="0"/>
              <w:snapToGrid w:val="0"/>
              <w:rPr>
                <w:rFonts w:ascii="宋体" w:hAnsi="宋体"/>
                <w:szCs w:val="21"/>
              </w:rPr>
            </w:pPr>
          </w:p>
        </w:tc>
      </w:tr>
      <w:tr w14:paraId="14733A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E282627">
            <w:pPr>
              <w:adjustRightInd w:val="0"/>
              <w:snapToGrid w:val="0"/>
              <w:jc w:val="center"/>
              <w:rPr>
                <w:rFonts w:ascii="宋体" w:hAnsi="宋体"/>
                <w:szCs w:val="21"/>
              </w:rPr>
            </w:pPr>
            <w:r>
              <w:rPr>
                <w:rFonts w:hint="eastAsia" w:ascii="宋体" w:hAnsi="宋体"/>
                <w:szCs w:val="21"/>
              </w:rPr>
              <w:t>第二节</w:t>
            </w:r>
          </w:p>
          <w:p w14:paraId="017F9256">
            <w:pPr>
              <w:adjustRightInd w:val="0"/>
              <w:snapToGrid w:val="0"/>
              <w:jc w:val="center"/>
              <w:rPr>
                <w:rFonts w:ascii="宋体" w:hAnsi="宋体"/>
                <w:szCs w:val="21"/>
              </w:rPr>
            </w:pPr>
            <w:r>
              <w:rPr>
                <w:rFonts w:hint="eastAsia" w:ascii="宋体" w:hAnsi="宋体"/>
                <w:szCs w:val="21"/>
              </w:rPr>
              <w:t>第12.2款</w:t>
            </w:r>
          </w:p>
        </w:tc>
        <w:tc>
          <w:tcPr>
            <w:tcW w:w="1742" w:type="dxa"/>
            <w:vAlign w:val="center"/>
          </w:tcPr>
          <w:p w14:paraId="3D5761C8">
            <w:pPr>
              <w:adjustRightInd w:val="0"/>
              <w:snapToGrid w:val="0"/>
              <w:rPr>
                <w:rFonts w:ascii="宋体" w:hAnsi="宋体" w:eastAsia="宋体"/>
                <w:szCs w:val="21"/>
              </w:rPr>
            </w:pPr>
            <w:r>
              <w:rPr>
                <w:rFonts w:hint="eastAsia" w:ascii="宋体" w:hAnsi="宋体"/>
                <w:szCs w:val="21"/>
              </w:rPr>
              <w:t>合同价款支付时间</w:t>
            </w:r>
          </w:p>
        </w:tc>
        <w:tc>
          <w:tcPr>
            <w:tcW w:w="5170" w:type="dxa"/>
            <w:vAlign w:val="center"/>
          </w:tcPr>
          <w:p w14:paraId="6DC4EBB5">
            <w:pPr>
              <w:adjustRightInd w:val="0"/>
              <w:snapToGrid w:val="0"/>
              <w:rPr>
                <w:rFonts w:ascii="宋体" w:hAnsi="宋体"/>
                <w:szCs w:val="21"/>
              </w:rPr>
            </w:pPr>
          </w:p>
        </w:tc>
      </w:tr>
      <w:tr w14:paraId="7AA75D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93AB4CE">
            <w:pPr>
              <w:adjustRightInd w:val="0"/>
              <w:snapToGrid w:val="0"/>
              <w:jc w:val="center"/>
              <w:rPr>
                <w:rFonts w:ascii="宋体" w:hAnsi="宋体"/>
                <w:szCs w:val="21"/>
              </w:rPr>
            </w:pPr>
            <w:r>
              <w:rPr>
                <w:rFonts w:hint="eastAsia" w:ascii="宋体" w:hAnsi="宋体"/>
                <w:szCs w:val="21"/>
              </w:rPr>
              <w:t>第二节</w:t>
            </w:r>
          </w:p>
          <w:p w14:paraId="09939473">
            <w:pPr>
              <w:adjustRightInd w:val="0"/>
              <w:snapToGrid w:val="0"/>
              <w:jc w:val="center"/>
              <w:rPr>
                <w:rFonts w:ascii="宋体" w:hAnsi="宋体"/>
                <w:szCs w:val="21"/>
              </w:rPr>
            </w:pPr>
            <w:r>
              <w:rPr>
                <w:rFonts w:hint="eastAsia" w:ascii="宋体" w:hAnsi="宋体"/>
                <w:szCs w:val="21"/>
              </w:rPr>
              <w:t>第13.2款</w:t>
            </w:r>
          </w:p>
        </w:tc>
        <w:tc>
          <w:tcPr>
            <w:tcW w:w="1742" w:type="dxa"/>
            <w:vAlign w:val="center"/>
          </w:tcPr>
          <w:p w14:paraId="39D168DD">
            <w:pPr>
              <w:adjustRightInd w:val="0"/>
              <w:snapToGrid w:val="0"/>
              <w:rPr>
                <w:rFonts w:ascii="宋体" w:hAnsi="宋体" w:eastAsia="宋体"/>
                <w:szCs w:val="21"/>
              </w:rPr>
            </w:pPr>
            <w:r>
              <w:rPr>
                <w:rFonts w:hint="eastAsia" w:ascii="宋体" w:hAnsi="宋体"/>
                <w:szCs w:val="21"/>
              </w:rPr>
              <w:t>履约保证金不予退还的情形</w:t>
            </w:r>
          </w:p>
        </w:tc>
        <w:tc>
          <w:tcPr>
            <w:tcW w:w="5170" w:type="dxa"/>
            <w:vAlign w:val="center"/>
          </w:tcPr>
          <w:p w14:paraId="5FF2A046">
            <w:pPr>
              <w:adjustRightInd w:val="0"/>
              <w:snapToGrid w:val="0"/>
              <w:rPr>
                <w:rFonts w:ascii="宋体" w:hAnsi="宋体"/>
                <w:szCs w:val="21"/>
              </w:rPr>
            </w:pPr>
          </w:p>
        </w:tc>
      </w:tr>
      <w:tr w14:paraId="6FB8A5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2EDFA6">
            <w:pPr>
              <w:adjustRightInd w:val="0"/>
              <w:snapToGrid w:val="0"/>
              <w:jc w:val="center"/>
              <w:rPr>
                <w:rFonts w:ascii="宋体" w:hAnsi="宋体"/>
                <w:szCs w:val="21"/>
              </w:rPr>
            </w:pPr>
            <w:r>
              <w:rPr>
                <w:rFonts w:hint="eastAsia" w:ascii="宋体" w:hAnsi="宋体"/>
                <w:szCs w:val="21"/>
              </w:rPr>
              <w:t>第二节</w:t>
            </w:r>
          </w:p>
          <w:p w14:paraId="61C76825">
            <w:pPr>
              <w:adjustRightInd w:val="0"/>
              <w:snapToGrid w:val="0"/>
              <w:jc w:val="center"/>
              <w:rPr>
                <w:rFonts w:ascii="宋体" w:hAnsi="宋体"/>
                <w:szCs w:val="21"/>
              </w:rPr>
            </w:pPr>
            <w:r>
              <w:rPr>
                <w:rFonts w:hint="eastAsia" w:ascii="宋体" w:hAnsi="宋体"/>
                <w:szCs w:val="21"/>
              </w:rPr>
              <w:t>第13.3款</w:t>
            </w:r>
          </w:p>
        </w:tc>
        <w:tc>
          <w:tcPr>
            <w:tcW w:w="1742" w:type="dxa"/>
            <w:vAlign w:val="center"/>
          </w:tcPr>
          <w:p w14:paraId="28346C0E">
            <w:pPr>
              <w:adjustRightInd w:val="0"/>
              <w:snapToGrid w:val="0"/>
              <w:rPr>
                <w:rFonts w:ascii="宋体" w:hAnsi="宋体"/>
                <w:szCs w:val="21"/>
              </w:rPr>
            </w:pPr>
            <w:r>
              <w:rPr>
                <w:rFonts w:hint="eastAsia" w:ascii="宋体" w:hAnsi="宋体"/>
                <w:szCs w:val="21"/>
              </w:rPr>
              <w:t>履约保证金退还时间及逾期退还的违约金</w:t>
            </w:r>
          </w:p>
        </w:tc>
        <w:tc>
          <w:tcPr>
            <w:tcW w:w="5170" w:type="dxa"/>
            <w:vAlign w:val="center"/>
          </w:tcPr>
          <w:p w14:paraId="7698B5A8">
            <w:pPr>
              <w:adjustRightInd w:val="0"/>
              <w:snapToGrid w:val="0"/>
              <w:rPr>
                <w:rFonts w:ascii="宋体" w:hAnsi="宋体"/>
                <w:szCs w:val="21"/>
              </w:rPr>
            </w:pPr>
          </w:p>
        </w:tc>
      </w:tr>
      <w:tr w14:paraId="3C4ED1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88EFEFE">
            <w:pPr>
              <w:adjustRightInd w:val="0"/>
              <w:snapToGrid w:val="0"/>
              <w:jc w:val="center"/>
              <w:rPr>
                <w:rFonts w:ascii="宋体" w:hAnsi="宋体"/>
                <w:szCs w:val="21"/>
              </w:rPr>
            </w:pPr>
            <w:r>
              <w:rPr>
                <w:rFonts w:hint="eastAsia" w:ascii="宋体" w:hAnsi="宋体"/>
                <w:szCs w:val="21"/>
              </w:rPr>
              <w:t>第二节</w:t>
            </w:r>
          </w:p>
          <w:p w14:paraId="476A26B3">
            <w:pPr>
              <w:adjustRightInd w:val="0"/>
              <w:snapToGrid w:val="0"/>
              <w:jc w:val="center"/>
              <w:rPr>
                <w:rFonts w:ascii="宋体" w:hAnsi="宋体"/>
                <w:szCs w:val="21"/>
              </w:rPr>
            </w:pPr>
            <w:r>
              <w:rPr>
                <w:rFonts w:hint="eastAsia" w:ascii="宋体" w:hAnsi="宋体"/>
                <w:szCs w:val="21"/>
              </w:rPr>
              <w:t>第14.1（3）项</w:t>
            </w:r>
          </w:p>
        </w:tc>
        <w:tc>
          <w:tcPr>
            <w:tcW w:w="1742" w:type="dxa"/>
            <w:vAlign w:val="center"/>
          </w:tcPr>
          <w:p w14:paraId="45F2BB7A">
            <w:pPr>
              <w:adjustRightInd w:val="0"/>
              <w:snapToGrid w:val="0"/>
              <w:rPr>
                <w:rFonts w:ascii="宋体" w:hAnsi="宋体"/>
                <w:szCs w:val="21"/>
              </w:rPr>
            </w:pPr>
            <w:r>
              <w:rPr>
                <w:rFonts w:hint="eastAsia" w:ascii="宋体" w:hAnsi="宋体"/>
                <w:szCs w:val="21"/>
              </w:rPr>
              <w:t>运行监督、维修期限</w:t>
            </w:r>
          </w:p>
        </w:tc>
        <w:tc>
          <w:tcPr>
            <w:tcW w:w="5170" w:type="dxa"/>
            <w:vAlign w:val="center"/>
          </w:tcPr>
          <w:p w14:paraId="6735B350">
            <w:pPr>
              <w:adjustRightInd w:val="0"/>
              <w:snapToGrid w:val="0"/>
              <w:rPr>
                <w:rFonts w:ascii="宋体" w:hAnsi="宋体"/>
                <w:szCs w:val="21"/>
              </w:rPr>
            </w:pPr>
          </w:p>
        </w:tc>
      </w:tr>
      <w:tr w14:paraId="37117F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F031009">
            <w:pPr>
              <w:adjustRightInd w:val="0"/>
              <w:snapToGrid w:val="0"/>
              <w:jc w:val="center"/>
              <w:rPr>
                <w:rFonts w:ascii="宋体" w:hAnsi="宋体"/>
                <w:szCs w:val="21"/>
              </w:rPr>
            </w:pPr>
            <w:r>
              <w:rPr>
                <w:rFonts w:hint="eastAsia" w:ascii="宋体" w:hAnsi="宋体"/>
                <w:szCs w:val="21"/>
              </w:rPr>
              <w:t>第二节</w:t>
            </w:r>
          </w:p>
          <w:p w14:paraId="16133FD9">
            <w:pPr>
              <w:adjustRightInd w:val="0"/>
              <w:snapToGrid w:val="0"/>
              <w:jc w:val="center"/>
              <w:rPr>
                <w:rFonts w:ascii="宋体" w:hAnsi="宋体"/>
                <w:szCs w:val="21"/>
              </w:rPr>
            </w:pPr>
            <w:r>
              <w:rPr>
                <w:rFonts w:hint="eastAsia" w:ascii="宋体" w:hAnsi="宋体"/>
                <w:szCs w:val="21"/>
              </w:rPr>
              <w:t>第14.1（5）项</w:t>
            </w:r>
          </w:p>
        </w:tc>
        <w:tc>
          <w:tcPr>
            <w:tcW w:w="1742" w:type="dxa"/>
            <w:vAlign w:val="center"/>
          </w:tcPr>
          <w:p w14:paraId="280A09DD">
            <w:pPr>
              <w:adjustRightInd w:val="0"/>
              <w:snapToGrid w:val="0"/>
              <w:rPr>
                <w:rFonts w:ascii="宋体" w:hAnsi="宋体" w:eastAsia="宋体"/>
                <w:szCs w:val="21"/>
              </w:rPr>
            </w:pPr>
            <w:r>
              <w:rPr>
                <w:rFonts w:hint="eastAsia" w:ascii="宋体" w:hAnsi="宋体"/>
                <w:szCs w:val="21"/>
              </w:rPr>
              <w:t>货物回收的约定</w:t>
            </w:r>
          </w:p>
        </w:tc>
        <w:tc>
          <w:tcPr>
            <w:tcW w:w="5170" w:type="dxa"/>
            <w:vAlign w:val="center"/>
          </w:tcPr>
          <w:p w14:paraId="51387934">
            <w:pPr>
              <w:adjustRightInd w:val="0"/>
              <w:snapToGrid w:val="0"/>
              <w:rPr>
                <w:rFonts w:ascii="宋体" w:hAnsi="宋体"/>
                <w:szCs w:val="21"/>
              </w:rPr>
            </w:pPr>
          </w:p>
        </w:tc>
      </w:tr>
      <w:tr w14:paraId="7C01C6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ABAA3">
            <w:pPr>
              <w:adjustRightInd w:val="0"/>
              <w:snapToGrid w:val="0"/>
              <w:jc w:val="center"/>
              <w:rPr>
                <w:rFonts w:ascii="宋体" w:hAnsi="宋体"/>
                <w:szCs w:val="21"/>
              </w:rPr>
            </w:pPr>
            <w:r>
              <w:rPr>
                <w:rFonts w:hint="eastAsia" w:ascii="宋体" w:hAnsi="宋体"/>
                <w:szCs w:val="21"/>
              </w:rPr>
              <w:t>第二节</w:t>
            </w:r>
          </w:p>
          <w:p w14:paraId="16FF4C35">
            <w:pPr>
              <w:adjustRightInd w:val="0"/>
              <w:snapToGrid w:val="0"/>
              <w:jc w:val="center"/>
              <w:rPr>
                <w:rFonts w:ascii="宋体" w:hAnsi="宋体"/>
                <w:szCs w:val="21"/>
              </w:rPr>
            </w:pPr>
            <w:r>
              <w:rPr>
                <w:rFonts w:hint="eastAsia" w:ascii="宋体" w:hAnsi="宋体"/>
                <w:szCs w:val="21"/>
              </w:rPr>
              <w:t>第14.1（6）项</w:t>
            </w:r>
          </w:p>
        </w:tc>
        <w:tc>
          <w:tcPr>
            <w:tcW w:w="1742" w:type="dxa"/>
            <w:vAlign w:val="center"/>
          </w:tcPr>
          <w:p w14:paraId="0549FA2B">
            <w:pPr>
              <w:adjustRightInd w:val="0"/>
              <w:snapToGrid w:val="0"/>
              <w:rPr>
                <w:rFonts w:ascii="宋体" w:hAnsi="宋体"/>
                <w:szCs w:val="21"/>
              </w:rPr>
            </w:pPr>
            <w:r>
              <w:rPr>
                <w:rFonts w:hint="eastAsia" w:ascii="宋体" w:hAnsi="宋体"/>
                <w:szCs w:val="21"/>
              </w:rPr>
              <w:t>乙方提供的其他服务</w:t>
            </w:r>
          </w:p>
        </w:tc>
        <w:tc>
          <w:tcPr>
            <w:tcW w:w="5170" w:type="dxa"/>
            <w:vAlign w:val="center"/>
          </w:tcPr>
          <w:p w14:paraId="173114A1">
            <w:pPr>
              <w:adjustRightInd w:val="0"/>
              <w:snapToGrid w:val="0"/>
              <w:rPr>
                <w:rFonts w:ascii="宋体" w:hAnsi="宋体"/>
                <w:szCs w:val="21"/>
              </w:rPr>
            </w:pPr>
          </w:p>
        </w:tc>
      </w:tr>
      <w:tr w14:paraId="0AEE70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96ACEB">
            <w:pPr>
              <w:adjustRightInd w:val="0"/>
              <w:snapToGrid w:val="0"/>
              <w:jc w:val="center"/>
              <w:rPr>
                <w:rFonts w:ascii="宋体" w:hAnsi="宋体"/>
                <w:szCs w:val="21"/>
              </w:rPr>
            </w:pPr>
            <w:r>
              <w:rPr>
                <w:rFonts w:hint="eastAsia" w:ascii="宋体" w:hAnsi="宋体"/>
                <w:szCs w:val="21"/>
              </w:rPr>
              <w:t>第二节</w:t>
            </w:r>
          </w:p>
          <w:p w14:paraId="02FFBA3E">
            <w:pPr>
              <w:adjustRightInd w:val="0"/>
              <w:snapToGrid w:val="0"/>
              <w:jc w:val="center"/>
              <w:rPr>
                <w:rFonts w:ascii="宋体" w:hAnsi="宋体" w:eastAsia="宋体"/>
                <w:szCs w:val="21"/>
              </w:rPr>
            </w:pPr>
            <w:r>
              <w:rPr>
                <w:rFonts w:hint="eastAsia" w:ascii="宋体" w:hAnsi="宋体"/>
                <w:szCs w:val="21"/>
              </w:rPr>
              <w:t>第15.1款</w:t>
            </w:r>
          </w:p>
        </w:tc>
        <w:tc>
          <w:tcPr>
            <w:tcW w:w="1742" w:type="dxa"/>
            <w:vAlign w:val="center"/>
          </w:tcPr>
          <w:p w14:paraId="6C9FE164">
            <w:pPr>
              <w:adjustRightInd w:val="0"/>
              <w:snapToGrid w:val="0"/>
              <w:rPr>
                <w:rFonts w:ascii="宋体" w:hAnsi="宋体"/>
                <w:szCs w:val="21"/>
              </w:rPr>
            </w:pPr>
            <w:r>
              <w:rPr>
                <w:rFonts w:hint="eastAsia" w:ascii="宋体" w:hAnsi="宋体"/>
                <w:szCs w:val="21"/>
              </w:rPr>
              <w:t>修理、重作、更换相关具体规定</w:t>
            </w:r>
          </w:p>
        </w:tc>
        <w:tc>
          <w:tcPr>
            <w:tcW w:w="5170" w:type="dxa"/>
            <w:vAlign w:val="center"/>
          </w:tcPr>
          <w:p w14:paraId="50729A3C">
            <w:pPr>
              <w:adjustRightInd w:val="0"/>
              <w:snapToGrid w:val="0"/>
              <w:rPr>
                <w:rFonts w:ascii="宋体" w:hAnsi="宋体"/>
                <w:szCs w:val="21"/>
              </w:rPr>
            </w:pPr>
          </w:p>
        </w:tc>
      </w:tr>
      <w:tr w14:paraId="08118C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3F9D5E">
            <w:pPr>
              <w:adjustRightInd w:val="0"/>
              <w:snapToGrid w:val="0"/>
              <w:jc w:val="center"/>
              <w:rPr>
                <w:rFonts w:ascii="宋体" w:hAnsi="宋体"/>
                <w:szCs w:val="21"/>
              </w:rPr>
            </w:pPr>
            <w:r>
              <w:rPr>
                <w:rFonts w:hint="eastAsia" w:ascii="宋体" w:hAnsi="宋体"/>
                <w:szCs w:val="21"/>
              </w:rPr>
              <w:t>第二节</w:t>
            </w:r>
          </w:p>
          <w:p w14:paraId="3F34458B">
            <w:pPr>
              <w:adjustRightInd w:val="0"/>
              <w:snapToGrid w:val="0"/>
              <w:jc w:val="center"/>
              <w:rPr>
                <w:rFonts w:ascii="宋体" w:hAnsi="宋体"/>
                <w:szCs w:val="21"/>
              </w:rPr>
            </w:pPr>
            <w:r>
              <w:rPr>
                <w:rFonts w:hint="eastAsia" w:ascii="宋体" w:hAnsi="宋体"/>
                <w:szCs w:val="21"/>
              </w:rPr>
              <w:t>第15.2（2）项</w:t>
            </w:r>
          </w:p>
        </w:tc>
        <w:tc>
          <w:tcPr>
            <w:tcW w:w="1742" w:type="dxa"/>
            <w:vAlign w:val="center"/>
          </w:tcPr>
          <w:p w14:paraId="4ED677B9">
            <w:pPr>
              <w:adjustRightInd w:val="0"/>
              <w:snapToGrid w:val="0"/>
              <w:rPr>
                <w:rFonts w:ascii="宋体" w:hAnsi="宋体"/>
                <w:szCs w:val="21"/>
              </w:rPr>
            </w:pPr>
            <w:r>
              <w:rPr>
                <w:rFonts w:hint="eastAsia" w:ascii="宋体" w:hAnsi="宋体"/>
                <w:szCs w:val="21"/>
              </w:rPr>
              <w:t>迟延交货赔偿费</w:t>
            </w:r>
          </w:p>
        </w:tc>
        <w:tc>
          <w:tcPr>
            <w:tcW w:w="5170" w:type="dxa"/>
            <w:vAlign w:val="center"/>
          </w:tcPr>
          <w:p w14:paraId="72ABAFB0">
            <w:pPr>
              <w:adjustRightInd w:val="0"/>
              <w:snapToGrid w:val="0"/>
              <w:rPr>
                <w:rFonts w:ascii="宋体" w:hAnsi="宋体"/>
                <w:szCs w:val="21"/>
                <w:u w:val="single"/>
              </w:rPr>
            </w:pPr>
          </w:p>
        </w:tc>
      </w:tr>
      <w:tr w14:paraId="419124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4715AD">
            <w:pPr>
              <w:adjustRightInd w:val="0"/>
              <w:snapToGrid w:val="0"/>
              <w:jc w:val="center"/>
              <w:rPr>
                <w:rFonts w:ascii="宋体" w:hAnsi="宋体"/>
                <w:szCs w:val="21"/>
              </w:rPr>
            </w:pPr>
            <w:r>
              <w:rPr>
                <w:rFonts w:hint="eastAsia" w:ascii="宋体" w:hAnsi="宋体"/>
                <w:szCs w:val="21"/>
              </w:rPr>
              <w:t>第二节</w:t>
            </w:r>
          </w:p>
          <w:p w14:paraId="410CC9B4">
            <w:pPr>
              <w:adjustRightInd w:val="0"/>
              <w:snapToGrid w:val="0"/>
              <w:jc w:val="center"/>
              <w:rPr>
                <w:rFonts w:ascii="宋体" w:hAnsi="宋体"/>
                <w:szCs w:val="21"/>
              </w:rPr>
            </w:pPr>
            <w:r>
              <w:rPr>
                <w:rFonts w:hint="eastAsia" w:ascii="宋体" w:hAnsi="宋体"/>
                <w:szCs w:val="21"/>
              </w:rPr>
              <w:t>第15.3款</w:t>
            </w:r>
          </w:p>
        </w:tc>
        <w:tc>
          <w:tcPr>
            <w:tcW w:w="1742" w:type="dxa"/>
            <w:vAlign w:val="center"/>
          </w:tcPr>
          <w:p w14:paraId="35393A49">
            <w:pPr>
              <w:adjustRightInd w:val="0"/>
              <w:snapToGrid w:val="0"/>
              <w:rPr>
                <w:rFonts w:ascii="宋体" w:hAnsi="宋体"/>
                <w:szCs w:val="21"/>
              </w:rPr>
            </w:pPr>
            <w:r>
              <w:rPr>
                <w:rFonts w:hint="eastAsia" w:ascii="宋体" w:hAnsi="宋体"/>
                <w:szCs w:val="21"/>
              </w:rPr>
              <w:t>逾期付款利息</w:t>
            </w:r>
          </w:p>
        </w:tc>
        <w:tc>
          <w:tcPr>
            <w:tcW w:w="5170" w:type="dxa"/>
            <w:vAlign w:val="center"/>
          </w:tcPr>
          <w:p w14:paraId="02C508D3">
            <w:pPr>
              <w:adjustRightInd w:val="0"/>
              <w:snapToGrid w:val="0"/>
              <w:rPr>
                <w:rFonts w:ascii="宋体" w:hAnsi="宋体"/>
                <w:szCs w:val="21"/>
                <w:u w:val="single"/>
              </w:rPr>
            </w:pPr>
          </w:p>
        </w:tc>
      </w:tr>
      <w:tr w14:paraId="67485B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EEF44DA">
            <w:pPr>
              <w:adjustRightInd w:val="0"/>
              <w:snapToGrid w:val="0"/>
              <w:jc w:val="center"/>
              <w:rPr>
                <w:rFonts w:ascii="宋体" w:hAnsi="宋体"/>
                <w:szCs w:val="21"/>
              </w:rPr>
            </w:pPr>
            <w:r>
              <w:rPr>
                <w:rFonts w:hint="eastAsia" w:ascii="宋体" w:hAnsi="宋体"/>
                <w:szCs w:val="21"/>
              </w:rPr>
              <w:t>第二节</w:t>
            </w:r>
          </w:p>
          <w:p w14:paraId="1172EF7E">
            <w:pPr>
              <w:adjustRightInd w:val="0"/>
              <w:snapToGrid w:val="0"/>
              <w:jc w:val="center"/>
              <w:rPr>
                <w:rFonts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01E0FF82">
            <w:pPr>
              <w:adjustRightInd w:val="0"/>
              <w:snapToGrid w:val="0"/>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722E5F0B">
            <w:pPr>
              <w:adjustRightInd w:val="0"/>
              <w:snapToGrid w:val="0"/>
              <w:rPr>
                <w:rFonts w:ascii="宋体" w:hAnsi="宋体"/>
                <w:szCs w:val="21"/>
                <w:u w:val="single"/>
              </w:rPr>
            </w:pPr>
          </w:p>
        </w:tc>
      </w:tr>
      <w:tr w14:paraId="0EFD77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F505E6A">
            <w:pPr>
              <w:adjustRightInd w:val="0"/>
              <w:snapToGrid w:val="0"/>
              <w:jc w:val="center"/>
              <w:rPr>
                <w:rFonts w:ascii="宋体" w:hAnsi="宋体"/>
                <w:szCs w:val="21"/>
              </w:rPr>
            </w:pPr>
            <w:r>
              <w:rPr>
                <w:rFonts w:hint="eastAsia" w:ascii="宋体" w:hAnsi="宋体"/>
                <w:szCs w:val="21"/>
              </w:rPr>
              <w:t>第二节</w:t>
            </w:r>
          </w:p>
          <w:p w14:paraId="424A9EEB">
            <w:pPr>
              <w:adjustRightInd w:val="0"/>
              <w:snapToGrid w:val="0"/>
              <w:jc w:val="center"/>
              <w:rPr>
                <w:rFonts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6D9F2BC6">
            <w:pPr>
              <w:adjustRightInd w:val="0"/>
              <w:snapToGrid w:val="0"/>
              <w:rPr>
                <w:rFonts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40444F25">
            <w:pPr>
              <w:autoSpaceDE w:val="0"/>
              <w:autoSpaceDN w:val="0"/>
              <w:adjustRightInd w:val="0"/>
              <w:snapToGrid w:val="0"/>
              <w:spacing w:line="400" w:lineRule="exact"/>
              <w:rPr>
                <w:rFonts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14:paraId="273910FE">
            <w:pPr>
              <w:autoSpaceDE w:val="0"/>
              <w:autoSpaceDN w:val="0"/>
              <w:adjustRightInd w:val="0"/>
              <w:snapToGrid w:val="0"/>
              <w:spacing w:line="400" w:lineRule="exact"/>
              <w:rPr>
                <w:rFonts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14:paraId="33CE91BA">
            <w:pPr>
              <w:adjustRightInd w:val="0"/>
              <w:snapToGrid w:val="0"/>
              <w:rPr>
                <w:rFonts w:ascii="宋体" w:hAnsi="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14:paraId="3B3DB3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64DD4D3">
            <w:pPr>
              <w:adjustRightInd w:val="0"/>
              <w:snapToGrid w:val="0"/>
              <w:jc w:val="center"/>
              <w:rPr>
                <w:rFonts w:ascii="宋体" w:hAnsi="宋体"/>
                <w:szCs w:val="21"/>
              </w:rPr>
            </w:pPr>
            <w:r>
              <w:rPr>
                <w:rFonts w:hint="eastAsia" w:ascii="宋体" w:hAnsi="宋体"/>
                <w:szCs w:val="21"/>
              </w:rPr>
              <w:t>第二节</w:t>
            </w:r>
          </w:p>
          <w:p w14:paraId="3FE03CB9">
            <w:pPr>
              <w:adjustRightInd w:val="0"/>
              <w:snapToGrid w:val="0"/>
              <w:jc w:val="center"/>
              <w:rPr>
                <w:rFonts w:ascii="宋体" w:hAnsi="宋体"/>
                <w:szCs w:val="21"/>
              </w:rPr>
            </w:pPr>
            <w:r>
              <w:rPr>
                <w:rFonts w:hint="eastAsia" w:ascii="宋体" w:hAnsi="宋体"/>
                <w:szCs w:val="21"/>
              </w:rPr>
              <w:t>第23.1款</w:t>
            </w:r>
          </w:p>
        </w:tc>
        <w:tc>
          <w:tcPr>
            <w:tcW w:w="1742" w:type="dxa"/>
            <w:vAlign w:val="center"/>
          </w:tcPr>
          <w:p w14:paraId="5873F396">
            <w:pPr>
              <w:adjustRightInd w:val="0"/>
              <w:snapToGrid w:val="0"/>
              <w:rPr>
                <w:rFonts w:ascii="宋体" w:hAnsi="宋体"/>
                <w:szCs w:val="21"/>
              </w:rPr>
            </w:pPr>
            <w:r>
              <w:rPr>
                <w:rFonts w:hint="eastAsia" w:ascii="宋体" w:hAnsi="宋体"/>
                <w:bCs/>
                <w:szCs w:val="21"/>
              </w:rPr>
              <w:t>其他专用条款</w:t>
            </w:r>
          </w:p>
        </w:tc>
        <w:tc>
          <w:tcPr>
            <w:tcW w:w="5170" w:type="dxa"/>
            <w:vAlign w:val="center"/>
          </w:tcPr>
          <w:p w14:paraId="7BF6040C">
            <w:pPr>
              <w:adjustRightInd w:val="0"/>
              <w:snapToGrid w:val="0"/>
              <w:rPr>
                <w:rFonts w:ascii="宋体" w:hAnsi="宋体" w:eastAsia="宋体"/>
                <w:szCs w:val="21"/>
              </w:rPr>
            </w:pPr>
          </w:p>
        </w:tc>
      </w:tr>
    </w:tbl>
    <w:p w14:paraId="4D4A6BC8"/>
    <w:p w14:paraId="536BEBE4">
      <w:pPr>
        <w:spacing w:line="240" w:lineRule="atLeast"/>
        <w:jc w:val="center"/>
        <w:outlineLvl w:val="1"/>
        <w:rPr>
          <w:rFonts w:ascii="宋体" w:hAnsi="宋体" w:eastAsia="宋体"/>
          <w:sz w:val="28"/>
          <w:szCs w:val="28"/>
        </w:rPr>
      </w:pPr>
      <w:r>
        <w:rPr>
          <w:rFonts w:ascii="宋体" w:hAnsi="宋体" w:eastAsia="宋体"/>
          <w:szCs w:val="21"/>
        </w:rPr>
        <w:br w:type="page"/>
      </w:r>
      <w:r>
        <w:rPr>
          <w:rFonts w:hint="eastAsia" w:ascii="宋体" w:hAnsi="宋体" w:eastAsia="宋体"/>
          <w:b/>
          <w:bCs/>
          <w:kern w:val="44"/>
          <w:sz w:val="28"/>
          <w:szCs w:val="44"/>
        </w:rPr>
        <w:t>第二册  通用条款（公开招标）</w:t>
      </w:r>
    </w:p>
    <w:p w14:paraId="1B13C080">
      <w:pPr>
        <w:pStyle w:val="5"/>
        <w:numPr>
          <w:ilvl w:val="0"/>
          <w:numId w:val="13"/>
        </w:numPr>
        <w:spacing w:before="120" w:beforeLines="50" w:after="120" w:afterLines="50"/>
        <w:ind w:left="562" w:hanging="562"/>
        <w:rPr>
          <w:sz w:val="28"/>
          <w:szCs w:val="28"/>
        </w:rPr>
      </w:pPr>
      <w:bookmarkStart w:id="93" w:name="_Hlk72399513"/>
      <w:r>
        <w:rPr>
          <w:rFonts w:hint="eastAsia"/>
          <w:sz w:val="28"/>
          <w:szCs w:val="28"/>
        </w:rPr>
        <w:t>总则</w:t>
      </w:r>
    </w:p>
    <w:bookmarkEnd w:id="93"/>
    <w:p w14:paraId="60B1EC1F">
      <w:pPr>
        <w:rPr>
          <w:rFonts w:ascii="宋体" w:hAnsi="宋体" w:eastAsia="宋体"/>
        </w:rPr>
      </w:pPr>
      <w:r>
        <w:rPr>
          <w:rFonts w:hint="eastAsia" w:ascii="宋体" w:hAnsi="宋体" w:eastAsia="宋体"/>
        </w:rPr>
        <w:t>1. 通用条款说明</w:t>
      </w:r>
    </w:p>
    <w:p w14:paraId="0F6A7366">
      <w:pPr>
        <w:ind w:firstLine="470" w:firstLineChars="196"/>
        <w:rPr>
          <w:rFonts w:ascii="宋体" w:hAnsi="宋体" w:eastAsia="宋体"/>
          <w:szCs w:val="21"/>
        </w:rPr>
      </w:pPr>
      <w:r>
        <w:rPr>
          <w:rFonts w:hint="eastAsia" w:ascii="宋体" w:hAnsi="宋体" w:eastAsia="宋体"/>
          <w:szCs w:val="21"/>
        </w:rPr>
        <w:t>1.1招标机构发出招标文件通用条款版本，列出深圳市政府采购项目进行招标采购所适用的通用条款内容。</w:t>
      </w:r>
      <w:bookmarkStart w:id="94" w:name="_Hlk72399729"/>
      <w:r>
        <w:rPr>
          <w:rFonts w:hint="eastAsia" w:ascii="宋体" w:hAnsi="宋体" w:eastAsia="宋体"/>
          <w:szCs w:val="21"/>
        </w:rPr>
        <w:t>如有需要，招标机构可以对通用条款的内容进行补充。</w:t>
      </w:r>
      <w:bookmarkEnd w:id="94"/>
    </w:p>
    <w:p w14:paraId="61B2F2EB">
      <w:pPr>
        <w:ind w:firstLine="470" w:firstLineChars="196"/>
        <w:rPr>
          <w:rFonts w:ascii="宋体" w:hAnsi="宋体" w:eastAsia="宋体"/>
          <w:szCs w:val="21"/>
        </w:rPr>
      </w:pPr>
      <w:r>
        <w:rPr>
          <w:rFonts w:hint="eastAsia" w:ascii="宋体" w:hAnsi="宋体" w:eastAsia="宋体"/>
          <w:szCs w:val="21"/>
        </w:rPr>
        <w:t>1.2招标文件分为第一册“专用条款”和第二册“通用条款”。</w:t>
      </w:r>
    </w:p>
    <w:p w14:paraId="74A8DA49">
      <w:pPr>
        <w:ind w:firstLine="470" w:firstLineChars="196"/>
        <w:rPr>
          <w:rFonts w:ascii="宋体" w:hAnsi="宋体" w:eastAsia="宋体"/>
          <w:szCs w:val="21"/>
        </w:rPr>
      </w:pPr>
      <w:r>
        <w:rPr>
          <w:rFonts w:hint="eastAsia" w:ascii="宋体" w:hAnsi="宋体" w:eastAsia="宋体"/>
          <w:szCs w:val="21"/>
        </w:rPr>
        <w:t>1.3“专用条款”是对本次采购项目的具体要求，包含招标公告、对通用条款的补充内容及其他关键信息、用户需求书、投标文件格式及附件、合同条款及格式等内容。</w:t>
      </w:r>
    </w:p>
    <w:p w14:paraId="649EA0A0">
      <w:pPr>
        <w:ind w:firstLine="470" w:firstLineChars="196"/>
        <w:rPr>
          <w:rFonts w:ascii="宋体" w:hAnsi="宋体" w:eastAsia="宋体"/>
          <w:szCs w:val="21"/>
        </w:rPr>
      </w:pPr>
      <w:r>
        <w:rPr>
          <w:rFonts w:hint="eastAsia" w:ascii="宋体" w:hAnsi="宋体" w:eastAsia="宋体"/>
          <w:szCs w:val="21"/>
        </w:rPr>
        <w:t>1.4“通用条款”是适用于政府采购公开招标项目的基础性条款，具有普遍性和通用性。</w:t>
      </w:r>
    </w:p>
    <w:p w14:paraId="1A160D2B">
      <w:pPr>
        <w:ind w:firstLine="470" w:firstLineChars="196"/>
        <w:rPr>
          <w:rFonts w:ascii="宋体" w:hAnsi="宋体" w:eastAsia="宋体"/>
          <w:szCs w:val="21"/>
        </w:rPr>
      </w:pPr>
      <w:r>
        <w:rPr>
          <w:rFonts w:hint="eastAsia" w:ascii="宋体" w:hAnsi="宋体" w:eastAsia="宋体"/>
          <w:szCs w:val="21"/>
        </w:rPr>
        <w:t>1.5 “专用条款”和“通用条款”表述不一致或有冲突时，以“专用条款”为准。</w:t>
      </w:r>
    </w:p>
    <w:p w14:paraId="39AFCEB7">
      <w:pPr>
        <w:rPr>
          <w:rFonts w:ascii="宋体" w:hAnsi="宋体" w:eastAsia="宋体"/>
        </w:rPr>
      </w:pPr>
      <w:r>
        <w:rPr>
          <w:rFonts w:hint="eastAsia" w:ascii="宋体" w:hAnsi="宋体" w:eastAsia="宋体"/>
        </w:rPr>
        <w:t>2</w:t>
      </w:r>
      <w:r>
        <w:rPr>
          <w:rFonts w:ascii="宋体" w:hAnsi="宋体" w:eastAsia="宋体"/>
        </w:rPr>
        <w:t>．</w:t>
      </w:r>
      <w:r>
        <w:rPr>
          <w:rFonts w:hint="eastAsia" w:ascii="宋体" w:hAnsi="宋体" w:eastAsia="宋体"/>
        </w:rPr>
        <w:t>招标说明</w:t>
      </w:r>
    </w:p>
    <w:p w14:paraId="6A4CA902">
      <w:pPr>
        <w:ind w:firstLine="470" w:firstLineChars="196"/>
        <w:rPr>
          <w:rFonts w:ascii="宋体" w:hAnsi="宋体" w:eastAsia="宋体"/>
          <w:szCs w:val="21"/>
        </w:rPr>
      </w:pPr>
      <w:r>
        <w:rPr>
          <w:rFonts w:hint="eastAsia" w:ascii="宋体" w:hAnsi="宋体" w:eastAsia="宋体"/>
          <w:szCs w:val="21"/>
        </w:rPr>
        <w:t>本项目按照《深圳经济特区政府采购条例》、《深圳经济特区政府采购条例实施细则》及政府采购其他法律法规，通过公开招标方式确定中标供应商。</w:t>
      </w:r>
    </w:p>
    <w:p w14:paraId="5331F22C">
      <w:pPr>
        <w:rPr>
          <w:rFonts w:ascii="宋体" w:hAnsi="宋体" w:eastAsia="宋体"/>
        </w:rPr>
      </w:pPr>
      <w:r>
        <w:rPr>
          <w:rFonts w:hint="eastAsia" w:ascii="宋体" w:hAnsi="宋体" w:eastAsia="宋体"/>
        </w:rPr>
        <w:t>3．定义</w:t>
      </w:r>
    </w:p>
    <w:p w14:paraId="5C173FA1">
      <w:pPr>
        <w:ind w:firstLine="480" w:firstLineChars="200"/>
        <w:rPr>
          <w:rFonts w:ascii="宋体" w:hAnsi="宋体" w:eastAsia="宋体"/>
          <w:szCs w:val="21"/>
        </w:rPr>
      </w:pPr>
      <w:r>
        <w:rPr>
          <w:rFonts w:ascii="宋体" w:hAnsi="宋体" w:eastAsia="宋体"/>
          <w:szCs w:val="21"/>
        </w:rPr>
        <w:t>招标文件中下列术语应解释为：</w:t>
      </w:r>
    </w:p>
    <w:p w14:paraId="0227FF46">
      <w:pPr>
        <w:ind w:firstLine="470" w:firstLineChars="196"/>
        <w:rPr>
          <w:rFonts w:ascii="宋体" w:hAnsi="宋体" w:eastAsia="宋体"/>
          <w:szCs w:val="21"/>
        </w:rPr>
      </w:pPr>
      <w:r>
        <w:rPr>
          <w:rFonts w:hint="eastAsia" w:ascii="宋体" w:hAnsi="宋体" w:eastAsia="宋体"/>
          <w:szCs w:val="21"/>
        </w:rPr>
        <w:t>3.</w:t>
      </w:r>
      <w:r>
        <w:rPr>
          <w:rFonts w:ascii="宋体" w:hAnsi="宋体" w:eastAsia="宋体"/>
          <w:szCs w:val="21"/>
        </w:rPr>
        <w:t>1</w:t>
      </w:r>
      <w:r>
        <w:rPr>
          <w:rFonts w:hint="eastAsia" w:ascii="宋体" w:hAnsi="宋体" w:eastAsia="宋体"/>
          <w:szCs w:val="21"/>
        </w:rPr>
        <w:t>“采购人”：指利用财政性资金依法进行政府采购的国家机关、事业单位、团体组织；</w:t>
      </w:r>
    </w:p>
    <w:p w14:paraId="3CFB1269">
      <w:pPr>
        <w:ind w:firstLine="470" w:firstLineChars="196"/>
        <w:rPr>
          <w:rFonts w:ascii="宋体" w:hAnsi="宋体" w:eastAsia="宋体"/>
          <w:szCs w:val="21"/>
        </w:rPr>
      </w:pPr>
      <w:r>
        <w:rPr>
          <w:rFonts w:hint="eastAsia" w:ascii="宋体" w:hAnsi="宋体" w:eastAsia="宋体"/>
          <w:szCs w:val="21"/>
        </w:rPr>
        <w:t>3.2 “招标机构”</w:t>
      </w:r>
      <w:r>
        <w:rPr>
          <w:rFonts w:hint="eastAsia" w:ascii="宋体" w:hAnsi="宋体"/>
          <w:color w:val="000000" w:themeColor="text1"/>
          <w:szCs w:val="21"/>
          <w14:textFill>
            <w14:solidFill>
              <w14:schemeClr w14:val="tx1"/>
            </w14:solidFill>
          </w14:textFill>
        </w:rPr>
        <w:t>系指根据采购人的委托，代理政府采购事宜的机构，在此特指拥有采购代理资格的</w:t>
      </w:r>
      <w:r>
        <w:rPr>
          <w:rFonts w:hint="eastAsia" w:ascii="宋体" w:hAnsi="宋体"/>
          <w:b/>
          <w:bCs/>
          <w:color w:val="000000" w:themeColor="text1"/>
          <w:szCs w:val="21"/>
          <w14:textFill>
            <w14:solidFill>
              <w14:schemeClr w14:val="tx1"/>
            </w14:solidFill>
          </w14:textFill>
        </w:rPr>
        <w:t>友和保险经纪有限公司</w:t>
      </w:r>
      <w:r>
        <w:rPr>
          <w:rFonts w:hint="eastAsia" w:ascii="宋体" w:hAnsi="宋体" w:eastAsia="宋体"/>
          <w:szCs w:val="21"/>
        </w:rPr>
        <w:t>；</w:t>
      </w:r>
    </w:p>
    <w:p w14:paraId="52FC3856">
      <w:pPr>
        <w:ind w:firstLine="470" w:firstLineChars="196"/>
        <w:rPr>
          <w:rFonts w:ascii="宋体" w:hAnsi="宋体" w:eastAsia="宋体"/>
          <w:szCs w:val="21"/>
        </w:rPr>
      </w:pPr>
      <w:r>
        <w:rPr>
          <w:rFonts w:hint="eastAsia" w:ascii="宋体" w:hAnsi="宋体" w:eastAsia="宋体"/>
          <w:szCs w:val="21"/>
        </w:rPr>
        <w:t>3.3“投标人”，即供应商，指参加投标竞争并愿意按照招标文件要求向采购人提供货物、工程或者服务的依法成立的法人、其他组织或者自然人；</w:t>
      </w:r>
    </w:p>
    <w:p w14:paraId="2BEEA1A8">
      <w:pPr>
        <w:ind w:firstLine="470" w:firstLineChars="196"/>
        <w:rPr>
          <w:rFonts w:ascii="宋体" w:hAnsi="宋体" w:eastAsia="宋体"/>
          <w:szCs w:val="21"/>
        </w:rPr>
      </w:pPr>
      <w:r>
        <w:rPr>
          <w:rFonts w:hint="eastAsia" w:ascii="宋体" w:hAnsi="宋体" w:eastAsia="宋体"/>
          <w:szCs w:val="21"/>
        </w:rPr>
        <w:t>3.4“评审委员会”是依据《深圳经济特区政府采购条例》、《深圳经济特区政府采购条例实施细则》等有关规定组建的专门负责本次招标其评审工作的临时性机构；</w:t>
      </w:r>
    </w:p>
    <w:p w14:paraId="483A3A21">
      <w:pPr>
        <w:ind w:firstLine="470" w:firstLineChars="196"/>
        <w:rPr>
          <w:rFonts w:ascii="宋体" w:hAnsi="宋体" w:eastAsia="宋体"/>
          <w:szCs w:val="21"/>
        </w:rPr>
      </w:pPr>
      <w:r>
        <w:rPr>
          <w:rFonts w:hint="eastAsia" w:ascii="宋体" w:hAnsi="宋体" w:eastAsia="宋体"/>
          <w:szCs w:val="21"/>
        </w:rPr>
        <w:t>3.5“日期”</w:t>
      </w:r>
      <w:r>
        <w:rPr>
          <w:rFonts w:ascii="宋体" w:hAnsi="宋体" w:eastAsia="宋体"/>
          <w:szCs w:val="21"/>
        </w:rPr>
        <w:t>指</w:t>
      </w:r>
      <w:r>
        <w:rPr>
          <w:rFonts w:hint="eastAsia" w:ascii="宋体" w:hAnsi="宋体" w:eastAsia="宋体"/>
          <w:szCs w:val="21"/>
        </w:rPr>
        <w:t>公历日；</w:t>
      </w:r>
    </w:p>
    <w:p w14:paraId="6E244C11">
      <w:pPr>
        <w:ind w:firstLine="470" w:firstLineChars="196"/>
        <w:rPr>
          <w:rFonts w:ascii="宋体" w:hAnsi="宋体" w:eastAsia="宋体"/>
          <w:szCs w:val="21"/>
        </w:rPr>
      </w:pPr>
      <w:r>
        <w:rPr>
          <w:rFonts w:hint="eastAsia" w:ascii="宋体" w:hAnsi="宋体" w:eastAsia="宋体"/>
          <w:szCs w:val="21"/>
        </w:rPr>
        <w:t>3.6“合同”指由本次招标所产生的合同或合约文件；</w:t>
      </w:r>
    </w:p>
    <w:p w14:paraId="1B0FC854">
      <w:pPr>
        <w:suppressAutoHyphens/>
        <w:wordWrap w:val="0"/>
        <w:ind w:firstLine="470" w:firstLineChars="196"/>
        <w:rPr>
          <w:rFonts w:ascii="宋体" w:hAnsi="宋体" w:eastAsia="宋体"/>
          <w:szCs w:val="21"/>
        </w:rPr>
      </w:pPr>
      <w:r>
        <w:rPr>
          <w:rFonts w:hint="eastAsia" w:ascii="宋体" w:hAnsi="宋体" w:eastAsia="宋体"/>
          <w:szCs w:val="21"/>
        </w:rPr>
        <w:t>3.7“电子投标文件”指利用</w:t>
      </w:r>
      <w:r>
        <w:rPr>
          <w:rFonts w:hint="eastAsia" w:ascii="宋体" w:hAnsi="宋体" w:eastAsia="宋体"/>
          <w:b/>
          <w:bCs/>
          <w:color w:val="FF0000"/>
          <w:szCs w:val="21"/>
        </w:rPr>
        <w:t>深圳交易集团有限公司政府采购业务分公司</w:t>
      </w:r>
      <w:r>
        <w:rPr>
          <w:rFonts w:hint="eastAsia" w:ascii="宋体" w:hAnsi="宋体" w:eastAsia="宋体"/>
          <w:szCs w:val="21"/>
        </w:rPr>
        <w:t>网站提供的</w:t>
      </w:r>
      <w:r>
        <w:rPr>
          <w:rFonts w:hint="eastAsia" w:ascii="宋体" w:hAnsi="宋体" w:eastAsia="宋体"/>
        </w:rPr>
        <w:t>深圳智慧采购平台投标文件制作专用软件（以下简称：投标文件制作软件）制作并</w:t>
      </w:r>
      <w:r>
        <w:rPr>
          <w:rFonts w:hint="eastAsia" w:ascii="宋体" w:hAnsi="宋体" w:eastAsia="宋体"/>
          <w:szCs w:val="21"/>
        </w:rPr>
        <w:t>加密的投标文件,适用于网上投标；（投标文件制作软件可从</w:t>
      </w:r>
      <w:r>
        <w:rPr>
          <w:rFonts w:hint="eastAsia" w:ascii="宋体" w:hAnsi="宋体" w:eastAsia="宋体"/>
        </w:rPr>
        <w:t>“下载地址：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ascii="宋体" w:hAnsi="宋体" w:eastAsia="宋体"/>
        </w:rPr>
        <w:t>”</w:t>
      </w:r>
      <w:r>
        <w:rPr>
          <w:rFonts w:hint="eastAsia" w:ascii="宋体" w:hAnsi="宋体" w:eastAsia="宋体"/>
          <w:szCs w:val="21"/>
        </w:rPr>
        <w:t>下载）；</w:t>
      </w:r>
    </w:p>
    <w:p w14:paraId="786BF453">
      <w:pPr>
        <w:ind w:firstLine="470" w:firstLineChars="196"/>
        <w:rPr>
          <w:rFonts w:ascii="宋体" w:hAnsi="宋体" w:eastAsia="宋体"/>
          <w:szCs w:val="21"/>
        </w:rPr>
      </w:pPr>
      <w:r>
        <w:rPr>
          <w:rFonts w:hint="eastAsia" w:ascii="宋体" w:hAnsi="宋体" w:eastAsia="宋体"/>
          <w:szCs w:val="21"/>
        </w:rPr>
        <w:t>3.8“网上投标”指通过</w:t>
      </w:r>
      <w:r>
        <w:rPr>
          <w:rFonts w:hint="eastAsia" w:ascii="宋体" w:hAnsi="宋体" w:eastAsia="宋体"/>
          <w:b/>
          <w:bCs/>
          <w:color w:val="FF0000"/>
          <w:szCs w:val="21"/>
        </w:rPr>
        <w:t>深圳交易集团有限公司政府采购业务分公司</w:t>
      </w:r>
      <w:r>
        <w:rPr>
          <w:rFonts w:hint="eastAsia" w:ascii="宋体" w:hAnsi="宋体" w:eastAsia="宋体"/>
          <w:szCs w:val="21"/>
        </w:rPr>
        <w:t>网站上传电子投标文件；</w:t>
      </w:r>
    </w:p>
    <w:p w14:paraId="320354AD">
      <w:pPr>
        <w:ind w:firstLine="470" w:firstLineChars="196"/>
        <w:rPr>
          <w:rFonts w:ascii="宋体" w:hAnsi="宋体" w:eastAsia="宋体"/>
          <w:szCs w:val="21"/>
        </w:rPr>
      </w:pPr>
      <w:r>
        <w:rPr>
          <w:rFonts w:hint="eastAsia" w:ascii="宋体" w:hAnsi="宋体" w:eastAsia="宋体"/>
          <w:szCs w:val="21"/>
        </w:rPr>
        <w:t>3.9招标文件中的标题或题名仅起引导作用，而不应视为对招标文件内容的理解和解释。</w:t>
      </w:r>
    </w:p>
    <w:p w14:paraId="446EAE08">
      <w:pPr>
        <w:rPr>
          <w:rFonts w:ascii="宋体" w:hAnsi="宋体" w:eastAsia="宋体"/>
        </w:rPr>
      </w:pPr>
      <w:r>
        <w:rPr>
          <w:rFonts w:hint="eastAsia" w:ascii="宋体" w:hAnsi="宋体" w:eastAsia="宋体"/>
        </w:rPr>
        <w:t xml:space="preserve">4. </w:t>
      </w:r>
      <w:bookmarkStart w:id="95" w:name="_Hlk72398643"/>
      <w:r>
        <w:rPr>
          <w:rFonts w:hint="eastAsia" w:ascii="宋体" w:hAnsi="宋体" w:eastAsia="宋体"/>
        </w:rPr>
        <w:t>政府采购供应商责任</w:t>
      </w:r>
    </w:p>
    <w:p w14:paraId="1060208F">
      <w:pPr>
        <w:ind w:firstLine="470" w:firstLineChars="196"/>
        <w:rPr>
          <w:rFonts w:ascii="宋体" w:hAnsi="宋体" w:eastAsia="宋体"/>
          <w:szCs w:val="21"/>
        </w:rPr>
      </w:pPr>
      <w:r>
        <w:rPr>
          <w:rFonts w:hint="eastAsia" w:ascii="宋体" w:hAnsi="宋体" w:eastAsia="宋体"/>
          <w:szCs w:val="21"/>
        </w:rPr>
        <w:t>4.1欢迎诚信、有实力和有社会责任心的供应商参与政府采购事业。</w:t>
      </w:r>
    </w:p>
    <w:p w14:paraId="20370B5A">
      <w:pPr>
        <w:ind w:firstLine="470" w:firstLineChars="196"/>
        <w:rPr>
          <w:rFonts w:ascii="宋体" w:hAnsi="宋体" w:eastAsia="宋体"/>
          <w:szCs w:val="21"/>
        </w:rPr>
      </w:pPr>
      <w:r>
        <w:rPr>
          <w:rFonts w:hint="eastAsia" w:ascii="宋体" w:hAnsi="宋体" w:eastAsia="宋体"/>
          <w:szCs w:val="21"/>
        </w:rPr>
        <w:t>4.2投标人应当遵循公平竞争的原则，不得恶意串通，不得妨碍其他投标人的竞争行为，不得损害采购人或者其他投标人的合法权益。如违反上述要求，经核实后，供应商的投标无效。</w:t>
      </w:r>
    </w:p>
    <w:p w14:paraId="789A4871">
      <w:pPr>
        <w:rPr>
          <w:rFonts w:ascii="宋体" w:hAnsi="宋体" w:eastAsia="宋体"/>
        </w:rPr>
      </w:pPr>
      <w:r>
        <w:rPr>
          <w:rFonts w:hint="eastAsia" w:ascii="宋体" w:hAnsi="宋体" w:eastAsia="宋体"/>
        </w:rPr>
        <w:t>5．投标人参加政府采购的条件</w:t>
      </w:r>
    </w:p>
    <w:p w14:paraId="2C75605B">
      <w:pPr>
        <w:ind w:firstLine="470" w:firstLineChars="196"/>
        <w:rPr>
          <w:rFonts w:ascii="宋体" w:hAnsi="宋体" w:eastAsia="宋体"/>
          <w:szCs w:val="21"/>
        </w:rPr>
      </w:pPr>
      <w:r>
        <w:rPr>
          <w:rFonts w:hint="eastAsia" w:ascii="宋体" w:hAnsi="宋体" w:eastAsia="宋体"/>
          <w:szCs w:val="21"/>
        </w:rPr>
        <w:t>5.1投标人应在投标前到</w:t>
      </w:r>
      <w:r>
        <w:rPr>
          <w:rFonts w:hint="eastAsia" w:ascii="宋体" w:hAnsi="宋体" w:eastAsia="宋体"/>
          <w:b/>
          <w:bCs/>
          <w:szCs w:val="21"/>
        </w:rPr>
        <w:t>深圳交易集团有限公司政府采购业务分公司</w:t>
      </w:r>
      <w:r>
        <w:rPr>
          <w:rFonts w:hint="eastAsia" w:ascii="宋体" w:hAnsi="宋体" w:eastAsia="宋体"/>
          <w:szCs w:val="21"/>
        </w:rPr>
        <w:t>进行注册并办理电子密钥。《</w:t>
      </w:r>
      <w:r>
        <w:fldChar w:fldCharType="begin"/>
      </w:r>
      <w:r>
        <w:instrText xml:space="preserve"> HYPERLINK "file:///C:\\Users\\69073\\Desktop\\模板\\供应商注册及信息变更指引" </w:instrText>
      </w:r>
      <w:r>
        <w:fldChar w:fldCharType="separate"/>
      </w:r>
      <w:r>
        <w:rPr>
          <w:rStyle w:val="23"/>
          <w:rFonts w:ascii="宋体" w:hAnsi="宋体" w:eastAsia="宋体"/>
          <w:szCs w:val="21"/>
        </w:rPr>
        <w:t>供应商注册及信息变更指引</w:t>
      </w:r>
      <w:r>
        <w:rPr>
          <w:rStyle w:val="23"/>
          <w:rFonts w:ascii="宋体" w:hAnsi="宋体" w:eastAsia="宋体"/>
          <w:szCs w:val="21"/>
        </w:rPr>
        <w:fldChar w:fldCharType="end"/>
      </w:r>
      <w:r>
        <w:rPr>
          <w:rFonts w:hint="eastAsia" w:ascii="宋体" w:hAnsi="宋体" w:eastAsia="宋体"/>
          <w:szCs w:val="21"/>
        </w:rPr>
        <w:t>》详见http://zfcg.szggzy.com:8081/。</w:t>
      </w:r>
    </w:p>
    <w:p w14:paraId="69618FC7">
      <w:pPr>
        <w:ind w:firstLine="470" w:firstLineChars="196"/>
        <w:rPr>
          <w:rFonts w:ascii="宋体" w:hAnsi="宋体" w:eastAsia="宋体"/>
          <w:szCs w:val="21"/>
        </w:rPr>
      </w:pPr>
      <w:r>
        <w:rPr>
          <w:rFonts w:hint="eastAsia" w:ascii="宋体" w:hAnsi="宋体" w:eastAsia="宋体"/>
          <w:szCs w:val="21"/>
        </w:rPr>
        <w:t>5.2投标人资格要求</w:t>
      </w:r>
    </w:p>
    <w:p w14:paraId="01C9EC1D">
      <w:pPr>
        <w:ind w:firstLine="470" w:firstLineChars="196"/>
        <w:rPr>
          <w:rFonts w:ascii="宋体" w:hAnsi="宋体" w:eastAsia="宋体"/>
          <w:szCs w:val="21"/>
        </w:rPr>
      </w:pPr>
      <w:r>
        <w:rPr>
          <w:rFonts w:hint="eastAsia" w:ascii="宋体" w:hAnsi="宋体" w:eastAsia="宋体"/>
          <w:szCs w:val="21"/>
        </w:rPr>
        <w:t>参加本项目的投标人应具备的资格条件详见本项目招标公告中 “投标人资格要求”（即申请人的资格要求）的内容。</w:t>
      </w:r>
    </w:p>
    <w:p w14:paraId="6B9F9782">
      <w:pPr>
        <w:ind w:firstLine="470" w:firstLineChars="196"/>
        <w:rPr>
          <w:rFonts w:ascii="宋体" w:hAnsi="宋体" w:eastAsia="宋体"/>
          <w:szCs w:val="21"/>
        </w:rPr>
      </w:pPr>
      <w:r>
        <w:rPr>
          <w:rFonts w:hint="eastAsia" w:ascii="宋体" w:hAnsi="宋体" w:eastAsia="宋体"/>
          <w:szCs w:val="21"/>
        </w:rPr>
        <w:t>5.3联合体投标</w:t>
      </w:r>
    </w:p>
    <w:p w14:paraId="54F3B402">
      <w:pPr>
        <w:ind w:firstLine="470" w:firstLineChars="196"/>
        <w:rPr>
          <w:rFonts w:ascii="宋体" w:hAnsi="宋体" w:eastAsia="宋体"/>
          <w:szCs w:val="21"/>
        </w:rPr>
      </w:pPr>
      <w:r>
        <w:rPr>
          <w:rFonts w:hint="eastAsia" w:ascii="宋体" w:hAnsi="宋体" w:eastAsia="宋体"/>
          <w:szCs w:val="21"/>
        </w:rPr>
        <w:t>5.3.1　以下有关联合体投标的条款仅适用于允许投标人组成联合体投标的项目。</w:t>
      </w:r>
    </w:p>
    <w:p w14:paraId="4698DBBE">
      <w:pPr>
        <w:ind w:firstLine="470" w:firstLineChars="196"/>
        <w:rPr>
          <w:rFonts w:ascii="宋体" w:hAnsi="宋体" w:eastAsia="宋体"/>
          <w:szCs w:val="21"/>
        </w:rPr>
      </w:pPr>
      <w:r>
        <w:rPr>
          <w:rFonts w:hint="eastAsia" w:ascii="宋体" w:hAnsi="宋体" w:eastAsia="宋体"/>
          <w:szCs w:val="21"/>
        </w:rPr>
        <w:t>5.3.2  由两个或两个以上的自然人、法人或者其他组织可以组成一个联合体，以一个供应商的身份共同投标时，应符合以下原则：</w:t>
      </w:r>
    </w:p>
    <w:p w14:paraId="55A4B316">
      <w:pPr>
        <w:ind w:firstLine="470" w:firstLineChars="196"/>
        <w:rPr>
          <w:rFonts w:ascii="宋体" w:hAnsi="宋体" w:eastAsia="宋体"/>
        </w:rPr>
      </w:pPr>
      <w:r>
        <w:rPr>
          <w:rFonts w:hint="eastAsia" w:ascii="宋体" w:hAnsi="宋体" w:eastAsia="宋体"/>
        </w:rPr>
        <w:t>（1）投标联合体各方参加政府采购活动应当具备下列条件：</w:t>
      </w:r>
    </w:p>
    <w:p w14:paraId="678830FE">
      <w:pPr>
        <w:ind w:left="480" w:leftChars="200" w:firstLine="470" w:firstLineChars="196"/>
        <w:rPr>
          <w:rFonts w:ascii="宋体" w:hAnsi="宋体" w:eastAsia="宋体"/>
        </w:rPr>
      </w:pPr>
      <w:r>
        <w:rPr>
          <w:rFonts w:hint="eastAsia" w:ascii="宋体" w:hAnsi="宋体" w:eastAsia="宋体"/>
        </w:rPr>
        <w:t>1、具有独立承担民事责任的能力；</w:t>
      </w:r>
    </w:p>
    <w:p w14:paraId="37211419">
      <w:pPr>
        <w:ind w:left="420" w:firstLine="470" w:firstLineChars="196"/>
        <w:rPr>
          <w:rFonts w:ascii="宋体" w:hAnsi="宋体" w:eastAsia="宋体"/>
        </w:rPr>
      </w:pPr>
      <w:r>
        <w:rPr>
          <w:rFonts w:hint="eastAsia" w:ascii="宋体" w:hAnsi="宋体" w:eastAsia="宋体"/>
        </w:rPr>
        <w:t>2、有良好的商业信誉和健全的财务会计制度；</w:t>
      </w:r>
    </w:p>
    <w:p w14:paraId="0C64B084">
      <w:pPr>
        <w:ind w:left="480" w:leftChars="200" w:firstLine="470" w:firstLineChars="196"/>
        <w:rPr>
          <w:rFonts w:ascii="宋体" w:hAnsi="宋体" w:eastAsia="宋体"/>
        </w:rPr>
      </w:pPr>
      <w:r>
        <w:rPr>
          <w:rFonts w:hint="eastAsia" w:ascii="宋体" w:hAnsi="宋体" w:eastAsia="宋体"/>
        </w:rPr>
        <w:t>3、具有履行合同所必需的设备和专业技术能力；</w:t>
      </w:r>
    </w:p>
    <w:p w14:paraId="2D84332C">
      <w:pPr>
        <w:ind w:left="480" w:leftChars="200" w:firstLine="470" w:firstLineChars="196"/>
        <w:rPr>
          <w:rFonts w:ascii="宋体" w:hAnsi="宋体" w:eastAsia="宋体"/>
        </w:rPr>
      </w:pPr>
      <w:r>
        <w:rPr>
          <w:rFonts w:hint="eastAsia" w:ascii="宋体" w:hAnsi="宋体" w:eastAsia="宋体"/>
        </w:rPr>
        <w:t>4、有依法缴纳税收和社会保障资金的良好记录；</w:t>
      </w:r>
    </w:p>
    <w:p w14:paraId="41719CA2">
      <w:pPr>
        <w:ind w:left="480" w:leftChars="200" w:firstLine="470" w:firstLineChars="196"/>
        <w:rPr>
          <w:rFonts w:ascii="宋体" w:hAnsi="宋体" w:eastAsia="宋体"/>
        </w:rPr>
      </w:pPr>
      <w:r>
        <w:rPr>
          <w:rFonts w:hint="eastAsia" w:ascii="宋体" w:hAnsi="宋体" w:eastAsia="宋体"/>
        </w:rPr>
        <w:t>5、参加政府采购活动前三年内，在经营活动中没有重大违法记录；</w:t>
      </w:r>
    </w:p>
    <w:p w14:paraId="42EA4BC0">
      <w:pPr>
        <w:ind w:left="480" w:leftChars="200" w:firstLine="470" w:firstLineChars="196"/>
        <w:rPr>
          <w:rFonts w:ascii="宋体" w:hAnsi="宋体" w:eastAsia="宋体"/>
        </w:rPr>
      </w:pPr>
      <w:r>
        <w:rPr>
          <w:rFonts w:hint="eastAsia" w:ascii="宋体" w:hAnsi="宋体" w:eastAsia="宋体"/>
        </w:rPr>
        <w:t>6、法律、行政法规规定的其他条件。</w:t>
      </w:r>
    </w:p>
    <w:p w14:paraId="16D7D327">
      <w:pPr>
        <w:ind w:firstLine="470" w:firstLineChars="196"/>
        <w:rPr>
          <w:rFonts w:ascii="宋体" w:hAnsi="宋体" w:eastAsia="宋体"/>
        </w:rPr>
      </w:pPr>
      <w:r>
        <w:rPr>
          <w:rFonts w:hint="eastAsia" w:ascii="宋体" w:hAnsi="宋体" w:eastAsia="宋体"/>
        </w:rPr>
        <w:t>（2）在投标截止前，投标联合体各方均应注册成政府采购供应商；</w:t>
      </w:r>
    </w:p>
    <w:p w14:paraId="4D0A4235">
      <w:pPr>
        <w:ind w:firstLine="470" w:firstLineChars="196"/>
        <w:rPr>
          <w:rFonts w:ascii="宋体" w:hAnsi="宋体" w:eastAsia="宋体"/>
        </w:rPr>
      </w:pPr>
      <w:r>
        <w:rPr>
          <w:rFonts w:hint="eastAsia" w:ascii="宋体" w:hAnsi="宋体" w:eastAsia="宋体"/>
        </w:rPr>
        <w:t>（3）联合体中有同类资质的供应商按照联合体分工承担相同工作的，应当按照资质等级较低的供应商确定资质等级；</w:t>
      </w:r>
    </w:p>
    <w:p w14:paraId="419C1C76">
      <w:pPr>
        <w:ind w:firstLine="470" w:firstLineChars="196"/>
        <w:rPr>
          <w:rFonts w:ascii="宋体" w:hAnsi="宋体" w:eastAsia="宋体"/>
        </w:rPr>
      </w:pPr>
      <w:r>
        <w:rPr>
          <w:rFonts w:hint="eastAsia" w:ascii="宋体" w:hAnsi="宋体" w:eastAsia="宋体"/>
        </w:rPr>
        <w:t>（4）是否允许联合体参加投标，应当由采购人和采购代理机构根据项目的实际情况和潜在供应商的数量自主决定，如果决定接受联合体投标则应当在招标公告中明示；</w:t>
      </w:r>
    </w:p>
    <w:p w14:paraId="4EBC9ABF">
      <w:pPr>
        <w:ind w:firstLine="470" w:firstLineChars="196"/>
        <w:rPr>
          <w:rFonts w:ascii="宋体" w:hAnsi="宋体" w:eastAsia="宋体"/>
        </w:rPr>
      </w:pPr>
      <w:r>
        <w:rPr>
          <w:rFonts w:hint="eastAsia" w:ascii="宋体" w:hAnsi="宋体" w:eastAsia="宋体"/>
        </w:rPr>
        <w:t>（5）投标人的投标文件及中标后签署的合同协议对联合体各方均具法律约束力；</w:t>
      </w:r>
    </w:p>
    <w:p w14:paraId="3D3A2207">
      <w:pPr>
        <w:ind w:firstLine="470" w:firstLineChars="196"/>
        <w:rPr>
          <w:rFonts w:ascii="宋体" w:hAnsi="宋体" w:eastAsia="宋体"/>
        </w:rPr>
      </w:pPr>
      <w:r>
        <w:rPr>
          <w:rFonts w:hint="eastAsia" w:ascii="宋体" w:hAnsi="宋体" w:eastAsia="宋体"/>
        </w:rPr>
        <w:t>（6）联合体各方应当签订联合体投标协议，明确约定各方拟承担的工作和责任，并将该协议随投标文件一并递交给招标机构；</w:t>
      </w:r>
    </w:p>
    <w:p w14:paraId="551FE3CD">
      <w:pPr>
        <w:ind w:firstLine="470" w:firstLineChars="196"/>
        <w:rPr>
          <w:rFonts w:ascii="宋体" w:hAnsi="宋体" w:eastAsia="宋体"/>
        </w:rPr>
      </w:pPr>
      <w:r>
        <w:rPr>
          <w:rFonts w:hint="eastAsia" w:ascii="宋体" w:hAnsi="宋体" w:eastAsia="宋体"/>
        </w:rPr>
        <w:t>（7）联合体中标后，联合体各方应当共同与采购人签订合同，就中标项目向采购人承担连带责任；</w:t>
      </w:r>
    </w:p>
    <w:p w14:paraId="3FAEC32A">
      <w:pPr>
        <w:ind w:firstLine="470" w:firstLineChars="196"/>
        <w:rPr>
          <w:rFonts w:ascii="宋体" w:hAnsi="宋体" w:eastAsia="宋体"/>
        </w:rPr>
      </w:pPr>
      <w:r>
        <w:rPr>
          <w:rFonts w:hint="eastAsia" w:ascii="宋体" w:hAnsi="宋体" w:eastAsia="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12C1D05E">
      <w:pPr>
        <w:ind w:firstLine="470" w:firstLineChars="196"/>
        <w:rPr>
          <w:rFonts w:ascii="宋体" w:hAnsi="宋体" w:eastAsia="宋体"/>
          <w:szCs w:val="21"/>
        </w:rPr>
      </w:pPr>
      <w:r>
        <w:rPr>
          <w:rFonts w:hint="eastAsia" w:ascii="宋体" w:hAnsi="宋体" w:eastAsia="宋体"/>
        </w:rPr>
        <w:t>（9）本通用条款中“投标人”一词亦指联合体各方，专用条款另有规定或说明的除外。</w:t>
      </w:r>
    </w:p>
    <w:p w14:paraId="73EF7498">
      <w:pPr>
        <w:rPr>
          <w:rFonts w:ascii="宋体" w:hAnsi="宋体" w:eastAsia="宋体"/>
        </w:rPr>
      </w:pPr>
      <w:r>
        <w:rPr>
          <w:rFonts w:hint="eastAsia" w:ascii="宋体" w:hAnsi="宋体" w:eastAsia="宋体"/>
        </w:rPr>
        <w:t>6．政策导向</w:t>
      </w:r>
    </w:p>
    <w:p w14:paraId="285DCAB2">
      <w:pPr>
        <w:ind w:firstLine="470" w:firstLineChars="196"/>
        <w:rPr>
          <w:rFonts w:ascii="宋体" w:hAnsi="宋体" w:eastAsia="宋体"/>
        </w:rPr>
      </w:pPr>
      <w:r>
        <w:rPr>
          <w:rFonts w:hint="eastAsia" w:ascii="宋体" w:hAnsi="宋体" w:eastAsia="宋体"/>
        </w:rPr>
        <w:t>6.1政府采购扶持贫困地区、中小企业、监狱企业和残疾人福利性单位发展，支持节能减排、环境保护。</w:t>
      </w:r>
    </w:p>
    <w:p w14:paraId="36856328">
      <w:pPr>
        <w:ind w:firstLine="405"/>
        <w:rPr>
          <w:rFonts w:ascii="宋体" w:hAnsi="宋体" w:eastAsia="宋体"/>
          <w:shd w:val="clear" w:color="auto" w:fill="FFFFFF"/>
        </w:rPr>
      </w:pPr>
      <w:r>
        <w:rPr>
          <w:rFonts w:hint="eastAsia" w:ascii="宋体" w:hAnsi="宋体" w:eastAsia="宋体"/>
        </w:rPr>
        <w:t>6.2本项目落实深圳市政府采购供应商诚信管理政策要求。</w:t>
      </w:r>
    </w:p>
    <w:p w14:paraId="3625882E">
      <w:pPr>
        <w:rPr>
          <w:rFonts w:ascii="宋体" w:hAnsi="宋体" w:eastAsia="宋体"/>
        </w:rPr>
      </w:pPr>
      <w:r>
        <w:rPr>
          <w:rFonts w:hint="eastAsia" w:ascii="宋体" w:hAnsi="宋体" w:eastAsia="宋体"/>
        </w:rPr>
        <w:t>7. 本项目若涉及采购货物，则合格的货物及相应服务应满足以下要求：</w:t>
      </w:r>
    </w:p>
    <w:p w14:paraId="54A0892E">
      <w:pPr>
        <w:ind w:firstLine="470" w:firstLineChars="196"/>
        <w:rPr>
          <w:rFonts w:ascii="宋体" w:hAnsi="宋体" w:eastAsia="宋体"/>
        </w:rPr>
      </w:pPr>
      <w:r>
        <w:rPr>
          <w:rFonts w:hint="eastAsia" w:ascii="宋体" w:hAnsi="宋体" w:eastAsia="宋体"/>
        </w:rPr>
        <w:t>7</w:t>
      </w:r>
      <w:r>
        <w:rPr>
          <w:rFonts w:ascii="宋体" w:hAnsi="宋体" w:eastAsia="宋体"/>
        </w:rPr>
        <w:t xml:space="preserve">.1  </w:t>
      </w:r>
      <w:r>
        <w:rPr>
          <w:rFonts w:hint="eastAsia" w:ascii="宋体" w:hAnsi="宋体" w:eastAsia="宋体"/>
        </w:rPr>
        <w:t>必须是全新、未使用过的原装合格正品（包括零部件），如安装或配置了软件的，须为正版软件。</w:t>
      </w:r>
    </w:p>
    <w:p w14:paraId="05377268">
      <w:pPr>
        <w:ind w:firstLine="470" w:firstLineChars="196"/>
        <w:rPr>
          <w:rFonts w:ascii="宋体" w:hAnsi="宋体" w:eastAsia="宋体"/>
        </w:rPr>
      </w:pPr>
      <w:r>
        <w:rPr>
          <w:rFonts w:hint="eastAsia" w:ascii="宋体" w:hAnsi="宋体" w:eastAsia="宋体"/>
        </w:rPr>
        <w:t>7.2  国产的货物及其有关服务必须符合中华人民共和国的设计、制造生产标准及行业标准。招标公告有其他要求的，亦应符合其要求。</w:t>
      </w:r>
    </w:p>
    <w:p w14:paraId="5E91DAB1">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6994C8A2">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4投标人</w:t>
      </w:r>
      <w:bookmarkStart w:id="96" w:name="_Hlk72152753"/>
      <w:r>
        <w:rPr>
          <w:rFonts w:hint="eastAsia" w:ascii="宋体" w:hAnsi="宋体" w:eastAsia="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6"/>
    </w:p>
    <w:p w14:paraId="6888093C">
      <w:pPr>
        <w:ind w:firstLine="470" w:firstLineChars="196"/>
        <w:rPr>
          <w:rFonts w:ascii="宋体" w:hAnsi="宋体" w:eastAsia="宋体"/>
        </w:rPr>
      </w:pPr>
      <w:r>
        <w:rPr>
          <w:rFonts w:hint="eastAsia" w:ascii="宋体" w:hAnsi="宋体" w:eastAsia="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89BF869">
      <w:pPr>
        <w:ind w:firstLine="470" w:firstLineChars="196"/>
        <w:rPr>
          <w:rFonts w:ascii="宋体" w:hAnsi="宋体" w:eastAsia="宋体"/>
        </w:rPr>
      </w:pPr>
      <w:r>
        <w:rPr>
          <w:rFonts w:hint="eastAsia" w:ascii="宋体" w:hAnsi="宋体" w:eastAsia="宋体"/>
        </w:rPr>
        <w:t>7.6  工期要求：投标人在投标时对其所投项目应提交交货进度、交货计划等，在合同规定的时间内完成项目实施工作。</w:t>
      </w:r>
    </w:p>
    <w:p w14:paraId="23E5673E">
      <w:pPr>
        <w:ind w:firstLine="470" w:firstLineChars="196"/>
        <w:rPr>
          <w:rFonts w:ascii="宋体" w:hAnsi="宋体" w:eastAsia="宋体"/>
        </w:rPr>
      </w:pPr>
      <w:r>
        <w:rPr>
          <w:rFonts w:hint="eastAsia" w:ascii="宋体" w:hAnsi="宋体" w:eastAsia="宋体"/>
        </w:rPr>
        <w:t>7.7  投标人必须承担的设备运输、安装调试、验收检测和提供设备操作说明书、图纸等其他相关及类似的义务。</w:t>
      </w:r>
    </w:p>
    <w:p w14:paraId="7BEC3D1B">
      <w:pPr>
        <w:rPr>
          <w:rFonts w:ascii="宋体" w:hAnsi="宋体" w:eastAsia="宋体"/>
        </w:rPr>
      </w:pPr>
      <w:r>
        <w:rPr>
          <w:rFonts w:hint="eastAsia" w:ascii="宋体" w:hAnsi="宋体" w:eastAsia="宋体"/>
        </w:rPr>
        <w:t>8．投标费用</w:t>
      </w:r>
    </w:p>
    <w:p w14:paraId="32AF1992">
      <w:pPr>
        <w:ind w:firstLine="470" w:firstLineChars="196"/>
        <w:rPr>
          <w:rFonts w:ascii="宋体" w:hAnsi="宋体" w:eastAsia="宋体"/>
          <w:szCs w:val="21"/>
        </w:rPr>
      </w:pPr>
      <w:r>
        <w:rPr>
          <w:rFonts w:hint="eastAsia" w:ascii="宋体" w:hAnsi="宋体" w:eastAsia="宋体"/>
          <w:szCs w:val="21"/>
        </w:rPr>
        <w:t>不论投标结果如何，投标人应承担其编制投标文件与递交投标文件所涉及的一切费用。</w:t>
      </w:r>
    </w:p>
    <w:p w14:paraId="125FDBE9">
      <w:pPr>
        <w:rPr>
          <w:rFonts w:ascii="宋体" w:hAnsi="宋体" w:eastAsia="宋体"/>
        </w:rPr>
      </w:pPr>
      <w:r>
        <w:rPr>
          <w:rFonts w:hint="eastAsia" w:ascii="宋体" w:hAnsi="宋体" w:eastAsia="宋体"/>
        </w:rPr>
        <w:t>9．踏勘现场</w:t>
      </w:r>
    </w:p>
    <w:p w14:paraId="1CE51D4B">
      <w:pPr>
        <w:ind w:firstLine="470" w:firstLineChars="196"/>
        <w:rPr>
          <w:rFonts w:ascii="宋体" w:hAnsi="宋体" w:eastAsia="宋体"/>
          <w:szCs w:val="21"/>
        </w:rPr>
      </w:pPr>
      <w:r>
        <w:rPr>
          <w:rFonts w:hint="eastAsia" w:ascii="宋体" w:hAnsi="宋体" w:eastAsia="宋体"/>
          <w:szCs w:val="21"/>
        </w:rPr>
        <w:t>9.1如有需要（详见专用条款），采购人或招标机构将组织投标人对项目现场及周围环境进行踏勘，以便投标人获取有关编制投标文件和签署合同所需的资料。踏勘现场所发生的费用由投标人自行承担。投标人应按招标文件所约定的时间、地点踏勘现场。</w:t>
      </w:r>
    </w:p>
    <w:p w14:paraId="7A4B5E33">
      <w:pPr>
        <w:ind w:firstLine="470" w:firstLineChars="196"/>
        <w:rPr>
          <w:rFonts w:ascii="宋体" w:hAnsi="宋体" w:eastAsia="宋体"/>
        </w:rPr>
      </w:pPr>
      <w:r>
        <w:rPr>
          <w:rFonts w:hint="eastAsia" w:ascii="宋体" w:hAnsi="宋体" w:eastAsia="宋体"/>
        </w:rPr>
        <w:t>9.2投标人及其人员经过采购人的允许，可以进入采购人的项目现场踏勘。若招标文件要求投标人于统一时间地点踏勘现场的，投标人应当按时前往。</w:t>
      </w:r>
    </w:p>
    <w:p w14:paraId="253E6244">
      <w:pPr>
        <w:ind w:firstLine="470" w:firstLineChars="196"/>
        <w:rPr>
          <w:rFonts w:ascii="宋体" w:hAnsi="宋体" w:eastAsia="宋体"/>
        </w:rPr>
      </w:pPr>
      <w:r>
        <w:rPr>
          <w:rFonts w:hint="eastAsia" w:ascii="宋体" w:hAnsi="宋体" w:eastAsia="宋体"/>
        </w:rPr>
        <w:t>9.3采购人应当通过招标机构向投标人提供有关现场的书面资料和数据。</w:t>
      </w:r>
    </w:p>
    <w:p w14:paraId="6F418562">
      <w:pPr>
        <w:ind w:firstLine="470" w:firstLineChars="196"/>
        <w:rPr>
          <w:rFonts w:ascii="宋体" w:hAnsi="宋体" w:eastAsia="宋体"/>
        </w:rPr>
      </w:pPr>
      <w:r>
        <w:rPr>
          <w:rFonts w:hint="eastAsia" w:ascii="宋体" w:hAnsi="宋体" w:eastAsia="宋体"/>
        </w:rPr>
        <w:t>9.4任何人或任何组织在踏勘现场时向投标人提供的任何书面资料或口头承诺，未经招标机构在网上发布或书面通知，均作无效处理。</w:t>
      </w:r>
    </w:p>
    <w:p w14:paraId="12A8E50F">
      <w:pPr>
        <w:ind w:firstLine="470" w:firstLineChars="196"/>
        <w:rPr>
          <w:rFonts w:ascii="宋体" w:hAnsi="宋体" w:eastAsia="宋体"/>
        </w:rPr>
      </w:pPr>
      <w:r>
        <w:rPr>
          <w:rFonts w:ascii="宋体" w:hAnsi="宋体" w:eastAsia="宋体"/>
          <w:szCs w:val="21"/>
        </w:rPr>
        <w:t>9</w:t>
      </w:r>
      <w:r>
        <w:rPr>
          <w:rFonts w:hint="eastAsia" w:ascii="宋体" w:hAnsi="宋体" w:eastAsia="宋体"/>
          <w:szCs w:val="21"/>
        </w:rPr>
        <w:t>.</w:t>
      </w:r>
      <w:r>
        <w:rPr>
          <w:rFonts w:ascii="宋体" w:hAnsi="宋体" w:eastAsia="宋体"/>
          <w:szCs w:val="21"/>
        </w:rPr>
        <w:t>5</w:t>
      </w:r>
      <w:r>
        <w:rPr>
          <w:rFonts w:hint="eastAsia" w:ascii="宋体" w:hAnsi="宋体" w:eastAsia="宋体"/>
          <w:szCs w:val="21"/>
        </w:rPr>
        <w:t>未参与踏勘现场不作为否定投标人资格的理由。</w:t>
      </w:r>
    </w:p>
    <w:p w14:paraId="1444A1AC">
      <w:pPr>
        <w:rPr>
          <w:rFonts w:ascii="宋体" w:hAnsi="宋体" w:eastAsia="宋体"/>
          <w:szCs w:val="21"/>
        </w:rPr>
      </w:pPr>
      <w:r>
        <w:rPr>
          <w:rFonts w:hint="eastAsia" w:ascii="宋体" w:hAnsi="宋体" w:eastAsia="宋体"/>
        </w:rPr>
        <w:t>1</w:t>
      </w:r>
      <w:r>
        <w:rPr>
          <w:rFonts w:ascii="宋体" w:hAnsi="宋体" w:eastAsia="宋体"/>
        </w:rPr>
        <w:t>0</w:t>
      </w:r>
      <w:r>
        <w:rPr>
          <w:rFonts w:hint="eastAsia" w:ascii="宋体" w:hAnsi="宋体" w:eastAsia="宋体"/>
        </w:rPr>
        <w:t>．标前会议</w:t>
      </w:r>
    </w:p>
    <w:p w14:paraId="02EB6A2D">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1</w:t>
      </w:r>
      <w:r>
        <w:rPr>
          <w:rFonts w:hint="eastAsia" w:ascii="宋体" w:hAnsi="宋体" w:eastAsia="宋体"/>
          <w:szCs w:val="21"/>
        </w:rPr>
        <w:t>如采购人或招标机构认为有必要组织标前会议，投标人应按照招标文件规定的时间或招标机构另行书面通知（包括招标机构网站发布方式，如更正公告等）的时间和地点，参与标前会议。</w:t>
      </w:r>
    </w:p>
    <w:p w14:paraId="31597674">
      <w:pPr>
        <w:ind w:firstLine="470" w:firstLineChars="196"/>
        <w:rPr>
          <w:rFonts w:ascii="宋体" w:hAnsi="宋体" w:eastAsia="宋体"/>
          <w:szCs w:val="21"/>
        </w:rPr>
      </w:pPr>
      <w:r>
        <w:rPr>
          <w:rFonts w:ascii="宋体" w:hAnsi="宋体" w:eastAsia="宋体"/>
        </w:rPr>
        <w:t>10</w:t>
      </w:r>
      <w:r>
        <w:rPr>
          <w:rFonts w:hint="eastAsia" w:ascii="宋体" w:hAnsi="宋体" w:eastAsia="宋体"/>
        </w:rPr>
        <w:t>.</w:t>
      </w:r>
      <w:r>
        <w:rPr>
          <w:rFonts w:ascii="宋体" w:hAnsi="宋体" w:eastAsia="宋体"/>
        </w:rPr>
        <w:t>2</w:t>
      </w:r>
      <w:r>
        <w:rPr>
          <w:rFonts w:hint="eastAsia" w:ascii="宋体" w:hAnsi="宋体" w:eastAsia="宋体"/>
        </w:rPr>
        <w:t>任何人或任何组织在标前会议时向投标人提供的任何书面资料或口头承诺，未经招标机构在网上发布或书面通知，均作无效处理。</w:t>
      </w:r>
    </w:p>
    <w:p w14:paraId="41818511">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3</w:t>
      </w:r>
      <w:r>
        <w:rPr>
          <w:rFonts w:hint="eastAsia" w:ascii="宋体" w:hAnsi="宋体" w:eastAsia="宋体"/>
          <w:szCs w:val="21"/>
        </w:rPr>
        <w:t>未参与标前会议不作为否定投标人资格的理由。</w:t>
      </w:r>
    </w:p>
    <w:bookmarkEnd w:id="95"/>
    <w:p w14:paraId="52756C89">
      <w:pPr>
        <w:pStyle w:val="5"/>
        <w:numPr>
          <w:ilvl w:val="0"/>
          <w:numId w:val="13"/>
        </w:numPr>
        <w:spacing w:before="120" w:beforeLines="50" w:after="120" w:afterLines="50"/>
        <w:ind w:left="562" w:hanging="562"/>
        <w:rPr>
          <w:sz w:val="28"/>
          <w:szCs w:val="28"/>
        </w:rPr>
      </w:pPr>
      <w:r>
        <w:rPr>
          <w:rFonts w:hint="eastAsia"/>
          <w:sz w:val="28"/>
          <w:szCs w:val="28"/>
        </w:rPr>
        <w:t>招标文件</w:t>
      </w:r>
    </w:p>
    <w:p w14:paraId="02607D12">
      <w:pPr>
        <w:rPr>
          <w:rFonts w:ascii="宋体" w:hAnsi="宋体" w:eastAsia="宋体"/>
        </w:rPr>
      </w:pPr>
      <w:r>
        <w:rPr>
          <w:rFonts w:hint="eastAsia" w:ascii="宋体" w:hAnsi="宋体" w:eastAsia="宋体"/>
        </w:rPr>
        <w:t>1</w:t>
      </w:r>
      <w:r>
        <w:rPr>
          <w:rFonts w:ascii="宋体" w:hAnsi="宋体" w:eastAsia="宋体"/>
        </w:rPr>
        <w:t>1</w:t>
      </w:r>
      <w:r>
        <w:rPr>
          <w:rFonts w:hint="eastAsia" w:ascii="宋体" w:hAnsi="宋体" w:eastAsia="宋体"/>
        </w:rPr>
        <w:t>．</w:t>
      </w:r>
      <w:bookmarkStart w:id="97" w:name="_Hlk72399819"/>
      <w:r>
        <w:rPr>
          <w:rFonts w:hint="eastAsia" w:ascii="宋体" w:hAnsi="宋体" w:eastAsia="宋体"/>
        </w:rPr>
        <w:t>招标文件的编制与组成</w:t>
      </w:r>
    </w:p>
    <w:p w14:paraId="79DBB374">
      <w:pPr>
        <w:snapToGrid w:val="0"/>
        <w:ind w:firstLine="480" w:firstLineChars="200"/>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.1招标文件除以下内容外，招标机构在招标期间发出的澄清或修改等相关公告或通知内容，均是招标文件的组成部分，对投标人起约束作用；</w:t>
      </w:r>
    </w:p>
    <w:p w14:paraId="0E249B3B">
      <w:pPr>
        <w:ind w:firstLine="470" w:firstLineChars="196"/>
        <w:rPr>
          <w:rFonts w:ascii="宋体" w:hAnsi="宋体" w:eastAsia="宋体"/>
          <w:szCs w:val="21"/>
        </w:rPr>
      </w:pPr>
      <w:r>
        <w:rPr>
          <w:rFonts w:hint="eastAsia" w:ascii="宋体" w:hAnsi="宋体" w:eastAsia="宋体"/>
          <w:szCs w:val="21"/>
        </w:rPr>
        <w:t>招标文件包括下列内容：</w:t>
      </w:r>
    </w:p>
    <w:p w14:paraId="07CCBDAF">
      <w:pPr>
        <w:ind w:left="480" w:leftChars="200" w:firstLine="472" w:firstLineChars="196"/>
        <w:rPr>
          <w:rFonts w:ascii="宋体" w:hAnsi="宋体" w:eastAsia="宋体"/>
          <w:b/>
          <w:szCs w:val="21"/>
        </w:rPr>
      </w:pPr>
      <w:r>
        <w:rPr>
          <w:rFonts w:hint="eastAsia" w:ascii="宋体" w:hAnsi="宋体" w:eastAsia="宋体"/>
          <w:b/>
          <w:szCs w:val="21"/>
        </w:rPr>
        <w:t>第一册  专用条款</w:t>
      </w:r>
    </w:p>
    <w:p w14:paraId="77E9C9B9">
      <w:pPr>
        <w:ind w:left="1234" w:leftChars="514"/>
        <w:rPr>
          <w:rFonts w:ascii="宋体" w:hAnsi="宋体" w:eastAsia="宋体"/>
          <w:b/>
          <w:szCs w:val="21"/>
        </w:rPr>
      </w:pPr>
      <w:r>
        <w:rPr>
          <w:rFonts w:hint="eastAsia" w:ascii="宋体" w:hAnsi="宋体" w:eastAsia="宋体"/>
          <w:b/>
          <w:szCs w:val="21"/>
        </w:rPr>
        <w:t>关键信息</w:t>
      </w:r>
    </w:p>
    <w:p w14:paraId="2E384311">
      <w:pPr>
        <w:ind w:left="720" w:leftChars="300" w:firstLine="470" w:firstLineChars="196"/>
        <w:rPr>
          <w:rFonts w:ascii="宋体" w:hAnsi="宋体" w:eastAsia="宋体"/>
          <w:szCs w:val="21"/>
        </w:rPr>
      </w:pPr>
      <w:r>
        <w:rPr>
          <w:rFonts w:hint="eastAsia" w:ascii="宋体" w:hAnsi="宋体" w:eastAsia="宋体"/>
          <w:szCs w:val="21"/>
        </w:rPr>
        <w:t>第一章  招标公告</w:t>
      </w:r>
    </w:p>
    <w:p w14:paraId="64E3A77B">
      <w:pPr>
        <w:ind w:left="720" w:leftChars="300" w:firstLine="470" w:firstLineChars="196"/>
        <w:rPr>
          <w:rFonts w:ascii="宋体" w:hAnsi="宋体" w:eastAsia="宋体"/>
          <w:szCs w:val="21"/>
        </w:rPr>
      </w:pPr>
      <w:r>
        <w:rPr>
          <w:rFonts w:hint="eastAsia" w:ascii="宋体" w:hAnsi="宋体" w:eastAsia="宋体"/>
          <w:szCs w:val="21"/>
        </w:rPr>
        <w:t>第二章  对通用条款的补充内容及其他关键信息</w:t>
      </w:r>
    </w:p>
    <w:p w14:paraId="533412FE">
      <w:pPr>
        <w:ind w:left="720" w:leftChars="300" w:firstLine="470" w:firstLineChars="196"/>
        <w:rPr>
          <w:rFonts w:ascii="宋体" w:hAnsi="宋体" w:eastAsia="宋体"/>
          <w:szCs w:val="21"/>
        </w:rPr>
      </w:pPr>
      <w:r>
        <w:rPr>
          <w:rFonts w:hint="eastAsia" w:ascii="宋体" w:hAnsi="宋体" w:eastAsia="宋体"/>
          <w:szCs w:val="21"/>
        </w:rPr>
        <w:t>第三章  用户需求书</w:t>
      </w:r>
    </w:p>
    <w:p w14:paraId="29227143">
      <w:pPr>
        <w:ind w:left="720" w:leftChars="300" w:firstLine="470" w:firstLineChars="196"/>
        <w:rPr>
          <w:rFonts w:ascii="宋体" w:hAnsi="宋体" w:eastAsia="宋体"/>
          <w:szCs w:val="21"/>
        </w:rPr>
      </w:pPr>
      <w:r>
        <w:rPr>
          <w:rFonts w:hint="eastAsia" w:ascii="宋体" w:hAnsi="宋体" w:eastAsia="宋体"/>
        </w:rPr>
        <w:t>第四章    投标文件格式及附件</w:t>
      </w:r>
    </w:p>
    <w:p w14:paraId="6AA87446">
      <w:pPr>
        <w:ind w:left="720" w:leftChars="300" w:firstLine="470" w:firstLineChars="196"/>
        <w:rPr>
          <w:rFonts w:ascii="宋体" w:hAnsi="宋体" w:eastAsia="宋体"/>
          <w:color w:val="4F81BD" w:themeColor="accent1"/>
          <w:szCs w:val="21"/>
          <w14:textFill>
            <w14:solidFill>
              <w14:schemeClr w14:val="accent1"/>
            </w14:solidFill>
          </w14:textFill>
        </w:rPr>
      </w:pPr>
      <w:r>
        <w:rPr>
          <w:rFonts w:hint="eastAsia" w:ascii="宋体" w:hAnsi="宋体" w:eastAsia="宋体"/>
          <w:szCs w:val="21"/>
        </w:rPr>
        <w:t>第</w:t>
      </w:r>
      <w:r>
        <w:rPr>
          <w:rFonts w:hint="eastAsia" w:ascii="宋体" w:hAnsi="宋体" w:eastAsia="宋体"/>
        </w:rPr>
        <w:t>五章   合同条款及格式</w:t>
      </w:r>
    </w:p>
    <w:p w14:paraId="6C322B2E">
      <w:pPr>
        <w:ind w:left="480" w:leftChars="200" w:firstLine="472" w:firstLineChars="196"/>
        <w:rPr>
          <w:rFonts w:ascii="宋体" w:hAnsi="宋体" w:eastAsia="宋体"/>
          <w:b/>
          <w:szCs w:val="21"/>
        </w:rPr>
      </w:pPr>
      <w:r>
        <w:rPr>
          <w:rFonts w:hint="eastAsia" w:ascii="宋体" w:hAnsi="宋体" w:eastAsia="宋体"/>
          <w:b/>
          <w:szCs w:val="21"/>
        </w:rPr>
        <w:t>第二册  通用条款</w:t>
      </w:r>
    </w:p>
    <w:p w14:paraId="1E16DA91">
      <w:pPr>
        <w:ind w:left="720" w:leftChars="300" w:firstLine="470" w:firstLineChars="196"/>
        <w:rPr>
          <w:rFonts w:ascii="宋体" w:hAnsi="宋体" w:eastAsia="宋体"/>
          <w:szCs w:val="21"/>
        </w:rPr>
      </w:pPr>
      <w:r>
        <w:rPr>
          <w:rFonts w:hint="eastAsia" w:ascii="宋体" w:hAnsi="宋体" w:eastAsia="宋体"/>
          <w:szCs w:val="21"/>
        </w:rPr>
        <w:t>第一章  总则</w:t>
      </w:r>
    </w:p>
    <w:p w14:paraId="1F70D2B7">
      <w:pPr>
        <w:ind w:left="720" w:leftChars="300" w:firstLine="470" w:firstLineChars="196"/>
        <w:rPr>
          <w:rFonts w:ascii="宋体" w:hAnsi="宋体" w:eastAsia="宋体"/>
          <w:szCs w:val="21"/>
        </w:rPr>
      </w:pPr>
      <w:r>
        <w:rPr>
          <w:rFonts w:hint="eastAsia" w:ascii="宋体" w:hAnsi="宋体" w:eastAsia="宋体"/>
          <w:szCs w:val="21"/>
        </w:rPr>
        <w:t>第二章  招标文件</w:t>
      </w:r>
    </w:p>
    <w:p w14:paraId="7BF89B16">
      <w:pPr>
        <w:ind w:left="720" w:leftChars="300" w:firstLine="470" w:firstLineChars="196"/>
        <w:rPr>
          <w:rFonts w:ascii="宋体" w:hAnsi="宋体" w:eastAsia="宋体"/>
          <w:szCs w:val="21"/>
        </w:rPr>
      </w:pPr>
      <w:r>
        <w:rPr>
          <w:rFonts w:hint="eastAsia" w:ascii="宋体" w:hAnsi="宋体" w:eastAsia="宋体"/>
          <w:szCs w:val="21"/>
        </w:rPr>
        <w:t>第三章  投标文件的编制</w:t>
      </w:r>
    </w:p>
    <w:p w14:paraId="261B4457">
      <w:pPr>
        <w:ind w:left="720" w:leftChars="300" w:firstLine="470" w:firstLineChars="196"/>
        <w:rPr>
          <w:rFonts w:ascii="宋体" w:hAnsi="宋体" w:eastAsia="宋体"/>
          <w:szCs w:val="21"/>
        </w:rPr>
      </w:pPr>
      <w:r>
        <w:rPr>
          <w:rFonts w:hint="eastAsia" w:ascii="宋体" w:hAnsi="宋体" w:eastAsia="宋体"/>
          <w:szCs w:val="21"/>
        </w:rPr>
        <w:t>第四章  投标文件的递交</w:t>
      </w:r>
    </w:p>
    <w:p w14:paraId="6C7BB5C8">
      <w:pPr>
        <w:ind w:left="720" w:leftChars="300" w:firstLine="470" w:firstLineChars="196"/>
        <w:rPr>
          <w:rFonts w:ascii="宋体" w:hAnsi="宋体" w:eastAsia="宋体"/>
          <w:szCs w:val="21"/>
        </w:rPr>
      </w:pPr>
      <w:r>
        <w:rPr>
          <w:rFonts w:hint="eastAsia" w:ascii="宋体" w:hAnsi="宋体" w:eastAsia="宋体"/>
          <w:szCs w:val="21"/>
        </w:rPr>
        <w:t>第五章  开标</w:t>
      </w:r>
    </w:p>
    <w:p w14:paraId="0BDDC42B">
      <w:pPr>
        <w:ind w:left="720" w:leftChars="300" w:firstLine="470" w:firstLineChars="196"/>
        <w:rPr>
          <w:rFonts w:ascii="宋体" w:hAnsi="宋体" w:eastAsia="宋体"/>
          <w:szCs w:val="21"/>
        </w:rPr>
      </w:pPr>
      <w:r>
        <w:rPr>
          <w:rFonts w:hint="eastAsia" w:ascii="宋体" w:hAnsi="宋体" w:eastAsia="宋体"/>
          <w:szCs w:val="21"/>
        </w:rPr>
        <w:t>第六章  评审要求</w:t>
      </w:r>
    </w:p>
    <w:p w14:paraId="70C2C0D2">
      <w:pPr>
        <w:ind w:left="720" w:leftChars="300" w:firstLine="470" w:firstLineChars="196"/>
        <w:rPr>
          <w:rFonts w:ascii="宋体" w:hAnsi="宋体" w:eastAsia="宋体"/>
          <w:szCs w:val="21"/>
        </w:rPr>
      </w:pPr>
      <w:r>
        <w:rPr>
          <w:rFonts w:hint="eastAsia" w:ascii="宋体" w:hAnsi="宋体" w:eastAsia="宋体"/>
          <w:szCs w:val="21"/>
        </w:rPr>
        <w:t>第七章  评审程序及评审方法</w:t>
      </w:r>
    </w:p>
    <w:p w14:paraId="5934C755">
      <w:pPr>
        <w:ind w:left="720" w:leftChars="300" w:firstLine="470" w:firstLineChars="196"/>
        <w:rPr>
          <w:rFonts w:ascii="宋体" w:hAnsi="宋体" w:eastAsia="宋体"/>
          <w:szCs w:val="21"/>
        </w:rPr>
      </w:pPr>
      <w:r>
        <w:rPr>
          <w:rFonts w:hint="eastAsia" w:ascii="宋体" w:hAnsi="宋体" w:eastAsia="宋体"/>
          <w:szCs w:val="21"/>
        </w:rPr>
        <w:t>第八章  定标及公示</w:t>
      </w:r>
    </w:p>
    <w:p w14:paraId="55916351">
      <w:pPr>
        <w:ind w:left="720" w:leftChars="300" w:firstLine="470" w:firstLineChars="196"/>
        <w:rPr>
          <w:rFonts w:ascii="宋体" w:hAnsi="宋体" w:eastAsia="宋体"/>
          <w:szCs w:val="21"/>
        </w:rPr>
      </w:pPr>
      <w:r>
        <w:rPr>
          <w:rFonts w:hint="eastAsia" w:ascii="宋体" w:hAnsi="宋体" w:eastAsia="宋体"/>
          <w:szCs w:val="21"/>
        </w:rPr>
        <w:t>第九章  公开招标失败的后续处理</w:t>
      </w:r>
    </w:p>
    <w:p w14:paraId="1763EDEE">
      <w:pPr>
        <w:ind w:left="720" w:leftChars="300" w:firstLine="470" w:firstLineChars="196"/>
        <w:rPr>
          <w:rFonts w:ascii="宋体" w:hAnsi="宋体" w:eastAsia="宋体"/>
          <w:szCs w:val="21"/>
        </w:rPr>
      </w:pPr>
      <w:r>
        <w:rPr>
          <w:rFonts w:hint="eastAsia" w:ascii="宋体" w:hAnsi="宋体" w:eastAsia="宋体"/>
          <w:szCs w:val="21"/>
        </w:rPr>
        <w:t>第十章  合同的授予与备案</w:t>
      </w:r>
    </w:p>
    <w:p w14:paraId="3B914700">
      <w:pPr>
        <w:ind w:left="720" w:leftChars="300" w:firstLine="470" w:firstLineChars="196"/>
        <w:rPr>
          <w:rFonts w:ascii="宋体" w:hAnsi="宋体" w:eastAsia="宋体"/>
          <w:szCs w:val="21"/>
        </w:rPr>
      </w:pPr>
      <w:r>
        <w:rPr>
          <w:rFonts w:hint="eastAsia" w:ascii="宋体" w:hAnsi="宋体" w:eastAsia="宋体"/>
          <w:szCs w:val="21"/>
        </w:rPr>
        <w:t>第十一章  质疑处理</w:t>
      </w:r>
    </w:p>
    <w:p w14:paraId="294FBF08">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.2 投标人下载招标文件后，应仔细检查招标文件的所有内容，如有疑问应在答疑截止时间之前向招标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B61782C">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.3</w:t>
      </w:r>
      <w:r>
        <w:rPr>
          <w:rFonts w:hint="eastAsia" w:ascii="宋体" w:hAnsi="宋体" w:eastAsia="宋体"/>
        </w:rPr>
        <w:t>任何人或任何组织向投标人提交的任何书面或口头资料，未经招标机构在网上发布或书面通知，均作无效处理，不得作为招标文件的组成部分。招标机构对投标人由此而做出的推论、理解和结论概不负责。</w:t>
      </w:r>
    </w:p>
    <w:p w14:paraId="5BAC619A">
      <w:pPr>
        <w:rPr>
          <w:rFonts w:ascii="宋体" w:hAnsi="宋体" w:eastAsia="宋体"/>
        </w:rPr>
      </w:pPr>
      <w:r>
        <w:rPr>
          <w:rFonts w:hint="eastAsia" w:ascii="宋体" w:hAnsi="宋体" w:eastAsia="宋体"/>
        </w:rPr>
        <w:t>1</w:t>
      </w:r>
      <w:r>
        <w:rPr>
          <w:rFonts w:ascii="宋体" w:hAnsi="宋体" w:eastAsia="宋体"/>
        </w:rPr>
        <w:t>2</w:t>
      </w:r>
      <w:r>
        <w:rPr>
          <w:rFonts w:hint="eastAsia" w:ascii="宋体" w:hAnsi="宋体" w:eastAsia="宋体"/>
        </w:rPr>
        <w:t>．招标文件的澄清</w:t>
      </w:r>
    </w:p>
    <w:p w14:paraId="1D8E5464">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.1招标文件澄清的目的是澄清、解答投标人在查阅招标文件后或现场踏勘中可能提出的与投标有关的疑问或询问。</w:t>
      </w:r>
    </w:p>
    <w:p w14:paraId="180F1B66">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.2投标人如对招标文件内容有疑问，应当在招标公告规定的澄清（提问）截止时间前以网上提问的形式通过网上政府采购系统提交招标机构。</w:t>
      </w:r>
    </w:p>
    <w:p w14:paraId="431EDCCF">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3不论是招标机构根据需要主动对招标文件进行必要的澄清或是根据投标人的要求对招标文件做出澄清，招标机构都将在投标截止日期前以书面形式（包括招标机构网站发布方式）答复或发送给所有投标人。答复内容是招标文件的组成部分，对投标人起约束作用，其有效性按照本通用条款第1</w:t>
      </w:r>
      <w:r>
        <w:rPr>
          <w:rFonts w:ascii="宋体" w:hAnsi="宋体" w:eastAsia="宋体"/>
          <w:szCs w:val="21"/>
        </w:rPr>
        <w:t>3.3</w:t>
      </w:r>
      <w:r>
        <w:rPr>
          <w:rFonts w:hint="eastAsia" w:ascii="宋体" w:hAnsi="宋体" w:eastAsia="宋体"/>
          <w:szCs w:val="21"/>
        </w:rPr>
        <w:t>、1</w:t>
      </w:r>
      <w:r>
        <w:rPr>
          <w:rFonts w:ascii="宋体" w:hAnsi="宋体" w:eastAsia="宋体"/>
          <w:szCs w:val="21"/>
        </w:rPr>
        <w:t>3.4</w:t>
      </w:r>
      <w:r>
        <w:rPr>
          <w:rFonts w:hint="eastAsia" w:ascii="宋体" w:hAnsi="宋体" w:eastAsia="宋体"/>
          <w:szCs w:val="21"/>
        </w:rPr>
        <w:t>款规定执行。</w:t>
      </w:r>
    </w:p>
    <w:p w14:paraId="1A6C7F6E">
      <w:pPr>
        <w:rPr>
          <w:rFonts w:ascii="宋体" w:hAnsi="宋体" w:eastAsia="宋体"/>
        </w:rPr>
      </w:pPr>
      <w:r>
        <w:rPr>
          <w:rFonts w:ascii="宋体" w:hAnsi="宋体" w:eastAsia="宋体"/>
        </w:rPr>
        <w:t>1</w:t>
      </w:r>
      <w:r>
        <w:rPr>
          <w:rFonts w:hint="eastAsia" w:ascii="宋体" w:hAnsi="宋体" w:eastAsia="宋体"/>
        </w:rPr>
        <w:t>3．招标文件的修改</w:t>
      </w:r>
    </w:p>
    <w:p w14:paraId="556C81FC">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3.1招标文件发出后，在投标截止日期前任何时候，确需要变更招标文件内容的，招标机构可主动或在解答投标人提出的澄清问题时对招标文件进行修改。</w:t>
      </w:r>
    </w:p>
    <w:p w14:paraId="713C3974">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3.2招标文件的修改以书面形式（包括招标机构网站发布方式，如更正公告等）发送给所有投标人，招标文件的修改内容作为招标文件的组成部分，并具有约束力。</w:t>
      </w:r>
    </w:p>
    <w:p w14:paraId="45E0D1F9">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3.3招标文件、招标文件澄清答复内容、招标文件修改补充内容均以书面形式（包括招标机构网站公开发布方式，如更正公告等）明确的内容为准。当招标文件、修改补充通知、招标文件澄清答复内容相互矛盾时，以最后发出的内容为准。</w:t>
      </w:r>
    </w:p>
    <w:p w14:paraId="1C6791A7">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3.4招标机构保证招标文件澄清答复内容和招标文件修改补充内容在投标截止时间前以书面形式（包括招标机构网站发布方式，如更正公告等）发送给所有投标人。为使投标人在编制投标文件时有充分时间对招标文件的修改部分进行研究，招标机构可以酌情延长递交投标文件的截止日期。</w:t>
      </w:r>
      <w:bookmarkEnd w:id="97"/>
    </w:p>
    <w:p w14:paraId="1FB07DE0">
      <w:pPr>
        <w:pStyle w:val="5"/>
        <w:numPr>
          <w:ilvl w:val="0"/>
          <w:numId w:val="13"/>
        </w:numPr>
        <w:spacing w:before="120" w:beforeLines="50" w:after="120" w:afterLines="50"/>
        <w:ind w:left="562" w:hanging="562"/>
        <w:rPr>
          <w:sz w:val="28"/>
          <w:szCs w:val="28"/>
        </w:rPr>
      </w:pPr>
      <w:r>
        <w:rPr>
          <w:rFonts w:hint="eastAsia"/>
          <w:sz w:val="28"/>
          <w:szCs w:val="28"/>
        </w:rPr>
        <w:t>投标文件的编制</w:t>
      </w:r>
    </w:p>
    <w:p w14:paraId="28DCEF35">
      <w:pPr>
        <w:rPr>
          <w:rFonts w:ascii="宋体" w:hAnsi="宋体" w:eastAsia="宋体"/>
        </w:rPr>
      </w:pPr>
      <w:r>
        <w:rPr>
          <w:rFonts w:hint="eastAsia" w:ascii="宋体" w:hAnsi="宋体" w:eastAsia="宋体"/>
        </w:rPr>
        <w:t>14．</w:t>
      </w:r>
      <w:bookmarkStart w:id="98" w:name="_Hlk72400236"/>
      <w:r>
        <w:rPr>
          <w:rFonts w:hint="eastAsia" w:ascii="宋体" w:hAnsi="宋体" w:eastAsia="宋体"/>
        </w:rPr>
        <w:t>投标文件的语言及度量单位</w:t>
      </w:r>
    </w:p>
    <w:p w14:paraId="5CC9488D">
      <w:pPr>
        <w:ind w:firstLine="470" w:firstLineChars="196"/>
        <w:rPr>
          <w:rFonts w:ascii="宋体" w:hAnsi="宋体" w:eastAsia="宋体"/>
          <w:szCs w:val="21"/>
        </w:rPr>
      </w:pPr>
      <w:r>
        <w:rPr>
          <w:rFonts w:hint="eastAsia" w:ascii="宋体" w:hAnsi="宋体" w:eastAsia="宋体"/>
          <w:szCs w:val="21"/>
        </w:rPr>
        <w:t>14.1 投标人与招标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071B6755">
      <w:pPr>
        <w:ind w:firstLine="470" w:firstLineChars="196"/>
        <w:rPr>
          <w:rFonts w:ascii="宋体" w:hAnsi="宋体" w:eastAsia="宋体"/>
          <w:szCs w:val="21"/>
        </w:rPr>
      </w:pPr>
      <w:r>
        <w:rPr>
          <w:rFonts w:hint="eastAsia" w:ascii="宋体" w:hAnsi="宋体" w:eastAsia="宋体"/>
          <w:szCs w:val="21"/>
        </w:rPr>
        <w:t>14.2 除技术规范另有规定外，投标文件使用的度量单位，均采用中华人民共和国法定计量单位。</w:t>
      </w:r>
    </w:p>
    <w:bookmarkEnd w:id="98"/>
    <w:p w14:paraId="0DEAC038">
      <w:pPr>
        <w:rPr>
          <w:rFonts w:ascii="宋体" w:hAnsi="宋体" w:eastAsia="宋体"/>
        </w:rPr>
      </w:pPr>
      <w:r>
        <w:rPr>
          <w:rFonts w:hint="eastAsia" w:ascii="宋体" w:hAnsi="宋体" w:eastAsia="宋体"/>
        </w:rPr>
        <w:t>15．</w:t>
      </w:r>
      <w:bookmarkStart w:id="99" w:name="_Hlk72401567"/>
      <w:r>
        <w:rPr>
          <w:rFonts w:hint="eastAsia" w:ascii="宋体" w:hAnsi="宋体" w:eastAsia="宋体"/>
        </w:rPr>
        <w:t>投标文件的组成</w:t>
      </w:r>
    </w:p>
    <w:p w14:paraId="76CD7EE2">
      <w:pPr>
        <w:ind w:firstLine="470" w:firstLineChars="196"/>
        <w:rPr>
          <w:rFonts w:ascii="宋体" w:hAnsi="宋体" w:eastAsia="宋体"/>
          <w:szCs w:val="21"/>
        </w:rPr>
      </w:pPr>
      <w:r>
        <w:rPr>
          <w:rFonts w:hint="eastAsia" w:ascii="宋体" w:hAnsi="宋体" w:eastAsia="宋体"/>
          <w:szCs w:val="21"/>
        </w:rPr>
        <w:t>具体内容在招标文件专用条款中进行规定。</w:t>
      </w:r>
    </w:p>
    <w:p w14:paraId="1E023363">
      <w:pPr>
        <w:rPr>
          <w:rFonts w:ascii="宋体" w:hAnsi="宋体" w:eastAsia="宋体"/>
        </w:rPr>
      </w:pPr>
      <w:r>
        <w:rPr>
          <w:rFonts w:ascii="宋体" w:hAnsi="宋体" w:eastAsia="宋体"/>
        </w:rPr>
        <w:t>16．投标文件格式</w:t>
      </w:r>
    </w:p>
    <w:p w14:paraId="38E92489">
      <w:pPr>
        <w:ind w:firstLine="470" w:firstLineChars="196"/>
        <w:rPr>
          <w:rFonts w:ascii="宋体" w:hAnsi="宋体" w:eastAsia="宋体"/>
          <w:szCs w:val="21"/>
        </w:rPr>
      </w:pPr>
      <w:r>
        <w:rPr>
          <w:rFonts w:hint="eastAsia" w:ascii="宋体" w:hAnsi="宋体" w:eastAsia="宋体"/>
          <w:szCs w:val="21"/>
        </w:rPr>
        <w:t>投标文件包括本通用条款第</w:t>
      </w:r>
      <w:r>
        <w:rPr>
          <w:rFonts w:ascii="宋体" w:hAnsi="宋体" w:eastAsia="宋体"/>
          <w:szCs w:val="21"/>
        </w:rPr>
        <w:t>15条中规定的内容。如招标文件提供了投标文件格式，则</w:t>
      </w:r>
      <w:r>
        <w:rPr>
          <w:rFonts w:hint="eastAsia" w:ascii="宋体" w:hAnsi="宋体" w:eastAsia="宋体"/>
          <w:b/>
          <w:bCs/>
          <w:szCs w:val="21"/>
        </w:rPr>
        <w:t>投标人提交的投标文件应毫无例外地使用招标文件所提供的相应格式</w:t>
      </w:r>
      <w:r>
        <w:rPr>
          <w:rFonts w:hint="eastAsia" w:ascii="宋体" w:hAnsi="宋体" w:eastAsia="宋体"/>
          <w:szCs w:val="21"/>
        </w:rPr>
        <w:t>（表格均可按同样格式扩展）。</w:t>
      </w:r>
    </w:p>
    <w:p w14:paraId="09F1C641">
      <w:pPr>
        <w:rPr>
          <w:rFonts w:ascii="宋体" w:hAnsi="宋体" w:eastAsia="宋体"/>
        </w:rPr>
      </w:pPr>
      <w:r>
        <w:rPr>
          <w:rFonts w:hint="eastAsia" w:ascii="宋体" w:hAnsi="宋体" w:eastAsia="宋体"/>
        </w:rPr>
        <w:t>17．投标货币</w:t>
      </w:r>
    </w:p>
    <w:p w14:paraId="5DC63615">
      <w:pPr>
        <w:ind w:firstLine="470" w:firstLineChars="196"/>
        <w:rPr>
          <w:rFonts w:ascii="宋体" w:hAnsi="宋体" w:eastAsia="宋体"/>
          <w:szCs w:val="21"/>
        </w:rPr>
      </w:pPr>
      <w:r>
        <w:rPr>
          <w:rFonts w:hint="eastAsia" w:ascii="宋体" w:hAnsi="宋体" w:eastAsia="宋体"/>
          <w:szCs w:val="21"/>
        </w:rPr>
        <w:t>本项目的投标报价应以人民币计。</w:t>
      </w:r>
    </w:p>
    <w:bookmarkEnd w:id="99"/>
    <w:p w14:paraId="60983842">
      <w:pPr>
        <w:rPr>
          <w:rFonts w:ascii="宋体" w:hAnsi="宋体" w:eastAsia="宋体"/>
        </w:rPr>
      </w:pPr>
      <w:r>
        <w:rPr>
          <w:rFonts w:hint="eastAsia" w:ascii="宋体" w:hAnsi="宋体" w:eastAsia="宋体"/>
        </w:rPr>
        <w:t>18．</w:t>
      </w:r>
      <w:bookmarkStart w:id="100" w:name="_Hlk72401735"/>
      <w:r>
        <w:rPr>
          <w:rFonts w:hint="eastAsia" w:ascii="宋体" w:hAnsi="宋体" w:eastAsia="宋体"/>
        </w:rPr>
        <w:t>证明投标文件投标技术方案的合格性和符合招标文件规定的文件要求</w:t>
      </w:r>
    </w:p>
    <w:p w14:paraId="6826D32D">
      <w:pPr>
        <w:ind w:firstLine="470" w:firstLineChars="196"/>
        <w:rPr>
          <w:rFonts w:ascii="宋体" w:hAnsi="宋体" w:eastAsia="宋体"/>
          <w:szCs w:val="21"/>
        </w:rPr>
      </w:pPr>
      <w:r>
        <w:rPr>
          <w:rFonts w:hint="eastAsia" w:ascii="宋体" w:hAnsi="宋体" w:eastAsia="宋体"/>
          <w:szCs w:val="21"/>
        </w:rPr>
        <w:t>18</w:t>
      </w:r>
      <w:r>
        <w:rPr>
          <w:rFonts w:ascii="宋体" w:hAnsi="宋体" w:eastAsia="宋体"/>
          <w:szCs w:val="21"/>
        </w:rPr>
        <w:t xml:space="preserve">.1 </w:t>
      </w:r>
      <w:r>
        <w:rPr>
          <w:rFonts w:hint="eastAsia" w:ascii="宋体" w:hAnsi="宋体" w:eastAsia="宋体"/>
          <w:szCs w:val="21"/>
        </w:rPr>
        <w:t>投标人应提交证明文件，证明其投标技术方案项下的货物和服务的合格性符合招标文件规定。该投标技术方案及其证明文件均作为投标文件组成部分。</w:t>
      </w:r>
    </w:p>
    <w:p w14:paraId="309C2194">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 xml:space="preserve">.2 </w:t>
      </w:r>
      <w:r>
        <w:rPr>
          <w:rFonts w:hint="eastAsia" w:ascii="宋体" w:hAnsi="宋体" w:eastAsia="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40D9C596">
      <w:pPr>
        <w:ind w:firstLine="470" w:firstLineChars="196"/>
        <w:rPr>
          <w:rFonts w:ascii="宋体" w:hAnsi="宋体" w:eastAsia="宋体"/>
          <w:szCs w:val="21"/>
        </w:rPr>
      </w:pPr>
      <w:r>
        <w:rPr>
          <w:rFonts w:hint="eastAsia" w:ascii="宋体" w:hAnsi="宋体" w:eastAsia="宋体"/>
          <w:szCs w:val="21"/>
        </w:rPr>
        <w:t>18.2.1主要技术指标和性能的详细说明。</w:t>
      </w:r>
    </w:p>
    <w:p w14:paraId="7002A626">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2</w:t>
      </w:r>
      <w:r>
        <w:rPr>
          <w:rFonts w:hint="eastAsia" w:ascii="宋体" w:hAnsi="宋体" w:eastAsia="宋体"/>
          <w:szCs w:val="21"/>
        </w:rPr>
        <w:t>投标产品从采购人开始使用至招标文件中规定的周期内正常、连续地使用所必须的备件和专用工具清单，包括备件和专用工具的货源及现行价格。</w:t>
      </w:r>
    </w:p>
    <w:p w14:paraId="15912B41">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3</w:t>
      </w:r>
      <w:r>
        <w:rPr>
          <w:rFonts w:hint="eastAsia" w:ascii="宋体" w:hAnsi="宋体" w:eastAsia="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FF673FE">
      <w:pPr>
        <w:ind w:firstLine="470" w:firstLineChars="196"/>
        <w:rPr>
          <w:rFonts w:ascii="宋体" w:hAnsi="宋体" w:eastAsia="宋体"/>
          <w:szCs w:val="21"/>
        </w:rPr>
      </w:pPr>
      <w:r>
        <w:rPr>
          <w:rFonts w:hint="eastAsia" w:ascii="宋体" w:hAnsi="宋体" w:eastAsia="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宋体" w:hAnsi="宋体" w:eastAsia="宋体"/>
        </w:rPr>
        <w:t>清晰度要求能够使用电脑阅读、识别和判断</w:t>
      </w:r>
      <w:r>
        <w:rPr>
          <w:rFonts w:hint="eastAsia" w:ascii="宋体" w:hAnsi="宋体" w:eastAsia="宋体"/>
          <w:szCs w:val="21"/>
        </w:rPr>
        <w:t>；</w:t>
      </w:r>
    </w:p>
    <w:p w14:paraId="3CB8787C">
      <w:pPr>
        <w:ind w:firstLine="470" w:firstLineChars="196"/>
        <w:rPr>
          <w:rFonts w:ascii="宋体" w:hAnsi="宋体" w:eastAsia="宋体"/>
          <w:szCs w:val="21"/>
        </w:rPr>
      </w:pPr>
      <w:r>
        <w:rPr>
          <w:rFonts w:hint="eastAsia" w:ascii="宋体" w:hAnsi="宋体" w:eastAsia="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503534EE">
      <w:pPr>
        <w:ind w:firstLine="470" w:firstLineChars="196"/>
        <w:rPr>
          <w:rFonts w:ascii="宋体" w:hAnsi="宋体" w:eastAsia="宋体"/>
          <w:szCs w:val="21"/>
        </w:rPr>
      </w:pPr>
      <w:r>
        <w:rPr>
          <w:rFonts w:hint="eastAsia" w:ascii="宋体" w:hAnsi="宋体" w:eastAsia="宋体"/>
          <w:szCs w:val="21"/>
        </w:rPr>
        <w:t>18.3相关资料不符合18.2款要求的，评审委员会有权认定为投标技术方案不合格响应，其相关分数予以扣减或作投标无效处理。</w:t>
      </w:r>
    </w:p>
    <w:p w14:paraId="212F690B">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w:t>
      </w:r>
      <w:r>
        <w:rPr>
          <w:rFonts w:hint="eastAsia" w:ascii="宋体" w:hAnsi="宋体" w:eastAsia="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宋体" w:hAnsi="宋体" w:eastAsia="宋体"/>
        </w:rPr>
        <w:t>满足要求</w:t>
      </w:r>
      <w:r>
        <w:rPr>
          <w:rFonts w:hint="eastAsia" w:ascii="宋体" w:hAnsi="宋体" w:eastAsia="宋体"/>
          <w:szCs w:val="21"/>
        </w:rPr>
        <w:t>，由评审委员会来评判。</w:t>
      </w:r>
    </w:p>
    <w:p w14:paraId="331E6A3D">
      <w:pPr>
        <w:ind w:firstLine="470" w:firstLineChars="196"/>
        <w:rPr>
          <w:rFonts w:ascii="宋体" w:hAnsi="宋体" w:eastAsia="宋体"/>
          <w:szCs w:val="21"/>
        </w:rPr>
      </w:pPr>
      <w:r>
        <w:rPr>
          <w:rFonts w:hint="eastAsia" w:ascii="宋体" w:hAnsi="宋体" w:eastAsia="宋体"/>
          <w:szCs w:val="21"/>
        </w:rPr>
        <w:t>18.5除非另有规定或说明，投标人对同一项目投标时，不得同时提供两套或两套以上的投标方案。</w:t>
      </w:r>
    </w:p>
    <w:bookmarkEnd w:id="100"/>
    <w:p w14:paraId="76FA64F2">
      <w:pPr>
        <w:rPr>
          <w:rFonts w:ascii="宋体" w:hAnsi="宋体" w:eastAsia="宋体"/>
        </w:rPr>
      </w:pPr>
      <w:r>
        <w:rPr>
          <w:rFonts w:hint="eastAsia" w:ascii="宋体" w:hAnsi="宋体" w:eastAsia="宋体"/>
        </w:rPr>
        <w:t>19．</w:t>
      </w:r>
      <w:bookmarkStart w:id="101" w:name="_Hlk72402034"/>
      <w:r>
        <w:rPr>
          <w:rFonts w:hint="eastAsia" w:ascii="宋体" w:hAnsi="宋体" w:eastAsia="宋体"/>
        </w:rPr>
        <w:t>投标文件其他证明文件的要求</w:t>
      </w:r>
    </w:p>
    <w:p w14:paraId="73586E2E">
      <w:pPr>
        <w:ind w:firstLine="470" w:firstLineChars="196"/>
        <w:rPr>
          <w:rFonts w:ascii="宋体" w:hAnsi="宋体" w:eastAsia="宋体"/>
          <w:szCs w:val="21"/>
        </w:rPr>
      </w:pPr>
      <w:r>
        <w:rPr>
          <w:rFonts w:hint="eastAsia" w:ascii="宋体" w:hAnsi="宋体" w:eastAsia="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02" w:name="_Hlk71407299"/>
    </w:p>
    <w:bookmarkEnd w:id="102"/>
    <w:p w14:paraId="7B9A9E96">
      <w:pPr>
        <w:ind w:firstLine="470" w:firstLineChars="196"/>
        <w:rPr>
          <w:rFonts w:ascii="宋体" w:hAnsi="宋体" w:eastAsia="宋体"/>
          <w:szCs w:val="21"/>
        </w:rPr>
      </w:pPr>
      <w:r>
        <w:rPr>
          <w:rFonts w:hint="eastAsia" w:ascii="宋体" w:hAnsi="宋体" w:eastAsia="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8512C98">
      <w:pPr>
        <w:rPr>
          <w:rFonts w:ascii="宋体" w:hAnsi="宋体" w:eastAsia="宋体"/>
        </w:rPr>
      </w:pPr>
      <w:r>
        <w:rPr>
          <w:rFonts w:hint="eastAsia" w:ascii="宋体" w:hAnsi="宋体" w:eastAsia="宋体"/>
        </w:rPr>
        <w:t>20．投标有效期</w:t>
      </w:r>
    </w:p>
    <w:bookmarkEnd w:id="101"/>
    <w:p w14:paraId="0E8E7B25">
      <w:pPr>
        <w:ind w:firstLine="470" w:firstLineChars="196"/>
        <w:rPr>
          <w:rFonts w:ascii="宋体" w:hAnsi="宋体" w:eastAsia="宋体"/>
          <w:szCs w:val="21"/>
        </w:rPr>
      </w:pPr>
      <w:bookmarkStart w:id="103" w:name="_Hlk72402214"/>
      <w:r>
        <w:rPr>
          <w:rFonts w:hint="eastAsia" w:ascii="宋体" w:hAnsi="宋体" w:eastAsia="宋体"/>
          <w:szCs w:val="21"/>
        </w:rPr>
        <w:t>20.1 投标有效期为</w:t>
      </w:r>
      <w:r>
        <w:rPr>
          <w:rFonts w:hint="eastAsia" w:ascii="宋体" w:hAnsi="宋体" w:eastAsia="宋体" w:cs="Arial"/>
          <w:szCs w:val="21"/>
        </w:rPr>
        <w:t>从投标截止之日算起的日历天数。</w:t>
      </w:r>
      <w:r>
        <w:rPr>
          <w:rFonts w:hint="eastAsia" w:ascii="宋体" w:hAnsi="宋体" w:eastAsia="宋体"/>
          <w:szCs w:val="21"/>
        </w:rPr>
        <w:t>在此期限内，所有投标文件均保持有效。</w:t>
      </w:r>
    </w:p>
    <w:p w14:paraId="4A579B25">
      <w:pPr>
        <w:ind w:firstLine="470" w:firstLineChars="196"/>
        <w:rPr>
          <w:rFonts w:ascii="宋体" w:hAnsi="宋体" w:eastAsia="宋体"/>
          <w:szCs w:val="21"/>
        </w:rPr>
      </w:pPr>
      <w:r>
        <w:rPr>
          <w:rFonts w:hint="eastAsia" w:ascii="宋体" w:hAnsi="宋体" w:eastAsia="宋体"/>
          <w:szCs w:val="21"/>
        </w:rPr>
        <w:t>20.2 在特殊情况下，招标机构在原定的投标有效期满之前，招标机构可以根据需要以书面形式（包括招标机构网站公开发布方式）向投标人提出延长投标有效期的要求，对此要求投标人须以书面形式予以答复，投标人可以拒绝招标机构此项要求，其投标在原投标有效期满后不再有效。同意延长投标有效期的投标人不能要求也不允许修改其投标文件。</w:t>
      </w:r>
    </w:p>
    <w:p w14:paraId="26966CB4">
      <w:pPr>
        <w:ind w:firstLine="470" w:firstLineChars="196"/>
        <w:rPr>
          <w:rFonts w:ascii="宋体" w:hAnsi="宋体" w:eastAsia="宋体"/>
          <w:szCs w:val="21"/>
        </w:rPr>
      </w:pPr>
      <w:r>
        <w:rPr>
          <w:rFonts w:hint="eastAsia" w:ascii="宋体" w:hAnsi="宋体" w:eastAsia="宋体"/>
          <w:szCs w:val="21"/>
        </w:rPr>
        <w:t>20</w:t>
      </w:r>
      <w:r>
        <w:rPr>
          <w:rFonts w:ascii="宋体" w:hAnsi="宋体" w:eastAsia="宋体"/>
          <w:szCs w:val="21"/>
        </w:rPr>
        <w:t>.3</w:t>
      </w:r>
      <w:r>
        <w:rPr>
          <w:rFonts w:hint="eastAsia" w:ascii="宋体" w:hAnsi="宋体" w:eastAsia="宋体"/>
          <w:szCs w:val="21"/>
        </w:rPr>
        <w:t xml:space="preserve"> 中标供应商的投标文件有效期，截止于完成本招标文件规定的全部项目内容，并通过竣工验收及保修期结束。</w:t>
      </w:r>
    </w:p>
    <w:bookmarkEnd w:id="103"/>
    <w:p w14:paraId="237AA584">
      <w:pPr>
        <w:rPr>
          <w:rFonts w:ascii="宋体" w:hAnsi="宋体" w:eastAsia="宋体"/>
        </w:rPr>
      </w:pPr>
      <w:r>
        <w:rPr>
          <w:rFonts w:hint="eastAsia" w:ascii="宋体" w:hAnsi="宋体" w:eastAsia="宋体"/>
        </w:rPr>
        <w:t>21．</w:t>
      </w:r>
      <w:bookmarkStart w:id="104" w:name="_Hlk72402325"/>
      <w:r>
        <w:rPr>
          <w:rFonts w:hint="eastAsia" w:ascii="宋体" w:hAnsi="宋体" w:eastAsia="宋体"/>
        </w:rPr>
        <w:t xml:space="preserve">关于投标保证金 </w:t>
      </w:r>
    </w:p>
    <w:p w14:paraId="4D5795CC">
      <w:pPr>
        <w:rPr>
          <w:rFonts w:ascii="宋体" w:hAnsi="宋体" w:eastAsia="宋体"/>
          <w:szCs w:val="21"/>
        </w:rPr>
      </w:pPr>
      <w:r>
        <w:rPr>
          <w:rFonts w:hint="eastAsia" w:ascii="宋体" w:hAnsi="宋体" w:eastAsia="宋体"/>
          <w:szCs w:val="21"/>
        </w:rPr>
        <w:t xml:space="preserve">    21.1 </w:t>
      </w:r>
      <w:r>
        <w:rPr>
          <w:rFonts w:hint="eastAsia" w:ascii="宋体" w:hAnsi="宋体" w:eastAsia="宋体"/>
        </w:rPr>
        <w:t>根据《</w:t>
      </w:r>
      <w:r>
        <w:rPr>
          <w:rFonts w:ascii="宋体" w:hAnsi="宋体" w:eastAsia="宋体"/>
        </w:rPr>
        <w:t>深圳市财政局关于明确政府采购保证金管理工作的通知</w:t>
      </w:r>
      <w:r>
        <w:rPr>
          <w:rFonts w:hint="eastAsia" w:ascii="宋体" w:hAnsi="宋体" w:eastAsia="宋体"/>
        </w:rPr>
        <w:t>》（深财购[</w:t>
      </w:r>
      <w:r>
        <w:rPr>
          <w:rFonts w:ascii="宋体" w:hAnsi="宋体" w:eastAsia="宋体"/>
        </w:rPr>
        <w:t>2019]42</w:t>
      </w:r>
      <w:r>
        <w:rPr>
          <w:rFonts w:hint="eastAsia" w:ascii="宋体" w:hAnsi="宋体" w:eastAsia="宋体"/>
        </w:rPr>
        <w:t>号）文的规定，本项目不收取投标保证金。</w:t>
      </w:r>
    </w:p>
    <w:p w14:paraId="787FA340">
      <w:pPr>
        <w:rPr>
          <w:rFonts w:ascii="宋体" w:hAnsi="宋体" w:eastAsia="宋体"/>
        </w:rPr>
      </w:pPr>
      <w:r>
        <w:rPr>
          <w:rFonts w:hint="eastAsia" w:ascii="宋体" w:hAnsi="宋体" w:eastAsia="宋体"/>
        </w:rPr>
        <w:t>22．投标人的替代方案</w:t>
      </w:r>
    </w:p>
    <w:p w14:paraId="3DDF0558">
      <w:pPr>
        <w:ind w:firstLine="470" w:firstLineChars="196"/>
        <w:rPr>
          <w:rFonts w:ascii="宋体" w:hAnsi="宋体" w:eastAsia="宋体"/>
          <w:szCs w:val="21"/>
        </w:rPr>
      </w:pPr>
      <w:r>
        <w:rPr>
          <w:rFonts w:hint="eastAsia" w:ascii="宋体" w:hAnsi="宋体" w:eastAsia="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9E1A044">
      <w:pPr>
        <w:ind w:firstLine="470" w:firstLineChars="196"/>
        <w:rPr>
          <w:rFonts w:ascii="宋体" w:hAnsi="宋体" w:eastAsia="宋体"/>
          <w:szCs w:val="21"/>
        </w:rPr>
      </w:pPr>
      <w:r>
        <w:rPr>
          <w:rFonts w:hint="eastAsia" w:ascii="宋体" w:hAnsi="宋体" w:eastAsia="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104"/>
    <w:p w14:paraId="503036A4">
      <w:pPr>
        <w:rPr>
          <w:rFonts w:ascii="宋体" w:hAnsi="宋体" w:eastAsia="宋体"/>
        </w:rPr>
      </w:pPr>
      <w:r>
        <w:rPr>
          <w:rFonts w:hint="eastAsia" w:ascii="宋体" w:hAnsi="宋体" w:eastAsia="宋体"/>
        </w:rPr>
        <w:t>23．</w:t>
      </w:r>
      <w:bookmarkStart w:id="105" w:name="_Hlk72402860"/>
      <w:r>
        <w:rPr>
          <w:rFonts w:ascii="宋体" w:hAnsi="宋体" w:eastAsia="宋体"/>
        </w:rPr>
        <w:t>投标文件的</w:t>
      </w:r>
      <w:r>
        <w:rPr>
          <w:rFonts w:hint="eastAsia" w:ascii="宋体" w:hAnsi="宋体" w:eastAsia="宋体"/>
        </w:rPr>
        <w:t>制作</w:t>
      </w:r>
      <w:r>
        <w:rPr>
          <w:rFonts w:ascii="宋体" w:hAnsi="宋体" w:eastAsia="宋体"/>
        </w:rPr>
        <w:t>要求</w:t>
      </w:r>
    </w:p>
    <w:p w14:paraId="0347E307">
      <w:pPr>
        <w:ind w:firstLine="470" w:firstLineChars="196"/>
        <w:rPr>
          <w:rFonts w:ascii="宋体" w:hAnsi="宋体" w:eastAsia="宋体"/>
        </w:rPr>
      </w:pPr>
      <w:r>
        <w:rPr>
          <w:rFonts w:hint="eastAsia" w:ascii="宋体" w:hAnsi="宋体" w:eastAsia="宋体"/>
        </w:rPr>
        <w:t>23.1投标人应准备所投项目的电子投标文件一份。此电子投标文件须由投标人根据招标机构提供的后缀名为.szczf的电子招标文件，下载并使用相应的深圳智慧采购平台投标文件制作专用软件打开招标文件（.szczf格式）【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ascii="宋体" w:hAnsi="宋体" w:eastAsia="宋体"/>
        </w:rPr>
        <w:t>】。</w:t>
      </w:r>
    </w:p>
    <w:p w14:paraId="2C44E137">
      <w:pPr>
        <w:ind w:firstLine="470" w:firstLineChars="196"/>
        <w:rPr>
          <w:rFonts w:ascii="宋体" w:hAnsi="宋体" w:eastAsia="宋体"/>
        </w:rPr>
      </w:pPr>
      <w:r>
        <w:rPr>
          <w:rFonts w:hint="eastAsia" w:ascii="宋体" w:hAnsi="宋体" w:eastAsia="宋体"/>
        </w:rPr>
        <w:t>23.2投标人在使用《投标文件制作软件》编制投标书时须注意：</w:t>
      </w:r>
    </w:p>
    <w:p w14:paraId="18898090">
      <w:pPr>
        <w:ind w:firstLine="470" w:firstLineChars="196"/>
        <w:rPr>
          <w:rFonts w:ascii="宋体" w:hAnsi="宋体" w:eastAsia="宋体"/>
        </w:rPr>
      </w:pPr>
      <w:r>
        <w:rPr>
          <w:rFonts w:hint="eastAsia" w:ascii="宋体" w:hAnsi="宋体" w:eastAsia="宋体"/>
        </w:rPr>
        <w:t>23.2.1导入《投标文件制作软件》的招标文件项目编号、包号应与以此制作的投标文件项目编号、包号一致。例如，不能将甲项目A包的招标书导入《投标文件制作软件》，制作乙项目B包的投标书。</w:t>
      </w:r>
    </w:p>
    <w:p w14:paraId="0942659F">
      <w:pPr>
        <w:ind w:firstLine="470" w:firstLineChars="196"/>
        <w:rPr>
          <w:rFonts w:ascii="宋体" w:hAnsi="宋体" w:eastAsia="宋体"/>
        </w:rPr>
      </w:pPr>
      <w:r>
        <w:rPr>
          <w:rFonts w:hint="eastAsia" w:ascii="宋体" w:hAnsi="宋体" w:eastAsia="宋体"/>
        </w:rPr>
        <w:t>23.2.2不能用非本公司的电子密钥加密本公司的投标文件，或者用其它公司的登录用户上传本公司的投标文件。</w:t>
      </w:r>
    </w:p>
    <w:p w14:paraId="40C6E407">
      <w:pPr>
        <w:ind w:firstLine="470" w:firstLineChars="196"/>
        <w:rPr>
          <w:rFonts w:ascii="宋体" w:hAnsi="宋体" w:eastAsia="宋体"/>
        </w:rPr>
      </w:pPr>
      <w:r>
        <w:rPr>
          <w:rFonts w:hint="eastAsia" w:ascii="宋体" w:hAnsi="宋体" w:eastAsia="宋体"/>
        </w:rPr>
        <w:t>23.2.3要求用《投标文件制作软件》编制投标书的包，不能用其它方式编制投标书。编制投标文件时，电脑须连通互联网。</w:t>
      </w:r>
    </w:p>
    <w:p w14:paraId="5496DFB9">
      <w:pPr>
        <w:ind w:firstLine="470" w:firstLineChars="196"/>
        <w:rPr>
          <w:rFonts w:ascii="宋体" w:hAnsi="宋体" w:eastAsia="宋体"/>
        </w:rPr>
      </w:pPr>
      <w:r>
        <w:rPr>
          <w:rFonts w:hint="eastAsia" w:ascii="宋体" w:hAnsi="宋体" w:eastAsia="宋体"/>
        </w:rPr>
        <w:t>23.2.4投标文件不能带病毒。招标机构将用专业杀毒软件对投标文件进行病毒检测，如果这两种软件均报告发现病毒，则招标机构认为该投标文件带病毒。</w:t>
      </w:r>
    </w:p>
    <w:p w14:paraId="6E9A2116">
      <w:pPr>
        <w:ind w:firstLine="470" w:firstLineChars="196"/>
        <w:rPr>
          <w:rFonts w:ascii="宋体" w:hAnsi="宋体" w:eastAsia="宋体"/>
        </w:rPr>
      </w:pPr>
      <w:r>
        <w:rPr>
          <w:rFonts w:hint="eastAsia" w:ascii="宋体" w:hAnsi="宋体" w:eastAsia="宋体"/>
        </w:rPr>
        <w:t>23.2.5完整填写“投标关键信息”，如下图所示：</w:t>
      </w:r>
    </w:p>
    <w:p w14:paraId="5E07276A">
      <w:pPr>
        <w:ind w:firstLine="470" w:firstLineChars="196"/>
        <w:rPr>
          <w:rFonts w:ascii="宋体" w:hAnsi="宋体" w:eastAsia="宋体"/>
        </w:rPr>
      </w:pPr>
      <w:r>
        <w:rPr>
          <w:rFonts w:ascii="宋体" w:hAnsi="宋体" w:eastAsia="宋体"/>
        </w:rPr>
        <w:drawing>
          <wp:inline distT="0" distB="0" distL="114300" distR="114300">
            <wp:extent cx="5278755" cy="2721610"/>
            <wp:effectExtent l="0" t="0" r="17145" b="254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pic:cNvPicPr>
                  </pic:nvPicPr>
                  <pic:blipFill>
                    <a:blip r:embed="rId10"/>
                    <a:stretch>
                      <a:fillRect/>
                    </a:stretch>
                  </pic:blipFill>
                  <pic:spPr>
                    <a:xfrm>
                      <a:off x="0" y="0"/>
                      <a:ext cx="5278755" cy="2721610"/>
                    </a:xfrm>
                    <a:prstGeom prst="rect">
                      <a:avLst/>
                    </a:prstGeom>
                    <a:noFill/>
                    <a:ln>
                      <a:noFill/>
                    </a:ln>
                  </pic:spPr>
                </pic:pic>
              </a:graphicData>
            </a:graphic>
          </wp:inline>
        </w:drawing>
      </w:r>
    </w:p>
    <w:p w14:paraId="43E7A4EB">
      <w:pPr>
        <w:ind w:firstLine="472" w:firstLineChars="196"/>
        <w:rPr>
          <w:rFonts w:ascii="宋体" w:hAnsi="宋体" w:eastAsia="宋体"/>
          <w:b/>
        </w:rPr>
      </w:pPr>
      <w:r>
        <w:rPr>
          <w:rFonts w:hint="eastAsia" w:ascii="宋体" w:hAnsi="宋体" w:eastAsia="宋体"/>
          <w:b/>
        </w:rPr>
        <w:t>备注：上述“开标一览表”中的“投标总价”将作为价格分计算依据；其它信息仅是对投标文件相关内容的概括性表述，不作为评审依据。</w:t>
      </w:r>
    </w:p>
    <w:p w14:paraId="3178AEBE">
      <w:pPr>
        <w:ind w:firstLine="470" w:firstLineChars="196"/>
        <w:rPr>
          <w:rFonts w:ascii="宋体" w:hAnsi="宋体" w:eastAsia="宋体"/>
        </w:rPr>
      </w:pPr>
      <w:r>
        <w:rPr>
          <w:rFonts w:hint="eastAsia" w:ascii="宋体" w:hAnsi="宋体" w:eastAsia="宋体"/>
        </w:rPr>
        <w:t>23.2.6投标人在编辑投标文件时，</w:t>
      </w:r>
      <w:r>
        <w:rPr>
          <w:rFonts w:hint="eastAsia" w:ascii="宋体" w:hAnsi="宋体" w:eastAsia="宋体"/>
          <w:b/>
        </w:rPr>
        <w:t>在投标文件目录中属于本节点内容的必须在本节点中填写，填写到其他节点或附件，</w:t>
      </w:r>
      <w:r>
        <w:rPr>
          <w:rFonts w:hint="eastAsia" w:ascii="宋体" w:hAnsi="宋体" w:eastAsia="宋体"/>
        </w:rPr>
        <w:t>一切后果由供应商自行承担。</w:t>
      </w:r>
    </w:p>
    <w:p w14:paraId="43EBB5A7">
      <w:pPr>
        <w:ind w:firstLine="470" w:firstLineChars="196"/>
        <w:rPr>
          <w:rFonts w:ascii="宋体" w:hAnsi="宋体" w:eastAsia="宋体"/>
        </w:rPr>
      </w:pPr>
      <w:r>
        <w:rPr>
          <w:rFonts w:hint="eastAsia" w:ascii="宋体" w:hAnsi="宋体" w:eastAsia="宋体"/>
        </w:rPr>
        <w:t>23.2.7投标文件编写完成后，</w:t>
      </w:r>
      <w:r>
        <w:rPr>
          <w:rFonts w:hint="eastAsia" w:ascii="宋体" w:hAnsi="宋体" w:eastAsia="宋体"/>
          <w:b/>
        </w:rPr>
        <w:t>必须用属于投标人的电子密钥进行加密，否则视同未盖公章，将导致投标文件无效。</w:t>
      </w:r>
    </w:p>
    <w:p w14:paraId="61388724">
      <w:pPr>
        <w:ind w:firstLine="470" w:firstLineChars="196"/>
        <w:rPr>
          <w:rFonts w:ascii="宋体" w:hAnsi="宋体" w:eastAsia="宋体"/>
        </w:rPr>
      </w:pPr>
      <w:r>
        <w:rPr>
          <w:rFonts w:hint="eastAsia" w:ascii="宋体" w:hAnsi="宋体" w:eastAsia="宋体"/>
        </w:rPr>
        <w:t>23.2.8招标机构不接受投标截止时间后递交的纸质、电子、传真等所有形式的投标文件。由于对网上政府采购系统操作不熟悉或自身电脑、网络等原因导致不能在投标截止时间之前上传投标文件，招标机构概不负责。建议于开标前一个工作日完成投标文件的制作与上传，如上传确有困难，请及时咨询。</w:t>
      </w:r>
    </w:p>
    <w:p w14:paraId="4F2BD065">
      <w:pPr>
        <w:ind w:firstLine="470" w:firstLineChars="196"/>
        <w:rPr>
          <w:rFonts w:ascii="宋体" w:hAnsi="宋体" w:eastAsia="宋体"/>
        </w:rPr>
      </w:pPr>
      <w:r>
        <w:rPr>
          <w:rFonts w:hint="eastAsia" w:ascii="宋体" w:hAnsi="宋体" w:eastAsia="宋体"/>
        </w:rPr>
        <w:t>23.2.9如果开标时出现网络故障、技术故障，影响了政府采购活动，招标机构有权采取措施如延期、接受无法从网上上传的投标书等，以保障政府采购活动的公开、公平和公正。</w:t>
      </w:r>
    </w:p>
    <w:p w14:paraId="7A29633A">
      <w:pPr>
        <w:ind w:firstLine="470" w:firstLineChars="196"/>
        <w:rPr>
          <w:rFonts w:ascii="宋体" w:hAnsi="宋体" w:eastAsia="宋体"/>
        </w:rPr>
      </w:pPr>
      <w:r>
        <w:rPr>
          <w:rFonts w:hint="eastAsia" w:ascii="宋体" w:hAnsi="宋体" w:eastAsia="宋体"/>
        </w:rPr>
        <w:t>23.3电报、电话、传真形式的投标概不接受。</w:t>
      </w:r>
    </w:p>
    <w:p w14:paraId="7059A834">
      <w:pPr>
        <w:ind w:firstLine="472" w:firstLineChars="196"/>
        <w:rPr>
          <w:rFonts w:ascii="宋体" w:hAnsi="宋体" w:eastAsia="宋体"/>
          <w:b/>
        </w:rPr>
      </w:pPr>
      <w:r>
        <w:rPr>
          <w:rFonts w:hint="eastAsia" w:ascii="宋体" w:hAnsi="宋体" w:eastAsia="宋体"/>
          <w:b/>
        </w:rPr>
        <w:t>23.4经投标人电子密钥加密的投标文件无须盖章或签字，</w:t>
      </w:r>
      <w:r>
        <w:rPr>
          <w:rFonts w:hint="eastAsia" w:ascii="宋体" w:hAnsi="宋体" w:eastAsia="宋体"/>
        </w:rPr>
        <w:t>专用条款另有要求的除外。</w:t>
      </w:r>
    </w:p>
    <w:p w14:paraId="7B1777D5">
      <w:pPr>
        <w:ind w:firstLine="472" w:firstLineChars="196"/>
        <w:rPr>
          <w:rFonts w:ascii="宋体" w:hAnsi="宋体" w:eastAsia="宋体"/>
        </w:rPr>
      </w:pPr>
      <w:r>
        <w:rPr>
          <w:rFonts w:hint="eastAsia" w:ascii="宋体" w:hAnsi="宋体" w:eastAsia="宋体"/>
          <w:b/>
        </w:rPr>
        <w:t>23.5</w:t>
      </w:r>
      <w:r>
        <w:rPr>
          <w:rFonts w:hint="eastAsia" w:ascii="宋体" w:hAnsi="宋体" w:eastAsia="宋体"/>
        </w:rPr>
        <w:t xml:space="preserve"> 各类资格（资质）文件提供扫描件，专用条款另有要求的除外。</w:t>
      </w:r>
      <w:bookmarkEnd w:id="105"/>
    </w:p>
    <w:p w14:paraId="0C8A3501">
      <w:pPr>
        <w:pStyle w:val="5"/>
        <w:numPr>
          <w:ilvl w:val="0"/>
          <w:numId w:val="13"/>
        </w:numPr>
        <w:spacing w:before="120" w:beforeLines="50" w:after="120" w:afterLines="50"/>
        <w:ind w:left="562" w:hanging="562"/>
        <w:rPr>
          <w:sz w:val="28"/>
          <w:szCs w:val="28"/>
        </w:rPr>
      </w:pPr>
      <w:r>
        <w:rPr>
          <w:rFonts w:hint="eastAsia"/>
          <w:sz w:val="28"/>
          <w:szCs w:val="28"/>
        </w:rPr>
        <w:t>投标文件的递交</w:t>
      </w:r>
      <w:bookmarkStart w:id="106" w:name="_Hlk72405459"/>
    </w:p>
    <w:p w14:paraId="7682F1A8">
      <w:pPr>
        <w:rPr>
          <w:rFonts w:ascii="宋体" w:hAnsi="宋体" w:eastAsia="宋体"/>
        </w:rPr>
      </w:pPr>
      <w:r>
        <w:rPr>
          <w:rFonts w:hint="eastAsia" w:ascii="宋体" w:hAnsi="宋体" w:eastAsia="宋体"/>
        </w:rPr>
        <w:t>24．投标书的保密</w:t>
      </w:r>
    </w:p>
    <w:p w14:paraId="5AEDB2B4">
      <w:pPr>
        <w:ind w:firstLine="470" w:firstLineChars="196"/>
        <w:rPr>
          <w:rFonts w:ascii="宋体" w:hAnsi="宋体" w:eastAsia="宋体"/>
        </w:rPr>
      </w:pPr>
      <w:r>
        <w:rPr>
          <w:rFonts w:hint="eastAsia" w:ascii="宋体" w:hAnsi="宋体" w:eastAsia="宋体"/>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开标时间后才能解密查看。在加密过程中，请按照软件提示进行操作。加密操作界面如下图所示：</w:t>
      </w:r>
    </w:p>
    <w:p w14:paraId="08CEA46A">
      <w:pPr>
        <w:ind w:firstLine="470" w:firstLineChars="196"/>
        <w:rPr>
          <w:rFonts w:ascii="宋体" w:hAnsi="宋体" w:eastAsia="宋体"/>
        </w:rPr>
      </w:pPr>
      <w:r>
        <w:rPr>
          <w:rFonts w:ascii="宋体" w:hAnsi="宋体" w:eastAsia="宋体"/>
        </w:rPr>
        <w:drawing>
          <wp:inline distT="0" distB="0" distL="114300" distR="114300">
            <wp:extent cx="5278755" cy="2721610"/>
            <wp:effectExtent l="0" t="0" r="17145" b="254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pic:cNvPicPr>
                  </pic:nvPicPr>
                  <pic:blipFill>
                    <a:blip r:embed="rId10"/>
                    <a:stretch>
                      <a:fillRect/>
                    </a:stretch>
                  </pic:blipFill>
                  <pic:spPr>
                    <a:xfrm>
                      <a:off x="0" y="0"/>
                      <a:ext cx="5278755" cy="2721610"/>
                    </a:xfrm>
                    <a:prstGeom prst="rect">
                      <a:avLst/>
                    </a:prstGeom>
                    <a:noFill/>
                    <a:ln>
                      <a:noFill/>
                    </a:ln>
                  </pic:spPr>
                </pic:pic>
              </a:graphicData>
            </a:graphic>
          </wp:inline>
        </w:drawing>
      </w:r>
    </w:p>
    <w:p w14:paraId="24441F9F">
      <w:pPr>
        <w:ind w:firstLine="470" w:firstLineChars="196"/>
        <w:rPr>
          <w:rFonts w:ascii="宋体" w:hAnsi="宋体" w:eastAsia="宋体"/>
        </w:rPr>
      </w:pPr>
      <w:r>
        <w:rPr>
          <w:rFonts w:hint="eastAsia" w:ascii="宋体" w:hAnsi="宋体" w:eastAsia="宋体"/>
        </w:rPr>
        <w:t>在投标文件制作软件点击【生成标书】按钮进入【填写开标一览表界面】界面，在该界面填写完开标一览表信息后点击【确定】，进入投标文件生成环节。</w:t>
      </w:r>
      <w:r>
        <w:rPr>
          <w:rFonts w:ascii="宋体" w:hAnsi="宋体" w:eastAsia="宋体"/>
        </w:rPr>
        <w:drawing>
          <wp:inline distT="0" distB="0" distL="114300" distR="114300">
            <wp:extent cx="5278755" cy="2732405"/>
            <wp:effectExtent l="0" t="0" r="17145" b="10795"/>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a:picLocks noChangeAspect="1"/>
                    </pic:cNvPicPr>
                  </pic:nvPicPr>
                  <pic:blipFill>
                    <a:blip r:embed="rId11"/>
                    <a:stretch>
                      <a:fillRect/>
                    </a:stretch>
                  </pic:blipFill>
                  <pic:spPr>
                    <a:xfrm>
                      <a:off x="0" y="0"/>
                      <a:ext cx="5278755" cy="2732405"/>
                    </a:xfrm>
                    <a:prstGeom prst="rect">
                      <a:avLst/>
                    </a:prstGeom>
                    <a:noFill/>
                    <a:ln>
                      <a:noFill/>
                    </a:ln>
                  </pic:spPr>
                </pic:pic>
              </a:graphicData>
            </a:graphic>
          </wp:inline>
        </w:drawing>
      </w:r>
    </w:p>
    <w:p w14:paraId="7F63F7E9">
      <w:pPr>
        <w:ind w:firstLine="470" w:firstLineChars="196"/>
        <w:rPr>
          <w:rFonts w:ascii="宋体" w:hAnsi="宋体" w:eastAsia="宋体"/>
        </w:rPr>
      </w:pPr>
      <w:r>
        <w:rPr>
          <w:rFonts w:hint="eastAsia" w:ascii="宋体" w:hAnsi="宋体" w:eastAsia="宋体"/>
        </w:rPr>
        <w:t>投标文件制作软件会在投标文件生成过程中，提示用户输入密码，输入密码后对投标文件自动进行加密。</w:t>
      </w:r>
    </w:p>
    <w:p w14:paraId="0CCD8DBF">
      <w:pPr>
        <w:ind w:firstLine="482" w:firstLineChars="200"/>
        <w:rPr>
          <w:rFonts w:ascii="宋体" w:hAnsi="宋体" w:eastAsia="宋体"/>
          <w:b/>
        </w:rPr>
      </w:pPr>
      <w:r>
        <w:rPr>
          <w:rFonts w:hint="eastAsia" w:ascii="宋体" w:hAnsi="宋体" w:eastAsia="宋体"/>
          <w:b/>
        </w:rPr>
        <w:t>24.2若采购项目出现延期情况：</w:t>
      </w:r>
    </w:p>
    <w:p w14:paraId="70444EAA">
      <w:pPr>
        <w:ind w:firstLine="482" w:firstLineChars="200"/>
        <w:rPr>
          <w:rFonts w:ascii="宋体" w:hAnsi="宋体" w:eastAsia="宋体"/>
          <w:b/>
        </w:rPr>
      </w:pPr>
      <w:r>
        <w:rPr>
          <w:rFonts w:hint="eastAsia" w:ascii="宋体" w:hAnsi="宋体" w:eastAsia="宋体"/>
          <w:b/>
        </w:rPr>
        <w:t>如果供下载的招标文件（后缀名为.</w:t>
      </w:r>
      <w:r>
        <w:rPr>
          <w:rFonts w:ascii="宋体" w:hAnsi="宋体" w:eastAsia="宋体"/>
          <w:b/>
        </w:rPr>
        <w:t>szczf</w:t>
      </w:r>
      <w:r>
        <w:rPr>
          <w:rFonts w:hint="eastAsia" w:ascii="宋体" w:hAnsi="宋体" w:eastAsia="宋体"/>
          <w:b/>
        </w:rPr>
        <w:t>）有更新，投标人必须重新下载招标文件、重新制作投标文件、重新加密投标文件、重新上传投标文件；如果供下载的招标文件（后缀名为.</w:t>
      </w:r>
      <w:r>
        <w:rPr>
          <w:rFonts w:ascii="宋体" w:hAnsi="宋体" w:eastAsia="宋体"/>
          <w:b/>
        </w:rPr>
        <w:t>szczf</w:t>
      </w:r>
      <w:r>
        <w:rPr>
          <w:rFonts w:hint="eastAsia" w:ascii="宋体" w:hAnsi="宋体" w:eastAsia="宋体"/>
          <w:b/>
        </w:rPr>
        <w:t>）没有更新，投标人必须重新加密投标文件、重新上传投标文件（是否重新制作投标文件根据项目实际情况定）。否则，投标人自行承担投标文件无法解密导致投标无效的后果。</w:t>
      </w:r>
    </w:p>
    <w:p w14:paraId="47854065">
      <w:pPr>
        <w:rPr>
          <w:rFonts w:ascii="宋体" w:hAnsi="宋体" w:eastAsia="宋体"/>
        </w:rPr>
      </w:pPr>
      <w:r>
        <w:rPr>
          <w:rFonts w:hint="eastAsia" w:ascii="宋体" w:hAnsi="宋体" w:eastAsia="宋体"/>
        </w:rPr>
        <w:t>25．上传投标文件及投标截止日期</w:t>
      </w:r>
    </w:p>
    <w:p w14:paraId="39EC6501">
      <w:pPr>
        <w:ind w:firstLine="470" w:firstLineChars="196"/>
        <w:rPr>
          <w:rFonts w:ascii="宋体" w:hAnsi="宋体" w:eastAsia="宋体"/>
        </w:rPr>
      </w:pPr>
      <w:r>
        <w:rPr>
          <w:rFonts w:hint="eastAsia" w:ascii="宋体" w:hAnsi="宋体" w:eastAsia="宋体" w:cs="宋体"/>
          <w:bCs/>
          <w:color w:val="000000" w:themeColor="text1"/>
          <w14:textFill>
            <w14:solidFill>
              <w14:schemeClr w14:val="tx1"/>
            </w14:solidFill>
          </w14:textFill>
        </w:rPr>
        <w:t>25.1实行网上投标，投标人必须在招标文件规定的投标截止时间前用电子密钥登录“深圳政府采购智慧平台用户网上办事子系统（</w:t>
      </w:r>
      <w:r>
        <w:rPr>
          <w:rFonts w:hint="eastAsia" w:ascii="宋体" w:hAnsi="宋体" w:eastAsia="宋体" w:cs="宋体"/>
          <w:bCs/>
          <w:color w:val="000000" w:themeColor="text1"/>
          <w:highlight w:val="yellow"/>
          <w14:textFill>
            <w14:solidFill>
              <w14:schemeClr w14:val="tx1"/>
            </w14:solidFill>
          </w14:textFill>
        </w:rPr>
        <w:t>http://zfcg.szggzy.com:8081/TPBidder/memberLogin</w:t>
      </w:r>
      <w:r>
        <w:rPr>
          <w:rFonts w:hint="eastAsia" w:ascii="宋体" w:hAnsi="宋体" w:eastAsia="宋体" w:cs="宋体"/>
          <w:bCs/>
          <w:color w:val="000000" w:themeColor="text1"/>
          <w14:textFill>
            <w14:solidFill>
              <w14:schemeClr w14:val="tx1"/>
            </w14:solidFill>
          </w14:textFill>
        </w:rPr>
        <w:t>）”，用“【我的项目】→【项目流程】→【递交投标(应答)文件】”功能点上传投标文件。如上传过程中遇到问题，可拨打技术支持电话，联系方式：</w:t>
      </w:r>
      <w:r>
        <w:rPr>
          <w:rFonts w:hint="eastAsia" w:ascii="宋体" w:hAnsi="宋体"/>
          <w:highlight w:val="yellow"/>
        </w:rPr>
        <w:t>0755-88653300-6</w:t>
      </w:r>
      <w:r>
        <w:rPr>
          <w:rFonts w:hint="eastAsia" w:ascii="宋体" w:hAnsi="宋体" w:eastAsia="宋体" w:cs="宋体"/>
          <w:bCs/>
          <w:color w:val="000000" w:themeColor="text1"/>
          <w14:textFill>
            <w14:solidFill>
              <w14:schemeClr w14:val="tx1"/>
            </w14:solidFill>
          </w14:textFill>
        </w:rPr>
        <w:t>。</w:t>
      </w:r>
    </w:p>
    <w:p w14:paraId="60DEE0A8">
      <w:pPr>
        <w:ind w:firstLine="470" w:firstLineChars="196"/>
        <w:rPr>
          <w:rFonts w:ascii="宋体" w:hAnsi="宋体" w:eastAsia="宋体"/>
        </w:rPr>
      </w:pPr>
      <w:r>
        <w:rPr>
          <w:rFonts w:hint="eastAsia" w:ascii="宋体" w:hAnsi="宋体" w:eastAsia="宋体"/>
        </w:rPr>
        <w:t>25.2招标机构可以按本通用条款第13条规定，通过修改招标文件自行决定酌情延长投标截止期。在此情况下，招标机构、采购人和投标人受投标截止期制约的所有权利和义务均应延长至新的截止期。</w:t>
      </w:r>
    </w:p>
    <w:p w14:paraId="62175545">
      <w:pPr>
        <w:ind w:firstLine="470" w:firstLineChars="196"/>
        <w:rPr>
          <w:rFonts w:ascii="宋体" w:hAnsi="宋体" w:eastAsia="宋体"/>
        </w:rPr>
      </w:pPr>
      <w:r>
        <w:rPr>
          <w:rFonts w:hint="eastAsia" w:ascii="宋体" w:hAnsi="宋体" w:eastAsia="宋体"/>
        </w:rPr>
        <w:t>25</w:t>
      </w:r>
      <w:r>
        <w:rPr>
          <w:rFonts w:ascii="宋体" w:hAnsi="宋体" w:eastAsia="宋体"/>
        </w:rPr>
        <w:t>.</w:t>
      </w:r>
      <w:r>
        <w:rPr>
          <w:rFonts w:hint="eastAsia" w:ascii="宋体" w:hAnsi="宋体" w:eastAsia="宋体"/>
        </w:rPr>
        <w:t>3投标截止时间以后不得上传投标文件。</w:t>
      </w:r>
    </w:p>
    <w:p w14:paraId="0864DB2D">
      <w:pPr>
        <w:ind w:firstLine="470" w:firstLineChars="196"/>
        <w:rPr>
          <w:rFonts w:ascii="宋体" w:hAnsi="宋体" w:eastAsia="宋体"/>
        </w:rPr>
      </w:pPr>
      <w:r>
        <w:rPr>
          <w:rFonts w:hint="eastAsia" w:ascii="宋体" w:hAnsi="宋体" w:eastAsia="宋体"/>
        </w:rPr>
        <w:t>25.4.投标人须在开标当日的开标时间至解密截止时间内进行解密，逾期未解密的作无效处理。解密方法：登录“深圳政府采购智慧平台用户网上办事子系统（</w:t>
      </w:r>
      <w:r>
        <w:t>http://zfcg.szggzy.com:8081/TPBidder/memberLogin</w:t>
      </w:r>
      <w:r>
        <w:rPr>
          <w:rFonts w:hint="eastAsia" w:ascii="宋体" w:hAnsi="宋体" w:eastAsia="宋体"/>
        </w:rPr>
        <w:t>）”，使用本单位制作电子投标文件同一个电子密钥，在“【我的项目】→【项目流程】→【开标及解密】”进行在线解密、查询开标情况。</w:t>
      </w:r>
    </w:p>
    <w:bookmarkEnd w:id="106"/>
    <w:p w14:paraId="176AA65C">
      <w:pPr>
        <w:rPr>
          <w:rFonts w:ascii="宋体" w:hAnsi="宋体" w:eastAsia="宋体"/>
        </w:rPr>
      </w:pPr>
      <w:r>
        <w:rPr>
          <w:rFonts w:hint="eastAsia" w:ascii="宋体" w:hAnsi="宋体" w:eastAsia="宋体"/>
        </w:rPr>
        <w:t>26. 样品、现场演示、方案讲解</w:t>
      </w:r>
    </w:p>
    <w:p w14:paraId="713562D2">
      <w:pPr>
        <w:ind w:firstLine="470" w:firstLineChars="196"/>
        <w:rPr>
          <w:rFonts w:ascii="宋体" w:hAnsi="宋体" w:eastAsia="宋体"/>
          <w:szCs w:val="21"/>
        </w:rPr>
      </w:pPr>
      <w:r>
        <w:rPr>
          <w:rFonts w:hint="eastAsia" w:ascii="宋体" w:hAnsi="宋体" w:eastAsia="宋体"/>
          <w:szCs w:val="21"/>
        </w:rPr>
        <w:t>26.1 样品、现场演示、方案讲解等事项在招标文件专用条款中进行规定。</w:t>
      </w:r>
    </w:p>
    <w:p w14:paraId="435559BC">
      <w:pPr>
        <w:rPr>
          <w:rFonts w:ascii="宋体" w:hAnsi="宋体" w:eastAsia="宋体"/>
        </w:rPr>
      </w:pPr>
      <w:bookmarkStart w:id="107" w:name="_Hlk72428346"/>
      <w:r>
        <w:rPr>
          <w:rFonts w:ascii="宋体" w:hAnsi="宋体" w:eastAsia="宋体"/>
        </w:rPr>
        <w:t>2</w:t>
      </w:r>
      <w:r>
        <w:rPr>
          <w:rFonts w:hint="eastAsia" w:ascii="宋体" w:hAnsi="宋体" w:eastAsia="宋体"/>
        </w:rPr>
        <w:t>7．</w:t>
      </w:r>
      <w:r>
        <w:rPr>
          <w:rFonts w:ascii="宋体" w:hAnsi="宋体" w:eastAsia="宋体"/>
        </w:rPr>
        <w:t>投标文件的修改和撤销</w:t>
      </w:r>
    </w:p>
    <w:p w14:paraId="119D3B1B">
      <w:pPr>
        <w:ind w:firstLine="470" w:firstLineChars="196"/>
        <w:rPr>
          <w:rFonts w:ascii="宋体" w:hAnsi="宋体" w:eastAsia="宋体"/>
        </w:rPr>
      </w:pPr>
      <w:r>
        <w:rPr>
          <w:rFonts w:ascii="宋体" w:hAnsi="宋体" w:eastAsia="宋体"/>
        </w:rPr>
        <w:t>2</w:t>
      </w:r>
      <w:r>
        <w:rPr>
          <w:rFonts w:hint="eastAsia" w:ascii="宋体" w:hAnsi="宋体" w:eastAsia="宋体"/>
        </w:rPr>
        <w:t>7</w:t>
      </w:r>
      <w:r>
        <w:rPr>
          <w:rFonts w:ascii="宋体" w:hAnsi="宋体" w:eastAsia="宋体"/>
        </w:rPr>
        <w:t>.</w:t>
      </w:r>
      <w:r>
        <w:rPr>
          <w:rFonts w:hint="eastAsia" w:ascii="宋体" w:hAnsi="宋体" w:eastAsia="宋体"/>
        </w:rPr>
        <w:t>1</w:t>
      </w:r>
      <w:r>
        <w:rPr>
          <w:rFonts w:ascii="宋体" w:hAnsi="宋体" w:eastAsia="宋体"/>
        </w:rPr>
        <w:t>投标方在提交投标文件后可对其投标文件进行修改</w:t>
      </w:r>
      <w:r>
        <w:rPr>
          <w:rFonts w:hint="eastAsia" w:ascii="宋体" w:hAnsi="宋体" w:eastAsia="宋体"/>
        </w:rPr>
        <w:t>并重新上传投标文件</w:t>
      </w:r>
      <w:r>
        <w:rPr>
          <w:rFonts w:ascii="宋体" w:hAnsi="宋体" w:eastAsia="宋体"/>
        </w:rPr>
        <w:t>或</w:t>
      </w:r>
      <w:r>
        <w:rPr>
          <w:rFonts w:hint="eastAsia" w:ascii="宋体" w:hAnsi="宋体" w:eastAsia="宋体"/>
        </w:rPr>
        <w:t>在网上进行</w:t>
      </w:r>
      <w:r>
        <w:rPr>
          <w:rFonts w:ascii="宋体" w:hAnsi="宋体" w:eastAsia="宋体"/>
        </w:rPr>
        <w:t>撤销</w:t>
      </w:r>
      <w:r>
        <w:rPr>
          <w:rFonts w:hint="eastAsia" w:ascii="宋体" w:hAnsi="宋体" w:eastAsia="宋体"/>
        </w:rPr>
        <w:t>投标的操作</w:t>
      </w:r>
      <w:r>
        <w:rPr>
          <w:rFonts w:ascii="宋体" w:hAnsi="宋体" w:eastAsia="宋体"/>
        </w:rPr>
        <w:t>。</w:t>
      </w:r>
    </w:p>
    <w:p w14:paraId="5C4BFE55">
      <w:pPr>
        <w:ind w:firstLine="470" w:firstLineChars="196"/>
        <w:rPr>
          <w:rFonts w:ascii="宋体" w:hAnsi="宋体" w:eastAsia="宋体"/>
        </w:rPr>
      </w:pPr>
      <w:r>
        <w:rPr>
          <w:rFonts w:ascii="宋体" w:hAnsi="宋体" w:eastAsia="宋体"/>
        </w:rPr>
        <w:t>2</w:t>
      </w:r>
      <w:r>
        <w:rPr>
          <w:rFonts w:hint="eastAsia" w:ascii="宋体" w:hAnsi="宋体" w:eastAsia="宋体"/>
        </w:rPr>
        <w:t>7</w:t>
      </w:r>
      <w:r>
        <w:rPr>
          <w:rFonts w:ascii="宋体" w:hAnsi="宋体" w:eastAsia="宋体"/>
        </w:rPr>
        <w:t>.</w:t>
      </w:r>
      <w:r>
        <w:rPr>
          <w:rFonts w:hint="eastAsia" w:ascii="宋体" w:hAnsi="宋体" w:eastAsia="宋体"/>
        </w:rPr>
        <w:t>2</w:t>
      </w:r>
      <w:r>
        <w:rPr>
          <w:rFonts w:ascii="宋体" w:hAnsi="宋体" w:eastAsia="宋体"/>
        </w:rPr>
        <w:t>投标截止时间以后不得修改投标文件。</w:t>
      </w:r>
    </w:p>
    <w:p w14:paraId="1A6EE809">
      <w:pPr>
        <w:ind w:firstLine="470" w:firstLineChars="196"/>
        <w:rPr>
          <w:rFonts w:ascii="宋体" w:hAnsi="宋体" w:eastAsia="宋体"/>
        </w:rPr>
      </w:pPr>
      <w:r>
        <w:rPr>
          <w:rFonts w:ascii="宋体" w:hAnsi="宋体" w:eastAsia="宋体"/>
        </w:rPr>
        <w:t>2</w:t>
      </w:r>
      <w:r>
        <w:rPr>
          <w:rFonts w:hint="eastAsia" w:ascii="宋体" w:hAnsi="宋体" w:eastAsia="宋体"/>
        </w:rPr>
        <w:t>7</w:t>
      </w:r>
      <w:r>
        <w:rPr>
          <w:rFonts w:ascii="宋体" w:hAnsi="宋体" w:eastAsia="宋体"/>
        </w:rPr>
        <w:t>.</w:t>
      </w:r>
      <w:r>
        <w:rPr>
          <w:rFonts w:hint="eastAsia" w:ascii="宋体" w:hAnsi="宋体" w:eastAsia="宋体"/>
        </w:rPr>
        <w:t>3从投标截止期至投标人在投标文件中确定的投标有效期之间的这段时间内，投标人不得撤回其投标。</w:t>
      </w:r>
    </w:p>
    <w:p w14:paraId="1E9A0596">
      <w:pPr>
        <w:ind w:firstLine="470" w:firstLineChars="196"/>
        <w:rPr>
          <w:rFonts w:ascii="宋体" w:hAnsi="宋体" w:eastAsia="宋体"/>
          <w:szCs w:val="21"/>
        </w:rPr>
      </w:pPr>
      <w:r>
        <w:rPr>
          <w:rFonts w:hint="eastAsia" w:ascii="宋体" w:hAnsi="宋体" w:eastAsia="宋体"/>
          <w:szCs w:val="21"/>
        </w:rPr>
        <w:t>27.4招标机构不退还投标文件，专用条款另有规定的除外。</w:t>
      </w:r>
    </w:p>
    <w:bookmarkEnd w:id="107"/>
    <w:p w14:paraId="73358EA6">
      <w:pPr>
        <w:pStyle w:val="5"/>
        <w:numPr>
          <w:ilvl w:val="0"/>
          <w:numId w:val="13"/>
        </w:numPr>
        <w:spacing w:before="120" w:beforeLines="50" w:after="120" w:afterLines="50"/>
        <w:ind w:left="562" w:hanging="562"/>
        <w:rPr>
          <w:sz w:val="28"/>
          <w:szCs w:val="28"/>
        </w:rPr>
      </w:pPr>
      <w:r>
        <w:rPr>
          <w:rFonts w:hint="eastAsia"/>
          <w:sz w:val="28"/>
          <w:szCs w:val="28"/>
        </w:rPr>
        <w:t>开标</w:t>
      </w:r>
    </w:p>
    <w:p w14:paraId="03545D31">
      <w:pPr>
        <w:rPr>
          <w:rFonts w:ascii="宋体" w:hAnsi="宋体" w:eastAsia="宋体"/>
        </w:rPr>
      </w:pPr>
      <w:r>
        <w:rPr>
          <w:rFonts w:hint="eastAsia" w:ascii="宋体" w:hAnsi="宋体" w:eastAsia="宋体"/>
        </w:rPr>
        <w:t>28．开标</w:t>
      </w:r>
    </w:p>
    <w:p w14:paraId="0EF9D916">
      <w:pPr>
        <w:ind w:firstLine="480" w:firstLineChars="200"/>
        <w:rPr>
          <w:rFonts w:ascii="宋体" w:hAnsi="宋体" w:eastAsia="宋体"/>
        </w:rPr>
      </w:pPr>
      <w:r>
        <w:rPr>
          <w:rFonts w:ascii="宋体" w:hAnsi="宋体" w:eastAsia="宋体"/>
          <w:szCs w:val="21"/>
        </w:rPr>
        <w:t>2</w:t>
      </w:r>
      <w:r>
        <w:rPr>
          <w:rFonts w:hint="eastAsia" w:ascii="宋体" w:hAnsi="宋体" w:eastAsia="宋体"/>
          <w:szCs w:val="21"/>
        </w:rPr>
        <w:t>8</w:t>
      </w:r>
      <w:r>
        <w:rPr>
          <w:rFonts w:ascii="宋体" w:hAnsi="宋体" w:eastAsia="宋体"/>
          <w:szCs w:val="21"/>
        </w:rPr>
        <w:t>.</w:t>
      </w:r>
      <w:r>
        <w:rPr>
          <w:rFonts w:hint="eastAsia" w:ascii="宋体" w:hAnsi="宋体" w:eastAsia="宋体"/>
          <w:szCs w:val="21"/>
        </w:rPr>
        <w:t>1</w:t>
      </w:r>
      <w:r>
        <w:rPr>
          <w:rFonts w:hint="eastAsia" w:ascii="宋体" w:hAnsi="宋体" w:eastAsia="宋体"/>
        </w:rPr>
        <w:t>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200CFFFC">
      <w:pPr>
        <w:ind w:firstLine="410" w:firstLineChars="171"/>
        <w:rPr>
          <w:rFonts w:ascii="宋体" w:hAnsi="宋体" w:eastAsia="宋体"/>
          <w:szCs w:val="21"/>
        </w:rPr>
      </w:pPr>
      <w:r>
        <w:rPr>
          <w:rFonts w:hint="eastAsia" w:ascii="宋体" w:hAnsi="宋体" w:eastAsia="宋体"/>
          <w:szCs w:val="21"/>
        </w:rPr>
        <w:t>2</w:t>
      </w:r>
      <w:r>
        <w:rPr>
          <w:rFonts w:ascii="宋体" w:hAnsi="宋体" w:eastAsia="宋体"/>
          <w:szCs w:val="21"/>
        </w:rPr>
        <w:t xml:space="preserve">8.2 </w:t>
      </w:r>
      <w:r>
        <w:rPr>
          <w:rFonts w:hint="eastAsia" w:ascii="宋体" w:hAnsi="宋体" w:eastAsia="宋体"/>
          <w:szCs w:val="21"/>
        </w:rPr>
        <w:t>招标机构将在满足开标条件（</w:t>
      </w:r>
      <w:r>
        <w:rPr>
          <w:rFonts w:hint="eastAsia" w:ascii="宋体" w:hAnsi="宋体" w:eastAsia="宋体" w:cs="宋体"/>
          <w:color w:val="333333"/>
          <w:sz w:val="20"/>
          <w:szCs w:val="20"/>
          <w:shd w:val="clear" w:color="auto" w:fill="FFFFFF"/>
        </w:rPr>
        <w:t>①</w:t>
      </w:r>
      <w:r>
        <w:rPr>
          <w:rFonts w:hint="eastAsia" w:ascii="宋体" w:hAnsi="宋体" w:eastAsia="宋体"/>
          <w:szCs w:val="21"/>
        </w:rPr>
        <w:t>解密时间结束，解密后的投标供应商数量满足开标要求或</w:t>
      </w:r>
      <w:r>
        <w:rPr>
          <w:rFonts w:hint="eastAsia" w:ascii="宋体" w:hAnsi="宋体" w:eastAsia="宋体" w:cs="宋体"/>
          <w:color w:val="333333"/>
          <w:sz w:val="20"/>
          <w:szCs w:val="20"/>
          <w:shd w:val="clear" w:color="auto" w:fill="FFFFFF"/>
        </w:rPr>
        <w:t>②</w:t>
      </w:r>
      <w:r>
        <w:rPr>
          <w:rFonts w:hint="eastAsia" w:ascii="宋体" w:hAnsi="宋体" w:eastAsia="宋体"/>
          <w:szCs w:val="21"/>
        </w:rPr>
        <w:t>解密时间结束前所有投标供应商均完成投标文件解密）后，对投标文件进行开标，并在网上公布开标结果。</w:t>
      </w:r>
    </w:p>
    <w:p w14:paraId="5EF37726">
      <w:pPr>
        <w:pStyle w:val="5"/>
        <w:numPr>
          <w:ilvl w:val="0"/>
          <w:numId w:val="13"/>
        </w:numPr>
        <w:spacing w:before="120" w:beforeLines="50" w:after="120" w:afterLines="50"/>
        <w:ind w:left="562" w:hanging="562"/>
        <w:rPr>
          <w:sz w:val="28"/>
          <w:szCs w:val="28"/>
        </w:rPr>
      </w:pPr>
      <w:r>
        <w:rPr>
          <w:rFonts w:hint="eastAsia"/>
          <w:sz w:val="28"/>
          <w:szCs w:val="28"/>
        </w:rPr>
        <w:t>评审要求</w:t>
      </w:r>
    </w:p>
    <w:p w14:paraId="4C5BF95A">
      <w:pPr>
        <w:rPr>
          <w:rFonts w:ascii="宋体" w:hAnsi="宋体" w:eastAsia="宋体"/>
        </w:rPr>
      </w:pPr>
      <w:r>
        <w:rPr>
          <w:rFonts w:hint="eastAsia" w:ascii="宋体" w:hAnsi="宋体" w:eastAsia="宋体"/>
        </w:rPr>
        <w:t>29．评审委员会组成</w:t>
      </w:r>
    </w:p>
    <w:p w14:paraId="69030166">
      <w:pPr>
        <w:ind w:firstLine="470" w:firstLineChars="196"/>
        <w:rPr>
          <w:rFonts w:ascii="宋体" w:hAnsi="宋体" w:eastAsia="宋体"/>
        </w:rPr>
      </w:pPr>
      <w:r>
        <w:rPr>
          <w:rFonts w:hint="eastAsia" w:ascii="宋体" w:hAnsi="宋体" w:eastAsia="宋体"/>
        </w:rPr>
        <w:t>29.1网上开标结束后召开评审会议，</w:t>
      </w:r>
      <w:r>
        <w:rPr>
          <w:rFonts w:hint="eastAsia" w:ascii="宋体" w:hAnsi="宋体" w:eastAsia="宋体"/>
          <w:szCs w:val="21"/>
        </w:rPr>
        <w:t>评审委员会</w:t>
      </w:r>
      <w:r>
        <w:rPr>
          <w:rFonts w:hint="eastAsia" w:ascii="宋体" w:hAnsi="宋体" w:eastAsia="宋体"/>
        </w:rPr>
        <w:t>由招标机构依法组建，负责评审活动。</w:t>
      </w:r>
    </w:p>
    <w:p w14:paraId="2DC1DD54">
      <w:pPr>
        <w:ind w:firstLine="470" w:firstLineChars="196"/>
        <w:rPr>
          <w:rFonts w:ascii="宋体" w:hAnsi="宋体" w:eastAsia="宋体"/>
        </w:rPr>
      </w:pPr>
      <w:bookmarkStart w:id="108"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108"/>
      <w:r>
        <w:rPr>
          <w:rFonts w:hint="eastAsia" w:ascii="宋体" w:hAnsi="宋体" w:eastAsia="宋体"/>
        </w:rPr>
        <w:t>评定分离项目</w:t>
      </w:r>
      <w:r>
        <w:rPr>
          <w:rFonts w:ascii="宋体" w:hAnsi="宋体" w:eastAsia="宋体"/>
        </w:rPr>
        <w:t>评审专家</w:t>
      </w:r>
      <w:r>
        <w:rPr>
          <w:rFonts w:hint="eastAsia" w:ascii="宋体" w:hAnsi="宋体" w:eastAsia="宋体"/>
        </w:rPr>
        <w:t>均</w:t>
      </w:r>
      <w:r>
        <w:rPr>
          <w:rFonts w:ascii="宋体" w:hAnsi="宋体" w:eastAsia="宋体"/>
        </w:rPr>
        <w:t>由</w:t>
      </w:r>
      <w:r>
        <w:rPr>
          <w:rFonts w:hint="eastAsia" w:ascii="宋体" w:hAnsi="宋体" w:eastAsia="宋体"/>
        </w:rPr>
        <w:t>评审专家组成。</w:t>
      </w:r>
      <w:r>
        <w:rPr>
          <w:rFonts w:hint="eastAsia" w:ascii="宋体" w:hAnsi="宋体" w:eastAsia="宋体"/>
          <w:szCs w:val="21"/>
        </w:rPr>
        <w:t>评审专家一般是</w:t>
      </w:r>
      <w:r>
        <w:rPr>
          <w:rFonts w:hint="eastAsia" w:ascii="宋体" w:hAnsi="宋体" w:eastAsia="宋体"/>
        </w:rPr>
        <w:t>从深圳市政府采购评审专家库中随机抽取。采购人代表须持本单位签发的《评审授权书》参加评审。</w:t>
      </w:r>
    </w:p>
    <w:p w14:paraId="2A6E2CAA">
      <w:pPr>
        <w:ind w:firstLine="470" w:firstLineChars="196"/>
        <w:rPr>
          <w:rFonts w:ascii="宋体" w:hAnsi="宋体" w:eastAsia="宋体"/>
        </w:rPr>
      </w:pPr>
      <w:r>
        <w:rPr>
          <w:rFonts w:hint="eastAsia" w:ascii="宋体" w:hAnsi="宋体" w:eastAsia="宋体"/>
        </w:rPr>
        <w:t>29.2评审定标应当遵循公平、公正、科学、择优的原则。</w:t>
      </w:r>
    </w:p>
    <w:p w14:paraId="5FA6F59D">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14:paraId="03E76791">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14:paraId="353D35E2">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ascii="宋体" w:hAnsi="宋体" w:eastAsia="宋体"/>
        </w:rPr>
        <w:t>信息公开的内容除外</w:t>
      </w:r>
      <w:r>
        <w:rPr>
          <w:rFonts w:hint="eastAsia" w:ascii="宋体" w:hAnsi="宋体" w:eastAsia="宋体"/>
          <w:bCs/>
        </w:rPr>
        <w:t>）。</w:t>
      </w:r>
    </w:p>
    <w:p w14:paraId="18C5124A">
      <w:pPr>
        <w:rPr>
          <w:rFonts w:ascii="宋体" w:hAnsi="宋体" w:eastAsia="宋体"/>
        </w:rPr>
      </w:pPr>
      <w:r>
        <w:rPr>
          <w:rFonts w:hint="eastAsia" w:ascii="宋体" w:hAnsi="宋体" w:eastAsia="宋体"/>
        </w:rPr>
        <w:t>30．向评审委员会提供的资料</w:t>
      </w:r>
    </w:p>
    <w:p w14:paraId="3C4F4927">
      <w:pPr>
        <w:ind w:firstLine="470" w:firstLineChars="196"/>
        <w:rPr>
          <w:rFonts w:ascii="宋体" w:hAnsi="宋体" w:eastAsia="宋体"/>
        </w:rPr>
      </w:pPr>
      <w:r>
        <w:rPr>
          <w:rFonts w:hint="eastAsia" w:ascii="宋体" w:hAnsi="宋体" w:eastAsia="宋体"/>
        </w:rPr>
        <w:t>30.1公开发布的招标文件，包括图纸、服务清单、答疑文件等；</w:t>
      </w:r>
    </w:p>
    <w:p w14:paraId="4238490F">
      <w:pPr>
        <w:ind w:firstLine="470" w:firstLineChars="196"/>
        <w:rPr>
          <w:rFonts w:ascii="宋体" w:hAnsi="宋体" w:eastAsia="宋体"/>
        </w:rPr>
      </w:pPr>
      <w:r>
        <w:rPr>
          <w:rFonts w:hint="eastAsia" w:ascii="宋体" w:hAnsi="宋体" w:eastAsia="宋体"/>
        </w:rPr>
        <w:t>30.2其他评标必须的资料。</w:t>
      </w:r>
    </w:p>
    <w:p w14:paraId="336E6965">
      <w:pPr>
        <w:ind w:firstLine="470" w:firstLineChars="196"/>
        <w:rPr>
          <w:rFonts w:ascii="宋体" w:hAnsi="宋体" w:eastAsia="宋体"/>
        </w:rPr>
      </w:pPr>
      <w:r>
        <w:rPr>
          <w:rFonts w:hint="eastAsia" w:ascii="宋体" w:hAnsi="宋体" w:eastAsia="宋体"/>
        </w:rPr>
        <w:t>30.3</w:t>
      </w:r>
      <w:r>
        <w:rPr>
          <w:rFonts w:hint="eastAsia" w:ascii="宋体" w:hAnsi="宋体" w:eastAsia="宋体"/>
          <w:szCs w:val="21"/>
        </w:rPr>
        <w:t>评审委员会</w:t>
      </w:r>
      <w:r>
        <w:rPr>
          <w:rFonts w:hint="eastAsia" w:ascii="宋体" w:hAnsi="宋体" w:eastAsia="宋体"/>
        </w:rPr>
        <w:t>应当认真研究招标文件，至少应了解熟悉以下内容：</w:t>
      </w:r>
    </w:p>
    <w:p w14:paraId="66A157D3">
      <w:pPr>
        <w:ind w:firstLine="470" w:firstLineChars="196"/>
        <w:rPr>
          <w:rFonts w:ascii="宋体" w:hAnsi="宋体" w:eastAsia="宋体"/>
        </w:rPr>
      </w:pPr>
      <w:r>
        <w:rPr>
          <w:rFonts w:hint="eastAsia" w:ascii="宋体" w:hAnsi="宋体" w:eastAsia="宋体"/>
        </w:rPr>
        <w:t>（1）招标的目的；</w:t>
      </w:r>
    </w:p>
    <w:p w14:paraId="1EB4233B">
      <w:pPr>
        <w:ind w:firstLine="470" w:firstLineChars="196"/>
        <w:rPr>
          <w:rFonts w:ascii="宋体" w:hAnsi="宋体" w:eastAsia="宋体"/>
        </w:rPr>
      </w:pPr>
      <w:r>
        <w:rPr>
          <w:rFonts w:hint="eastAsia" w:ascii="宋体" w:hAnsi="宋体" w:eastAsia="宋体"/>
        </w:rPr>
        <w:t>（2）招标项目需求的范围和性质；</w:t>
      </w:r>
    </w:p>
    <w:p w14:paraId="177905BF">
      <w:pPr>
        <w:ind w:firstLine="470" w:firstLineChars="196"/>
        <w:rPr>
          <w:rFonts w:ascii="宋体" w:hAnsi="宋体" w:eastAsia="宋体"/>
        </w:rPr>
      </w:pPr>
      <w:r>
        <w:rPr>
          <w:rFonts w:hint="eastAsia" w:ascii="宋体" w:hAnsi="宋体" w:eastAsia="宋体"/>
        </w:rPr>
        <w:t>（3）招标文件规定的投标人的资格、财政预算限额、商务条款；</w:t>
      </w:r>
    </w:p>
    <w:p w14:paraId="60966CAC">
      <w:pPr>
        <w:ind w:firstLine="470" w:firstLineChars="196"/>
        <w:rPr>
          <w:rFonts w:ascii="宋体" w:hAnsi="宋体" w:eastAsia="宋体"/>
        </w:rPr>
      </w:pPr>
      <w:r>
        <w:rPr>
          <w:rFonts w:hint="eastAsia" w:ascii="宋体" w:hAnsi="宋体" w:eastAsia="宋体"/>
        </w:rPr>
        <w:t>（4）招标文件规定的评标程序、评标方法和评标因素；</w:t>
      </w:r>
    </w:p>
    <w:p w14:paraId="0E193F5D">
      <w:pPr>
        <w:ind w:firstLine="470" w:firstLineChars="196"/>
        <w:rPr>
          <w:rFonts w:ascii="宋体" w:hAnsi="宋体" w:eastAsia="宋体"/>
        </w:rPr>
      </w:pPr>
      <w:r>
        <w:rPr>
          <w:rFonts w:hint="eastAsia" w:ascii="宋体" w:hAnsi="宋体" w:eastAsia="宋体"/>
        </w:rPr>
        <w:t>（5）招标文件所列示的资格性审查表及符合性审查表。</w:t>
      </w:r>
    </w:p>
    <w:p w14:paraId="35AA708F">
      <w:pPr>
        <w:rPr>
          <w:rFonts w:ascii="宋体" w:hAnsi="宋体" w:eastAsia="宋体"/>
        </w:rPr>
      </w:pPr>
      <w:r>
        <w:rPr>
          <w:rFonts w:hint="eastAsia" w:ascii="宋体" w:hAnsi="宋体" w:eastAsia="宋体"/>
        </w:rPr>
        <w:t>31．独立评审</w:t>
      </w:r>
    </w:p>
    <w:p w14:paraId="5F6F3C5C">
      <w:pPr>
        <w:ind w:firstLine="470" w:firstLineChars="196"/>
        <w:rPr>
          <w:rFonts w:ascii="宋体" w:hAnsi="宋体" w:eastAsia="宋体"/>
          <w:bCs/>
        </w:rPr>
      </w:pPr>
      <w:r>
        <w:rPr>
          <w:rFonts w:hint="eastAsia" w:ascii="宋体" w:hAnsi="宋体" w:eastAsia="宋体"/>
          <w:bCs/>
        </w:rPr>
        <w:t>3</w:t>
      </w:r>
      <w:r>
        <w:rPr>
          <w:rFonts w:ascii="宋体" w:hAnsi="宋体" w:eastAsia="宋体"/>
          <w:bCs/>
        </w:rPr>
        <w:t>1</w:t>
      </w:r>
      <w:r>
        <w:rPr>
          <w:rFonts w:hint="eastAsia" w:ascii="宋体" w:hAnsi="宋体" w:eastAsia="宋体"/>
          <w:bCs/>
        </w:rPr>
        <w:t>.1</w:t>
      </w:r>
      <w:r>
        <w:rPr>
          <w:rFonts w:hint="eastAsia" w:ascii="宋体" w:hAnsi="宋体" w:eastAsia="宋体"/>
          <w:szCs w:val="21"/>
        </w:rPr>
        <w:t>评审委员会</w:t>
      </w:r>
      <w:r>
        <w:rPr>
          <w:rFonts w:hint="eastAsia" w:ascii="宋体" w:hAnsi="宋体" w:eastAsia="宋体"/>
          <w:bCs/>
        </w:rPr>
        <w:t>成员的评标活动应当独立进行，并应遵循投标文件初审、澄清有关问题、比较与评价、确定中标供应商、编写评审报告的工作程序。</w:t>
      </w:r>
    </w:p>
    <w:p w14:paraId="1A6A588E">
      <w:pPr>
        <w:pStyle w:val="5"/>
        <w:numPr>
          <w:ilvl w:val="0"/>
          <w:numId w:val="13"/>
        </w:numPr>
        <w:spacing w:before="120" w:beforeLines="50" w:after="120" w:afterLines="50"/>
        <w:ind w:left="562" w:hanging="562"/>
        <w:rPr>
          <w:sz w:val="28"/>
          <w:szCs w:val="28"/>
        </w:rPr>
      </w:pPr>
      <w:r>
        <w:rPr>
          <w:rFonts w:hint="eastAsia"/>
          <w:sz w:val="28"/>
          <w:szCs w:val="28"/>
        </w:rPr>
        <w:t>评审程序及评审方法</w:t>
      </w:r>
    </w:p>
    <w:p w14:paraId="5EA1182F">
      <w:pPr>
        <w:rPr>
          <w:rFonts w:ascii="宋体" w:hAnsi="宋体" w:eastAsia="宋体"/>
        </w:rPr>
      </w:pPr>
      <w:r>
        <w:rPr>
          <w:rFonts w:hint="eastAsia" w:ascii="宋体" w:hAnsi="宋体" w:eastAsia="宋体"/>
        </w:rPr>
        <w:t>32．投标文件初审</w:t>
      </w:r>
    </w:p>
    <w:p w14:paraId="39261F7D">
      <w:pPr>
        <w:ind w:firstLine="470" w:firstLineChars="196"/>
        <w:rPr>
          <w:rFonts w:ascii="宋体" w:hAnsi="宋体" w:eastAsia="宋体"/>
        </w:rPr>
      </w:pPr>
      <w:r>
        <w:rPr>
          <w:rFonts w:hint="eastAsia" w:ascii="宋体" w:hAnsi="宋体" w:eastAsia="宋体"/>
        </w:rPr>
        <w:t>32.1投标文件初审包括资格性审查和符合性审查。</w:t>
      </w:r>
    </w:p>
    <w:p w14:paraId="4E401B7F">
      <w:pPr>
        <w:ind w:firstLine="470" w:firstLineChars="196"/>
        <w:rPr>
          <w:rFonts w:ascii="宋体" w:hAnsi="宋体" w:eastAsia="宋体"/>
        </w:rPr>
      </w:pPr>
      <w:r>
        <w:rPr>
          <w:rFonts w:hint="eastAsia" w:ascii="宋体" w:hAnsi="宋体" w:eastAsia="宋体"/>
        </w:rPr>
        <w:t>资格性审查：依据法律法规和招标文件的规定，对投标文件中的资格证明等进行审查，以确定投标供应商是否具备投标资格。</w:t>
      </w:r>
    </w:p>
    <w:p w14:paraId="70631F63">
      <w:pPr>
        <w:ind w:firstLine="470" w:firstLineChars="196"/>
        <w:rPr>
          <w:rFonts w:ascii="宋体" w:hAnsi="宋体" w:eastAsia="宋体"/>
        </w:rPr>
      </w:pPr>
      <w:r>
        <w:rPr>
          <w:rFonts w:hint="eastAsia" w:ascii="宋体" w:hAnsi="宋体" w:eastAsia="宋体"/>
        </w:rPr>
        <w:t>符合性审查：依据招标文件的规定，对投标文件的有效性、完整性和对招标文件的响应程度进行审查，以确定是否满足符合性审查的要求。</w:t>
      </w:r>
    </w:p>
    <w:p w14:paraId="2AF54EC6">
      <w:pPr>
        <w:ind w:firstLine="470" w:firstLineChars="196"/>
        <w:rPr>
          <w:rFonts w:ascii="宋体" w:hAnsi="宋体" w:eastAsia="宋体"/>
        </w:rPr>
      </w:pPr>
      <w:r>
        <w:rPr>
          <w:rFonts w:hint="eastAsia" w:ascii="宋体" w:hAnsi="宋体" w:eastAsia="宋体"/>
        </w:rPr>
        <w:t>32.2 投标文件初审内容请详见《资格性审查表》和《符合性审查表》部分。投标人若有一条审查不通过则按投标无效处理。</w:t>
      </w:r>
    </w:p>
    <w:p w14:paraId="28B55D97">
      <w:pPr>
        <w:ind w:firstLine="470" w:firstLineChars="196"/>
        <w:rPr>
          <w:rFonts w:ascii="宋体" w:hAnsi="宋体" w:eastAsia="宋体"/>
          <w:bCs/>
        </w:rPr>
      </w:pPr>
      <w:r>
        <w:rPr>
          <w:rFonts w:hint="eastAsia" w:ascii="宋体" w:hAnsi="宋体" w:eastAsia="宋体"/>
          <w:bCs/>
        </w:rPr>
        <w:t>32.3 投标文件初审中关于供应商家数的计算:</w:t>
      </w:r>
    </w:p>
    <w:p w14:paraId="5094F962">
      <w:pPr>
        <w:ind w:firstLine="470" w:firstLineChars="196"/>
        <w:rPr>
          <w:rFonts w:ascii="宋体" w:hAnsi="宋体" w:eastAsia="宋体"/>
          <w:bCs/>
        </w:rPr>
      </w:pPr>
      <w:r>
        <w:rPr>
          <w:rFonts w:hint="eastAsia" w:ascii="宋体" w:hAnsi="宋体" w:eastAsia="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76F47C8D">
      <w:pPr>
        <w:ind w:firstLine="470" w:firstLineChars="196"/>
        <w:rPr>
          <w:rFonts w:ascii="宋体" w:hAnsi="宋体" w:eastAsia="宋体"/>
          <w:bCs/>
        </w:rPr>
      </w:pPr>
      <w:r>
        <w:rPr>
          <w:rFonts w:hint="eastAsia" w:ascii="宋体" w:hAnsi="宋体" w:eastAsia="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bCs/>
          <w:szCs w:val="21"/>
        </w:rPr>
        <w:t>评审委员会</w:t>
      </w:r>
      <w:r>
        <w:rPr>
          <w:rFonts w:hint="eastAsia" w:ascii="宋体" w:hAnsi="宋体" w:eastAsia="宋体"/>
          <w:bCs/>
        </w:rPr>
        <w:t>按照招标文件规定的方式确定一个投标人获得中标人推荐资格，招标文件未规定的采取随机抽取方式确定，其他同品牌投标人不作为中标候选人。</w:t>
      </w:r>
    </w:p>
    <w:p w14:paraId="061E0E7E">
      <w:pPr>
        <w:ind w:firstLine="470" w:firstLineChars="196"/>
        <w:rPr>
          <w:rFonts w:ascii="宋体" w:hAnsi="宋体" w:eastAsia="宋体"/>
          <w:bCs/>
        </w:rPr>
      </w:pPr>
      <w:r>
        <w:rPr>
          <w:rFonts w:hint="eastAsia" w:ascii="宋体" w:hAnsi="宋体" w:eastAsia="宋体"/>
          <w:bCs/>
        </w:rPr>
        <w:t>32.3.3非单一产品采购项目，采购人应当根据采购项目技术构成、产品价格比重等合理确定核心产品，并在招标文件中载明。多家投标人提供的核心产品品牌相同的，按前两款规定处理。</w:t>
      </w:r>
    </w:p>
    <w:p w14:paraId="515D0C5C">
      <w:pPr>
        <w:ind w:firstLine="470" w:firstLineChars="196"/>
        <w:rPr>
          <w:rFonts w:ascii="宋体" w:hAnsi="宋体" w:eastAsia="宋体"/>
        </w:rPr>
      </w:pPr>
      <w:r>
        <w:rPr>
          <w:rFonts w:hint="eastAsia" w:ascii="宋体" w:hAnsi="宋体" w:eastAsia="宋体"/>
        </w:rPr>
        <w:t>32.4投标人投标文件作无效处理的情形，具体包括但不限于以下：</w:t>
      </w:r>
    </w:p>
    <w:p w14:paraId="697E05B9">
      <w:pPr>
        <w:ind w:firstLine="470" w:firstLineChars="196"/>
        <w:rPr>
          <w:rFonts w:ascii="宋体" w:hAnsi="宋体" w:eastAsia="宋体"/>
        </w:rPr>
      </w:pPr>
      <w:r>
        <w:rPr>
          <w:rFonts w:hint="eastAsia" w:ascii="宋体" w:hAnsi="宋体" w:eastAsia="宋体"/>
        </w:rPr>
        <w:t>32.4.1不同投标人的投标文件由同一单位或者同一个人编制，或者由同一个人分阶段参与编制；</w:t>
      </w:r>
    </w:p>
    <w:p w14:paraId="67DA14BE">
      <w:pPr>
        <w:ind w:firstLine="470" w:firstLineChars="196"/>
        <w:rPr>
          <w:rFonts w:ascii="宋体" w:hAnsi="宋体" w:eastAsia="宋体"/>
        </w:rPr>
      </w:pPr>
      <w:r>
        <w:rPr>
          <w:rFonts w:ascii="宋体" w:hAnsi="宋体" w:eastAsia="宋体"/>
        </w:rPr>
        <w:t>32.4.</w:t>
      </w:r>
      <w:r>
        <w:rPr>
          <w:rFonts w:hint="eastAsia" w:ascii="宋体" w:hAnsi="宋体" w:eastAsia="宋体"/>
        </w:rPr>
        <w:t>2不同投标人委托同一单位或者个人办理投标事宜；</w:t>
      </w:r>
    </w:p>
    <w:p w14:paraId="7D2C4E99">
      <w:pPr>
        <w:ind w:firstLine="470" w:firstLineChars="196"/>
        <w:rPr>
          <w:rFonts w:ascii="宋体" w:hAnsi="宋体" w:eastAsia="宋体"/>
        </w:rPr>
      </w:pPr>
      <w:r>
        <w:rPr>
          <w:rFonts w:hint="eastAsia" w:ascii="宋体" w:hAnsi="宋体" w:eastAsia="宋体"/>
        </w:rPr>
        <w:t>32.4.3不同投标人的投标文件载明的项目管理成员或者联系人员为同一人；</w:t>
      </w:r>
    </w:p>
    <w:p w14:paraId="0FEDB1CF">
      <w:pPr>
        <w:ind w:firstLine="470" w:firstLineChars="196"/>
        <w:rPr>
          <w:rFonts w:ascii="宋体" w:hAnsi="宋体" w:eastAsia="宋体"/>
        </w:rPr>
      </w:pPr>
      <w:r>
        <w:rPr>
          <w:rFonts w:hint="eastAsia" w:ascii="宋体" w:hAnsi="宋体" w:eastAsia="宋体"/>
        </w:rPr>
        <w:t>32.4.4不同投标人的投标文件异常一致或者投标报价呈规律性差异；</w:t>
      </w:r>
    </w:p>
    <w:p w14:paraId="0598E584">
      <w:pPr>
        <w:ind w:firstLine="470" w:firstLineChars="196"/>
        <w:rPr>
          <w:rFonts w:ascii="宋体" w:hAnsi="宋体" w:eastAsia="宋体"/>
        </w:rPr>
      </w:pPr>
      <w:r>
        <w:rPr>
          <w:rFonts w:hint="eastAsia" w:ascii="宋体" w:hAnsi="宋体" w:eastAsia="宋体"/>
        </w:rPr>
        <w:t>32.4.5</w:t>
      </w:r>
      <w:r>
        <w:rPr>
          <w:rFonts w:ascii="宋体" w:hAnsi="宋体" w:eastAsia="宋体"/>
        </w:rPr>
        <w:t>不同投标供应商的投标文件或部分投标文件相互混装</w:t>
      </w:r>
      <w:r>
        <w:rPr>
          <w:rFonts w:hint="eastAsia" w:ascii="宋体" w:hAnsi="宋体" w:eastAsia="宋体"/>
        </w:rPr>
        <w:t>；</w:t>
      </w:r>
    </w:p>
    <w:p w14:paraId="519BB356">
      <w:pPr>
        <w:ind w:firstLine="470" w:firstLineChars="196"/>
        <w:rPr>
          <w:rFonts w:ascii="宋体" w:hAnsi="宋体" w:eastAsia="宋体"/>
        </w:rPr>
      </w:pPr>
      <w:r>
        <w:rPr>
          <w:rFonts w:hint="eastAsia" w:ascii="宋体" w:hAnsi="宋体" w:eastAsia="宋体"/>
        </w:rPr>
        <w:t>32.4.6投标供应商之间相互约定给予未中标的供应商利益补偿；</w:t>
      </w:r>
    </w:p>
    <w:p w14:paraId="2337E4DA">
      <w:pPr>
        <w:ind w:firstLine="470" w:firstLineChars="196"/>
        <w:rPr>
          <w:rFonts w:ascii="宋体" w:hAnsi="宋体" w:eastAsia="宋体"/>
        </w:rPr>
      </w:pPr>
      <w:r>
        <w:rPr>
          <w:rFonts w:hint="eastAsia" w:ascii="宋体" w:hAnsi="宋体" w:eastAsia="宋体"/>
        </w:rPr>
        <w:t>32.4.7不同投标供应商的法定代表人、主要经营负责人、项目投标授权代表人、项目负责人、主要技术人员为同一人、属同一单位或者同一单位缴纳社会保险；</w:t>
      </w:r>
    </w:p>
    <w:p w14:paraId="1A720A52">
      <w:pPr>
        <w:ind w:firstLine="470" w:firstLineChars="196"/>
        <w:rPr>
          <w:rFonts w:ascii="宋体" w:hAnsi="宋体" w:eastAsia="宋体"/>
        </w:rPr>
      </w:pPr>
      <w:r>
        <w:rPr>
          <w:rFonts w:hint="eastAsia" w:ascii="宋体" w:hAnsi="宋体" w:eastAsia="宋体"/>
        </w:rPr>
        <w:t>32.4.8不同投标供应商的投标文件内容存在非正常一致；</w:t>
      </w:r>
    </w:p>
    <w:p w14:paraId="50D9AF2C">
      <w:pPr>
        <w:ind w:firstLine="470" w:firstLineChars="196"/>
        <w:rPr>
          <w:rFonts w:ascii="宋体" w:hAnsi="宋体" w:eastAsia="宋体"/>
        </w:rPr>
      </w:pPr>
      <w:r>
        <w:rPr>
          <w:rFonts w:hint="eastAsia" w:ascii="宋体" w:hAnsi="宋体" w:eastAsia="宋体"/>
        </w:rPr>
        <w:t>32.4.9在同一单位工作人员为两家以上（含两家）供应商进行同一项投标活动；</w:t>
      </w:r>
    </w:p>
    <w:p w14:paraId="29660408">
      <w:pPr>
        <w:ind w:firstLine="470" w:firstLineChars="196"/>
        <w:rPr>
          <w:rFonts w:ascii="宋体" w:hAnsi="宋体" w:eastAsia="宋体"/>
        </w:rPr>
      </w:pPr>
      <w:r>
        <w:rPr>
          <w:rFonts w:hint="eastAsia" w:ascii="宋体" w:hAnsi="宋体" w:eastAsia="宋体"/>
        </w:rPr>
        <w:t>32.4.10主管部门依照法律、法规认定的其他情形。</w:t>
      </w:r>
    </w:p>
    <w:p w14:paraId="6C3BA72E">
      <w:pPr>
        <w:ind w:firstLine="470" w:firstLineChars="196"/>
        <w:rPr>
          <w:rFonts w:ascii="宋体" w:hAnsi="宋体" w:eastAsia="宋体"/>
        </w:rPr>
      </w:pPr>
      <w:r>
        <w:rPr>
          <w:rFonts w:hint="eastAsia" w:ascii="宋体" w:hAnsi="宋体" w:eastAsia="宋体"/>
        </w:rPr>
        <w:t>32.5对不属于《资格性审查表》和《符合性审查表》所列的其他情形，除专用条款另有规定和32.4条款所列情形外，不得作为投标无效的理由。</w:t>
      </w:r>
    </w:p>
    <w:p w14:paraId="630FC355">
      <w:pPr>
        <w:rPr>
          <w:rFonts w:ascii="宋体" w:hAnsi="宋体" w:eastAsia="宋体"/>
        </w:rPr>
      </w:pPr>
      <w:r>
        <w:rPr>
          <w:rFonts w:hint="eastAsia" w:ascii="宋体" w:hAnsi="宋体" w:eastAsia="宋体"/>
        </w:rPr>
        <w:t>33．澄清有关问题</w:t>
      </w:r>
    </w:p>
    <w:p w14:paraId="0D42D83E">
      <w:pPr>
        <w:ind w:firstLine="470" w:firstLineChars="196"/>
        <w:rPr>
          <w:rFonts w:ascii="宋体" w:hAnsi="宋体" w:eastAsia="宋体"/>
        </w:rPr>
      </w:pPr>
      <w:bookmarkStart w:id="109" w:name="_Hlk71407321"/>
      <w:r>
        <w:rPr>
          <w:rFonts w:hint="eastAsia" w:ascii="宋体" w:hAnsi="宋体" w:eastAsia="宋体"/>
        </w:rPr>
        <w:t>3</w:t>
      </w:r>
      <w:r>
        <w:rPr>
          <w:rFonts w:ascii="宋体" w:hAnsi="宋体" w:eastAsia="宋体"/>
        </w:rPr>
        <w:t>3.1</w:t>
      </w:r>
      <w:r>
        <w:rPr>
          <w:rFonts w:hint="eastAsia" w:ascii="宋体" w:hAnsi="宋体" w:eastAsia="宋体"/>
        </w:rPr>
        <w:t>对招标文件中描述有歧义或前后不一致的地方（不含</w:t>
      </w:r>
      <w:r>
        <w:rPr>
          <w:rFonts w:ascii="宋体" w:hAnsi="宋体" w:eastAsia="宋体"/>
          <w:szCs w:val="21"/>
        </w:rPr>
        <w:t>招标文件存在歧义、重大缺陷导致评</w:t>
      </w:r>
      <w:r>
        <w:rPr>
          <w:rFonts w:hint="eastAsia" w:ascii="宋体" w:hAnsi="宋体" w:eastAsia="宋体"/>
          <w:szCs w:val="21"/>
        </w:rPr>
        <w:t>审</w:t>
      </w:r>
      <w:r>
        <w:rPr>
          <w:rFonts w:ascii="宋体" w:hAnsi="宋体" w:eastAsia="宋体"/>
          <w:szCs w:val="21"/>
        </w:rPr>
        <w:t>工作无法进行</w:t>
      </w:r>
      <w:r>
        <w:rPr>
          <w:rFonts w:hint="eastAsia" w:ascii="宋体" w:hAnsi="宋体" w:eastAsia="宋体"/>
          <w:szCs w:val="21"/>
        </w:rPr>
        <w:t>的情况）</w:t>
      </w:r>
      <w:r>
        <w:rPr>
          <w:rFonts w:hint="eastAsia" w:ascii="宋体" w:hAnsi="宋体" w:eastAsia="宋体"/>
        </w:rPr>
        <w:t>，评审委员会有权进行评判，但对同一条款的评判应适用于每个投标人。</w:t>
      </w:r>
      <w:bookmarkEnd w:id="109"/>
    </w:p>
    <w:p w14:paraId="5FF90EBD">
      <w:pPr>
        <w:ind w:firstLine="470" w:firstLineChars="196"/>
        <w:rPr>
          <w:rFonts w:ascii="宋体" w:hAnsi="宋体" w:eastAsia="宋体"/>
        </w:rPr>
      </w:pPr>
      <w:r>
        <w:rPr>
          <w:rFonts w:hint="eastAsia" w:ascii="宋体" w:hAnsi="宋体" w:eastAsia="宋体"/>
        </w:rPr>
        <w:t>3</w:t>
      </w:r>
      <w:r>
        <w:rPr>
          <w:rFonts w:ascii="宋体" w:hAnsi="宋体" w:eastAsia="宋体"/>
        </w:rPr>
        <w:t>3.2</w:t>
      </w:r>
      <w:r>
        <w:rPr>
          <w:rFonts w:ascii="宋体" w:hAnsi="宋体" w:eastAsia="宋体"/>
          <w:szCs w:val="21"/>
        </w:rPr>
        <w:t>评</w:t>
      </w:r>
      <w:r>
        <w:rPr>
          <w:rFonts w:hint="eastAsia" w:ascii="宋体" w:hAnsi="宋体" w:eastAsia="宋体"/>
          <w:szCs w:val="21"/>
        </w:rPr>
        <w:t>审</w:t>
      </w:r>
      <w:r>
        <w:rPr>
          <w:rFonts w:ascii="宋体" w:hAnsi="宋体" w:eastAsia="宋体"/>
          <w:szCs w:val="21"/>
        </w:rPr>
        <w:t>委员会发现招标文件存在歧义、重大缺陷导致评</w:t>
      </w:r>
      <w:r>
        <w:rPr>
          <w:rFonts w:hint="eastAsia" w:ascii="宋体" w:hAnsi="宋体" w:eastAsia="宋体"/>
          <w:szCs w:val="21"/>
        </w:rPr>
        <w:t>审</w:t>
      </w:r>
      <w:r>
        <w:rPr>
          <w:rFonts w:ascii="宋体" w:hAnsi="宋体" w:eastAsia="宋体"/>
          <w:szCs w:val="21"/>
        </w:rPr>
        <w:t>工作无法进行，或者招标文件内容违反国家有关强制性规定的，应当停止评</w:t>
      </w:r>
      <w:r>
        <w:rPr>
          <w:rFonts w:hint="eastAsia" w:ascii="宋体" w:hAnsi="宋体" w:eastAsia="宋体"/>
          <w:szCs w:val="21"/>
        </w:rPr>
        <w:t>审</w:t>
      </w:r>
      <w:r>
        <w:rPr>
          <w:rFonts w:ascii="宋体" w:hAnsi="宋体" w:eastAsia="宋体"/>
          <w:szCs w:val="21"/>
        </w:rPr>
        <w:t>工作，与</w:t>
      </w:r>
      <w:r>
        <w:rPr>
          <w:rFonts w:hint="eastAsia" w:ascii="宋体" w:hAnsi="宋体" w:eastAsia="宋体"/>
          <w:szCs w:val="21"/>
        </w:rPr>
        <w:t>招标机构</w:t>
      </w:r>
      <w:r>
        <w:rPr>
          <w:rFonts w:ascii="宋体" w:hAnsi="宋体" w:eastAsia="宋体"/>
          <w:szCs w:val="21"/>
        </w:rPr>
        <w:t>沟通并作书面记录。</w:t>
      </w:r>
      <w:r>
        <w:rPr>
          <w:rFonts w:hint="eastAsia" w:ascii="宋体" w:hAnsi="宋体" w:eastAsia="宋体"/>
          <w:szCs w:val="21"/>
        </w:rPr>
        <w:t>经</w:t>
      </w:r>
      <w:r>
        <w:rPr>
          <w:rFonts w:ascii="宋体" w:hAnsi="宋体" w:eastAsia="宋体"/>
          <w:szCs w:val="21"/>
        </w:rPr>
        <w:t>确认后，</w:t>
      </w:r>
      <w:r>
        <w:rPr>
          <w:rFonts w:hint="eastAsia" w:ascii="宋体" w:hAnsi="宋体" w:eastAsia="宋体"/>
          <w:szCs w:val="21"/>
        </w:rPr>
        <w:t>项目</w:t>
      </w:r>
      <w:r>
        <w:rPr>
          <w:rFonts w:ascii="宋体" w:hAnsi="宋体" w:eastAsia="宋体"/>
          <w:szCs w:val="21"/>
        </w:rPr>
        <w:t>应当修改招标文件，重新组织采购活动。</w:t>
      </w:r>
    </w:p>
    <w:p w14:paraId="312D42F9">
      <w:pPr>
        <w:ind w:firstLine="470" w:firstLineChars="196"/>
        <w:rPr>
          <w:rFonts w:ascii="宋体" w:hAnsi="宋体" w:eastAsia="宋体"/>
        </w:rPr>
      </w:pPr>
      <w:r>
        <w:rPr>
          <w:rFonts w:ascii="宋体" w:hAnsi="宋体" w:eastAsia="宋体"/>
        </w:rPr>
        <w:t>33.3</w:t>
      </w:r>
      <w:r>
        <w:rPr>
          <w:rFonts w:hint="eastAsia" w:ascii="宋体" w:hAnsi="宋体" w:eastAsia="宋体"/>
        </w:rPr>
        <w:t>对于投标文件中含义不明确、同类问题表述不一致或者有明显文字和计算错误的内容，评审委员会应当以书面形式要求投标人作出必要的澄清、说明或者补正。</w:t>
      </w:r>
    </w:p>
    <w:p w14:paraId="39FD8ACD">
      <w:pPr>
        <w:ind w:firstLine="470" w:firstLineChars="196"/>
        <w:rPr>
          <w:rFonts w:ascii="宋体" w:hAnsi="宋体" w:eastAsia="宋体"/>
        </w:rPr>
      </w:pPr>
      <w:r>
        <w:rPr>
          <w:rFonts w:hint="eastAsia" w:ascii="宋体" w:hAnsi="宋体" w:eastAsia="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1A50F544">
      <w:pPr>
        <w:ind w:firstLine="470" w:firstLineChars="196"/>
        <w:rPr>
          <w:rFonts w:ascii="宋体" w:hAnsi="宋体" w:eastAsia="宋体"/>
          <w:szCs w:val="21"/>
        </w:rPr>
      </w:pPr>
      <w:r>
        <w:rPr>
          <w:rFonts w:hint="eastAsia" w:ascii="宋体" w:hAnsi="宋体" w:eastAsia="宋体"/>
          <w:szCs w:val="21"/>
        </w:rPr>
        <w:t>根据本通用条款第34条，凡属于评审委员会在评审中发现的算术错误进行核实的修改不在此列。</w:t>
      </w:r>
    </w:p>
    <w:p w14:paraId="3EF3A2E1">
      <w:pPr>
        <w:rPr>
          <w:rFonts w:ascii="宋体" w:hAnsi="宋体" w:eastAsia="宋体"/>
        </w:rPr>
      </w:pPr>
      <w:bookmarkStart w:id="110" w:name="_Toc100052400"/>
      <w:bookmarkStart w:id="111" w:name="_Toc73521581"/>
      <w:bookmarkStart w:id="112" w:name="_Toc73518151"/>
      <w:bookmarkStart w:id="113" w:name="_Toc73517673"/>
      <w:bookmarkStart w:id="114" w:name="_Toc73521669"/>
      <w:r>
        <w:rPr>
          <w:rFonts w:hint="eastAsia" w:ascii="宋体" w:hAnsi="宋体" w:eastAsia="宋体"/>
        </w:rPr>
        <w:t>34．错误的修正</w:t>
      </w:r>
      <w:bookmarkEnd w:id="110"/>
      <w:bookmarkEnd w:id="111"/>
      <w:bookmarkEnd w:id="112"/>
      <w:bookmarkEnd w:id="113"/>
      <w:bookmarkEnd w:id="114"/>
    </w:p>
    <w:p w14:paraId="1C2FC32A">
      <w:pPr>
        <w:ind w:firstLine="470" w:firstLineChars="196"/>
        <w:rPr>
          <w:rFonts w:ascii="宋体" w:hAnsi="宋体" w:eastAsia="宋体"/>
          <w:szCs w:val="21"/>
        </w:rPr>
      </w:pPr>
      <w:r>
        <w:rPr>
          <w:rFonts w:hint="eastAsia" w:ascii="宋体" w:hAnsi="宋体" w:eastAsia="宋体"/>
          <w:szCs w:val="21"/>
        </w:rPr>
        <w:t>投标文件报价出现前后不一致的，除专用条款另有规定外，按照下列规定修正：</w:t>
      </w:r>
    </w:p>
    <w:p w14:paraId="6FFBFB68">
      <w:pPr>
        <w:ind w:firstLine="470" w:firstLineChars="196"/>
        <w:rPr>
          <w:rFonts w:ascii="宋体" w:hAnsi="宋体" w:eastAsia="宋体"/>
          <w:szCs w:val="21"/>
        </w:rPr>
      </w:pPr>
      <w:r>
        <w:rPr>
          <w:rFonts w:hint="eastAsia" w:ascii="宋体" w:hAnsi="宋体" w:eastAsia="宋体"/>
          <w:szCs w:val="21"/>
        </w:rPr>
        <w:t>34.1投标文件中开标一览表投标报价内容与投标文件中投标报价相应内容不一致的，以开标一览表为准；</w:t>
      </w:r>
    </w:p>
    <w:p w14:paraId="730CF088">
      <w:pPr>
        <w:ind w:firstLine="470" w:firstLineChars="196"/>
        <w:rPr>
          <w:rFonts w:ascii="宋体" w:hAnsi="宋体" w:eastAsia="宋体"/>
          <w:szCs w:val="21"/>
        </w:rPr>
      </w:pPr>
      <w:r>
        <w:rPr>
          <w:rFonts w:hint="eastAsia" w:ascii="宋体" w:hAnsi="宋体" w:eastAsia="宋体"/>
          <w:szCs w:val="21"/>
        </w:rPr>
        <w:t>34.2大写金额和小写金额不一致的，以大写金额为准；</w:t>
      </w:r>
    </w:p>
    <w:p w14:paraId="4C751B24">
      <w:pPr>
        <w:ind w:firstLine="470" w:firstLineChars="196"/>
        <w:rPr>
          <w:rFonts w:ascii="宋体" w:hAnsi="宋体" w:eastAsia="宋体"/>
          <w:szCs w:val="21"/>
        </w:rPr>
      </w:pPr>
      <w:r>
        <w:rPr>
          <w:rFonts w:hint="eastAsia" w:ascii="宋体" w:hAnsi="宋体" w:eastAsia="宋体"/>
          <w:szCs w:val="21"/>
        </w:rPr>
        <w:t>34.3单价金额小数点或者百分比有明显错位，以开标一览表的总价为准，并修改单价；</w:t>
      </w:r>
    </w:p>
    <w:p w14:paraId="00180E64">
      <w:pPr>
        <w:ind w:firstLine="470" w:firstLineChars="196"/>
        <w:rPr>
          <w:rFonts w:ascii="宋体" w:hAnsi="宋体" w:eastAsia="宋体"/>
          <w:szCs w:val="21"/>
        </w:rPr>
      </w:pPr>
      <w:r>
        <w:rPr>
          <w:rFonts w:hint="eastAsia" w:ascii="宋体" w:hAnsi="宋体" w:eastAsia="宋体"/>
          <w:szCs w:val="21"/>
        </w:rPr>
        <w:t>34.4总价金额与按单价汇总金额不一致的，以单价金额计算结果为准。</w:t>
      </w:r>
    </w:p>
    <w:p w14:paraId="0D859911">
      <w:pPr>
        <w:ind w:firstLine="470" w:firstLineChars="196"/>
        <w:rPr>
          <w:rFonts w:ascii="宋体" w:hAnsi="宋体" w:eastAsia="宋体"/>
          <w:szCs w:val="21"/>
        </w:rPr>
      </w:pPr>
      <w:r>
        <w:rPr>
          <w:rFonts w:hint="eastAsia" w:ascii="宋体" w:hAnsi="宋体" w:eastAsia="宋体"/>
          <w:szCs w:val="21"/>
        </w:rPr>
        <w:t>34.5同时出现两种以上不一致的，按照前款规定的顺序修正。修正后的报价按照本通用条款33条的规定，经投标人确认后产生约束力，投标人不确认的，其投标无效。</w:t>
      </w:r>
    </w:p>
    <w:p w14:paraId="2DB83325">
      <w:pPr>
        <w:rPr>
          <w:rFonts w:ascii="宋体" w:hAnsi="宋体" w:eastAsia="宋体"/>
        </w:rPr>
      </w:pPr>
      <w:r>
        <w:rPr>
          <w:rFonts w:hint="eastAsia" w:ascii="宋体" w:hAnsi="宋体" w:eastAsia="宋体"/>
        </w:rPr>
        <w:t>35．投标文件的比较与评价</w:t>
      </w:r>
    </w:p>
    <w:p w14:paraId="36654CAC">
      <w:pPr>
        <w:ind w:firstLine="470" w:firstLineChars="196"/>
        <w:rPr>
          <w:rFonts w:ascii="宋体" w:hAnsi="宋体" w:eastAsia="宋体"/>
          <w:szCs w:val="21"/>
        </w:rPr>
      </w:pPr>
      <w:r>
        <w:rPr>
          <w:rFonts w:hint="eastAsia" w:ascii="宋体" w:hAnsi="宋体" w:eastAsia="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09B95A44">
      <w:pPr>
        <w:ind w:firstLine="470" w:firstLineChars="196"/>
        <w:rPr>
          <w:rFonts w:ascii="宋体" w:hAnsi="宋体" w:eastAsia="宋体"/>
          <w:szCs w:val="21"/>
        </w:rPr>
      </w:pPr>
      <w:r>
        <w:rPr>
          <w:rFonts w:hint="eastAsia" w:ascii="宋体" w:hAnsi="宋体" w:eastAsia="宋体"/>
          <w:szCs w:val="21"/>
        </w:rPr>
        <w:t>评审委员会成员对需要共同认定的事项存在争议的，应当按照少数服从多数的原则作出结论。持不同意见的评审委员会成员应当书面作出说明，否则视为无异议。</w:t>
      </w:r>
    </w:p>
    <w:p w14:paraId="4A64EC5B">
      <w:pPr>
        <w:rPr>
          <w:rFonts w:ascii="宋体" w:hAnsi="宋体" w:eastAsia="宋体"/>
        </w:rPr>
      </w:pPr>
      <w:r>
        <w:rPr>
          <w:rFonts w:hint="eastAsia" w:ascii="宋体" w:hAnsi="宋体" w:eastAsia="宋体"/>
        </w:rPr>
        <w:t>36. 实地考察或资料查验</w:t>
      </w:r>
    </w:p>
    <w:p w14:paraId="5932AB6D">
      <w:pPr>
        <w:ind w:firstLine="470" w:firstLineChars="196"/>
        <w:rPr>
          <w:rFonts w:ascii="宋体" w:hAnsi="宋体" w:eastAsia="宋体"/>
          <w:szCs w:val="21"/>
        </w:rPr>
      </w:pPr>
      <w:r>
        <w:rPr>
          <w:rFonts w:hint="eastAsia" w:ascii="宋体" w:hAnsi="宋体" w:eastAsia="宋体"/>
          <w:szCs w:val="21"/>
        </w:rPr>
        <w:t>36.1在评审过程中，评审委员会有权决定是否对本项目投标人进行实地考察或资料查验（原件）。投标人应随时做好接受实地考察或资料查验的准备。</w:t>
      </w:r>
    </w:p>
    <w:p w14:paraId="6BC2469E">
      <w:pPr>
        <w:rPr>
          <w:rFonts w:ascii="宋体" w:hAnsi="宋体" w:eastAsia="宋体"/>
        </w:rPr>
      </w:pPr>
      <w:r>
        <w:rPr>
          <w:rFonts w:hint="eastAsia" w:ascii="宋体" w:hAnsi="宋体" w:eastAsia="宋体"/>
        </w:rPr>
        <w:t>37．评审方法</w:t>
      </w:r>
    </w:p>
    <w:p w14:paraId="6CF88C79">
      <w:pPr>
        <w:ind w:firstLine="472" w:firstLineChars="196"/>
        <w:rPr>
          <w:rFonts w:ascii="宋体" w:hAnsi="宋体" w:eastAsia="宋体"/>
          <w:b/>
          <w:bCs/>
          <w:szCs w:val="21"/>
        </w:rPr>
      </w:pPr>
      <w:r>
        <w:rPr>
          <w:rFonts w:hint="eastAsia" w:ascii="宋体" w:hAnsi="宋体" w:eastAsia="宋体"/>
          <w:b/>
          <w:bCs/>
          <w:szCs w:val="21"/>
        </w:rPr>
        <w:t>37.1.1最低价法</w:t>
      </w:r>
    </w:p>
    <w:p w14:paraId="50531438">
      <w:pPr>
        <w:ind w:firstLine="470" w:firstLineChars="196"/>
        <w:rPr>
          <w:rFonts w:ascii="宋体" w:hAnsi="宋体" w:eastAsia="宋体"/>
        </w:rPr>
      </w:pPr>
      <w:bookmarkStart w:id="115" w:name="_Hlk72438142"/>
      <w:r>
        <w:rPr>
          <w:rFonts w:ascii="宋体" w:hAnsi="宋体" w:eastAsia="宋体"/>
        </w:rPr>
        <w:t>最低价法，是指</w:t>
      </w:r>
      <w:r>
        <w:rPr>
          <w:rFonts w:hint="eastAsia" w:ascii="宋体" w:hAnsi="宋体" w:eastAsia="宋体"/>
        </w:rPr>
        <w:t>完全</w:t>
      </w:r>
      <w:r>
        <w:rPr>
          <w:rFonts w:ascii="宋体" w:hAnsi="宋体" w:eastAsia="宋体"/>
        </w:rPr>
        <w:t>满足招标文件实质性要求，</w:t>
      </w:r>
      <w:r>
        <w:rPr>
          <w:rFonts w:hint="eastAsia" w:ascii="宋体" w:hAnsi="宋体" w:eastAsia="宋体"/>
        </w:rPr>
        <w:t>按照报价由低到高的顺序，依据招标文件中规定的数量或者比例推荐候选中标供应商。</w:t>
      </w:r>
    </w:p>
    <w:p w14:paraId="23F2F506">
      <w:pPr>
        <w:ind w:firstLine="472" w:firstLineChars="196"/>
        <w:rPr>
          <w:rFonts w:ascii="宋体" w:hAnsi="宋体" w:eastAsia="宋体"/>
          <w:b/>
          <w:bCs/>
          <w:szCs w:val="21"/>
        </w:rPr>
      </w:pPr>
      <w:r>
        <w:rPr>
          <w:rFonts w:hint="eastAsia" w:ascii="宋体" w:hAnsi="宋体" w:eastAsia="宋体"/>
          <w:b/>
          <w:bCs/>
          <w:szCs w:val="21"/>
        </w:rPr>
        <w:t>37.1.2综合评分法</w:t>
      </w:r>
    </w:p>
    <w:p w14:paraId="73E66884">
      <w:pPr>
        <w:ind w:firstLine="470" w:firstLineChars="196"/>
        <w:rPr>
          <w:rFonts w:ascii="宋体" w:hAnsi="宋体" w:eastAsia="宋体"/>
        </w:rPr>
      </w:pPr>
      <w:r>
        <w:rPr>
          <w:rFonts w:ascii="宋体" w:hAnsi="宋体" w:eastAsia="宋体"/>
        </w:rPr>
        <w:t>综合评分法，是指</w:t>
      </w:r>
      <w:r>
        <w:rPr>
          <w:rFonts w:hint="eastAsia" w:ascii="宋体" w:hAnsi="宋体" w:eastAsia="宋体"/>
        </w:rPr>
        <w:t>在</w:t>
      </w:r>
      <w:r>
        <w:rPr>
          <w:rFonts w:ascii="宋体" w:hAnsi="宋体" w:eastAsia="宋体"/>
        </w:rPr>
        <w:t>满足招标文件全部实质性要求</w:t>
      </w:r>
      <w:r>
        <w:rPr>
          <w:rFonts w:hint="eastAsia" w:ascii="宋体" w:hAnsi="宋体" w:eastAsia="宋体"/>
        </w:rPr>
        <w:t>的前提下</w:t>
      </w:r>
      <w:r>
        <w:rPr>
          <w:rFonts w:ascii="宋体" w:hAnsi="宋体" w:eastAsia="宋体"/>
        </w:rPr>
        <w:t>，</w:t>
      </w:r>
      <w:r>
        <w:rPr>
          <w:rFonts w:hint="eastAsia" w:ascii="宋体" w:hAnsi="宋体" w:eastAsia="宋体"/>
        </w:rPr>
        <w:t>按照招标文件中规定的各项因素进行综合评审，评审总得分排名前列的投标人，作为推荐的候选中标供应商。</w:t>
      </w:r>
      <w:bookmarkEnd w:id="115"/>
    </w:p>
    <w:p w14:paraId="6D78EBDB">
      <w:pPr>
        <w:ind w:firstLine="472" w:firstLineChars="196"/>
        <w:rPr>
          <w:rFonts w:ascii="宋体" w:hAnsi="宋体" w:eastAsia="宋体"/>
          <w:b/>
          <w:bCs/>
          <w:szCs w:val="21"/>
        </w:rPr>
      </w:pPr>
      <w:r>
        <w:rPr>
          <w:rFonts w:hint="eastAsia" w:ascii="宋体" w:hAnsi="宋体" w:eastAsia="宋体"/>
          <w:b/>
          <w:bCs/>
          <w:szCs w:val="21"/>
        </w:rPr>
        <w:t>37.2 本项目采用的评审方法见本项目招标文件第一册“专用条款”的相关内容。</w:t>
      </w:r>
    </w:p>
    <w:p w14:paraId="15113605">
      <w:pPr>
        <w:ind w:firstLine="472" w:firstLineChars="196"/>
        <w:rPr>
          <w:rFonts w:ascii="宋体" w:hAnsi="宋体" w:eastAsia="宋体"/>
          <w:b/>
          <w:bCs/>
          <w:szCs w:val="21"/>
        </w:rPr>
      </w:pPr>
      <w:r>
        <w:rPr>
          <w:rFonts w:hint="eastAsia" w:ascii="宋体" w:hAnsi="宋体" w:eastAsia="宋体"/>
          <w:b/>
          <w:bCs/>
          <w:szCs w:val="21"/>
        </w:rPr>
        <w:t>37.3重新评审的情形</w:t>
      </w:r>
    </w:p>
    <w:p w14:paraId="1FC61275">
      <w:pPr>
        <w:ind w:firstLine="470" w:firstLineChars="196"/>
        <w:rPr>
          <w:rFonts w:ascii="宋体" w:hAnsi="宋体" w:eastAsia="宋体"/>
          <w:b/>
          <w:bCs/>
          <w:szCs w:val="21"/>
        </w:rPr>
      </w:pPr>
      <w:r>
        <w:rPr>
          <w:rFonts w:hint="eastAsia" w:ascii="宋体" w:hAnsi="宋体" w:eastAsia="宋体" w:cs="宋体"/>
          <w:szCs w:val="21"/>
        </w:rPr>
        <w:t>评审结果汇总完成后，除下列情形外，任何人不得修改评审结果：</w:t>
      </w:r>
    </w:p>
    <w:p w14:paraId="67DD2B19">
      <w:pPr>
        <w:ind w:firstLine="470" w:firstLineChars="196"/>
        <w:rPr>
          <w:rFonts w:ascii="宋体" w:hAnsi="宋体" w:eastAsia="宋体" w:cs="宋体"/>
          <w:szCs w:val="21"/>
        </w:rPr>
      </w:pPr>
      <w:r>
        <w:rPr>
          <w:rFonts w:hint="eastAsia" w:ascii="宋体" w:hAnsi="宋体" w:eastAsia="宋体" w:cs="宋体"/>
          <w:szCs w:val="21"/>
        </w:rPr>
        <w:t>37.3.1分值汇总计算错误的；</w:t>
      </w:r>
    </w:p>
    <w:p w14:paraId="45C03974">
      <w:pPr>
        <w:ind w:firstLine="470" w:firstLineChars="196"/>
        <w:rPr>
          <w:rFonts w:ascii="宋体" w:hAnsi="宋体" w:eastAsia="宋体" w:cs="宋体"/>
          <w:szCs w:val="21"/>
        </w:rPr>
      </w:pPr>
      <w:r>
        <w:rPr>
          <w:rFonts w:hint="eastAsia" w:ascii="宋体" w:hAnsi="宋体" w:eastAsia="宋体" w:cs="宋体"/>
          <w:szCs w:val="21"/>
        </w:rPr>
        <w:t>37.3.2分项评分超出评分标准范围的；</w:t>
      </w:r>
    </w:p>
    <w:p w14:paraId="2A910929">
      <w:pPr>
        <w:ind w:firstLine="470" w:firstLineChars="196"/>
        <w:rPr>
          <w:rFonts w:ascii="宋体" w:hAnsi="宋体" w:eastAsia="宋体" w:cs="宋体"/>
          <w:szCs w:val="21"/>
        </w:rPr>
      </w:pPr>
      <w:r>
        <w:rPr>
          <w:rFonts w:hint="eastAsia" w:ascii="宋体" w:hAnsi="宋体" w:eastAsia="宋体" w:cs="宋体"/>
          <w:szCs w:val="21"/>
        </w:rPr>
        <w:t>37.3.3评审委员会成员对客观评审因素评分不一致的；</w:t>
      </w:r>
    </w:p>
    <w:p w14:paraId="6D1C2FC8">
      <w:pPr>
        <w:ind w:firstLine="470" w:firstLineChars="196"/>
        <w:rPr>
          <w:rFonts w:ascii="宋体" w:hAnsi="宋体" w:eastAsia="宋体" w:cs="宋体"/>
          <w:szCs w:val="21"/>
        </w:rPr>
      </w:pPr>
      <w:r>
        <w:rPr>
          <w:rFonts w:hint="eastAsia" w:ascii="宋体" w:hAnsi="宋体" w:eastAsia="宋体" w:cs="宋体"/>
          <w:szCs w:val="21"/>
        </w:rPr>
        <w:t>37.3.4经评审委员会认定评分畸高、畸低的。</w:t>
      </w:r>
    </w:p>
    <w:p w14:paraId="15AAD37D">
      <w:pPr>
        <w:ind w:firstLine="470" w:firstLineChars="196"/>
        <w:rPr>
          <w:rFonts w:ascii="宋体" w:hAnsi="宋体" w:eastAsia="宋体" w:cs="宋体"/>
          <w:szCs w:val="21"/>
        </w:rPr>
      </w:pPr>
      <w:r>
        <w:rPr>
          <w:rFonts w:hint="eastAsia" w:ascii="宋体" w:hAnsi="宋体" w:eastAsia="宋体" w:cs="宋体"/>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79964CB8">
      <w:pPr>
        <w:ind w:firstLine="470" w:firstLineChars="196"/>
        <w:rPr>
          <w:rFonts w:ascii="宋体" w:hAnsi="宋体" w:eastAsia="宋体" w:cs="宋体"/>
          <w:szCs w:val="21"/>
        </w:rPr>
      </w:pPr>
      <w:r>
        <w:rPr>
          <w:rFonts w:hint="eastAsia" w:ascii="宋体" w:hAnsi="宋体" w:eastAsia="宋体" w:cs="宋体"/>
          <w:szCs w:val="21"/>
        </w:rPr>
        <w:t>投标人对本条第一款情形提出质疑的，采购人或者采购代理机构可以组织原评审委员会进行重新评审，重新评审改变评审结果的，应当书面报告本级财政部门。</w:t>
      </w:r>
    </w:p>
    <w:p w14:paraId="690FEAAB">
      <w:pPr>
        <w:ind w:firstLine="472" w:firstLineChars="196"/>
        <w:rPr>
          <w:rFonts w:ascii="宋体" w:hAnsi="宋体" w:eastAsia="宋体"/>
          <w:b/>
          <w:bCs/>
          <w:szCs w:val="21"/>
        </w:rPr>
      </w:pPr>
      <w:r>
        <w:rPr>
          <w:rFonts w:hint="eastAsia" w:ascii="宋体" w:hAnsi="宋体" w:eastAsia="宋体"/>
          <w:b/>
          <w:bCs/>
          <w:szCs w:val="21"/>
        </w:rPr>
        <w:t xml:space="preserve"> 37.4重新组建评审委员会的情形</w:t>
      </w:r>
    </w:p>
    <w:p w14:paraId="282CF367">
      <w:pPr>
        <w:ind w:firstLine="470" w:firstLineChars="196"/>
        <w:rPr>
          <w:rFonts w:ascii="宋体" w:hAnsi="宋体" w:eastAsia="宋体" w:cs="宋体"/>
          <w:szCs w:val="21"/>
        </w:rPr>
      </w:pPr>
      <w:r>
        <w:rPr>
          <w:rFonts w:hint="eastAsia" w:ascii="宋体" w:hAnsi="宋体" w:eastAsia="宋体" w:cs="宋体"/>
          <w:szCs w:val="21"/>
        </w:rPr>
        <w:t>评审委员会或者其成员存在下列情形导致评审结果无效的，重新组建评审委员会进行评标，并书面报告本级财政部门：</w:t>
      </w:r>
    </w:p>
    <w:p w14:paraId="59F7F384">
      <w:pPr>
        <w:ind w:firstLine="470" w:firstLineChars="196"/>
        <w:rPr>
          <w:rFonts w:ascii="宋体" w:hAnsi="宋体" w:eastAsia="宋体" w:cs="宋体"/>
          <w:szCs w:val="21"/>
        </w:rPr>
      </w:pPr>
      <w:r>
        <w:rPr>
          <w:rFonts w:hint="eastAsia" w:ascii="宋体" w:hAnsi="宋体" w:eastAsia="宋体" w:cs="宋体"/>
          <w:szCs w:val="21"/>
        </w:rPr>
        <w:t>37.4.1评审委员会组成不符合《政府采购货物和服务招标投标管理办法》规定的；</w:t>
      </w:r>
    </w:p>
    <w:p w14:paraId="02DA0112">
      <w:pPr>
        <w:ind w:firstLine="470" w:firstLineChars="196"/>
        <w:rPr>
          <w:rFonts w:ascii="宋体" w:hAnsi="宋体" w:eastAsia="宋体" w:cs="宋体"/>
          <w:szCs w:val="21"/>
        </w:rPr>
      </w:pPr>
      <w:r>
        <w:rPr>
          <w:rFonts w:hint="eastAsia" w:ascii="宋体" w:hAnsi="宋体" w:eastAsia="宋体" w:cs="宋体"/>
          <w:szCs w:val="21"/>
        </w:rPr>
        <w:t>37.4.2有《政府采购货物和服务招标投标管理办法》第六十二条第一至五项情形的；</w:t>
      </w:r>
    </w:p>
    <w:p w14:paraId="023B1599">
      <w:pPr>
        <w:ind w:firstLine="470" w:firstLineChars="196"/>
        <w:rPr>
          <w:rFonts w:ascii="宋体" w:hAnsi="宋体" w:eastAsia="宋体" w:cs="宋体"/>
          <w:szCs w:val="21"/>
        </w:rPr>
      </w:pPr>
      <w:r>
        <w:rPr>
          <w:rFonts w:hint="eastAsia" w:ascii="宋体" w:hAnsi="宋体" w:eastAsia="宋体" w:cs="宋体"/>
          <w:szCs w:val="21"/>
        </w:rPr>
        <w:t>37.4.3评审委员会及其成员独立评标受到非法干预的；</w:t>
      </w:r>
    </w:p>
    <w:p w14:paraId="5FCC2423">
      <w:pPr>
        <w:ind w:firstLine="470" w:firstLineChars="196"/>
        <w:rPr>
          <w:rFonts w:ascii="宋体" w:hAnsi="宋体" w:eastAsia="宋体" w:cs="宋体"/>
          <w:szCs w:val="21"/>
        </w:rPr>
      </w:pPr>
      <w:r>
        <w:rPr>
          <w:rFonts w:hint="eastAsia" w:ascii="宋体" w:hAnsi="宋体" w:eastAsia="宋体" w:cs="宋体"/>
          <w:szCs w:val="21"/>
        </w:rPr>
        <w:t>37.4.4有政府采购法实施条例第七十五条规定的违法行为的。</w:t>
      </w:r>
    </w:p>
    <w:p w14:paraId="1B4C1C97">
      <w:pPr>
        <w:ind w:firstLine="470" w:firstLineChars="196"/>
        <w:rPr>
          <w:rFonts w:ascii="宋体" w:hAnsi="宋体" w:eastAsia="宋体" w:cs="宋体"/>
          <w:szCs w:val="21"/>
        </w:rPr>
      </w:pPr>
      <w:r>
        <w:rPr>
          <w:rFonts w:hint="eastAsia" w:ascii="宋体" w:hAnsi="宋体" w:eastAsia="宋体" w:cs="宋体"/>
          <w:szCs w:val="21"/>
        </w:rPr>
        <w:t>有违法违规行为的原评审委员会成员不得参加重新组建的评审委员会。</w:t>
      </w:r>
    </w:p>
    <w:p w14:paraId="6CF267F1">
      <w:pPr>
        <w:pStyle w:val="5"/>
        <w:numPr>
          <w:ilvl w:val="0"/>
          <w:numId w:val="13"/>
        </w:numPr>
        <w:spacing w:before="120" w:beforeLines="50" w:after="120" w:afterLines="50"/>
        <w:ind w:left="562" w:hanging="562"/>
        <w:rPr>
          <w:sz w:val="28"/>
          <w:szCs w:val="28"/>
        </w:rPr>
      </w:pPr>
      <w:r>
        <w:rPr>
          <w:rFonts w:hint="eastAsia"/>
          <w:sz w:val="28"/>
          <w:szCs w:val="28"/>
        </w:rPr>
        <w:t>定标及公示</w:t>
      </w:r>
    </w:p>
    <w:p w14:paraId="6B52EDFA">
      <w:pPr>
        <w:rPr>
          <w:rFonts w:ascii="宋体" w:hAnsi="宋体" w:eastAsia="宋体"/>
        </w:rPr>
      </w:pPr>
      <w:r>
        <w:rPr>
          <w:rFonts w:hint="eastAsia" w:ascii="宋体" w:hAnsi="宋体" w:eastAsia="宋体"/>
        </w:rPr>
        <w:t>38．定标方法</w:t>
      </w:r>
    </w:p>
    <w:p w14:paraId="5BAECC5B">
      <w:pPr>
        <w:ind w:firstLine="470" w:firstLineChars="196"/>
        <w:rPr>
          <w:rFonts w:ascii="宋体" w:hAnsi="宋体" w:eastAsia="宋体"/>
          <w:szCs w:val="21"/>
        </w:rPr>
      </w:pPr>
      <w:bookmarkStart w:id="116" w:name="_Hlk73782795"/>
      <w:r>
        <w:rPr>
          <w:rFonts w:hint="eastAsia" w:ascii="宋体" w:hAnsi="宋体" w:eastAsia="宋体"/>
          <w:szCs w:val="21"/>
        </w:rPr>
        <w:t>38.1非评定分离项目定标方法</w:t>
      </w:r>
    </w:p>
    <w:p w14:paraId="22FA6245">
      <w:pPr>
        <w:ind w:firstLine="470" w:firstLineChars="196"/>
        <w:rPr>
          <w:rFonts w:ascii="宋体" w:hAnsi="宋体" w:eastAsia="宋体"/>
          <w:szCs w:val="21"/>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1.1评审委员会依据本项目招标文件所约定的评审方法进行评审和比较，向招标机构提交书面评审报告，并根据评审方法比较评价结果从优到劣进行排序，确定候选中标供应商。</w:t>
      </w:r>
    </w:p>
    <w:p w14:paraId="3D800462">
      <w:pPr>
        <w:ind w:firstLine="470" w:firstLineChars="196"/>
        <w:rPr>
          <w:rFonts w:ascii="宋体" w:hAnsi="宋体"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1.2</w:t>
      </w:r>
      <w:r>
        <w:rPr>
          <w:rFonts w:ascii="宋体" w:hAnsi="宋体" w:eastAsia="宋体"/>
        </w:rPr>
        <w:t>采用最低价法的，评</w:t>
      </w:r>
      <w:r>
        <w:rPr>
          <w:rFonts w:hint="eastAsia" w:ascii="宋体" w:hAnsi="宋体" w:eastAsia="宋体"/>
        </w:rPr>
        <w:t>审</w:t>
      </w:r>
      <w:r>
        <w:rPr>
          <w:rFonts w:ascii="宋体" w:hAnsi="宋体" w:eastAsia="宋体"/>
        </w:rPr>
        <w:t>结果按投标报价由低到高顺序排列。投标报价相同的并列。投标文件满足招标文件全部实质性要求且投标报价最低的</w:t>
      </w:r>
      <w:r>
        <w:rPr>
          <w:rFonts w:hint="eastAsia" w:ascii="宋体" w:hAnsi="宋体" w:eastAsia="宋体"/>
        </w:rPr>
        <w:t>投标人为</w:t>
      </w:r>
      <w:bookmarkStart w:id="117" w:name="_Hlk73821177"/>
      <w:r>
        <w:rPr>
          <w:rFonts w:hint="eastAsia" w:ascii="宋体" w:hAnsi="宋体" w:eastAsia="宋体"/>
        </w:rPr>
        <w:t>中标供应商</w:t>
      </w:r>
      <w:r>
        <w:rPr>
          <w:rFonts w:ascii="宋体" w:hAnsi="宋体" w:eastAsia="宋体"/>
        </w:rPr>
        <w:t>（</w:t>
      </w:r>
      <w:r>
        <w:rPr>
          <w:rFonts w:hint="eastAsia" w:ascii="宋体" w:hAnsi="宋体" w:eastAsia="宋体"/>
        </w:rPr>
        <w:t>排名</w:t>
      </w:r>
      <w:r>
        <w:rPr>
          <w:rFonts w:ascii="宋体" w:hAnsi="宋体" w:eastAsia="宋体"/>
        </w:rPr>
        <w:t>第二</w:t>
      </w:r>
      <w:r>
        <w:rPr>
          <w:rFonts w:hint="eastAsia" w:ascii="宋体" w:hAnsi="宋体" w:eastAsia="宋体"/>
        </w:rPr>
        <w:t>的投标人为第一替补中标候选人、排名</w:t>
      </w:r>
      <w:r>
        <w:rPr>
          <w:rFonts w:ascii="宋体" w:hAnsi="宋体" w:eastAsia="宋体"/>
        </w:rPr>
        <w:t>第</w:t>
      </w:r>
      <w:r>
        <w:rPr>
          <w:rFonts w:hint="eastAsia" w:ascii="宋体" w:hAnsi="宋体" w:eastAsia="宋体"/>
        </w:rPr>
        <w:t>三的投标人为第二替补中标候选人</w:t>
      </w:r>
      <w:bookmarkEnd w:id="117"/>
      <w:r>
        <w:rPr>
          <w:rFonts w:ascii="宋体" w:hAnsi="宋体" w:eastAsia="宋体"/>
        </w:rPr>
        <w:t>）。</w:t>
      </w:r>
    </w:p>
    <w:p w14:paraId="0F67B5F3">
      <w:pPr>
        <w:ind w:firstLine="470" w:firstLineChars="196"/>
        <w:rPr>
          <w:rFonts w:ascii="宋体" w:hAnsi="宋体"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1.3</w:t>
      </w:r>
      <w:r>
        <w:rPr>
          <w:rFonts w:ascii="宋体" w:hAnsi="宋体" w:eastAsia="宋体"/>
          <w:szCs w:val="21"/>
        </w:rPr>
        <w:t>采</w:t>
      </w:r>
      <w:r>
        <w:rPr>
          <w:rFonts w:ascii="宋体" w:hAnsi="宋体"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宋体" w:hAnsi="宋体" w:eastAsia="宋体"/>
        </w:rPr>
        <w:t>为中标供应商</w:t>
      </w:r>
      <w:r>
        <w:rPr>
          <w:rFonts w:ascii="宋体" w:hAnsi="宋体" w:eastAsia="宋体"/>
        </w:rPr>
        <w:t>（</w:t>
      </w:r>
      <w:r>
        <w:rPr>
          <w:rFonts w:hint="eastAsia" w:ascii="宋体" w:hAnsi="宋体" w:eastAsia="宋体"/>
        </w:rPr>
        <w:t>排名</w:t>
      </w:r>
      <w:r>
        <w:rPr>
          <w:rFonts w:ascii="宋体" w:hAnsi="宋体" w:eastAsia="宋体"/>
        </w:rPr>
        <w:t>第二</w:t>
      </w:r>
      <w:r>
        <w:rPr>
          <w:rFonts w:hint="eastAsia" w:ascii="宋体" w:hAnsi="宋体" w:eastAsia="宋体"/>
        </w:rPr>
        <w:t>的投标人为第一替补中标候选人、排名</w:t>
      </w:r>
      <w:r>
        <w:rPr>
          <w:rFonts w:ascii="宋体" w:hAnsi="宋体" w:eastAsia="宋体"/>
        </w:rPr>
        <w:t>第</w:t>
      </w:r>
      <w:r>
        <w:rPr>
          <w:rFonts w:hint="eastAsia" w:ascii="宋体" w:hAnsi="宋体" w:eastAsia="宋体"/>
        </w:rPr>
        <w:t>三的投标人为第二替补中标候选人</w:t>
      </w:r>
      <w:r>
        <w:rPr>
          <w:rFonts w:ascii="宋体" w:hAnsi="宋体" w:eastAsia="宋体"/>
        </w:rPr>
        <w:t>）。</w:t>
      </w:r>
      <w:r>
        <w:rPr>
          <w:rFonts w:hint="eastAsia" w:ascii="宋体" w:hAnsi="宋体" w:eastAsia="宋体"/>
        </w:rPr>
        <w:t>出现</w:t>
      </w:r>
      <w:r>
        <w:rPr>
          <w:rFonts w:ascii="宋体" w:hAnsi="宋体" w:eastAsia="宋体"/>
        </w:rPr>
        <w:t>得分且投标报价相同的并列</w:t>
      </w:r>
      <w:r>
        <w:rPr>
          <w:rFonts w:hint="eastAsia" w:ascii="宋体" w:hAnsi="宋体" w:eastAsia="宋体"/>
        </w:rPr>
        <w:t>情况时，采取随机抽取的方式确定，具体操作办法及流程由评审委员会确定。</w:t>
      </w:r>
    </w:p>
    <w:p w14:paraId="6894C267">
      <w:pPr>
        <w:ind w:firstLine="470" w:firstLineChars="196"/>
        <w:rPr>
          <w:rFonts w:ascii="宋体" w:hAnsi="宋体" w:eastAsia="宋体"/>
          <w:szCs w:val="21"/>
        </w:rPr>
      </w:pPr>
      <w:r>
        <w:rPr>
          <w:rFonts w:hint="eastAsia" w:ascii="宋体" w:hAnsi="宋体" w:eastAsia="宋体"/>
          <w:szCs w:val="21"/>
        </w:rPr>
        <w:t>38.2评定分离项目定标方法</w:t>
      </w:r>
    </w:p>
    <w:p w14:paraId="58719404">
      <w:pPr>
        <w:ind w:firstLine="470" w:firstLineChars="196"/>
        <w:rPr>
          <w:rFonts w:ascii="宋体" w:hAnsi="宋体" w:eastAsia="宋体"/>
          <w:szCs w:val="21"/>
        </w:rPr>
      </w:pPr>
      <w:r>
        <w:rPr>
          <w:rFonts w:hint="eastAsia" w:ascii="宋体" w:hAnsi="宋体" w:eastAsia="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3ACB70C">
      <w:pPr>
        <w:ind w:firstLine="470" w:firstLineChars="196"/>
        <w:rPr>
          <w:rFonts w:ascii="宋体" w:hAnsi="宋体" w:eastAsia="宋体"/>
        </w:rPr>
      </w:pPr>
      <w:r>
        <w:rPr>
          <w:rFonts w:ascii="宋体" w:hAnsi="宋体" w:eastAsia="宋体"/>
          <w:szCs w:val="21"/>
        </w:rPr>
        <w:t xml:space="preserve">38.2.2 </w:t>
      </w:r>
      <w:bookmarkStart w:id="118" w:name="_Hlk71469733"/>
      <w:r>
        <w:rPr>
          <w:rFonts w:ascii="宋体" w:hAnsi="宋体" w:eastAsia="宋体"/>
        </w:rPr>
        <w:t>适用评定分离的政府采购项目，采用综合评分法评</w:t>
      </w:r>
      <w:r>
        <w:rPr>
          <w:rFonts w:hint="eastAsia" w:ascii="宋体" w:hAnsi="宋体" w:eastAsia="宋体"/>
        </w:rPr>
        <w:t>审。</w:t>
      </w:r>
      <w:r>
        <w:rPr>
          <w:rFonts w:hint="eastAsia" w:ascii="宋体" w:hAnsi="宋体" w:eastAsia="宋体"/>
          <w:szCs w:val="21"/>
        </w:rPr>
        <w:t>评审委员会按照评审结果，推荐</w:t>
      </w:r>
      <w:r>
        <w:rPr>
          <w:rFonts w:ascii="宋体" w:hAnsi="宋体" w:eastAsia="宋体"/>
        </w:rPr>
        <w:t>三个合格的候选中标供应商。</w:t>
      </w:r>
    </w:p>
    <w:p w14:paraId="1BA38450">
      <w:pPr>
        <w:ind w:firstLine="470" w:firstLineChars="196"/>
        <w:rPr>
          <w:rFonts w:ascii="宋体" w:hAnsi="宋体" w:eastAsia="宋体"/>
          <w:szCs w:val="21"/>
        </w:rPr>
      </w:pPr>
      <w:r>
        <w:rPr>
          <w:rFonts w:hint="eastAsia" w:ascii="宋体" w:hAnsi="宋体" w:eastAsia="宋体"/>
          <w:szCs w:val="21"/>
        </w:rPr>
        <w:t>38.2.3</w:t>
      </w:r>
      <w:bookmarkStart w:id="119" w:name="_Hlk71469688"/>
      <w:r>
        <w:rPr>
          <w:rFonts w:ascii="宋体" w:hAnsi="宋体" w:eastAsia="宋体"/>
        </w:rPr>
        <w:t>适用评定分离的政府采购项目，</w:t>
      </w:r>
      <w:r>
        <w:rPr>
          <w:rFonts w:hint="eastAsia" w:ascii="宋体" w:hAnsi="宋体" w:eastAsia="宋体"/>
          <w:szCs w:val="21"/>
        </w:rPr>
        <w:t>按照自定法确定中标供应商：自定法是指采购人组织定标委员会，由定标委员会在三家候选中标供应商中确定中标供应商。</w:t>
      </w:r>
      <w:bookmarkEnd w:id="118"/>
      <w:bookmarkEnd w:id="119"/>
    </w:p>
    <w:p w14:paraId="2D41CD04">
      <w:pPr>
        <w:ind w:firstLine="470" w:firstLineChars="196"/>
        <w:rPr>
          <w:rFonts w:ascii="宋体" w:hAnsi="宋体" w:eastAsia="宋体"/>
          <w:szCs w:val="21"/>
        </w:rPr>
      </w:pPr>
      <w:r>
        <w:rPr>
          <w:rFonts w:ascii="宋体" w:hAnsi="宋体" w:eastAsia="宋体"/>
          <w:szCs w:val="21"/>
        </w:rPr>
        <w:t>38.2.4</w:t>
      </w:r>
      <w:r>
        <w:rPr>
          <w:rFonts w:hint="eastAsia" w:ascii="宋体" w:hAnsi="宋体" w:eastAsia="宋体"/>
          <w:szCs w:val="21"/>
        </w:rPr>
        <w:t>招标机构</w:t>
      </w:r>
      <w:r>
        <w:rPr>
          <w:rFonts w:ascii="宋体" w:hAnsi="宋体" w:eastAsia="宋体"/>
        </w:rPr>
        <w:t>应当自评审结束之日起两个工作日内将候选中标供应商名单及其投标文件、评审报告送交采购人</w:t>
      </w:r>
      <w:r>
        <w:rPr>
          <w:rFonts w:hint="eastAsia" w:ascii="宋体" w:hAnsi="宋体" w:eastAsia="宋体"/>
          <w:szCs w:val="21"/>
        </w:rPr>
        <w:t>。</w:t>
      </w:r>
      <w:r>
        <w:rPr>
          <w:rFonts w:ascii="宋体" w:hAnsi="宋体" w:eastAsia="宋体"/>
        </w:rPr>
        <w:t>采购人应当安排专人对定标过程进行书面记录，形成定标报告，作为采购文件的组成部分存档，并及时将定标结果反馈</w:t>
      </w:r>
      <w:r>
        <w:rPr>
          <w:rFonts w:hint="eastAsia" w:ascii="宋体" w:hAnsi="宋体" w:eastAsia="宋体"/>
        </w:rPr>
        <w:t>招标机构。具体定标程序及相关要求以按照《</w:t>
      </w:r>
      <w:r>
        <w:rPr>
          <w:rFonts w:ascii="宋体" w:hAnsi="宋体" w:eastAsia="宋体"/>
        </w:rPr>
        <w:t>深圳市财政局关于印发</w:t>
      </w:r>
      <w:r>
        <w:rPr>
          <w:rFonts w:hint="eastAsia" w:ascii="宋体" w:hAnsi="宋体" w:eastAsia="宋体"/>
        </w:rPr>
        <w:t>〈</w:t>
      </w:r>
      <w:r>
        <w:rPr>
          <w:rFonts w:ascii="宋体" w:hAnsi="宋体" w:eastAsia="宋体"/>
        </w:rPr>
        <w:t>深圳市政府采购评标定标分离管理办法</w:t>
      </w:r>
      <w:r>
        <w:rPr>
          <w:rFonts w:hint="eastAsia" w:ascii="宋体" w:hAnsi="宋体" w:eastAsia="宋体"/>
        </w:rPr>
        <w:t>〉</w:t>
      </w:r>
      <w:r>
        <w:rPr>
          <w:rFonts w:ascii="宋体" w:hAnsi="宋体" w:eastAsia="宋体"/>
        </w:rPr>
        <w:t>的通知</w:t>
      </w:r>
      <w:r>
        <w:rPr>
          <w:rFonts w:hint="eastAsia" w:ascii="宋体" w:hAnsi="宋体" w:eastAsia="宋体"/>
        </w:rPr>
        <w:t>》（深财规【2</w:t>
      </w:r>
      <w:r>
        <w:rPr>
          <w:rFonts w:ascii="宋体" w:hAnsi="宋体" w:eastAsia="宋体"/>
        </w:rPr>
        <w:t>020</w:t>
      </w:r>
      <w:r>
        <w:rPr>
          <w:rFonts w:hint="eastAsia" w:ascii="宋体" w:hAnsi="宋体" w:eastAsia="宋体"/>
        </w:rPr>
        <w:t>】1号）执行。</w:t>
      </w:r>
    </w:p>
    <w:p w14:paraId="13E954FF">
      <w:pPr>
        <w:ind w:firstLine="470" w:firstLineChars="196"/>
        <w:rPr>
          <w:rFonts w:ascii="宋体" w:hAnsi="宋体" w:eastAsia="宋体"/>
          <w:szCs w:val="21"/>
        </w:rPr>
      </w:pPr>
      <w:r>
        <w:rPr>
          <w:rFonts w:hint="eastAsia" w:ascii="宋体" w:hAnsi="宋体" w:eastAsia="宋体"/>
          <w:szCs w:val="21"/>
        </w:rPr>
        <w:t>说明：采购人及投标供应商应按照上述方法提前做好相关准备。</w:t>
      </w:r>
    </w:p>
    <w:p w14:paraId="6158F4F7">
      <w:pPr>
        <w:ind w:firstLine="470" w:firstLineChars="196"/>
        <w:rPr>
          <w:rFonts w:ascii="宋体" w:hAnsi="宋体" w:eastAsia="宋体"/>
          <w:szCs w:val="21"/>
        </w:rPr>
      </w:pPr>
      <w:r>
        <w:rPr>
          <w:rFonts w:hint="eastAsia" w:ascii="宋体" w:hAnsi="宋体" w:eastAsia="宋体"/>
          <w:szCs w:val="21"/>
        </w:rPr>
        <w:t>38.3专用条款另有规定的，按专用条款相关要求定标。</w:t>
      </w:r>
      <w:bookmarkEnd w:id="116"/>
    </w:p>
    <w:p w14:paraId="6664533A">
      <w:pPr>
        <w:rPr>
          <w:rFonts w:ascii="宋体" w:hAnsi="宋体" w:eastAsia="宋体"/>
        </w:rPr>
      </w:pPr>
      <w:r>
        <w:rPr>
          <w:rFonts w:hint="eastAsia" w:ascii="宋体" w:hAnsi="宋体" w:eastAsia="宋体"/>
        </w:rPr>
        <w:t>39．编写评审报告</w:t>
      </w:r>
    </w:p>
    <w:p w14:paraId="29151897">
      <w:pPr>
        <w:ind w:firstLine="470" w:firstLineChars="196"/>
        <w:rPr>
          <w:rFonts w:ascii="宋体" w:hAnsi="宋体" w:eastAsia="宋体"/>
          <w:szCs w:val="21"/>
        </w:rPr>
      </w:pPr>
      <w:r>
        <w:rPr>
          <w:rFonts w:hint="eastAsia" w:ascii="宋体" w:hAnsi="宋体" w:eastAsia="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B6AACA9">
      <w:pPr>
        <w:rPr>
          <w:rFonts w:ascii="宋体" w:hAnsi="宋体" w:eastAsia="宋体"/>
        </w:rPr>
      </w:pPr>
      <w:r>
        <w:rPr>
          <w:rFonts w:hint="eastAsia" w:ascii="宋体" w:hAnsi="宋体" w:eastAsia="宋体"/>
        </w:rPr>
        <w:t>40．中标公告</w:t>
      </w:r>
    </w:p>
    <w:p w14:paraId="3CEFA7A3">
      <w:pPr>
        <w:ind w:firstLine="470" w:firstLineChars="196"/>
        <w:rPr>
          <w:rFonts w:ascii="宋体" w:hAnsi="宋体" w:eastAsia="宋体"/>
          <w:szCs w:val="21"/>
        </w:rPr>
      </w:pPr>
      <w:r>
        <w:rPr>
          <w:rFonts w:hint="eastAsia" w:ascii="宋体" w:hAnsi="宋体" w:eastAsia="宋体"/>
          <w:szCs w:val="21"/>
        </w:rPr>
        <w:t>40.1</w:t>
      </w:r>
      <w:bookmarkStart w:id="120" w:name="_Hlk72438709"/>
      <w:r>
        <w:rPr>
          <w:rFonts w:hint="eastAsia" w:ascii="宋体" w:hAnsi="宋体" w:eastAsia="宋体"/>
          <w:szCs w:val="21"/>
        </w:rPr>
        <w:t>为体现“公开、公平、公正”的原则，评审结束后经采购人确认（确定）评审结果，招标机构将在“深圳政府采购智慧平台（http://zfcg.szggzy.com:8081/）”上发布中标结果公告。</w:t>
      </w:r>
      <w:bookmarkEnd w:id="120"/>
      <w:bookmarkStart w:id="121" w:name="_Hlk72438751"/>
      <w:r>
        <w:rPr>
          <w:rFonts w:hint="eastAsia" w:ascii="宋体" w:hAnsi="宋体" w:eastAsia="宋体"/>
          <w:szCs w:val="21"/>
        </w:rPr>
        <w:t>供应商如对评审结果有异议，</w:t>
      </w:r>
      <w:r>
        <w:rPr>
          <w:rFonts w:ascii="宋体" w:hAnsi="宋体" w:eastAsia="宋体"/>
          <w:szCs w:val="21"/>
        </w:rPr>
        <w:t>可在发布公示日期起</w:t>
      </w:r>
      <w:r>
        <w:rPr>
          <w:rFonts w:hint="eastAsia" w:ascii="宋体" w:hAnsi="宋体" w:eastAsia="宋体"/>
          <w:szCs w:val="21"/>
        </w:rPr>
        <w:t>七</w:t>
      </w:r>
      <w:r>
        <w:rPr>
          <w:rFonts w:ascii="宋体" w:hAnsi="宋体" w:eastAsia="宋体"/>
          <w:szCs w:val="21"/>
        </w:rPr>
        <w:t>个工作日内向</w:t>
      </w:r>
      <w:r>
        <w:rPr>
          <w:rFonts w:hint="eastAsia" w:ascii="宋体" w:hAnsi="宋体" w:eastAsia="宋体"/>
          <w:szCs w:val="21"/>
        </w:rPr>
        <w:t>招标机构</w:t>
      </w:r>
      <w:r>
        <w:rPr>
          <w:rFonts w:ascii="宋体" w:hAnsi="宋体" w:eastAsia="宋体"/>
          <w:szCs w:val="21"/>
        </w:rPr>
        <w:t>提出。</w:t>
      </w:r>
      <w:r>
        <w:rPr>
          <w:rFonts w:hint="eastAsia" w:ascii="宋体" w:hAnsi="宋体" w:eastAsia="宋体"/>
          <w:szCs w:val="21"/>
        </w:rPr>
        <w:t>若在公示期内未提出质疑，则视为认同该评审结果。</w:t>
      </w:r>
    </w:p>
    <w:bookmarkEnd w:id="121"/>
    <w:p w14:paraId="3BA22575">
      <w:pPr>
        <w:ind w:firstLine="470" w:firstLineChars="196"/>
        <w:rPr>
          <w:rFonts w:ascii="宋体" w:hAnsi="宋体" w:eastAsia="宋体"/>
          <w:szCs w:val="21"/>
        </w:rPr>
      </w:pPr>
      <w:r>
        <w:rPr>
          <w:rFonts w:hint="eastAsia" w:ascii="宋体" w:hAnsi="宋体" w:eastAsia="宋体"/>
          <w:szCs w:val="21"/>
        </w:rPr>
        <w:t>40.2质疑、投诉供应商应保证质疑、投诉内容的真实性和可靠性，并承担相应的法律责任。</w:t>
      </w:r>
    </w:p>
    <w:p w14:paraId="5AF098EF">
      <w:pPr>
        <w:rPr>
          <w:rFonts w:ascii="宋体" w:hAnsi="宋体" w:eastAsia="宋体"/>
        </w:rPr>
      </w:pPr>
      <w:r>
        <w:rPr>
          <w:rFonts w:hint="eastAsia" w:ascii="宋体" w:hAnsi="宋体" w:eastAsia="宋体"/>
        </w:rPr>
        <w:t>41．中标通知书、招标代理服务费</w:t>
      </w:r>
    </w:p>
    <w:p w14:paraId="12B01ED0">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41.1</w:t>
      </w:r>
      <w:bookmarkStart w:id="122" w:name="_Hlk72438863"/>
      <w:r>
        <w:rPr>
          <w:rFonts w:ascii="宋体" w:hAnsi="宋体"/>
          <w:color w:val="000000" w:themeColor="text1"/>
          <w:szCs w:val="21"/>
          <w14:textFill>
            <w14:solidFill>
              <w14:schemeClr w14:val="tx1"/>
            </w14:solidFill>
          </w14:textFill>
        </w:rPr>
        <w:t>中标公告公布以后无异常的情况下,中标供应商和采购人可自行在“深圳政府采购智慧平台（</w:t>
      </w:r>
      <w:r>
        <w:rPr>
          <w:rFonts w:hint="eastAsia" w:ascii="宋体" w:hAnsi="宋体"/>
          <w:color w:val="000000" w:themeColor="text1"/>
          <w:szCs w:val="21"/>
          <w14:textFill>
            <w14:solidFill>
              <w14:schemeClr w14:val="tx1"/>
            </w14:solidFill>
          </w14:textFill>
        </w:rPr>
        <w:t>http://zfcg.szggzy.com:8081/</w:t>
      </w:r>
      <w:r>
        <w:rPr>
          <w:rFonts w:ascii="宋体" w:hAnsi="宋体"/>
          <w:color w:val="000000" w:themeColor="text1"/>
          <w:szCs w:val="21"/>
          <w14:textFill>
            <w14:solidFill>
              <w14:schemeClr w14:val="tx1"/>
            </w14:solidFill>
          </w14:textFill>
        </w:rPr>
        <w:t>）”上打印</w:t>
      </w:r>
      <w:r>
        <w:rPr>
          <w:rFonts w:ascii="宋体" w:hAnsi="宋体"/>
          <w:b/>
          <w:color w:val="000000" w:themeColor="text1"/>
          <w:szCs w:val="21"/>
          <w14:textFill>
            <w14:solidFill>
              <w14:schemeClr w14:val="tx1"/>
            </w14:solidFill>
          </w14:textFill>
        </w:rPr>
        <w:t>《数字中标通知书》（</w:t>
      </w:r>
      <w:r>
        <w:rPr>
          <w:rFonts w:ascii="宋体" w:hAnsi="宋体"/>
          <w:color w:val="000000" w:themeColor="text1"/>
          <w:szCs w:val="21"/>
          <w14:textFill>
            <w14:solidFill>
              <w14:schemeClr w14:val="tx1"/>
            </w14:solidFill>
          </w14:textFill>
        </w:rPr>
        <w:t>咨询电话：</w:t>
      </w:r>
      <w:r>
        <w:rPr>
          <w:rFonts w:ascii="宋体" w:hAnsi="宋体"/>
          <w:b/>
          <w:bCs/>
          <w:color w:val="000000" w:themeColor="text1"/>
          <w:szCs w:val="21"/>
          <w14:textFill>
            <w14:solidFill>
              <w14:schemeClr w14:val="tx1"/>
            </w14:solidFill>
          </w14:textFill>
        </w:rPr>
        <w:t>0755-83881111</w:t>
      </w:r>
      <w:r>
        <w:rPr>
          <w:rFonts w:hint="eastAsia" w:ascii="宋体" w:hAnsi="宋体" w:eastAsia="宋体" w:cs="宋体"/>
          <w:b/>
          <w:bCs/>
          <w:color w:val="000000" w:themeColor="text1"/>
          <w:szCs w:val="21"/>
          <w14:textFill>
            <w14:solidFill>
              <w14:schemeClr w14:val="tx1"/>
            </w14:solidFill>
          </w14:textFill>
        </w:rPr>
        <w:t>、8</w:t>
      </w:r>
      <w:r>
        <w:rPr>
          <w:rFonts w:ascii="宋体" w:hAnsi="宋体" w:eastAsia="宋体" w:cs="宋体"/>
          <w:b/>
          <w:bCs/>
          <w:color w:val="000000" w:themeColor="text1"/>
          <w:szCs w:val="21"/>
          <w14:textFill>
            <w14:solidFill>
              <w14:schemeClr w14:val="tx1"/>
            </w14:solidFill>
          </w14:textFill>
        </w:rPr>
        <w:t>3881995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或</w:t>
      </w:r>
      <w:r>
        <w:rPr>
          <w:rFonts w:hint="eastAsia" w:ascii="宋体" w:hAnsi="宋体"/>
          <w:szCs w:val="21"/>
        </w:rPr>
        <w:t>中标人凭单位证明和本人身份证到友和保险经纪有限公司领取《中标通知书》</w:t>
      </w:r>
      <w:r>
        <w:rPr>
          <w:rFonts w:ascii="宋体" w:hAnsi="宋体"/>
          <w:color w:val="000000" w:themeColor="text1"/>
          <w:szCs w:val="21"/>
          <w14:textFill>
            <w14:solidFill>
              <w14:schemeClr w14:val="tx1"/>
            </w14:solidFill>
          </w14:textFill>
        </w:rPr>
        <w:t>。</w:t>
      </w:r>
      <w:bookmarkEnd w:id="122"/>
    </w:p>
    <w:p w14:paraId="1CF676C5">
      <w:pPr>
        <w:ind w:firstLine="470" w:firstLineChars="196"/>
        <w:rPr>
          <w:rFonts w:ascii="宋体" w:hAnsi="宋体" w:eastAsia="宋体"/>
          <w:szCs w:val="21"/>
        </w:rPr>
      </w:pPr>
      <w:r>
        <w:rPr>
          <w:rFonts w:hint="eastAsia" w:ascii="宋体" w:hAnsi="宋体" w:eastAsia="宋体"/>
          <w:szCs w:val="21"/>
        </w:rPr>
        <w:t>41</w:t>
      </w:r>
      <w:r>
        <w:rPr>
          <w:rFonts w:ascii="宋体" w:hAnsi="宋体" w:eastAsia="宋体"/>
          <w:szCs w:val="21"/>
        </w:rPr>
        <w:t>.2</w:t>
      </w:r>
      <w:r>
        <w:rPr>
          <w:rFonts w:hint="eastAsia" w:ascii="宋体" w:hAnsi="宋体" w:eastAsia="宋体"/>
          <w:szCs w:val="21"/>
        </w:rPr>
        <w:t>中标通知书是合同的重要组成部分。</w:t>
      </w:r>
    </w:p>
    <w:p w14:paraId="0F123CC6">
      <w:pPr>
        <w:ind w:firstLine="470" w:firstLineChars="196"/>
        <w:rPr>
          <w:rFonts w:ascii="宋体" w:hAnsi="宋体" w:eastAsia="宋体"/>
          <w:szCs w:val="21"/>
        </w:rPr>
      </w:pPr>
      <w:bookmarkStart w:id="123" w:name="_Hlk71407340"/>
      <w:r>
        <w:rPr>
          <w:rFonts w:hint="eastAsia" w:ascii="宋体" w:hAnsi="宋体" w:eastAsia="宋体"/>
          <w:szCs w:val="21"/>
        </w:rPr>
        <w:t>41.3因质疑投诉或其它原因导致项目结果变更或采购终止的，招标机构有权吊销中标通知书。</w:t>
      </w:r>
    </w:p>
    <w:p w14:paraId="7D33D9E7">
      <w:pPr>
        <w:ind w:firstLine="470" w:firstLineChars="196"/>
        <w:rPr>
          <w:rFonts w:ascii="宋体" w:hAnsi="宋体" w:eastAsia="宋体"/>
          <w:szCs w:val="21"/>
        </w:rPr>
      </w:pPr>
      <w:r>
        <w:rPr>
          <w:rFonts w:hint="eastAsia" w:ascii="宋体" w:hAnsi="宋体" w:eastAsia="宋体"/>
          <w:szCs w:val="21"/>
        </w:rPr>
        <w:t>41.4.1代理费由中标人支付，代理费收费标准按《深圳市财政委员会关于规范深圳市社会采购代理机构管理有关事项的补充通知》（深财购〔2018〕27号）执行，收费标准如下表所列。招标代理服务费以中标金额为基数，按差额定率累进法计算后下浮10%计取，不足人民币伍仟元的按照固定额伍仟元收取。具体计取费率标准如下表所示：</w:t>
      </w:r>
    </w:p>
    <w:p w14:paraId="3B799E4D">
      <w:pPr>
        <w:spacing w:line="0" w:lineRule="atLeast"/>
        <w:ind w:firstLine="470" w:firstLineChars="196"/>
        <w:rPr>
          <w:rFonts w:ascii="宋体" w:hAnsi="宋体" w:eastAsia="宋体"/>
          <w:szCs w:val="21"/>
        </w:rPr>
      </w:pPr>
    </w:p>
    <w:tbl>
      <w:tblPr>
        <w:tblStyle w:val="18"/>
        <w:tblW w:w="0" w:type="auto"/>
        <w:jc w:val="center"/>
        <w:tblLayout w:type="fixed"/>
        <w:tblCellMar>
          <w:top w:w="0" w:type="dxa"/>
          <w:left w:w="108" w:type="dxa"/>
          <w:bottom w:w="0" w:type="dxa"/>
          <w:right w:w="108" w:type="dxa"/>
        </w:tblCellMar>
      </w:tblPr>
      <w:tblGrid>
        <w:gridCol w:w="2535"/>
        <w:gridCol w:w="2021"/>
        <w:gridCol w:w="1894"/>
        <w:gridCol w:w="1735"/>
      </w:tblGrid>
      <w:tr w14:paraId="595750E5">
        <w:tblPrEx>
          <w:tblCellMar>
            <w:top w:w="0" w:type="dxa"/>
            <w:left w:w="108" w:type="dxa"/>
            <w:bottom w:w="0" w:type="dxa"/>
            <w:right w:w="108" w:type="dxa"/>
          </w:tblCellMar>
        </w:tblPrEx>
        <w:trPr>
          <w:trHeight w:val="737" w:hRule="atLeast"/>
          <w:jc w:val="center"/>
        </w:trPr>
        <w:tc>
          <w:tcPr>
            <w:tcW w:w="2535" w:type="dxa"/>
            <w:tcBorders>
              <w:top w:val="single" w:color="auto" w:sz="4" w:space="0"/>
              <w:left w:val="single" w:color="auto" w:sz="4" w:space="0"/>
              <w:bottom w:val="single" w:color="auto" w:sz="4" w:space="0"/>
              <w:right w:val="single" w:color="auto" w:sz="4" w:space="0"/>
              <w:tl2br w:val="single" w:color="auto" w:sz="4" w:space="0"/>
            </w:tcBorders>
            <w:vAlign w:val="center"/>
          </w:tcPr>
          <w:p w14:paraId="4C81DBA9">
            <w:pPr>
              <w:spacing w:line="300" w:lineRule="auto"/>
              <w:rPr>
                <w:rFonts w:ascii="宋体" w:hAnsi="宋体" w:eastAsia="宋体" w:cs="宋体"/>
                <w:szCs w:val="21"/>
              </w:rPr>
            </w:pPr>
            <w:r>
              <w:rPr>
                <w:rFonts w:hint="eastAsia" w:ascii="宋体" w:hAnsi="宋体" w:eastAsia="宋体" w:cs="宋体"/>
              </w:rPr>
              <w:t xml:space="preserve">              </w:t>
            </w:r>
            <w:r>
              <w:rPr>
                <w:rFonts w:hint="eastAsia" w:ascii="宋体" w:hAnsi="宋体" w:eastAsia="宋体" w:cs="宋体"/>
                <w:szCs w:val="21"/>
              </w:rPr>
              <w:t>类别</w:t>
            </w:r>
          </w:p>
          <w:p w14:paraId="35353B32">
            <w:pPr>
              <w:spacing w:line="300" w:lineRule="auto"/>
              <w:rPr>
                <w:rFonts w:ascii="宋体" w:hAnsi="宋体" w:eastAsia="宋体" w:cs="宋体"/>
                <w:szCs w:val="21"/>
              </w:rPr>
            </w:pPr>
            <w:r>
              <w:rPr>
                <w:rFonts w:hint="eastAsia" w:ascii="宋体" w:hAnsi="宋体" w:eastAsia="宋体" w:cs="宋体"/>
                <w:szCs w:val="21"/>
              </w:rPr>
              <w:t>金额(万元)</w:t>
            </w:r>
          </w:p>
        </w:tc>
        <w:tc>
          <w:tcPr>
            <w:tcW w:w="2021" w:type="dxa"/>
            <w:tcBorders>
              <w:top w:val="single" w:color="auto" w:sz="4" w:space="0"/>
              <w:left w:val="single" w:color="auto" w:sz="4" w:space="0"/>
              <w:bottom w:val="single" w:color="auto" w:sz="4" w:space="0"/>
              <w:right w:val="single" w:color="auto" w:sz="4" w:space="0"/>
            </w:tcBorders>
            <w:vAlign w:val="center"/>
          </w:tcPr>
          <w:p w14:paraId="2A09EF54">
            <w:pPr>
              <w:spacing w:line="300" w:lineRule="auto"/>
              <w:jc w:val="center"/>
              <w:rPr>
                <w:rFonts w:ascii="宋体" w:hAnsi="宋体" w:eastAsia="宋体" w:cs="宋体"/>
                <w:b/>
                <w:szCs w:val="21"/>
              </w:rPr>
            </w:pPr>
            <w:r>
              <w:rPr>
                <w:rFonts w:hint="eastAsia" w:ascii="宋体" w:hAnsi="宋体" w:eastAsia="宋体" w:cs="宋体"/>
                <w:b/>
                <w:szCs w:val="21"/>
              </w:rPr>
              <w:t>工程招标</w:t>
            </w:r>
          </w:p>
        </w:tc>
        <w:tc>
          <w:tcPr>
            <w:tcW w:w="1894" w:type="dxa"/>
            <w:tcBorders>
              <w:top w:val="single" w:color="auto" w:sz="4" w:space="0"/>
              <w:left w:val="nil"/>
              <w:bottom w:val="single" w:color="auto" w:sz="4" w:space="0"/>
              <w:right w:val="single" w:color="auto" w:sz="4" w:space="0"/>
            </w:tcBorders>
            <w:vAlign w:val="center"/>
          </w:tcPr>
          <w:p w14:paraId="41B05AFD">
            <w:pPr>
              <w:spacing w:line="300" w:lineRule="auto"/>
              <w:jc w:val="center"/>
              <w:rPr>
                <w:rFonts w:ascii="宋体" w:hAnsi="宋体" w:eastAsia="宋体" w:cs="宋体"/>
                <w:b/>
                <w:szCs w:val="21"/>
              </w:rPr>
            </w:pPr>
            <w:r>
              <w:rPr>
                <w:rFonts w:hint="eastAsia" w:ascii="宋体" w:hAnsi="宋体" w:eastAsia="宋体" w:cs="宋体"/>
                <w:b/>
                <w:szCs w:val="21"/>
              </w:rPr>
              <w:t>货物招标</w:t>
            </w:r>
          </w:p>
        </w:tc>
        <w:tc>
          <w:tcPr>
            <w:tcW w:w="1735" w:type="dxa"/>
            <w:tcBorders>
              <w:top w:val="single" w:color="auto" w:sz="4" w:space="0"/>
              <w:left w:val="nil"/>
              <w:bottom w:val="single" w:color="auto" w:sz="4" w:space="0"/>
              <w:right w:val="single" w:color="auto" w:sz="4" w:space="0"/>
            </w:tcBorders>
            <w:vAlign w:val="center"/>
          </w:tcPr>
          <w:p w14:paraId="4BEA6FE2">
            <w:pPr>
              <w:spacing w:line="300" w:lineRule="auto"/>
              <w:jc w:val="center"/>
              <w:rPr>
                <w:rFonts w:ascii="宋体" w:hAnsi="宋体" w:eastAsia="宋体" w:cs="宋体"/>
                <w:b/>
                <w:szCs w:val="21"/>
              </w:rPr>
            </w:pPr>
            <w:r>
              <w:rPr>
                <w:rFonts w:hint="eastAsia" w:ascii="宋体" w:hAnsi="宋体" w:eastAsia="宋体" w:cs="宋体"/>
                <w:b/>
                <w:szCs w:val="21"/>
              </w:rPr>
              <w:t>服务招标</w:t>
            </w:r>
          </w:p>
        </w:tc>
      </w:tr>
      <w:tr w14:paraId="3B4D5DE3">
        <w:tblPrEx>
          <w:tblCellMar>
            <w:top w:w="0" w:type="dxa"/>
            <w:left w:w="108" w:type="dxa"/>
            <w:bottom w:w="0" w:type="dxa"/>
            <w:right w:w="108" w:type="dxa"/>
          </w:tblCellMar>
        </w:tblPrEx>
        <w:trPr>
          <w:trHeight w:val="402" w:hRule="atLeast"/>
          <w:jc w:val="center"/>
        </w:trPr>
        <w:tc>
          <w:tcPr>
            <w:tcW w:w="2535" w:type="dxa"/>
            <w:tcBorders>
              <w:top w:val="single" w:color="auto" w:sz="4" w:space="0"/>
              <w:left w:val="single" w:color="auto" w:sz="8" w:space="0"/>
              <w:bottom w:val="single" w:color="auto" w:sz="8" w:space="0"/>
              <w:right w:val="single" w:color="auto" w:sz="8" w:space="0"/>
            </w:tcBorders>
            <w:vAlign w:val="center"/>
          </w:tcPr>
          <w:p w14:paraId="18C5CA0C">
            <w:pPr>
              <w:spacing w:line="300" w:lineRule="auto"/>
              <w:jc w:val="center"/>
              <w:rPr>
                <w:rFonts w:ascii="宋体" w:hAnsi="宋体" w:eastAsia="宋体" w:cs="宋体"/>
                <w:szCs w:val="21"/>
              </w:rPr>
            </w:pPr>
            <w:r>
              <w:rPr>
                <w:rFonts w:hint="eastAsia" w:ascii="宋体" w:hAnsi="宋体" w:eastAsia="宋体" w:cs="宋体"/>
                <w:szCs w:val="21"/>
              </w:rPr>
              <w:t>100以下</w:t>
            </w:r>
          </w:p>
        </w:tc>
        <w:tc>
          <w:tcPr>
            <w:tcW w:w="2021" w:type="dxa"/>
            <w:tcBorders>
              <w:top w:val="nil"/>
              <w:left w:val="nil"/>
              <w:bottom w:val="single" w:color="auto" w:sz="8" w:space="0"/>
              <w:right w:val="single" w:color="auto" w:sz="8" w:space="0"/>
            </w:tcBorders>
            <w:vAlign w:val="center"/>
          </w:tcPr>
          <w:p w14:paraId="21569403">
            <w:pPr>
              <w:spacing w:line="300" w:lineRule="auto"/>
              <w:jc w:val="center"/>
              <w:rPr>
                <w:rFonts w:ascii="宋体" w:hAnsi="宋体" w:eastAsia="宋体" w:cs="宋体"/>
                <w:szCs w:val="21"/>
              </w:rPr>
            </w:pPr>
            <w:r>
              <w:rPr>
                <w:rFonts w:hint="eastAsia" w:ascii="宋体" w:hAnsi="宋体" w:eastAsia="宋体" w:cs="宋体"/>
                <w:szCs w:val="21"/>
              </w:rPr>
              <w:t>1.00%</w:t>
            </w:r>
          </w:p>
        </w:tc>
        <w:tc>
          <w:tcPr>
            <w:tcW w:w="1894" w:type="dxa"/>
            <w:tcBorders>
              <w:top w:val="nil"/>
              <w:left w:val="nil"/>
              <w:bottom w:val="single" w:color="auto" w:sz="8" w:space="0"/>
              <w:right w:val="single" w:color="auto" w:sz="8" w:space="0"/>
            </w:tcBorders>
            <w:vAlign w:val="center"/>
          </w:tcPr>
          <w:p w14:paraId="2034BF28">
            <w:pPr>
              <w:spacing w:line="300" w:lineRule="auto"/>
              <w:jc w:val="center"/>
              <w:rPr>
                <w:rFonts w:ascii="宋体" w:hAnsi="宋体" w:eastAsia="宋体" w:cs="宋体"/>
                <w:b/>
                <w:szCs w:val="21"/>
              </w:rPr>
            </w:pPr>
            <w:r>
              <w:rPr>
                <w:rFonts w:hint="eastAsia" w:ascii="宋体" w:hAnsi="宋体" w:eastAsia="宋体" w:cs="宋体"/>
                <w:b/>
                <w:szCs w:val="21"/>
              </w:rPr>
              <w:t>1.50%</w:t>
            </w:r>
          </w:p>
        </w:tc>
        <w:tc>
          <w:tcPr>
            <w:tcW w:w="1735" w:type="dxa"/>
            <w:tcBorders>
              <w:top w:val="nil"/>
              <w:left w:val="nil"/>
              <w:bottom w:val="single" w:color="auto" w:sz="8" w:space="0"/>
              <w:right w:val="single" w:color="auto" w:sz="8" w:space="0"/>
            </w:tcBorders>
            <w:vAlign w:val="center"/>
          </w:tcPr>
          <w:p w14:paraId="7BF41A78">
            <w:pPr>
              <w:spacing w:line="300" w:lineRule="auto"/>
              <w:jc w:val="center"/>
              <w:rPr>
                <w:rFonts w:ascii="宋体" w:hAnsi="宋体" w:eastAsia="宋体" w:cs="宋体"/>
                <w:szCs w:val="21"/>
              </w:rPr>
            </w:pPr>
            <w:r>
              <w:rPr>
                <w:rFonts w:hint="eastAsia" w:ascii="宋体" w:hAnsi="宋体" w:eastAsia="宋体" w:cs="宋体"/>
                <w:szCs w:val="21"/>
              </w:rPr>
              <w:t>1.50%</w:t>
            </w:r>
          </w:p>
        </w:tc>
      </w:tr>
      <w:tr w14:paraId="6D43CD10">
        <w:tblPrEx>
          <w:tblCellMar>
            <w:top w:w="0" w:type="dxa"/>
            <w:left w:w="108" w:type="dxa"/>
            <w:bottom w:w="0" w:type="dxa"/>
            <w:right w:w="108" w:type="dxa"/>
          </w:tblCellMar>
        </w:tblPrEx>
        <w:trPr>
          <w:trHeight w:val="402" w:hRule="atLeast"/>
          <w:jc w:val="center"/>
        </w:trPr>
        <w:tc>
          <w:tcPr>
            <w:tcW w:w="2535" w:type="dxa"/>
            <w:tcBorders>
              <w:top w:val="nil"/>
              <w:left w:val="single" w:color="auto" w:sz="8" w:space="0"/>
              <w:bottom w:val="single" w:color="auto" w:sz="8" w:space="0"/>
              <w:right w:val="single" w:color="auto" w:sz="8" w:space="0"/>
            </w:tcBorders>
            <w:vAlign w:val="center"/>
          </w:tcPr>
          <w:p w14:paraId="3448F7E5">
            <w:pPr>
              <w:spacing w:line="300" w:lineRule="auto"/>
              <w:jc w:val="center"/>
              <w:rPr>
                <w:rFonts w:ascii="宋体" w:hAnsi="宋体" w:eastAsia="宋体" w:cs="宋体"/>
                <w:szCs w:val="21"/>
              </w:rPr>
            </w:pPr>
            <w:r>
              <w:rPr>
                <w:rFonts w:hint="eastAsia" w:ascii="宋体" w:hAnsi="宋体" w:eastAsia="宋体" w:cs="宋体"/>
                <w:szCs w:val="21"/>
              </w:rPr>
              <w:t>100-500</w:t>
            </w:r>
          </w:p>
        </w:tc>
        <w:tc>
          <w:tcPr>
            <w:tcW w:w="2021" w:type="dxa"/>
            <w:tcBorders>
              <w:top w:val="nil"/>
              <w:left w:val="nil"/>
              <w:bottom w:val="single" w:color="auto" w:sz="8" w:space="0"/>
              <w:right w:val="single" w:color="auto" w:sz="8" w:space="0"/>
            </w:tcBorders>
            <w:vAlign w:val="center"/>
          </w:tcPr>
          <w:p w14:paraId="6096B92B">
            <w:pPr>
              <w:spacing w:line="300" w:lineRule="auto"/>
              <w:jc w:val="center"/>
              <w:rPr>
                <w:rFonts w:ascii="宋体" w:hAnsi="宋体" w:eastAsia="宋体" w:cs="宋体"/>
                <w:szCs w:val="21"/>
              </w:rPr>
            </w:pPr>
            <w:r>
              <w:rPr>
                <w:rFonts w:hint="eastAsia" w:ascii="宋体" w:hAnsi="宋体" w:eastAsia="宋体" w:cs="宋体"/>
                <w:szCs w:val="21"/>
              </w:rPr>
              <w:t>0.70%</w:t>
            </w:r>
          </w:p>
        </w:tc>
        <w:tc>
          <w:tcPr>
            <w:tcW w:w="1894" w:type="dxa"/>
            <w:tcBorders>
              <w:top w:val="nil"/>
              <w:left w:val="nil"/>
              <w:bottom w:val="single" w:color="auto" w:sz="8" w:space="0"/>
              <w:right w:val="single" w:color="auto" w:sz="8" w:space="0"/>
            </w:tcBorders>
            <w:vAlign w:val="center"/>
          </w:tcPr>
          <w:p w14:paraId="338038E8">
            <w:pPr>
              <w:spacing w:line="300" w:lineRule="auto"/>
              <w:jc w:val="center"/>
              <w:rPr>
                <w:rFonts w:ascii="宋体" w:hAnsi="宋体" w:eastAsia="宋体" w:cs="宋体"/>
                <w:b/>
                <w:szCs w:val="21"/>
              </w:rPr>
            </w:pPr>
            <w:r>
              <w:rPr>
                <w:rFonts w:hint="eastAsia" w:ascii="宋体" w:hAnsi="宋体" w:eastAsia="宋体" w:cs="宋体"/>
                <w:b/>
                <w:szCs w:val="21"/>
              </w:rPr>
              <w:t>1.10%</w:t>
            </w:r>
          </w:p>
        </w:tc>
        <w:tc>
          <w:tcPr>
            <w:tcW w:w="1735" w:type="dxa"/>
            <w:tcBorders>
              <w:top w:val="nil"/>
              <w:left w:val="nil"/>
              <w:bottom w:val="single" w:color="auto" w:sz="8" w:space="0"/>
              <w:right w:val="single" w:color="auto" w:sz="8" w:space="0"/>
            </w:tcBorders>
            <w:vAlign w:val="center"/>
          </w:tcPr>
          <w:p w14:paraId="054C12EC">
            <w:pPr>
              <w:spacing w:line="300" w:lineRule="auto"/>
              <w:jc w:val="center"/>
              <w:rPr>
                <w:rFonts w:ascii="宋体" w:hAnsi="宋体" w:eastAsia="宋体" w:cs="宋体"/>
                <w:szCs w:val="21"/>
              </w:rPr>
            </w:pPr>
            <w:r>
              <w:rPr>
                <w:rFonts w:hint="eastAsia" w:ascii="宋体" w:hAnsi="宋体" w:eastAsia="宋体" w:cs="宋体"/>
                <w:szCs w:val="21"/>
              </w:rPr>
              <w:t>0.80%</w:t>
            </w:r>
          </w:p>
        </w:tc>
      </w:tr>
      <w:tr w14:paraId="50F8A899">
        <w:tblPrEx>
          <w:tblCellMar>
            <w:top w:w="0" w:type="dxa"/>
            <w:left w:w="108" w:type="dxa"/>
            <w:bottom w:w="0" w:type="dxa"/>
            <w:right w:w="108" w:type="dxa"/>
          </w:tblCellMar>
        </w:tblPrEx>
        <w:trPr>
          <w:trHeight w:val="402" w:hRule="atLeast"/>
          <w:jc w:val="center"/>
        </w:trPr>
        <w:tc>
          <w:tcPr>
            <w:tcW w:w="2535" w:type="dxa"/>
            <w:tcBorders>
              <w:top w:val="nil"/>
              <w:left w:val="single" w:color="auto" w:sz="8" w:space="0"/>
              <w:bottom w:val="single" w:color="auto" w:sz="8" w:space="0"/>
              <w:right w:val="single" w:color="auto" w:sz="8" w:space="0"/>
            </w:tcBorders>
            <w:vAlign w:val="center"/>
          </w:tcPr>
          <w:p w14:paraId="35E42F8C">
            <w:pPr>
              <w:spacing w:line="300" w:lineRule="auto"/>
              <w:jc w:val="center"/>
              <w:rPr>
                <w:rFonts w:ascii="宋体" w:hAnsi="宋体" w:eastAsia="宋体" w:cs="宋体"/>
                <w:szCs w:val="21"/>
              </w:rPr>
            </w:pPr>
            <w:r>
              <w:rPr>
                <w:rFonts w:hint="eastAsia" w:ascii="宋体" w:hAnsi="宋体" w:eastAsia="宋体" w:cs="宋体"/>
                <w:szCs w:val="21"/>
              </w:rPr>
              <w:t>500-1000</w:t>
            </w:r>
          </w:p>
        </w:tc>
        <w:tc>
          <w:tcPr>
            <w:tcW w:w="2021" w:type="dxa"/>
            <w:tcBorders>
              <w:top w:val="nil"/>
              <w:left w:val="nil"/>
              <w:bottom w:val="single" w:color="auto" w:sz="8" w:space="0"/>
              <w:right w:val="single" w:color="auto" w:sz="8" w:space="0"/>
            </w:tcBorders>
            <w:vAlign w:val="center"/>
          </w:tcPr>
          <w:p w14:paraId="4AE30793">
            <w:pPr>
              <w:spacing w:line="300" w:lineRule="auto"/>
              <w:jc w:val="center"/>
              <w:rPr>
                <w:rFonts w:ascii="宋体" w:hAnsi="宋体" w:eastAsia="宋体" w:cs="宋体"/>
                <w:szCs w:val="21"/>
              </w:rPr>
            </w:pPr>
            <w:r>
              <w:rPr>
                <w:rFonts w:hint="eastAsia" w:ascii="宋体" w:hAnsi="宋体" w:eastAsia="宋体" w:cs="宋体"/>
                <w:szCs w:val="21"/>
              </w:rPr>
              <w:t>0.55%</w:t>
            </w:r>
          </w:p>
        </w:tc>
        <w:tc>
          <w:tcPr>
            <w:tcW w:w="1894" w:type="dxa"/>
            <w:tcBorders>
              <w:top w:val="nil"/>
              <w:left w:val="nil"/>
              <w:bottom w:val="single" w:color="auto" w:sz="8" w:space="0"/>
              <w:right w:val="single" w:color="auto" w:sz="8" w:space="0"/>
            </w:tcBorders>
            <w:vAlign w:val="center"/>
          </w:tcPr>
          <w:p w14:paraId="65334911">
            <w:pPr>
              <w:spacing w:line="300" w:lineRule="auto"/>
              <w:jc w:val="center"/>
              <w:rPr>
                <w:rFonts w:ascii="宋体" w:hAnsi="宋体" w:eastAsia="宋体" w:cs="宋体"/>
                <w:b/>
                <w:szCs w:val="21"/>
              </w:rPr>
            </w:pPr>
            <w:r>
              <w:rPr>
                <w:rFonts w:hint="eastAsia" w:ascii="宋体" w:hAnsi="宋体" w:eastAsia="宋体" w:cs="宋体"/>
                <w:b/>
                <w:szCs w:val="21"/>
              </w:rPr>
              <w:t>0.80%</w:t>
            </w:r>
          </w:p>
        </w:tc>
        <w:tc>
          <w:tcPr>
            <w:tcW w:w="1735" w:type="dxa"/>
            <w:tcBorders>
              <w:top w:val="nil"/>
              <w:left w:val="nil"/>
              <w:bottom w:val="single" w:color="auto" w:sz="8" w:space="0"/>
              <w:right w:val="single" w:color="auto" w:sz="8" w:space="0"/>
            </w:tcBorders>
            <w:vAlign w:val="center"/>
          </w:tcPr>
          <w:p w14:paraId="32B1C5CB">
            <w:pPr>
              <w:spacing w:line="300" w:lineRule="auto"/>
              <w:jc w:val="center"/>
              <w:rPr>
                <w:rFonts w:ascii="宋体" w:hAnsi="宋体" w:eastAsia="宋体" w:cs="宋体"/>
                <w:szCs w:val="21"/>
              </w:rPr>
            </w:pPr>
            <w:r>
              <w:rPr>
                <w:rFonts w:hint="eastAsia" w:ascii="宋体" w:hAnsi="宋体" w:eastAsia="宋体" w:cs="宋体"/>
                <w:szCs w:val="21"/>
              </w:rPr>
              <w:t>0.45%</w:t>
            </w:r>
          </w:p>
        </w:tc>
      </w:tr>
      <w:tr w14:paraId="762251D5">
        <w:tblPrEx>
          <w:tblCellMar>
            <w:top w:w="0" w:type="dxa"/>
            <w:left w:w="108" w:type="dxa"/>
            <w:bottom w:w="0" w:type="dxa"/>
            <w:right w:w="108" w:type="dxa"/>
          </w:tblCellMar>
        </w:tblPrEx>
        <w:trPr>
          <w:trHeight w:val="402" w:hRule="atLeast"/>
          <w:jc w:val="center"/>
        </w:trPr>
        <w:tc>
          <w:tcPr>
            <w:tcW w:w="2535" w:type="dxa"/>
            <w:tcBorders>
              <w:top w:val="nil"/>
              <w:left w:val="single" w:color="auto" w:sz="8" w:space="0"/>
              <w:bottom w:val="single" w:color="auto" w:sz="8" w:space="0"/>
              <w:right w:val="single" w:color="auto" w:sz="8" w:space="0"/>
            </w:tcBorders>
            <w:vAlign w:val="center"/>
          </w:tcPr>
          <w:p w14:paraId="531D9824">
            <w:pPr>
              <w:spacing w:line="300" w:lineRule="auto"/>
              <w:jc w:val="center"/>
              <w:rPr>
                <w:rFonts w:ascii="宋体" w:hAnsi="宋体" w:eastAsia="宋体" w:cs="宋体"/>
                <w:szCs w:val="21"/>
              </w:rPr>
            </w:pPr>
            <w:r>
              <w:rPr>
                <w:rFonts w:hint="eastAsia" w:ascii="宋体" w:hAnsi="宋体" w:eastAsia="宋体" w:cs="宋体"/>
                <w:szCs w:val="21"/>
              </w:rPr>
              <w:t>1000-5000</w:t>
            </w:r>
          </w:p>
        </w:tc>
        <w:tc>
          <w:tcPr>
            <w:tcW w:w="2021" w:type="dxa"/>
            <w:tcBorders>
              <w:top w:val="nil"/>
              <w:left w:val="nil"/>
              <w:bottom w:val="single" w:color="auto" w:sz="8" w:space="0"/>
              <w:right w:val="single" w:color="auto" w:sz="8" w:space="0"/>
            </w:tcBorders>
            <w:vAlign w:val="center"/>
          </w:tcPr>
          <w:p w14:paraId="49BCA643">
            <w:pPr>
              <w:spacing w:line="300" w:lineRule="auto"/>
              <w:jc w:val="center"/>
              <w:rPr>
                <w:rFonts w:ascii="宋体" w:hAnsi="宋体" w:eastAsia="宋体" w:cs="宋体"/>
                <w:szCs w:val="21"/>
              </w:rPr>
            </w:pPr>
            <w:r>
              <w:rPr>
                <w:rFonts w:hint="eastAsia" w:ascii="宋体" w:hAnsi="宋体" w:eastAsia="宋体" w:cs="宋体"/>
                <w:szCs w:val="21"/>
              </w:rPr>
              <w:t>0.35%</w:t>
            </w:r>
          </w:p>
        </w:tc>
        <w:tc>
          <w:tcPr>
            <w:tcW w:w="1894" w:type="dxa"/>
            <w:tcBorders>
              <w:top w:val="nil"/>
              <w:left w:val="nil"/>
              <w:bottom w:val="single" w:color="auto" w:sz="8" w:space="0"/>
              <w:right w:val="single" w:color="auto" w:sz="8" w:space="0"/>
            </w:tcBorders>
            <w:vAlign w:val="center"/>
          </w:tcPr>
          <w:p w14:paraId="34B9C97F">
            <w:pPr>
              <w:spacing w:line="300" w:lineRule="auto"/>
              <w:jc w:val="center"/>
              <w:rPr>
                <w:rFonts w:ascii="宋体" w:hAnsi="宋体" w:eastAsia="宋体" w:cs="宋体"/>
                <w:b/>
                <w:szCs w:val="21"/>
              </w:rPr>
            </w:pPr>
            <w:r>
              <w:rPr>
                <w:rFonts w:hint="eastAsia" w:ascii="宋体" w:hAnsi="宋体" w:eastAsia="宋体" w:cs="宋体"/>
                <w:b/>
                <w:szCs w:val="21"/>
              </w:rPr>
              <w:t>0.50%</w:t>
            </w:r>
          </w:p>
        </w:tc>
        <w:tc>
          <w:tcPr>
            <w:tcW w:w="1735" w:type="dxa"/>
            <w:tcBorders>
              <w:top w:val="nil"/>
              <w:left w:val="nil"/>
              <w:bottom w:val="single" w:color="auto" w:sz="8" w:space="0"/>
              <w:right w:val="single" w:color="auto" w:sz="8" w:space="0"/>
            </w:tcBorders>
            <w:vAlign w:val="center"/>
          </w:tcPr>
          <w:p w14:paraId="1A88AFC1">
            <w:pPr>
              <w:spacing w:line="300" w:lineRule="auto"/>
              <w:jc w:val="center"/>
              <w:rPr>
                <w:rFonts w:ascii="宋体" w:hAnsi="宋体" w:eastAsia="宋体" w:cs="宋体"/>
                <w:szCs w:val="21"/>
              </w:rPr>
            </w:pPr>
            <w:r>
              <w:rPr>
                <w:rFonts w:hint="eastAsia" w:ascii="宋体" w:hAnsi="宋体" w:eastAsia="宋体" w:cs="宋体"/>
                <w:szCs w:val="21"/>
              </w:rPr>
              <w:t>0.25%</w:t>
            </w:r>
          </w:p>
        </w:tc>
      </w:tr>
      <w:tr w14:paraId="0A6A9808">
        <w:tblPrEx>
          <w:tblCellMar>
            <w:top w:w="0" w:type="dxa"/>
            <w:left w:w="108" w:type="dxa"/>
            <w:bottom w:w="0" w:type="dxa"/>
            <w:right w:w="108" w:type="dxa"/>
          </w:tblCellMar>
        </w:tblPrEx>
        <w:trPr>
          <w:trHeight w:val="402" w:hRule="atLeast"/>
          <w:jc w:val="center"/>
        </w:trPr>
        <w:tc>
          <w:tcPr>
            <w:tcW w:w="2535" w:type="dxa"/>
            <w:tcBorders>
              <w:top w:val="nil"/>
              <w:left w:val="single" w:color="auto" w:sz="8" w:space="0"/>
              <w:bottom w:val="single" w:color="auto" w:sz="8" w:space="0"/>
              <w:right w:val="single" w:color="auto" w:sz="8" w:space="0"/>
            </w:tcBorders>
            <w:vAlign w:val="center"/>
          </w:tcPr>
          <w:p w14:paraId="37B6DD48">
            <w:pPr>
              <w:spacing w:line="300" w:lineRule="auto"/>
              <w:jc w:val="center"/>
              <w:rPr>
                <w:rFonts w:ascii="宋体" w:hAnsi="宋体" w:eastAsia="宋体" w:cs="宋体"/>
                <w:szCs w:val="21"/>
              </w:rPr>
            </w:pPr>
            <w:r>
              <w:rPr>
                <w:rFonts w:hint="eastAsia" w:ascii="宋体" w:hAnsi="宋体" w:eastAsia="宋体" w:cs="宋体"/>
                <w:szCs w:val="21"/>
              </w:rPr>
              <w:t>5000-10000</w:t>
            </w:r>
          </w:p>
        </w:tc>
        <w:tc>
          <w:tcPr>
            <w:tcW w:w="2021" w:type="dxa"/>
            <w:tcBorders>
              <w:top w:val="nil"/>
              <w:left w:val="nil"/>
              <w:bottom w:val="single" w:color="auto" w:sz="8" w:space="0"/>
              <w:right w:val="single" w:color="auto" w:sz="8" w:space="0"/>
            </w:tcBorders>
            <w:vAlign w:val="center"/>
          </w:tcPr>
          <w:p w14:paraId="26235B8C">
            <w:pPr>
              <w:spacing w:line="300" w:lineRule="auto"/>
              <w:jc w:val="center"/>
              <w:rPr>
                <w:rFonts w:ascii="宋体" w:hAnsi="宋体" w:eastAsia="宋体" w:cs="宋体"/>
                <w:szCs w:val="21"/>
              </w:rPr>
            </w:pPr>
            <w:r>
              <w:rPr>
                <w:rFonts w:hint="eastAsia" w:ascii="宋体" w:hAnsi="宋体" w:eastAsia="宋体" w:cs="宋体"/>
                <w:szCs w:val="21"/>
              </w:rPr>
              <w:t>0.20%</w:t>
            </w:r>
          </w:p>
        </w:tc>
        <w:tc>
          <w:tcPr>
            <w:tcW w:w="1894" w:type="dxa"/>
            <w:tcBorders>
              <w:top w:val="nil"/>
              <w:left w:val="nil"/>
              <w:bottom w:val="single" w:color="auto" w:sz="8" w:space="0"/>
              <w:right w:val="single" w:color="auto" w:sz="8" w:space="0"/>
            </w:tcBorders>
            <w:vAlign w:val="center"/>
          </w:tcPr>
          <w:p w14:paraId="00519003">
            <w:pPr>
              <w:spacing w:line="300" w:lineRule="auto"/>
              <w:jc w:val="center"/>
              <w:rPr>
                <w:rFonts w:ascii="宋体" w:hAnsi="宋体" w:eastAsia="宋体" w:cs="宋体"/>
                <w:b/>
                <w:szCs w:val="21"/>
              </w:rPr>
            </w:pPr>
            <w:r>
              <w:rPr>
                <w:rFonts w:hint="eastAsia" w:ascii="宋体" w:hAnsi="宋体" w:eastAsia="宋体" w:cs="宋体"/>
                <w:b/>
                <w:szCs w:val="21"/>
              </w:rPr>
              <w:t>0.25%</w:t>
            </w:r>
          </w:p>
        </w:tc>
        <w:tc>
          <w:tcPr>
            <w:tcW w:w="1735" w:type="dxa"/>
            <w:tcBorders>
              <w:top w:val="nil"/>
              <w:left w:val="nil"/>
              <w:bottom w:val="single" w:color="auto" w:sz="8" w:space="0"/>
              <w:right w:val="single" w:color="auto" w:sz="8" w:space="0"/>
            </w:tcBorders>
            <w:vAlign w:val="center"/>
          </w:tcPr>
          <w:p w14:paraId="186374CF">
            <w:pPr>
              <w:spacing w:line="300" w:lineRule="auto"/>
              <w:jc w:val="center"/>
              <w:rPr>
                <w:rFonts w:ascii="宋体" w:hAnsi="宋体" w:eastAsia="宋体" w:cs="宋体"/>
                <w:szCs w:val="21"/>
              </w:rPr>
            </w:pPr>
            <w:r>
              <w:rPr>
                <w:rFonts w:hint="eastAsia" w:ascii="宋体" w:hAnsi="宋体" w:eastAsia="宋体" w:cs="宋体"/>
                <w:szCs w:val="21"/>
              </w:rPr>
              <w:t>0.10%</w:t>
            </w:r>
          </w:p>
        </w:tc>
      </w:tr>
      <w:tr w14:paraId="4C3CF794">
        <w:tblPrEx>
          <w:tblCellMar>
            <w:top w:w="0" w:type="dxa"/>
            <w:left w:w="108" w:type="dxa"/>
            <w:bottom w:w="0" w:type="dxa"/>
            <w:right w:w="108" w:type="dxa"/>
          </w:tblCellMar>
        </w:tblPrEx>
        <w:trPr>
          <w:trHeight w:val="402" w:hRule="atLeast"/>
          <w:jc w:val="center"/>
        </w:trPr>
        <w:tc>
          <w:tcPr>
            <w:tcW w:w="2535" w:type="dxa"/>
            <w:tcBorders>
              <w:top w:val="nil"/>
              <w:left w:val="single" w:color="auto" w:sz="8" w:space="0"/>
              <w:bottom w:val="single" w:color="auto" w:sz="8" w:space="0"/>
              <w:right w:val="single" w:color="auto" w:sz="8" w:space="0"/>
            </w:tcBorders>
            <w:vAlign w:val="center"/>
          </w:tcPr>
          <w:p w14:paraId="28E61E78">
            <w:pPr>
              <w:spacing w:line="300" w:lineRule="auto"/>
              <w:jc w:val="center"/>
              <w:rPr>
                <w:rFonts w:ascii="宋体" w:hAnsi="宋体" w:eastAsia="宋体" w:cs="宋体"/>
                <w:szCs w:val="21"/>
              </w:rPr>
            </w:pPr>
            <w:r>
              <w:rPr>
                <w:rFonts w:hint="eastAsia" w:ascii="宋体" w:hAnsi="宋体" w:eastAsia="宋体" w:cs="宋体"/>
                <w:szCs w:val="21"/>
              </w:rPr>
              <w:t>10000-100000</w:t>
            </w:r>
          </w:p>
        </w:tc>
        <w:tc>
          <w:tcPr>
            <w:tcW w:w="2021" w:type="dxa"/>
            <w:tcBorders>
              <w:top w:val="nil"/>
              <w:left w:val="nil"/>
              <w:bottom w:val="single" w:color="auto" w:sz="8" w:space="0"/>
              <w:right w:val="single" w:color="auto" w:sz="8" w:space="0"/>
            </w:tcBorders>
            <w:vAlign w:val="center"/>
          </w:tcPr>
          <w:p w14:paraId="4599D5D1">
            <w:pPr>
              <w:spacing w:line="300" w:lineRule="auto"/>
              <w:jc w:val="center"/>
              <w:rPr>
                <w:rFonts w:ascii="宋体" w:hAnsi="宋体" w:eastAsia="宋体" w:cs="宋体"/>
                <w:szCs w:val="21"/>
              </w:rPr>
            </w:pPr>
            <w:r>
              <w:rPr>
                <w:rFonts w:hint="eastAsia" w:ascii="宋体" w:hAnsi="宋体" w:eastAsia="宋体" w:cs="宋体"/>
                <w:szCs w:val="21"/>
              </w:rPr>
              <w:t>0.05%</w:t>
            </w:r>
          </w:p>
        </w:tc>
        <w:tc>
          <w:tcPr>
            <w:tcW w:w="1894" w:type="dxa"/>
            <w:tcBorders>
              <w:top w:val="nil"/>
              <w:left w:val="nil"/>
              <w:bottom w:val="single" w:color="auto" w:sz="8" w:space="0"/>
              <w:right w:val="single" w:color="auto" w:sz="8" w:space="0"/>
            </w:tcBorders>
            <w:vAlign w:val="center"/>
          </w:tcPr>
          <w:p w14:paraId="0BFA0750">
            <w:pPr>
              <w:spacing w:line="300" w:lineRule="auto"/>
              <w:jc w:val="center"/>
              <w:rPr>
                <w:rFonts w:ascii="宋体" w:hAnsi="宋体" w:eastAsia="宋体" w:cs="宋体"/>
                <w:b/>
                <w:szCs w:val="21"/>
              </w:rPr>
            </w:pPr>
            <w:r>
              <w:rPr>
                <w:rFonts w:hint="eastAsia" w:ascii="宋体" w:hAnsi="宋体" w:eastAsia="宋体" w:cs="宋体"/>
                <w:b/>
                <w:szCs w:val="21"/>
              </w:rPr>
              <w:t>0.05%</w:t>
            </w:r>
          </w:p>
        </w:tc>
        <w:tc>
          <w:tcPr>
            <w:tcW w:w="1735" w:type="dxa"/>
            <w:tcBorders>
              <w:top w:val="nil"/>
              <w:left w:val="nil"/>
              <w:bottom w:val="single" w:color="auto" w:sz="8" w:space="0"/>
              <w:right w:val="single" w:color="auto" w:sz="8" w:space="0"/>
            </w:tcBorders>
            <w:vAlign w:val="center"/>
          </w:tcPr>
          <w:p w14:paraId="07B83102">
            <w:pPr>
              <w:spacing w:line="300" w:lineRule="auto"/>
              <w:jc w:val="center"/>
              <w:rPr>
                <w:rFonts w:ascii="宋体" w:hAnsi="宋体" w:eastAsia="宋体" w:cs="宋体"/>
                <w:szCs w:val="21"/>
              </w:rPr>
            </w:pPr>
            <w:r>
              <w:rPr>
                <w:rFonts w:hint="eastAsia" w:ascii="宋体" w:hAnsi="宋体" w:eastAsia="宋体" w:cs="宋体"/>
                <w:szCs w:val="21"/>
              </w:rPr>
              <w:t>0.05%</w:t>
            </w:r>
          </w:p>
        </w:tc>
      </w:tr>
      <w:tr w14:paraId="7CD7162B">
        <w:tblPrEx>
          <w:tblCellMar>
            <w:top w:w="0" w:type="dxa"/>
            <w:left w:w="108" w:type="dxa"/>
            <w:bottom w:w="0" w:type="dxa"/>
            <w:right w:w="108" w:type="dxa"/>
          </w:tblCellMar>
        </w:tblPrEx>
        <w:trPr>
          <w:trHeight w:val="402" w:hRule="atLeast"/>
          <w:jc w:val="center"/>
        </w:trPr>
        <w:tc>
          <w:tcPr>
            <w:tcW w:w="2535" w:type="dxa"/>
            <w:tcBorders>
              <w:top w:val="nil"/>
              <w:left w:val="single" w:color="auto" w:sz="8" w:space="0"/>
              <w:bottom w:val="single" w:color="auto" w:sz="8" w:space="0"/>
              <w:right w:val="single" w:color="auto" w:sz="8" w:space="0"/>
            </w:tcBorders>
            <w:vAlign w:val="center"/>
          </w:tcPr>
          <w:p w14:paraId="78930C2A">
            <w:pPr>
              <w:spacing w:line="300" w:lineRule="auto"/>
              <w:jc w:val="center"/>
              <w:rPr>
                <w:rFonts w:ascii="宋体" w:hAnsi="宋体" w:eastAsia="宋体" w:cs="宋体"/>
                <w:szCs w:val="21"/>
              </w:rPr>
            </w:pPr>
            <w:r>
              <w:rPr>
                <w:rFonts w:hint="eastAsia" w:ascii="宋体" w:hAnsi="宋体" w:eastAsia="宋体" w:cs="宋体"/>
                <w:szCs w:val="21"/>
              </w:rPr>
              <w:t>1000000以上</w:t>
            </w:r>
          </w:p>
        </w:tc>
        <w:tc>
          <w:tcPr>
            <w:tcW w:w="2021" w:type="dxa"/>
            <w:tcBorders>
              <w:top w:val="nil"/>
              <w:left w:val="nil"/>
              <w:bottom w:val="single" w:color="auto" w:sz="8" w:space="0"/>
              <w:right w:val="single" w:color="auto" w:sz="8" w:space="0"/>
            </w:tcBorders>
            <w:vAlign w:val="center"/>
          </w:tcPr>
          <w:p w14:paraId="22E3C8A4">
            <w:pPr>
              <w:spacing w:line="300" w:lineRule="auto"/>
              <w:jc w:val="center"/>
              <w:rPr>
                <w:rFonts w:ascii="宋体" w:hAnsi="宋体" w:eastAsia="宋体" w:cs="宋体"/>
                <w:szCs w:val="21"/>
              </w:rPr>
            </w:pPr>
            <w:r>
              <w:rPr>
                <w:rFonts w:hint="eastAsia" w:ascii="宋体" w:hAnsi="宋体" w:eastAsia="宋体" w:cs="宋体"/>
                <w:szCs w:val="21"/>
              </w:rPr>
              <w:t>0.01%</w:t>
            </w:r>
          </w:p>
        </w:tc>
        <w:tc>
          <w:tcPr>
            <w:tcW w:w="1894" w:type="dxa"/>
            <w:tcBorders>
              <w:top w:val="nil"/>
              <w:left w:val="nil"/>
              <w:bottom w:val="single" w:color="auto" w:sz="8" w:space="0"/>
              <w:right w:val="single" w:color="auto" w:sz="8" w:space="0"/>
            </w:tcBorders>
            <w:vAlign w:val="center"/>
          </w:tcPr>
          <w:p w14:paraId="0C62B7C7">
            <w:pPr>
              <w:spacing w:line="300" w:lineRule="auto"/>
              <w:jc w:val="center"/>
              <w:rPr>
                <w:rFonts w:ascii="宋体" w:hAnsi="宋体" w:eastAsia="宋体" w:cs="宋体"/>
                <w:b/>
                <w:szCs w:val="21"/>
              </w:rPr>
            </w:pPr>
            <w:r>
              <w:rPr>
                <w:rFonts w:hint="eastAsia" w:ascii="宋体" w:hAnsi="宋体" w:eastAsia="宋体" w:cs="宋体"/>
                <w:b/>
                <w:szCs w:val="21"/>
              </w:rPr>
              <w:t>0.01%</w:t>
            </w:r>
          </w:p>
        </w:tc>
        <w:tc>
          <w:tcPr>
            <w:tcW w:w="1735" w:type="dxa"/>
            <w:tcBorders>
              <w:top w:val="nil"/>
              <w:left w:val="nil"/>
              <w:bottom w:val="single" w:color="auto" w:sz="8" w:space="0"/>
              <w:right w:val="single" w:color="auto" w:sz="8" w:space="0"/>
            </w:tcBorders>
            <w:vAlign w:val="center"/>
          </w:tcPr>
          <w:p w14:paraId="3FE16D18">
            <w:pPr>
              <w:spacing w:line="300" w:lineRule="auto"/>
              <w:jc w:val="center"/>
              <w:rPr>
                <w:rFonts w:ascii="宋体" w:hAnsi="宋体" w:eastAsia="宋体" w:cs="宋体"/>
                <w:szCs w:val="21"/>
              </w:rPr>
            </w:pPr>
            <w:r>
              <w:rPr>
                <w:rFonts w:hint="eastAsia" w:ascii="宋体" w:hAnsi="宋体" w:eastAsia="宋体" w:cs="宋体"/>
                <w:szCs w:val="21"/>
              </w:rPr>
              <w:t>0.01%</w:t>
            </w:r>
          </w:p>
        </w:tc>
      </w:tr>
    </w:tbl>
    <w:p w14:paraId="1D26BB49">
      <w:pPr>
        <w:spacing w:line="0" w:lineRule="atLeast"/>
        <w:ind w:firstLine="470" w:firstLineChars="196"/>
        <w:rPr>
          <w:rFonts w:ascii="宋体" w:hAnsi="宋体" w:eastAsia="宋体"/>
          <w:szCs w:val="21"/>
        </w:rPr>
      </w:pPr>
      <w:r>
        <w:rPr>
          <w:rFonts w:hint="eastAsia" w:ascii="宋体" w:hAnsi="宋体" w:eastAsia="宋体"/>
          <w:szCs w:val="21"/>
        </w:rPr>
        <w:t>例如：某货物招标代理业务中标金额为600万元，计算招标代理服务收费额如下：</w:t>
      </w:r>
    </w:p>
    <w:p w14:paraId="7283A6BC">
      <w:pPr>
        <w:spacing w:line="0" w:lineRule="atLeast"/>
        <w:ind w:firstLine="470" w:firstLineChars="196"/>
        <w:rPr>
          <w:rFonts w:ascii="宋体" w:hAnsi="宋体" w:eastAsia="宋体"/>
          <w:szCs w:val="21"/>
        </w:rPr>
      </w:pPr>
      <w:r>
        <w:rPr>
          <w:rFonts w:hint="eastAsia" w:ascii="宋体" w:hAnsi="宋体" w:eastAsia="宋体"/>
          <w:szCs w:val="21"/>
        </w:rPr>
        <w:t>100万元×1.5%=1.5万元</w:t>
      </w:r>
    </w:p>
    <w:p w14:paraId="309230C9">
      <w:pPr>
        <w:spacing w:line="0" w:lineRule="atLeast"/>
        <w:ind w:firstLine="470" w:firstLineChars="196"/>
        <w:rPr>
          <w:rFonts w:ascii="宋体" w:hAnsi="宋体" w:eastAsia="宋体"/>
          <w:szCs w:val="21"/>
        </w:rPr>
      </w:pPr>
      <w:r>
        <w:rPr>
          <w:rFonts w:hint="eastAsia" w:ascii="宋体" w:hAnsi="宋体" w:eastAsia="宋体"/>
          <w:szCs w:val="21"/>
        </w:rPr>
        <w:t>（500-100）万元×1.1%=4.4万元</w:t>
      </w:r>
    </w:p>
    <w:p w14:paraId="6E6DFCF2">
      <w:pPr>
        <w:spacing w:line="0" w:lineRule="atLeast"/>
        <w:ind w:firstLine="470" w:firstLineChars="196"/>
        <w:rPr>
          <w:rFonts w:ascii="宋体" w:hAnsi="宋体" w:eastAsia="宋体"/>
          <w:szCs w:val="21"/>
        </w:rPr>
      </w:pPr>
      <w:r>
        <w:rPr>
          <w:rFonts w:hint="eastAsia" w:ascii="宋体" w:hAnsi="宋体" w:eastAsia="宋体"/>
          <w:szCs w:val="21"/>
        </w:rPr>
        <w:t>（600-500）万元×0.8%=0.8万元</w:t>
      </w:r>
    </w:p>
    <w:p w14:paraId="64A8AD95">
      <w:pPr>
        <w:spacing w:line="0" w:lineRule="atLeast"/>
        <w:ind w:firstLine="470" w:firstLineChars="196"/>
        <w:rPr>
          <w:rFonts w:ascii="宋体" w:hAnsi="宋体" w:eastAsia="宋体"/>
          <w:szCs w:val="21"/>
        </w:rPr>
      </w:pPr>
      <w:r>
        <w:rPr>
          <w:rFonts w:hint="eastAsia" w:ascii="宋体" w:hAnsi="宋体" w:eastAsia="宋体"/>
          <w:szCs w:val="21"/>
        </w:rPr>
        <w:t>合计收费=1.5+4.4+0.8=6.7万元</w:t>
      </w:r>
    </w:p>
    <w:p w14:paraId="76AB046B">
      <w:pPr>
        <w:spacing w:line="0" w:lineRule="atLeast"/>
        <w:ind w:firstLine="470" w:firstLineChars="196"/>
        <w:rPr>
          <w:rFonts w:ascii="宋体" w:hAnsi="宋体" w:eastAsia="宋体"/>
          <w:szCs w:val="21"/>
        </w:rPr>
      </w:pPr>
      <w:r>
        <w:rPr>
          <w:rFonts w:hint="eastAsia" w:ascii="宋体" w:hAnsi="宋体" w:eastAsia="宋体"/>
          <w:color w:val="000000" w:themeColor="text1"/>
          <w:szCs w:val="21"/>
          <w14:textFill>
            <w14:solidFill>
              <w14:schemeClr w14:val="tx1"/>
            </w14:solidFill>
          </w14:textFill>
        </w:rPr>
        <w:t>中标人</w:t>
      </w:r>
      <w:r>
        <w:rPr>
          <w:rFonts w:hint="eastAsia" w:ascii="宋体" w:hAnsi="宋体" w:eastAsia="宋体"/>
          <w:szCs w:val="21"/>
        </w:rPr>
        <w:t>须在中标公告公示期结束后，领取《中标通知书》前，向招标代理机构缴纳中标服务费。</w:t>
      </w:r>
    </w:p>
    <w:p w14:paraId="39026651">
      <w:pPr>
        <w:spacing w:line="0" w:lineRule="atLeast"/>
        <w:ind w:firstLine="470" w:firstLineChars="196"/>
        <w:rPr>
          <w:rFonts w:ascii="宋体" w:hAnsi="宋体" w:eastAsia="宋体"/>
          <w:szCs w:val="21"/>
        </w:rPr>
      </w:pPr>
      <w:r>
        <w:rPr>
          <w:rFonts w:hint="eastAsia" w:ascii="宋体" w:hAnsi="宋体" w:eastAsia="宋体"/>
          <w:szCs w:val="21"/>
        </w:rPr>
        <w:t>41.4.2 招标代理服务费以转账、现金形式交付。</w:t>
      </w:r>
    </w:p>
    <w:p w14:paraId="6B1E8CCD">
      <w:pPr>
        <w:pStyle w:val="6"/>
        <w:rPr>
          <w:rFonts w:ascii="宋体" w:hAnsi="宋体" w:eastAsia="宋体"/>
        </w:rPr>
      </w:pPr>
    </w:p>
    <w:bookmarkEnd w:id="123"/>
    <w:p w14:paraId="6214F24D">
      <w:pPr>
        <w:pStyle w:val="5"/>
        <w:numPr>
          <w:ilvl w:val="0"/>
          <w:numId w:val="13"/>
        </w:numPr>
        <w:spacing w:before="120" w:beforeLines="50" w:after="120" w:afterLines="50"/>
        <w:ind w:left="562" w:hanging="562"/>
        <w:rPr>
          <w:sz w:val="28"/>
          <w:szCs w:val="28"/>
        </w:rPr>
      </w:pPr>
      <w:r>
        <w:rPr>
          <w:rFonts w:hint="eastAsia"/>
          <w:sz w:val="28"/>
          <w:szCs w:val="28"/>
        </w:rPr>
        <w:t>公开招标失败的后续处理</w:t>
      </w:r>
    </w:p>
    <w:p w14:paraId="14D2C6EE">
      <w:pPr>
        <w:rPr>
          <w:rFonts w:ascii="宋体" w:hAnsi="宋体" w:eastAsia="宋体"/>
        </w:rPr>
      </w:pPr>
      <w:r>
        <w:rPr>
          <w:rFonts w:hint="eastAsia" w:ascii="宋体" w:hAnsi="宋体" w:eastAsia="宋体"/>
        </w:rPr>
        <w:t>42．公开招标失败的处理</w:t>
      </w:r>
    </w:p>
    <w:p w14:paraId="07395159">
      <w:pPr>
        <w:ind w:firstLine="470" w:firstLineChars="196"/>
        <w:rPr>
          <w:rFonts w:ascii="宋体" w:hAnsi="宋体" w:eastAsia="宋体"/>
        </w:rPr>
      </w:pPr>
      <w:r>
        <w:rPr>
          <w:rFonts w:hint="eastAsia" w:ascii="宋体" w:hAnsi="宋体" w:eastAsia="宋体"/>
          <w:szCs w:val="21"/>
        </w:rPr>
        <w:t>42.1本项目公开招标过程中若由于投标截止后</w:t>
      </w:r>
      <w:r>
        <w:rPr>
          <w:rFonts w:hint="eastAsia" w:ascii="宋体" w:hAnsi="宋体" w:eastAsia="宋体"/>
        </w:rPr>
        <w:t>实际递交</w:t>
      </w:r>
      <w:r>
        <w:rPr>
          <w:rFonts w:ascii="宋体" w:hAnsi="宋体" w:eastAsia="宋体"/>
        </w:rPr>
        <w:t>投标</w:t>
      </w:r>
      <w:r>
        <w:rPr>
          <w:rFonts w:hint="eastAsia" w:ascii="宋体" w:hAnsi="宋体" w:eastAsia="宋体"/>
        </w:rPr>
        <w:t>文件的供应商数量不足、经</w:t>
      </w:r>
      <w:r>
        <w:rPr>
          <w:rFonts w:hint="eastAsia" w:ascii="宋体" w:hAnsi="宋体" w:eastAsia="宋体"/>
          <w:szCs w:val="21"/>
        </w:rPr>
        <w:t>评审委员会</w:t>
      </w:r>
      <w:r>
        <w:rPr>
          <w:rFonts w:hint="eastAsia" w:ascii="宋体" w:hAnsi="宋体" w:eastAsia="宋体"/>
        </w:rPr>
        <w:t>评审对招标文件作实质响应的供应商不足等原因造成公开招标失败，可由</w:t>
      </w:r>
      <w:r>
        <w:rPr>
          <w:rFonts w:hint="eastAsia" w:ascii="宋体" w:hAnsi="宋体" w:eastAsia="宋体" w:cs="宋体"/>
        </w:rPr>
        <w:t>招标机构</w:t>
      </w:r>
      <w:r>
        <w:rPr>
          <w:rFonts w:hint="eastAsia" w:ascii="宋体" w:hAnsi="宋体" w:eastAsia="宋体"/>
        </w:rPr>
        <w:t>重新组织采购。</w:t>
      </w:r>
    </w:p>
    <w:p w14:paraId="38D9C333">
      <w:pPr>
        <w:ind w:firstLine="470" w:firstLineChars="196"/>
        <w:rPr>
          <w:rFonts w:ascii="宋体" w:hAnsi="宋体" w:eastAsia="宋体"/>
          <w:szCs w:val="21"/>
        </w:rPr>
      </w:pPr>
      <w:r>
        <w:rPr>
          <w:rFonts w:hint="eastAsia" w:ascii="宋体" w:hAnsi="宋体" w:eastAsia="宋体"/>
          <w:szCs w:val="21"/>
        </w:rPr>
        <w:t>42.2对公开招标失败的项目，评审委员会在出具该项目招标失败结论的同时，可以提出重新采购组织形式的建议，以及进一步完善招标文件的资格、技术、商务要求的修改建议。</w:t>
      </w:r>
    </w:p>
    <w:p w14:paraId="719EA71C">
      <w:pPr>
        <w:ind w:firstLine="470" w:firstLineChars="196"/>
        <w:rPr>
          <w:rFonts w:ascii="宋体" w:hAnsi="宋体" w:eastAsia="宋体"/>
          <w:szCs w:val="21"/>
        </w:rPr>
      </w:pPr>
      <w:r>
        <w:rPr>
          <w:rFonts w:hint="eastAsia" w:ascii="宋体" w:hAnsi="宋体" w:eastAsia="宋体"/>
          <w:szCs w:val="21"/>
        </w:rPr>
        <w:t>42.3重新组织采购有以下两种组织形式：</w:t>
      </w:r>
    </w:p>
    <w:p w14:paraId="187E4565">
      <w:pPr>
        <w:ind w:firstLine="470" w:firstLineChars="196"/>
        <w:rPr>
          <w:rFonts w:ascii="宋体" w:hAnsi="宋体" w:eastAsia="宋体"/>
        </w:rPr>
      </w:pPr>
      <w:r>
        <w:rPr>
          <w:rFonts w:hint="eastAsia" w:ascii="宋体" w:hAnsi="宋体" w:eastAsia="宋体"/>
        </w:rPr>
        <w:t>（1）由招标机构重新组织公开招标；</w:t>
      </w:r>
    </w:p>
    <w:p w14:paraId="1E4E60B1">
      <w:pPr>
        <w:ind w:firstLine="470" w:firstLineChars="196"/>
        <w:rPr>
          <w:rFonts w:ascii="宋体" w:hAnsi="宋体" w:eastAsia="宋体"/>
        </w:rPr>
      </w:pPr>
      <w:r>
        <w:rPr>
          <w:rFonts w:hint="eastAsia" w:ascii="宋体" w:hAnsi="宋体" w:eastAsia="宋体"/>
        </w:rPr>
        <w:t>（2）根据实际情况需要向同级财政部门提出非公开招标方式申请，经同级财政部门批准，公开招标失败采购项目可转为竞争性谈判或单一来源谈判方式采购。</w:t>
      </w:r>
    </w:p>
    <w:p w14:paraId="603949C4">
      <w:pPr>
        <w:ind w:firstLine="470" w:firstLineChars="196"/>
        <w:rPr>
          <w:rFonts w:ascii="宋体" w:hAnsi="宋体" w:eastAsia="宋体"/>
        </w:rPr>
      </w:pPr>
      <w:r>
        <w:rPr>
          <w:rFonts w:hint="eastAsia" w:ascii="宋体" w:hAnsi="宋体" w:eastAsia="宋体"/>
        </w:rPr>
        <w:t>42.4公开招标失败的采购项目重新组织公开招标，由招标机构重新按公开招标流程组织采购活动。</w:t>
      </w:r>
    </w:p>
    <w:p w14:paraId="21034A9F">
      <w:pPr>
        <w:rPr>
          <w:rFonts w:ascii="宋体" w:hAnsi="宋体" w:eastAsia="宋体"/>
        </w:rPr>
      </w:pPr>
      <w:r>
        <w:rPr>
          <w:rFonts w:hint="eastAsia" w:ascii="宋体" w:hAnsi="宋体" w:eastAsia="宋体"/>
        </w:rPr>
        <w:t>42.5公开招标失败的采购项目经同级财政部门批准转为竞争性谈判或单一来源谈判方式采购的，按规定要求组织政府采购工作。</w:t>
      </w:r>
    </w:p>
    <w:p w14:paraId="77FAC044">
      <w:pPr>
        <w:pStyle w:val="5"/>
        <w:numPr>
          <w:ilvl w:val="0"/>
          <w:numId w:val="13"/>
        </w:numPr>
        <w:spacing w:before="120" w:beforeLines="50" w:after="120" w:afterLines="50"/>
        <w:ind w:left="562" w:hanging="562"/>
        <w:rPr>
          <w:sz w:val="28"/>
          <w:szCs w:val="28"/>
        </w:rPr>
      </w:pPr>
      <w:bookmarkStart w:id="124" w:name="_Hlk72439043"/>
      <w:r>
        <w:rPr>
          <w:rFonts w:hint="eastAsia"/>
          <w:sz w:val="28"/>
          <w:szCs w:val="28"/>
        </w:rPr>
        <w:t>合同的授予与备案</w:t>
      </w:r>
      <w:bookmarkEnd w:id="124"/>
    </w:p>
    <w:p w14:paraId="406E6F4F">
      <w:pPr>
        <w:rPr>
          <w:rFonts w:ascii="宋体" w:hAnsi="宋体" w:eastAsia="宋体"/>
        </w:rPr>
      </w:pPr>
      <w:bookmarkStart w:id="125" w:name="_Toc73521674"/>
      <w:bookmarkStart w:id="126" w:name="_Toc73521586"/>
      <w:bookmarkStart w:id="127" w:name="_Toc73517679"/>
      <w:bookmarkStart w:id="128" w:name="_Toc73518157"/>
      <w:bookmarkStart w:id="129" w:name="_Toc100052408"/>
      <w:bookmarkStart w:id="130" w:name="_Hlk72439088"/>
      <w:r>
        <w:rPr>
          <w:rFonts w:hint="eastAsia" w:ascii="宋体" w:hAnsi="宋体" w:eastAsia="宋体"/>
        </w:rPr>
        <w:t>43．合同授予标准</w:t>
      </w:r>
      <w:bookmarkEnd w:id="125"/>
      <w:bookmarkEnd w:id="126"/>
      <w:bookmarkEnd w:id="127"/>
      <w:bookmarkEnd w:id="128"/>
      <w:bookmarkEnd w:id="129"/>
    </w:p>
    <w:p w14:paraId="6D3F7D0A">
      <w:pPr>
        <w:ind w:firstLine="470" w:firstLineChars="196"/>
        <w:rPr>
          <w:rFonts w:ascii="宋体" w:hAnsi="宋体" w:eastAsia="宋体"/>
          <w:szCs w:val="21"/>
        </w:rPr>
      </w:pPr>
      <w:r>
        <w:rPr>
          <w:rFonts w:hint="eastAsia" w:ascii="宋体" w:hAnsi="宋体" w:eastAsia="宋体"/>
          <w:szCs w:val="21"/>
        </w:rPr>
        <w:t>本项目的合同将授予经本招标文件规定评审确定的中标供应商。</w:t>
      </w:r>
    </w:p>
    <w:p w14:paraId="1EFB453F">
      <w:pPr>
        <w:rPr>
          <w:rFonts w:ascii="宋体" w:hAnsi="宋体" w:eastAsia="宋体"/>
          <w:color w:val="0000FF"/>
        </w:rPr>
      </w:pPr>
      <w:bookmarkStart w:id="131" w:name="_Toc73517680"/>
      <w:bookmarkStart w:id="132" w:name="_Toc73521587"/>
      <w:bookmarkStart w:id="133" w:name="_Toc73518158"/>
      <w:bookmarkStart w:id="134" w:name="_Toc73521675"/>
      <w:bookmarkStart w:id="135" w:name="_Toc100052409"/>
      <w:r>
        <w:rPr>
          <w:rFonts w:hint="eastAsia" w:ascii="宋体" w:hAnsi="宋体" w:eastAsia="宋体"/>
          <w:color w:val="0000FF"/>
        </w:rPr>
        <w:t>44．</w:t>
      </w:r>
      <w:bookmarkEnd w:id="131"/>
      <w:bookmarkEnd w:id="132"/>
      <w:bookmarkEnd w:id="133"/>
      <w:bookmarkEnd w:id="134"/>
      <w:bookmarkEnd w:id="135"/>
      <w:r>
        <w:rPr>
          <w:rFonts w:hint="eastAsia" w:ascii="宋体" w:hAnsi="宋体" w:eastAsia="宋体"/>
          <w:color w:val="0000FF"/>
        </w:rPr>
        <w:t>接受和拒绝任何或所有投标的权力</w:t>
      </w:r>
    </w:p>
    <w:p w14:paraId="7D5285F7">
      <w:pPr>
        <w:ind w:firstLine="470" w:firstLineChars="196"/>
        <w:rPr>
          <w:rFonts w:ascii="宋体" w:hAnsi="宋体" w:eastAsia="宋体"/>
          <w:color w:val="0000FF"/>
          <w:szCs w:val="21"/>
        </w:rPr>
      </w:pPr>
      <w:r>
        <w:rPr>
          <w:rFonts w:hint="eastAsia" w:ascii="宋体" w:hAnsi="宋体" w:eastAsia="宋体"/>
          <w:color w:val="0000FF"/>
          <w:szCs w:val="21"/>
        </w:rPr>
        <w:t>招标机构和采购人保留在投标之前任何时候接受或拒绝任何投标或所有投标，以及宣布招标无效的权力，对受影响的投标人不承担任何责任，也无义务向受影响的投标人解释采取这一行动的理由。</w:t>
      </w:r>
    </w:p>
    <w:p w14:paraId="26CC354F">
      <w:pPr>
        <w:rPr>
          <w:rFonts w:ascii="宋体" w:hAnsi="宋体" w:eastAsia="宋体"/>
        </w:rPr>
      </w:pPr>
      <w:bookmarkStart w:id="136" w:name="_Toc100052410"/>
      <w:bookmarkStart w:id="137" w:name="_Toc73518160"/>
      <w:bookmarkStart w:id="138" w:name="_Toc73521589"/>
      <w:bookmarkStart w:id="139" w:name="_Toc73517682"/>
      <w:bookmarkStart w:id="140" w:name="_Toc73521677"/>
      <w:r>
        <w:rPr>
          <w:rFonts w:hint="eastAsia" w:ascii="宋体" w:hAnsi="宋体" w:eastAsia="宋体"/>
        </w:rPr>
        <w:t>45．合同的签订</w:t>
      </w:r>
      <w:bookmarkEnd w:id="136"/>
      <w:bookmarkEnd w:id="137"/>
      <w:bookmarkEnd w:id="138"/>
      <w:bookmarkEnd w:id="139"/>
      <w:bookmarkEnd w:id="140"/>
    </w:p>
    <w:p w14:paraId="296127E2">
      <w:pPr>
        <w:ind w:firstLine="470" w:firstLineChars="196"/>
        <w:rPr>
          <w:rFonts w:ascii="宋体" w:hAnsi="宋体" w:eastAsia="宋体"/>
          <w:szCs w:val="21"/>
        </w:rPr>
      </w:pPr>
      <w:r>
        <w:rPr>
          <w:rFonts w:hint="eastAsia" w:ascii="宋体" w:hAnsi="宋体" w:eastAsia="宋体"/>
          <w:szCs w:val="21"/>
        </w:rPr>
        <w:t>45.1中标人将于中标通知书发出之日起十个工作日内，按照采购文件（招标文件和投标文件等）内容与采购人签订政府采购合同；合同的实质性内容应当符合招标文件的规定；</w:t>
      </w:r>
    </w:p>
    <w:p w14:paraId="0572F76D">
      <w:pPr>
        <w:ind w:firstLine="470" w:firstLineChars="196"/>
        <w:rPr>
          <w:rFonts w:ascii="宋体" w:hAnsi="宋体" w:eastAsia="宋体"/>
          <w:szCs w:val="21"/>
        </w:rPr>
      </w:pPr>
      <w:r>
        <w:rPr>
          <w:rFonts w:hint="eastAsia" w:ascii="宋体" w:hAnsi="宋体" w:eastAsia="宋体"/>
          <w:szCs w:val="21"/>
        </w:rPr>
        <w:t>45.2中标人如不按本通用条款第45</w:t>
      </w:r>
      <w:r>
        <w:rPr>
          <w:rFonts w:ascii="宋体" w:hAnsi="宋体" w:eastAsia="宋体"/>
          <w:szCs w:val="21"/>
        </w:rPr>
        <w:t>.1</w:t>
      </w:r>
      <w:r>
        <w:rPr>
          <w:rFonts w:hint="eastAsia" w:ascii="宋体" w:hAnsi="宋体" w:eastAsia="宋体"/>
          <w:szCs w:val="21"/>
        </w:rPr>
        <w:t>款的规定与采购人签订合同，</w:t>
      </w:r>
      <w:r>
        <w:rPr>
          <w:rFonts w:ascii="宋体" w:hAnsi="宋体" w:eastAsia="宋体" w:cs="宋体"/>
          <w:szCs w:val="21"/>
        </w:rPr>
        <w:t>情节严重的，由</w:t>
      </w:r>
      <w:r>
        <w:rPr>
          <w:rFonts w:hint="eastAsia" w:ascii="宋体" w:hAnsi="宋体" w:eastAsia="宋体" w:cs="宋体"/>
          <w:szCs w:val="21"/>
        </w:rPr>
        <w:t>同级财政</w:t>
      </w:r>
      <w:r>
        <w:rPr>
          <w:rFonts w:ascii="宋体" w:hAnsi="宋体" w:eastAsia="宋体" w:cs="宋体"/>
          <w:szCs w:val="21"/>
        </w:rPr>
        <w:t>部门记入供应商诚信档案，予以通报</w:t>
      </w:r>
      <w:r>
        <w:rPr>
          <w:rFonts w:hint="eastAsia" w:ascii="宋体" w:hAnsi="宋体" w:eastAsia="宋体"/>
          <w:szCs w:val="21"/>
        </w:rPr>
        <w:t>；</w:t>
      </w:r>
    </w:p>
    <w:p w14:paraId="1A95DB3E">
      <w:pPr>
        <w:ind w:firstLine="470" w:firstLineChars="196"/>
        <w:rPr>
          <w:rFonts w:ascii="宋体" w:hAnsi="宋体" w:eastAsia="宋体"/>
          <w:szCs w:val="21"/>
        </w:rPr>
      </w:pPr>
      <w:r>
        <w:rPr>
          <w:rFonts w:hint="eastAsia" w:ascii="宋体" w:hAnsi="宋体" w:eastAsia="宋体"/>
          <w:szCs w:val="21"/>
        </w:rPr>
        <w:t>45.3中标人应当按照合同约定履行义务，完成中标项目，不得将中标项目转让（转包）给他人。</w:t>
      </w:r>
    </w:p>
    <w:p w14:paraId="3B278A4A">
      <w:pPr>
        <w:rPr>
          <w:rFonts w:ascii="宋体" w:hAnsi="宋体" w:eastAsia="宋体"/>
        </w:rPr>
      </w:pPr>
      <w:bookmarkStart w:id="141" w:name="_Toc73521590"/>
      <w:bookmarkStart w:id="142" w:name="_Toc73521678"/>
      <w:bookmarkStart w:id="143" w:name="_Toc73518161"/>
      <w:bookmarkStart w:id="144" w:name="_Toc73517683"/>
      <w:bookmarkStart w:id="145" w:name="_Toc100052411"/>
      <w:r>
        <w:rPr>
          <w:rFonts w:hint="eastAsia" w:ascii="宋体" w:hAnsi="宋体" w:eastAsia="宋体"/>
        </w:rPr>
        <w:t>46．履约担保</w:t>
      </w:r>
      <w:bookmarkEnd w:id="141"/>
      <w:bookmarkEnd w:id="142"/>
      <w:bookmarkEnd w:id="143"/>
      <w:bookmarkEnd w:id="144"/>
      <w:bookmarkEnd w:id="145"/>
    </w:p>
    <w:p w14:paraId="002C59B6">
      <w:pPr>
        <w:ind w:firstLine="470" w:firstLineChars="196"/>
        <w:rPr>
          <w:rFonts w:ascii="宋体" w:hAnsi="宋体" w:eastAsia="宋体"/>
          <w:szCs w:val="21"/>
        </w:rPr>
      </w:pPr>
      <w:r>
        <w:rPr>
          <w:rFonts w:hint="eastAsia" w:ascii="宋体" w:hAnsi="宋体" w:eastAsia="宋体"/>
          <w:szCs w:val="21"/>
        </w:rPr>
        <w:t>46.1在签订项目合同的同时，中标人应按“对通用条款的补充内容”中规定的金额向采购人提交履约担保；</w:t>
      </w:r>
    </w:p>
    <w:p w14:paraId="23ED7725">
      <w:pPr>
        <w:ind w:firstLine="470" w:firstLineChars="196"/>
        <w:rPr>
          <w:rFonts w:ascii="宋体" w:hAnsi="宋体" w:eastAsia="宋体"/>
          <w:szCs w:val="21"/>
        </w:rPr>
      </w:pPr>
      <w:r>
        <w:rPr>
          <w:rFonts w:hint="eastAsia" w:ascii="宋体" w:hAnsi="宋体" w:eastAsia="宋体"/>
          <w:szCs w:val="21"/>
        </w:rPr>
        <w:t>46.2，允许供应商自主选择以支票、汇票、本票、保函等非现金方式提交履约担保；</w:t>
      </w:r>
      <w:r>
        <w:rPr>
          <w:rFonts w:ascii="宋体" w:hAnsi="宋体" w:eastAsia="宋体"/>
        </w:rPr>
        <w:t>中标</w:t>
      </w:r>
      <w:r>
        <w:rPr>
          <w:rFonts w:hint="eastAsia" w:ascii="宋体" w:hAnsi="宋体" w:eastAsia="宋体"/>
        </w:rPr>
        <w:t>人</w:t>
      </w:r>
      <w:r>
        <w:rPr>
          <w:rFonts w:ascii="宋体" w:hAnsi="宋体" w:eastAsia="宋体"/>
        </w:rPr>
        <w:t>提交履约</w:t>
      </w:r>
      <w:r>
        <w:rPr>
          <w:rFonts w:hint="eastAsia" w:ascii="宋体" w:hAnsi="宋体" w:eastAsia="宋体"/>
        </w:rPr>
        <w:t>担保不是</w:t>
      </w:r>
      <w:r>
        <w:rPr>
          <w:rFonts w:ascii="宋体" w:hAnsi="宋体" w:eastAsia="宋体"/>
        </w:rPr>
        <w:t>合同签订的</w:t>
      </w:r>
      <w:r>
        <w:rPr>
          <w:rFonts w:hint="eastAsia" w:ascii="宋体" w:hAnsi="宋体" w:eastAsia="宋体"/>
        </w:rPr>
        <w:t>前提</w:t>
      </w:r>
      <w:r>
        <w:rPr>
          <w:rFonts w:ascii="宋体" w:hAnsi="宋体" w:eastAsia="宋体"/>
        </w:rPr>
        <w:t>条件，不要求中标</w:t>
      </w:r>
      <w:r>
        <w:rPr>
          <w:rFonts w:hint="eastAsia" w:ascii="宋体" w:hAnsi="宋体" w:eastAsia="宋体"/>
        </w:rPr>
        <w:t>人</w:t>
      </w:r>
      <w:r>
        <w:rPr>
          <w:rFonts w:ascii="宋体" w:hAnsi="宋体" w:eastAsia="宋体"/>
        </w:rPr>
        <w:t>提供除法律、法规明确规定外的其他担保</w:t>
      </w:r>
      <w:r>
        <w:rPr>
          <w:rFonts w:hint="eastAsia" w:ascii="宋体" w:hAnsi="宋体" w:eastAsia="宋体"/>
        </w:rPr>
        <w:t>。</w:t>
      </w:r>
    </w:p>
    <w:p w14:paraId="0F62C6F9">
      <w:pPr>
        <w:rPr>
          <w:rFonts w:ascii="宋体" w:hAnsi="宋体" w:eastAsia="宋体"/>
        </w:rPr>
      </w:pPr>
      <w:r>
        <w:rPr>
          <w:rFonts w:hint="eastAsia" w:ascii="宋体" w:hAnsi="宋体" w:eastAsia="宋体"/>
        </w:rPr>
        <w:t>47. 合同备案</w:t>
      </w:r>
    </w:p>
    <w:p w14:paraId="63FB0AD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采购人与中标人应于合同签订之日起2个工作日内进行合同公告和备案。</w:t>
      </w:r>
    </w:p>
    <w:p w14:paraId="700A8157">
      <w:pPr>
        <w:rPr>
          <w:rFonts w:ascii="宋体" w:hAnsi="宋体" w:eastAsia="宋体"/>
        </w:rPr>
      </w:pPr>
      <w:r>
        <w:rPr>
          <w:rFonts w:hint="eastAsia" w:ascii="宋体" w:hAnsi="宋体" w:eastAsia="宋体"/>
        </w:rPr>
        <w:t>48. 合同变更</w:t>
      </w:r>
    </w:p>
    <w:p w14:paraId="2DFC7F68">
      <w:pPr>
        <w:ind w:firstLine="470" w:firstLineChars="196"/>
        <w:rPr>
          <w:rFonts w:ascii="宋体" w:hAnsi="宋体" w:eastAsia="宋体"/>
          <w:szCs w:val="21"/>
        </w:rPr>
      </w:pPr>
      <w:r>
        <w:rPr>
          <w:rFonts w:hint="eastAsia" w:ascii="宋体" w:hAnsi="宋体" w:eastAsia="宋体"/>
          <w:szCs w:val="21"/>
        </w:rPr>
        <w:t>合同变更事宜按《深圳市财政局 深圳市政府采购中心关于进一步加强市本级政府采购合同备案管理工作的通知》（深财购〔2019〕43号）相关规定执行。</w:t>
      </w:r>
    </w:p>
    <w:p w14:paraId="02ABF283">
      <w:pPr>
        <w:rPr>
          <w:rFonts w:ascii="宋体" w:hAnsi="宋体" w:eastAsia="宋体"/>
        </w:rPr>
      </w:pPr>
      <w:r>
        <w:rPr>
          <w:rFonts w:hint="eastAsia" w:ascii="宋体" w:hAnsi="宋体" w:eastAsia="宋体"/>
        </w:rPr>
        <w:t>49. 项目验收</w:t>
      </w:r>
    </w:p>
    <w:p w14:paraId="2EBAEB2F">
      <w:pPr>
        <w:ind w:right="176" w:firstLine="420"/>
        <w:rPr>
          <w:rFonts w:ascii="宋体" w:hAnsi="宋体" w:eastAsia="宋体"/>
        </w:rPr>
      </w:pPr>
      <w:r>
        <w:rPr>
          <w:rFonts w:hint="eastAsia" w:ascii="宋体" w:hAnsi="宋体" w:eastAsia="宋体"/>
        </w:rPr>
        <w:t>49.1采购人应当按照招标文件和合同规定的标准和方法，及时组织验收。</w:t>
      </w:r>
    </w:p>
    <w:p w14:paraId="01AE3DFB">
      <w:pPr>
        <w:rPr>
          <w:rFonts w:ascii="宋体" w:hAnsi="宋体" w:eastAsia="宋体"/>
        </w:rPr>
      </w:pPr>
      <w:r>
        <w:rPr>
          <w:rFonts w:hint="eastAsia" w:ascii="宋体" w:hAnsi="宋体" w:eastAsia="宋体"/>
        </w:rPr>
        <w:t>50. 宣传</w:t>
      </w:r>
    </w:p>
    <w:p w14:paraId="78338FFC">
      <w:pPr>
        <w:ind w:left="240" w:leftChars="100" w:firstLine="470" w:firstLineChars="196"/>
        <w:rPr>
          <w:rFonts w:ascii="宋体" w:hAnsi="宋体" w:eastAsia="宋体"/>
        </w:rPr>
      </w:pPr>
      <w:r>
        <w:rPr>
          <w:rFonts w:hint="eastAsia" w:ascii="宋体" w:hAnsi="宋体" w:eastAsia="宋体"/>
        </w:rPr>
        <w:t>凡与政府采购活动有关的宣传或广告，若当中提及政府采购，</w:t>
      </w:r>
      <w:r>
        <w:rPr>
          <w:rFonts w:ascii="宋体" w:hAnsi="宋体" w:eastAsia="宋体"/>
        </w:rPr>
        <w:t>必须事先将具体对外宣传方案报</w:t>
      </w:r>
      <w:r>
        <w:rPr>
          <w:rFonts w:hint="eastAsia" w:ascii="宋体" w:hAnsi="宋体" w:eastAsia="宋体"/>
        </w:rPr>
        <w:t>同级财政部门</w:t>
      </w:r>
      <w:r>
        <w:rPr>
          <w:rFonts w:ascii="宋体" w:hAnsi="宋体" w:eastAsia="宋体"/>
        </w:rPr>
        <w:t>和</w:t>
      </w:r>
      <w:r>
        <w:rPr>
          <w:rFonts w:hint="eastAsia" w:ascii="宋体" w:hAnsi="宋体" w:eastAsia="宋体"/>
        </w:rPr>
        <w:t>招标机构</w:t>
      </w:r>
      <w:r>
        <w:rPr>
          <w:rFonts w:ascii="宋体" w:hAnsi="宋体" w:eastAsia="宋体"/>
        </w:rPr>
        <w:t>，并征得其同意。对外市场宣传包括但不限于以下形式：</w:t>
      </w:r>
    </w:p>
    <w:p w14:paraId="6826D7DB">
      <w:pPr>
        <w:ind w:left="240" w:leftChars="100" w:firstLine="470" w:firstLineChars="196"/>
        <w:rPr>
          <w:rFonts w:ascii="宋体" w:hAnsi="宋体" w:eastAsia="宋体"/>
        </w:rPr>
      </w:pPr>
      <w:r>
        <w:rPr>
          <w:rFonts w:ascii="宋体" w:hAnsi="宋体" w:eastAsia="宋体"/>
        </w:rPr>
        <w:t>a.名片、宣传册、广告标语等；</w:t>
      </w:r>
    </w:p>
    <w:p w14:paraId="69100B0C">
      <w:pPr>
        <w:ind w:left="240" w:leftChars="100" w:firstLine="470" w:firstLineChars="196"/>
        <w:rPr>
          <w:rFonts w:ascii="宋体" w:hAnsi="宋体" w:eastAsia="宋体"/>
        </w:rPr>
      </w:pPr>
      <w:r>
        <w:rPr>
          <w:rFonts w:ascii="宋体" w:hAnsi="宋体" w:eastAsia="宋体"/>
        </w:rPr>
        <w:t>b.案例介绍、推广等；</w:t>
      </w:r>
    </w:p>
    <w:p w14:paraId="5E4CEF31">
      <w:pPr>
        <w:ind w:left="240" w:leftChars="100" w:firstLine="470" w:firstLineChars="196"/>
        <w:rPr>
          <w:rFonts w:ascii="宋体" w:hAnsi="宋体" w:eastAsia="宋体"/>
        </w:rPr>
      </w:pPr>
      <w:r>
        <w:rPr>
          <w:rFonts w:hint="eastAsia" w:ascii="宋体" w:hAnsi="宋体" w:eastAsia="宋体"/>
        </w:rPr>
        <w:t>c.工作</w:t>
      </w:r>
      <w:r>
        <w:rPr>
          <w:rFonts w:ascii="宋体" w:hAnsi="宋体" w:eastAsia="宋体"/>
        </w:rPr>
        <w:t>人员向其他消费群体宣传。</w:t>
      </w:r>
    </w:p>
    <w:p w14:paraId="40E74CCE">
      <w:pPr>
        <w:rPr>
          <w:rFonts w:ascii="宋体" w:hAnsi="宋体" w:eastAsia="宋体"/>
        </w:rPr>
      </w:pPr>
      <w:r>
        <w:rPr>
          <w:rFonts w:hint="eastAsia" w:ascii="宋体" w:hAnsi="宋体" w:eastAsia="宋体"/>
        </w:rPr>
        <w:t>51. 供应商违法责任</w:t>
      </w:r>
    </w:p>
    <w:p w14:paraId="72B4E2CF">
      <w:pPr>
        <w:ind w:firstLine="470" w:firstLineChars="196"/>
        <w:rPr>
          <w:rFonts w:ascii="宋体" w:hAnsi="宋体" w:eastAsia="宋体"/>
          <w:szCs w:val="21"/>
        </w:rPr>
      </w:pPr>
      <w:r>
        <w:rPr>
          <w:rFonts w:hint="eastAsia" w:ascii="宋体" w:hAnsi="宋体" w:eastAsia="宋体"/>
          <w:szCs w:val="21"/>
        </w:rPr>
        <w:t>5</w:t>
      </w:r>
      <w:r>
        <w:rPr>
          <w:rFonts w:ascii="宋体" w:hAnsi="宋体" w:eastAsia="宋体"/>
          <w:szCs w:val="21"/>
        </w:rPr>
        <w:t>1.1</w:t>
      </w:r>
      <w:r>
        <w:rPr>
          <w:rFonts w:hint="eastAsia" w:ascii="宋体" w:hAnsi="宋体" w:eastAsia="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4141F90F">
      <w:pPr>
        <w:ind w:firstLine="470" w:firstLineChars="196"/>
        <w:rPr>
          <w:rFonts w:ascii="宋体" w:hAnsi="宋体" w:eastAsia="宋体"/>
          <w:szCs w:val="21"/>
        </w:rPr>
      </w:pPr>
      <w:r>
        <w:rPr>
          <w:rFonts w:hint="eastAsia" w:ascii="宋体" w:hAnsi="宋体" w:eastAsia="宋体"/>
          <w:szCs w:val="21"/>
        </w:rPr>
        <w:t>（1）在采购活动中应当回避而未回避的；</w:t>
      </w:r>
    </w:p>
    <w:p w14:paraId="0A45C858">
      <w:pPr>
        <w:ind w:firstLine="470" w:firstLineChars="196"/>
        <w:rPr>
          <w:rFonts w:ascii="宋体" w:hAnsi="宋体" w:eastAsia="宋体"/>
          <w:szCs w:val="21"/>
        </w:rPr>
      </w:pPr>
      <w:r>
        <w:rPr>
          <w:rFonts w:hint="eastAsia" w:ascii="宋体" w:hAnsi="宋体" w:eastAsia="宋体"/>
          <w:szCs w:val="21"/>
        </w:rPr>
        <w:t>（2）未按本条例规定签订、履行采购合同，造成严重后果的；</w:t>
      </w:r>
    </w:p>
    <w:p w14:paraId="1A11E32E">
      <w:pPr>
        <w:ind w:firstLine="470" w:firstLineChars="196"/>
        <w:rPr>
          <w:rFonts w:ascii="宋体" w:hAnsi="宋体" w:eastAsia="宋体"/>
          <w:szCs w:val="21"/>
        </w:rPr>
      </w:pPr>
      <w:r>
        <w:rPr>
          <w:rFonts w:hint="eastAsia" w:ascii="宋体" w:hAnsi="宋体" w:eastAsia="宋体"/>
          <w:szCs w:val="21"/>
        </w:rPr>
        <w:t>（3）隐瞒真实情况，提供虚假资料的；</w:t>
      </w:r>
    </w:p>
    <w:p w14:paraId="250CDE21">
      <w:pPr>
        <w:ind w:firstLine="470" w:firstLineChars="196"/>
        <w:rPr>
          <w:rFonts w:ascii="宋体" w:hAnsi="宋体" w:eastAsia="宋体"/>
          <w:szCs w:val="21"/>
        </w:rPr>
      </w:pPr>
      <w:r>
        <w:rPr>
          <w:rFonts w:hint="eastAsia" w:ascii="宋体" w:hAnsi="宋体" w:eastAsia="宋体"/>
          <w:szCs w:val="21"/>
        </w:rPr>
        <w:t>（4）以非法手段排斥其他供应商参与竞争的；</w:t>
      </w:r>
    </w:p>
    <w:p w14:paraId="10B4BCB2">
      <w:pPr>
        <w:ind w:firstLine="470" w:firstLineChars="196"/>
        <w:rPr>
          <w:rFonts w:ascii="宋体" w:hAnsi="宋体" w:eastAsia="宋体"/>
          <w:szCs w:val="21"/>
        </w:rPr>
      </w:pPr>
      <w:r>
        <w:rPr>
          <w:rFonts w:hint="eastAsia" w:ascii="宋体" w:hAnsi="宋体" w:eastAsia="宋体"/>
          <w:szCs w:val="21"/>
        </w:rPr>
        <w:t>（5）与其他采购参加人串通投标的；</w:t>
      </w:r>
    </w:p>
    <w:p w14:paraId="53813F2E">
      <w:pPr>
        <w:ind w:firstLine="470" w:firstLineChars="196"/>
        <w:rPr>
          <w:rFonts w:ascii="宋体" w:hAnsi="宋体" w:eastAsia="宋体"/>
          <w:szCs w:val="21"/>
        </w:rPr>
      </w:pPr>
      <w:r>
        <w:rPr>
          <w:rFonts w:hint="eastAsia" w:ascii="宋体" w:hAnsi="宋体" w:eastAsia="宋体"/>
          <w:szCs w:val="21"/>
        </w:rPr>
        <w:t>（6）恶意投诉的；</w:t>
      </w:r>
    </w:p>
    <w:p w14:paraId="5A294E7D">
      <w:pPr>
        <w:ind w:firstLine="470" w:firstLineChars="196"/>
        <w:rPr>
          <w:rFonts w:ascii="宋体" w:hAnsi="宋体" w:eastAsia="宋体"/>
          <w:szCs w:val="21"/>
        </w:rPr>
      </w:pPr>
      <w:r>
        <w:rPr>
          <w:rFonts w:hint="eastAsia" w:ascii="宋体" w:hAnsi="宋体" w:eastAsia="宋体"/>
          <w:szCs w:val="21"/>
        </w:rPr>
        <w:t>（7）向采购项目相关人行贿或者提供其他不当利益的；</w:t>
      </w:r>
    </w:p>
    <w:p w14:paraId="03C0C18C">
      <w:pPr>
        <w:ind w:firstLine="470" w:firstLineChars="196"/>
        <w:rPr>
          <w:rFonts w:ascii="宋体" w:hAnsi="宋体" w:eastAsia="宋体"/>
          <w:szCs w:val="21"/>
        </w:rPr>
      </w:pPr>
      <w:r>
        <w:rPr>
          <w:rFonts w:hint="eastAsia" w:ascii="宋体" w:hAnsi="宋体" w:eastAsia="宋体"/>
          <w:szCs w:val="21"/>
        </w:rPr>
        <w:t>（8）阻碍、抗拒主管部门监督检查的；</w:t>
      </w:r>
    </w:p>
    <w:p w14:paraId="0B877FE0">
      <w:pPr>
        <w:ind w:firstLine="470" w:firstLineChars="196"/>
        <w:rPr>
          <w:rFonts w:ascii="宋体" w:hAnsi="宋体" w:eastAsia="宋体"/>
          <w:szCs w:val="21"/>
        </w:rPr>
      </w:pPr>
      <w:r>
        <w:rPr>
          <w:rFonts w:hint="eastAsia" w:ascii="宋体" w:hAnsi="宋体" w:eastAsia="宋体"/>
          <w:szCs w:val="21"/>
        </w:rPr>
        <w:t>（9）其他违反本条例规定的行为。</w:t>
      </w:r>
    </w:p>
    <w:p w14:paraId="6968DDFF">
      <w:pPr>
        <w:ind w:firstLine="470" w:firstLineChars="196"/>
        <w:rPr>
          <w:rFonts w:ascii="宋体" w:hAnsi="宋体" w:eastAsia="宋体"/>
          <w:szCs w:val="21"/>
        </w:rPr>
      </w:pPr>
      <w:r>
        <w:rPr>
          <w:rFonts w:hint="eastAsia" w:ascii="宋体" w:hAnsi="宋体" w:eastAsia="宋体"/>
          <w:szCs w:val="21"/>
        </w:rPr>
        <w:t>5</w:t>
      </w:r>
      <w:r>
        <w:rPr>
          <w:rFonts w:ascii="宋体" w:hAnsi="宋体" w:eastAsia="宋体"/>
          <w:szCs w:val="21"/>
        </w:rPr>
        <w:t xml:space="preserve">1.2 </w:t>
      </w:r>
      <w:r>
        <w:rPr>
          <w:rFonts w:hint="eastAsia" w:ascii="宋体" w:hAnsi="宋体" w:eastAsia="宋体"/>
          <w:szCs w:val="21"/>
        </w:rPr>
        <w:t>根据《深圳市财政局关于明确政府采购保证金管理工作的通知》（深财购[2019]42号）的要求，供应商在政府采购活动中出现《深圳经济特区政府采购条例实施细则》第八十条所列情形的，</w:t>
      </w:r>
      <w:bookmarkStart w:id="146" w:name="_Hlk72440769"/>
      <w:r>
        <w:rPr>
          <w:rFonts w:hint="eastAsia" w:ascii="宋体" w:hAnsi="宋体" w:eastAsia="宋体"/>
          <w:szCs w:val="21"/>
        </w:rPr>
        <w:t>采购人或</w:t>
      </w:r>
      <w:bookmarkEnd w:id="146"/>
      <w:r>
        <w:rPr>
          <w:rFonts w:hint="eastAsia" w:ascii="宋体" w:hAnsi="宋体" w:eastAsia="宋体"/>
          <w:szCs w:val="21"/>
        </w:rPr>
        <w:t>招标机构可将有关情况报同级财政部门，由财政部门根据实际情况记入供应商诚信档案，予以通报：</w:t>
      </w:r>
    </w:p>
    <w:p w14:paraId="61652D74">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）投标截止后，撤销投标的；</w:t>
      </w:r>
    </w:p>
    <w:p w14:paraId="79C9C521">
      <w:pPr>
        <w:ind w:firstLine="470" w:firstLineChars="196"/>
        <w:rPr>
          <w:rFonts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）中标后无正当理由未在规定期限内签订合同的；</w:t>
      </w:r>
    </w:p>
    <w:p w14:paraId="2A139389">
      <w:pPr>
        <w:ind w:firstLine="470" w:firstLineChars="196"/>
        <w:rPr>
          <w:rFonts w:ascii="宋体" w:hAnsi="宋体" w:eastAsia="宋体"/>
          <w:szCs w:val="21"/>
        </w:rPr>
      </w:pPr>
      <w:r>
        <w:rPr>
          <w:rFonts w:ascii="宋体" w:hAnsi="宋体" w:eastAsia="宋体"/>
          <w:szCs w:val="21"/>
        </w:rPr>
        <w:t>（</w:t>
      </w:r>
      <w:r>
        <w:rPr>
          <w:rFonts w:hint="eastAsia" w:ascii="宋体" w:hAnsi="宋体" w:eastAsia="宋体"/>
          <w:szCs w:val="21"/>
        </w:rPr>
        <w:t>3</w:t>
      </w:r>
      <w:r>
        <w:rPr>
          <w:rFonts w:ascii="宋体" w:hAnsi="宋体" w:eastAsia="宋体"/>
          <w:szCs w:val="21"/>
        </w:rPr>
        <w:t>）将中标项目转让给他人、或者在投标文件中未说明且未经采购人、采购招标机构同意，将中标项目分包给他人的；</w:t>
      </w:r>
    </w:p>
    <w:p w14:paraId="47DC8A89">
      <w:pPr>
        <w:ind w:firstLine="470" w:firstLineChars="196"/>
        <w:rPr>
          <w:rFonts w:ascii="宋体" w:hAnsi="宋体" w:eastAsia="宋体"/>
          <w:szCs w:val="21"/>
        </w:rPr>
      </w:pPr>
      <w:r>
        <w:rPr>
          <w:rFonts w:ascii="宋体" w:hAnsi="宋体" w:eastAsia="宋体"/>
          <w:szCs w:val="21"/>
        </w:rPr>
        <w:t>（</w:t>
      </w:r>
      <w:r>
        <w:rPr>
          <w:rFonts w:hint="eastAsia" w:ascii="宋体" w:hAnsi="宋体" w:eastAsia="宋体"/>
          <w:szCs w:val="21"/>
        </w:rPr>
        <w:t>4</w:t>
      </w:r>
      <w:r>
        <w:rPr>
          <w:rFonts w:ascii="宋体" w:hAnsi="宋体" w:eastAsia="宋体"/>
          <w:szCs w:val="21"/>
        </w:rPr>
        <w:t>）拒绝履行合同义务的</w:t>
      </w:r>
      <w:r>
        <w:rPr>
          <w:rFonts w:hint="eastAsia" w:ascii="宋体" w:hAnsi="宋体" w:eastAsia="宋体"/>
          <w:szCs w:val="21"/>
        </w:rPr>
        <w:t>。</w:t>
      </w:r>
    </w:p>
    <w:p w14:paraId="38C9E19F">
      <w:pPr>
        <w:pStyle w:val="6"/>
        <w:ind w:firstLine="0"/>
        <w:rPr>
          <w:rFonts w:ascii="宋体" w:hAnsi="宋体" w:eastAsia="宋体"/>
        </w:rPr>
      </w:pPr>
    </w:p>
    <w:bookmarkEnd w:id="130"/>
    <w:p w14:paraId="5217F40A">
      <w:pPr>
        <w:pStyle w:val="5"/>
        <w:numPr>
          <w:ilvl w:val="0"/>
          <w:numId w:val="13"/>
        </w:numPr>
        <w:spacing w:before="120" w:beforeLines="50" w:after="120" w:afterLines="50"/>
        <w:ind w:left="562" w:hanging="562"/>
        <w:rPr>
          <w:sz w:val="28"/>
          <w:szCs w:val="28"/>
        </w:rPr>
      </w:pPr>
      <w:r>
        <w:rPr>
          <w:rFonts w:hint="eastAsia"/>
          <w:sz w:val="28"/>
          <w:szCs w:val="28"/>
        </w:rPr>
        <w:t>质疑处理</w:t>
      </w:r>
    </w:p>
    <w:p w14:paraId="4AA5B880">
      <w:pPr>
        <w:rPr>
          <w:rFonts w:ascii="宋体" w:hAnsi="宋体" w:eastAsia="宋体"/>
        </w:rPr>
      </w:pPr>
      <w:bookmarkStart w:id="147" w:name="_Hlk72439706"/>
      <w:r>
        <w:rPr>
          <w:rFonts w:hint="eastAsia" w:ascii="宋体" w:hAnsi="宋体" w:eastAsia="宋体"/>
        </w:rPr>
        <w:t>52.质疑提出与答复</w:t>
      </w:r>
    </w:p>
    <w:p w14:paraId="258D10FD">
      <w:pPr>
        <w:rPr>
          <w:rFonts w:ascii="宋体" w:hAnsi="宋体" w:eastAsia="宋体"/>
          <w:szCs w:val="21"/>
        </w:rPr>
      </w:pPr>
      <w:r>
        <w:rPr>
          <w:rFonts w:hint="eastAsia" w:ascii="宋体" w:hAnsi="宋体" w:eastAsia="宋体"/>
          <w:szCs w:val="21"/>
        </w:rPr>
        <w:t xml:space="preserve">    52.1提出质疑</w:t>
      </w:r>
    </w:p>
    <w:p w14:paraId="3BE9F296">
      <w:pPr>
        <w:rPr>
          <w:rFonts w:ascii="宋体" w:hAnsi="宋体" w:eastAsia="宋体"/>
          <w:szCs w:val="21"/>
        </w:rPr>
      </w:pPr>
      <w:r>
        <w:rPr>
          <w:rFonts w:hint="eastAsia" w:ascii="宋体" w:hAnsi="宋体" w:eastAsia="宋体"/>
          <w:szCs w:val="21"/>
        </w:rPr>
        <w:t xml:space="preserve">    参与政府采购活动的供应商认为自己的权益在采购活动中受到损害的，应当自知道或者应当知道其权益受到损害之日起七个工作日内向采购人、招标机构以书面形式提出质疑。</w:t>
      </w:r>
    </w:p>
    <w:p w14:paraId="49DACAC6">
      <w:pPr>
        <w:rPr>
          <w:rFonts w:ascii="宋体" w:hAnsi="宋体" w:eastAsia="宋体"/>
          <w:szCs w:val="21"/>
        </w:rPr>
      </w:pPr>
      <w:r>
        <w:rPr>
          <w:rFonts w:hint="eastAsia" w:ascii="宋体" w:hAnsi="宋体" w:eastAsia="宋体"/>
          <w:szCs w:val="21"/>
        </w:rPr>
        <w:t xml:space="preserve">    52.2</w:t>
      </w:r>
      <w:r>
        <w:rPr>
          <w:rFonts w:ascii="宋体" w:hAnsi="宋体" w:eastAsia="宋体"/>
          <w:szCs w:val="21"/>
        </w:rPr>
        <w:t>法律依据</w:t>
      </w:r>
    </w:p>
    <w:p w14:paraId="2CC03E01">
      <w:pPr>
        <w:rPr>
          <w:rFonts w:ascii="宋体" w:hAnsi="宋体" w:eastAsia="宋体"/>
          <w:szCs w:val="21"/>
        </w:rPr>
      </w:pPr>
      <w:r>
        <w:rPr>
          <w:rFonts w:hint="eastAsia" w:ascii="宋体" w:hAnsi="宋体" w:eastAsia="宋体"/>
          <w:szCs w:val="21"/>
        </w:rPr>
        <w:t xml:space="preserve">    《中华人民共和国政府采购法》、《中华人民共和国政府采购法实施条例》、</w:t>
      </w:r>
      <w:r>
        <w:rPr>
          <w:rFonts w:ascii="宋体" w:hAnsi="宋体" w:eastAsia="宋体"/>
          <w:szCs w:val="21"/>
        </w:rPr>
        <w:t>《</w:t>
      </w:r>
      <w:r>
        <w:rPr>
          <w:rFonts w:hint="eastAsia" w:ascii="宋体" w:hAnsi="宋体" w:eastAsia="宋体"/>
          <w:szCs w:val="21"/>
        </w:rPr>
        <w:t>深圳经济特区政府采购</w:t>
      </w:r>
      <w:r>
        <w:rPr>
          <w:rFonts w:ascii="宋体" w:hAnsi="宋体" w:eastAsia="宋体"/>
          <w:szCs w:val="21"/>
        </w:rPr>
        <w:t>条例</w:t>
      </w:r>
      <w:r>
        <w:rPr>
          <w:rFonts w:hint="eastAsia" w:ascii="宋体" w:hAnsi="宋体" w:eastAsia="宋体"/>
          <w:szCs w:val="21"/>
        </w:rPr>
        <w:t>》、《深圳经济特区政府采购条例实施细则》、《政府采购质疑和投诉办法》（财政部令第94号）和其他有关法律法规规定。</w:t>
      </w:r>
    </w:p>
    <w:p w14:paraId="18EB4E11">
      <w:pPr>
        <w:rPr>
          <w:rFonts w:ascii="宋体" w:hAnsi="宋体" w:eastAsia="宋体"/>
          <w:szCs w:val="21"/>
        </w:rPr>
      </w:pPr>
      <w:r>
        <w:rPr>
          <w:rFonts w:hint="eastAsia" w:ascii="宋体" w:hAnsi="宋体" w:eastAsia="宋体"/>
          <w:szCs w:val="21"/>
        </w:rPr>
        <w:t>52.3质疑条件</w:t>
      </w:r>
    </w:p>
    <w:p w14:paraId="0178D876">
      <w:pPr>
        <w:rPr>
          <w:rFonts w:ascii="宋体" w:hAnsi="宋体" w:eastAsia="宋体"/>
          <w:szCs w:val="21"/>
        </w:rPr>
      </w:pPr>
      <w:r>
        <w:rPr>
          <w:rFonts w:hint="eastAsia" w:ascii="宋体" w:hAnsi="宋体" w:eastAsia="宋体"/>
          <w:szCs w:val="21"/>
        </w:rPr>
        <w:t xml:space="preserve">    52.3.1提出质疑的供应商应当是参与所质疑项目采购活动的供应商；</w:t>
      </w:r>
      <w:bookmarkStart w:id="148" w:name="_Hlk75374941"/>
      <w:r>
        <w:rPr>
          <w:rFonts w:hint="eastAsia" w:ascii="宋体" w:hAnsi="宋体" w:eastAsia="宋体"/>
          <w:szCs w:val="21"/>
        </w:rPr>
        <w:t>以联合体形式参与的，质疑应当由组成联合体的所有成员共同提出</w:t>
      </w:r>
      <w:bookmarkEnd w:id="148"/>
      <w:r>
        <w:rPr>
          <w:rFonts w:hint="eastAsia" w:ascii="宋体" w:hAnsi="宋体" w:eastAsia="宋体"/>
          <w:szCs w:val="21"/>
        </w:rPr>
        <w:t>；</w:t>
      </w:r>
    </w:p>
    <w:p w14:paraId="108F078E">
      <w:pPr>
        <w:rPr>
          <w:rFonts w:ascii="宋体" w:hAnsi="宋体" w:eastAsia="宋体"/>
          <w:szCs w:val="21"/>
        </w:rPr>
      </w:pPr>
      <w:r>
        <w:rPr>
          <w:rFonts w:hint="eastAsia" w:ascii="宋体" w:hAnsi="宋体" w:eastAsia="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521FB5C">
      <w:pPr>
        <w:ind w:firstLine="420"/>
        <w:rPr>
          <w:rFonts w:ascii="宋体" w:hAnsi="宋体" w:eastAsia="宋体"/>
          <w:szCs w:val="21"/>
        </w:rPr>
      </w:pPr>
      <w:r>
        <w:rPr>
          <w:rFonts w:hint="eastAsia" w:ascii="宋体" w:hAnsi="宋体" w:eastAsia="宋体"/>
          <w:szCs w:val="21"/>
        </w:rPr>
        <w:t>52.3.3应提交书面质疑函，质疑函应当包括以下内容：</w:t>
      </w:r>
    </w:p>
    <w:p w14:paraId="0FAF4B49">
      <w:pPr>
        <w:ind w:firstLine="420"/>
        <w:rPr>
          <w:rFonts w:ascii="宋体" w:hAnsi="宋体" w:eastAsia="宋体"/>
          <w:szCs w:val="21"/>
        </w:rPr>
      </w:pPr>
      <w:r>
        <w:rPr>
          <w:rFonts w:hint="eastAsia" w:ascii="宋体" w:hAnsi="宋体" w:eastAsia="宋体"/>
          <w:szCs w:val="21"/>
        </w:rPr>
        <w:t>（1）供应商的名称（或者姓名）、地址、邮编、邮箱、联系人及联系电话；</w:t>
      </w:r>
    </w:p>
    <w:p w14:paraId="08F1FD00">
      <w:pPr>
        <w:ind w:firstLine="480" w:firstLineChars="200"/>
        <w:rPr>
          <w:rFonts w:ascii="宋体" w:hAnsi="宋体" w:eastAsia="宋体"/>
          <w:szCs w:val="21"/>
        </w:rPr>
      </w:pPr>
      <w:r>
        <w:rPr>
          <w:rFonts w:hint="eastAsia" w:ascii="宋体" w:hAnsi="宋体" w:eastAsia="宋体"/>
          <w:szCs w:val="21"/>
        </w:rPr>
        <w:t>（2）质疑项目的名称、编号；</w:t>
      </w:r>
    </w:p>
    <w:p w14:paraId="36A9CF81">
      <w:pPr>
        <w:ind w:firstLine="480" w:firstLineChars="200"/>
        <w:rPr>
          <w:rFonts w:ascii="宋体" w:hAnsi="宋体" w:eastAsia="宋体"/>
          <w:szCs w:val="21"/>
        </w:rPr>
      </w:pPr>
      <w:r>
        <w:rPr>
          <w:rFonts w:hint="eastAsia" w:ascii="宋体" w:hAnsi="宋体" w:eastAsia="宋体"/>
          <w:szCs w:val="21"/>
        </w:rPr>
        <w:t>（3）具体、明确的质疑对象、质疑事项和质疑请求；</w:t>
      </w:r>
    </w:p>
    <w:p w14:paraId="15855A15">
      <w:pPr>
        <w:ind w:firstLine="480" w:firstLineChars="200"/>
        <w:rPr>
          <w:rFonts w:ascii="宋体" w:hAnsi="宋体" w:eastAsia="宋体"/>
          <w:szCs w:val="21"/>
        </w:rPr>
      </w:pPr>
      <w:r>
        <w:rPr>
          <w:rFonts w:hint="eastAsia" w:ascii="宋体" w:hAnsi="宋体" w:eastAsia="宋体"/>
          <w:szCs w:val="21"/>
        </w:rPr>
        <w:t>（4）因质疑事项而受损害的权益；</w:t>
      </w:r>
    </w:p>
    <w:p w14:paraId="2801372E">
      <w:pPr>
        <w:ind w:firstLine="480" w:firstLineChars="200"/>
        <w:rPr>
          <w:rFonts w:ascii="宋体" w:hAnsi="宋体" w:eastAsia="宋体"/>
          <w:szCs w:val="21"/>
        </w:rPr>
      </w:pPr>
      <w:r>
        <w:rPr>
          <w:rFonts w:hint="eastAsia" w:ascii="宋体" w:hAnsi="宋体" w:eastAsia="宋体"/>
          <w:szCs w:val="21"/>
        </w:rPr>
        <w:t>（5）事实依据；</w:t>
      </w:r>
    </w:p>
    <w:p w14:paraId="7D1FDC08">
      <w:pPr>
        <w:ind w:firstLine="480" w:firstLineChars="200"/>
        <w:rPr>
          <w:rFonts w:ascii="宋体" w:hAnsi="宋体" w:eastAsia="宋体"/>
          <w:szCs w:val="21"/>
        </w:rPr>
      </w:pPr>
      <w:r>
        <w:rPr>
          <w:rFonts w:hint="eastAsia" w:ascii="宋体" w:hAnsi="宋体" w:eastAsia="宋体"/>
          <w:szCs w:val="21"/>
        </w:rPr>
        <w:t>（6）必要的法律依据；</w:t>
      </w:r>
    </w:p>
    <w:p w14:paraId="77450924">
      <w:pPr>
        <w:ind w:firstLine="480" w:firstLineChars="200"/>
        <w:rPr>
          <w:rFonts w:ascii="宋体" w:hAnsi="宋体" w:eastAsia="宋体"/>
          <w:szCs w:val="21"/>
        </w:rPr>
      </w:pPr>
      <w:r>
        <w:rPr>
          <w:rFonts w:hint="eastAsia" w:ascii="宋体" w:hAnsi="宋体" w:eastAsia="宋体"/>
          <w:szCs w:val="21"/>
        </w:rPr>
        <w:t>（7）提出质疑的日期。</w:t>
      </w:r>
    </w:p>
    <w:p w14:paraId="72614B2A">
      <w:pPr>
        <w:ind w:firstLine="480" w:firstLineChars="200"/>
        <w:rPr>
          <w:rFonts w:ascii="宋体" w:hAnsi="宋体" w:eastAsia="宋体"/>
          <w:szCs w:val="21"/>
        </w:rPr>
      </w:pPr>
      <w:r>
        <w:rPr>
          <w:rFonts w:hint="eastAsia" w:ascii="宋体" w:hAnsi="宋体" w:eastAsia="宋体"/>
          <w:szCs w:val="21"/>
        </w:rPr>
        <w:t>供应商为自然人的，应当由本人签字；供应商为法人或者其他组织的，应当由法定代表人（负责人或执行事务合伙人），或者其授权代理人签字或者盖章，并加盖公章。</w:t>
      </w:r>
    </w:p>
    <w:p w14:paraId="0F2C6CD2">
      <w:pPr>
        <w:ind w:firstLine="480" w:firstLineChars="200"/>
        <w:rPr>
          <w:rFonts w:ascii="宋体" w:hAnsi="宋体" w:eastAsia="宋体"/>
          <w:szCs w:val="21"/>
        </w:rPr>
      </w:pPr>
      <w:r>
        <w:rPr>
          <w:rFonts w:hint="eastAsia" w:ascii="宋体" w:hAnsi="宋体" w:eastAsia="宋体"/>
          <w:szCs w:val="21"/>
        </w:rPr>
        <w:t>52.4提交</w:t>
      </w:r>
      <w:r>
        <w:rPr>
          <w:rFonts w:ascii="宋体" w:hAnsi="宋体" w:eastAsia="宋体"/>
          <w:szCs w:val="21"/>
        </w:rPr>
        <w:t>材料</w:t>
      </w:r>
    </w:p>
    <w:p w14:paraId="2CA70E7E">
      <w:pPr>
        <w:ind w:firstLine="480" w:firstLineChars="200"/>
        <w:rPr>
          <w:rFonts w:ascii="宋体" w:hAnsi="宋体" w:eastAsia="宋体"/>
          <w:szCs w:val="21"/>
        </w:rPr>
      </w:pPr>
      <w:r>
        <w:rPr>
          <w:rFonts w:hint="eastAsia" w:ascii="宋体" w:hAnsi="宋体" w:eastAsia="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0B3D7644">
      <w:pPr>
        <w:ind w:firstLine="480" w:firstLineChars="200"/>
        <w:rPr>
          <w:rFonts w:ascii="宋体" w:hAnsi="宋体" w:eastAsia="宋体"/>
          <w:szCs w:val="21"/>
        </w:rPr>
      </w:pPr>
      <w:r>
        <w:rPr>
          <w:rFonts w:hint="eastAsia" w:ascii="宋体" w:hAnsi="宋体" w:eastAsia="宋体"/>
          <w:szCs w:val="21"/>
        </w:rPr>
        <w:t>供应商可以委托代理人进行质疑。</w:t>
      </w:r>
      <w:r>
        <w:rPr>
          <w:rFonts w:ascii="宋体" w:hAnsi="宋体" w:eastAsia="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8CCD6C5">
      <w:pPr>
        <w:ind w:firstLine="480" w:firstLineChars="200"/>
        <w:rPr>
          <w:rFonts w:ascii="宋体" w:hAnsi="宋体" w:eastAsia="宋体"/>
          <w:szCs w:val="21"/>
        </w:rPr>
      </w:pPr>
      <w:r>
        <w:rPr>
          <w:rFonts w:hint="eastAsia" w:ascii="宋体" w:hAnsi="宋体" w:eastAsia="宋体"/>
          <w:szCs w:val="21"/>
        </w:rPr>
        <w:t>52.5提交方式</w:t>
      </w:r>
    </w:p>
    <w:p w14:paraId="348A845C">
      <w:pPr>
        <w:ind w:firstLine="420"/>
        <w:rPr>
          <w:rFonts w:ascii="宋体" w:hAnsi="宋体" w:eastAsia="宋体"/>
          <w:szCs w:val="21"/>
        </w:rPr>
      </w:pPr>
      <w:r>
        <w:rPr>
          <w:rFonts w:hint="eastAsia" w:ascii="宋体" w:hAnsi="宋体" w:eastAsia="宋体"/>
          <w:szCs w:val="21"/>
        </w:rPr>
        <w:t>5</w:t>
      </w:r>
      <w:r>
        <w:rPr>
          <w:rFonts w:ascii="宋体" w:hAnsi="宋体" w:eastAsia="宋体"/>
          <w:szCs w:val="21"/>
        </w:rPr>
        <w:t>2.5.1</w:t>
      </w:r>
      <w:r>
        <w:rPr>
          <w:rFonts w:hint="eastAsia" w:ascii="宋体" w:hAnsi="宋体" w:eastAsia="宋体"/>
          <w:szCs w:val="21"/>
        </w:rPr>
        <w:t>供应商登录“深圳政府采购智慧平台用户网上办事子系统（http://zfcg.szggzy.com:8081/TPBidder/memberLogin）”，在“【我的项目】→【项目流程】→【质疑】”中提出质疑。</w:t>
      </w:r>
    </w:p>
    <w:p w14:paraId="54D1BECD">
      <w:pPr>
        <w:ind w:firstLine="480" w:firstLineChars="200"/>
        <w:rPr>
          <w:rFonts w:ascii="宋体" w:hAnsi="宋体" w:eastAsia="宋体"/>
          <w:b/>
          <w:bCs/>
          <w:szCs w:val="21"/>
        </w:rPr>
      </w:pPr>
      <w:r>
        <w:rPr>
          <w:rFonts w:hint="eastAsia" w:ascii="宋体" w:hAnsi="宋体" w:eastAsia="宋体"/>
          <w:szCs w:val="21"/>
        </w:rPr>
        <w:t>5</w:t>
      </w:r>
      <w:r>
        <w:rPr>
          <w:rFonts w:ascii="宋体" w:hAnsi="宋体" w:eastAsia="宋体"/>
          <w:szCs w:val="21"/>
        </w:rPr>
        <w:t>2.5.2</w:t>
      </w:r>
      <w:r>
        <w:rPr>
          <w:rFonts w:hint="eastAsia" w:ascii="宋体" w:hAnsi="宋体" w:eastAsia="宋体"/>
          <w:szCs w:val="21"/>
        </w:rPr>
        <w:t>请质疑供应商根据深圳政府采购智慧平台（http://zfcg.szggzy.com:8081/）所发布的质疑指引、质疑函模板填写质疑函并提交质疑材料。</w:t>
      </w:r>
      <w:r>
        <w:rPr>
          <w:rFonts w:hint="eastAsia" w:ascii="宋体" w:hAnsi="宋体" w:eastAsia="宋体"/>
          <w:b/>
          <w:bCs/>
          <w:szCs w:val="21"/>
        </w:rPr>
        <w:t>地址：友和保险经纪有限公司（深圳市福田区福强路3030号福田体育公园西北角友和招标代理服务中心（靠近北门），质疑咨询电话：0755-8388</w:t>
      </w:r>
      <w:r>
        <w:rPr>
          <w:rFonts w:hint="eastAsia" w:ascii="宋体" w:hAnsi="宋体" w:eastAsia="宋体"/>
          <w:b/>
          <w:bCs/>
          <w:szCs w:val="21"/>
          <w:lang w:val="en-US" w:eastAsia="zh-CN"/>
        </w:rPr>
        <w:t>1283</w:t>
      </w:r>
      <w:r>
        <w:rPr>
          <w:rFonts w:hint="eastAsia" w:ascii="宋体" w:hAnsi="宋体" w:eastAsia="宋体"/>
          <w:b/>
          <w:bCs/>
          <w:szCs w:val="21"/>
        </w:rPr>
        <w:t>。</w:t>
      </w:r>
    </w:p>
    <w:p w14:paraId="080BE16C">
      <w:pPr>
        <w:ind w:firstLine="480" w:firstLineChars="200"/>
        <w:rPr>
          <w:rFonts w:ascii="宋体" w:hAnsi="宋体" w:eastAsia="宋体"/>
          <w:szCs w:val="21"/>
        </w:rPr>
      </w:pPr>
      <w:r>
        <w:rPr>
          <w:rFonts w:hint="eastAsia" w:ascii="宋体" w:hAnsi="宋体" w:eastAsia="宋体"/>
          <w:szCs w:val="21"/>
        </w:rPr>
        <w:t>52.6收文办理</w:t>
      </w:r>
      <w:r>
        <w:rPr>
          <w:rFonts w:ascii="宋体" w:hAnsi="宋体" w:eastAsia="宋体"/>
          <w:szCs w:val="21"/>
        </w:rPr>
        <w:t>程序</w:t>
      </w:r>
    </w:p>
    <w:p w14:paraId="2A679514">
      <w:pPr>
        <w:ind w:firstLine="480" w:firstLineChars="200"/>
        <w:rPr>
          <w:rFonts w:ascii="宋体" w:hAnsi="宋体" w:eastAsia="宋体"/>
          <w:szCs w:val="21"/>
        </w:rPr>
      </w:pPr>
      <w:r>
        <w:rPr>
          <w:rFonts w:hint="eastAsia" w:ascii="宋体" w:hAnsi="宋体" w:eastAsia="宋体"/>
          <w:szCs w:val="21"/>
        </w:rPr>
        <w:t>52.6.1供应商提交的质疑符合受理条件的，招标机构自收到质疑材料之日起即为受理，应当向供应商出具质疑函收文回执并可以要求其递交质疑的法定代表人（负责人或执行事务合伙人）或者授权代理人签署质疑文书送达地址确认书。</w:t>
      </w:r>
    </w:p>
    <w:p w14:paraId="2C024024">
      <w:pPr>
        <w:ind w:firstLine="480" w:firstLineChars="200"/>
        <w:rPr>
          <w:rFonts w:ascii="宋体" w:hAnsi="宋体" w:eastAsia="宋体"/>
          <w:sz w:val="28"/>
          <w:szCs w:val="28"/>
        </w:rPr>
      </w:pPr>
      <w:r>
        <w:rPr>
          <w:rFonts w:hint="eastAsia" w:ascii="宋体" w:hAnsi="宋体" w:eastAsia="宋体"/>
          <w:szCs w:val="21"/>
        </w:rPr>
        <w:t>52.6.2供应商提交的质疑材料不符合质疑条件的，视情况处理：</w:t>
      </w:r>
    </w:p>
    <w:p w14:paraId="70AA19E7">
      <w:pPr>
        <w:ind w:firstLine="480" w:firstLineChars="200"/>
        <w:rPr>
          <w:rFonts w:ascii="宋体" w:hAnsi="宋体" w:eastAsia="宋体"/>
          <w:szCs w:val="21"/>
        </w:rPr>
      </w:pPr>
      <w:r>
        <w:rPr>
          <w:rFonts w:hint="eastAsia" w:ascii="宋体" w:hAnsi="宋体" w:eastAsia="宋体"/>
          <w:szCs w:val="21"/>
        </w:rPr>
        <w:t>供应商提交的质疑材料不全或者未按要求签字或者盖章的，招标机构应当一次性告知供应商需补正的内容和补正期限。</w:t>
      </w:r>
    </w:p>
    <w:p w14:paraId="5C053D22">
      <w:pPr>
        <w:ind w:firstLine="480" w:firstLineChars="200"/>
        <w:rPr>
          <w:rFonts w:ascii="宋体" w:hAnsi="宋体" w:eastAsia="宋体"/>
          <w:szCs w:val="21"/>
        </w:rPr>
      </w:pPr>
      <w:r>
        <w:rPr>
          <w:rFonts w:hint="eastAsia" w:ascii="宋体" w:hAnsi="宋体" w:eastAsia="宋体"/>
          <w:szCs w:val="21"/>
        </w:rPr>
        <w:t>供应商提交的质疑存在下列情形之一的，不予受理：</w:t>
      </w:r>
    </w:p>
    <w:p w14:paraId="64CE4468">
      <w:pPr>
        <w:ind w:firstLine="480" w:firstLineChars="200"/>
        <w:rPr>
          <w:rFonts w:ascii="宋体" w:hAnsi="宋体" w:eastAsia="宋体"/>
          <w:szCs w:val="21"/>
        </w:rPr>
      </w:pPr>
      <w:r>
        <w:rPr>
          <w:rFonts w:hint="eastAsia" w:ascii="宋体" w:hAnsi="宋体" w:eastAsia="宋体"/>
          <w:szCs w:val="21"/>
        </w:rPr>
        <w:t>（1）质疑主体不满足要求的；</w:t>
      </w:r>
    </w:p>
    <w:p w14:paraId="3A2D4EB4">
      <w:pPr>
        <w:ind w:firstLine="480" w:firstLineChars="200"/>
        <w:rPr>
          <w:rFonts w:ascii="宋体" w:hAnsi="宋体" w:eastAsia="宋体"/>
          <w:szCs w:val="21"/>
        </w:rPr>
      </w:pPr>
      <w:r>
        <w:rPr>
          <w:rFonts w:hint="eastAsia" w:ascii="宋体" w:hAnsi="宋体" w:eastAsia="宋体"/>
          <w:szCs w:val="21"/>
        </w:rPr>
        <w:t>（2）供应商自身权益未受到损害的；</w:t>
      </w:r>
    </w:p>
    <w:p w14:paraId="6BD99DF3">
      <w:pPr>
        <w:ind w:firstLine="480" w:firstLineChars="200"/>
        <w:rPr>
          <w:rFonts w:ascii="宋体" w:hAnsi="宋体" w:eastAsia="宋体"/>
          <w:szCs w:val="21"/>
        </w:rPr>
      </w:pPr>
      <w:r>
        <w:rPr>
          <w:rFonts w:hint="eastAsia" w:ascii="宋体" w:hAnsi="宋体" w:eastAsia="宋体"/>
          <w:szCs w:val="21"/>
        </w:rPr>
        <w:t>（3）供应商未在法定质疑期限内提出质疑的；</w:t>
      </w:r>
    </w:p>
    <w:p w14:paraId="665073C1">
      <w:pPr>
        <w:ind w:firstLine="480" w:firstLineChars="200"/>
        <w:rPr>
          <w:rFonts w:ascii="宋体" w:hAnsi="宋体" w:eastAsia="宋体"/>
          <w:szCs w:val="21"/>
        </w:rPr>
      </w:pPr>
      <w:r>
        <w:rPr>
          <w:rFonts w:hint="eastAsia" w:ascii="宋体" w:hAnsi="宋体" w:eastAsia="宋体"/>
          <w:szCs w:val="21"/>
        </w:rPr>
        <w:t>（4）质疑材料不全或者未按要求签字或者盖章的情况下，要求补正后，逾期未补正或者补正后仍不符合规定的；</w:t>
      </w:r>
    </w:p>
    <w:p w14:paraId="1267C7DE">
      <w:pPr>
        <w:ind w:firstLine="480" w:firstLineChars="200"/>
        <w:rPr>
          <w:rFonts w:ascii="宋体" w:hAnsi="宋体" w:eastAsia="宋体"/>
          <w:szCs w:val="21"/>
        </w:rPr>
      </w:pPr>
      <w:r>
        <w:rPr>
          <w:rFonts w:hint="eastAsia" w:ascii="宋体" w:hAnsi="宋体" w:eastAsia="宋体"/>
          <w:szCs w:val="21"/>
        </w:rPr>
        <w:t>（5）其他不符合受理条件情形的。</w:t>
      </w:r>
    </w:p>
    <w:p w14:paraId="09D3FFDE">
      <w:pPr>
        <w:ind w:firstLine="480" w:firstLineChars="200"/>
        <w:rPr>
          <w:rFonts w:ascii="宋体" w:hAnsi="宋体" w:eastAsia="宋体"/>
          <w:szCs w:val="21"/>
        </w:rPr>
      </w:pPr>
      <w:r>
        <w:rPr>
          <w:rFonts w:hint="eastAsia" w:ascii="宋体" w:hAnsi="宋体" w:eastAsia="宋体"/>
          <w:szCs w:val="21"/>
        </w:rPr>
        <w:t>质疑事项不予受理的，招标机构应当向供应商出具不符合质疑条件告知书。</w:t>
      </w:r>
    </w:p>
    <w:p w14:paraId="660C34BA">
      <w:pPr>
        <w:ind w:firstLine="480" w:firstLineChars="200"/>
        <w:rPr>
          <w:rFonts w:ascii="宋体" w:hAnsi="宋体" w:eastAsia="宋体"/>
          <w:szCs w:val="21"/>
        </w:rPr>
      </w:pPr>
      <w:r>
        <w:rPr>
          <w:rFonts w:hint="eastAsia" w:ascii="宋体" w:hAnsi="宋体" w:eastAsia="宋体"/>
          <w:szCs w:val="21"/>
        </w:rPr>
        <w:t>52.7质疑答复时限</w:t>
      </w:r>
    </w:p>
    <w:p w14:paraId="4BB0C190">
      <w:pPr>
        <w:rPr>
          <w:rFonts w:ascii="宋体" w:hAnsi="宋体" w:eastAsia="宋体"/>
          <w:szCs w:val="21"/>
        </w:rPr>
      </w:pPr>
      <w:r>
        <w:rPr>
          <w:rFonts w:hint="eastAsia" w:ascii="宋体" w:hAnsi="宋体" w:eastAsia="宋体"/>
          <w:szCs w:val="21"/>
        </w:rPr>
        <w:t>自收文之日起七个工作日内。</w:t>
      </w:r>
    </w:p>
    <w:p w14:paraId="63351101">
      <w:pPr>
        <w:ind w:firstLine="480" w:firstLineChars="200"/>
        <w:rPr>
          <w:rFonts w:ascii="宋体" w:hAnsi="宋体" w:eastAsia="宋体"/>
          <w:szCs w:val="21"/>
        </w:rPr>
      </w:pPr>
      <w:r>
        <w:rPr>
          <w:rFonts w:hint="eastAsia" w:ascii="宋体" w:hAnsi="宋体" w:eastAsia="宋体"/>
          <w:szCs w:val="21"/>
        </w:rPr>
        <w:t>52.8投诉</w:t>
      </w:r>
    </w:p>
    <w:p w14:paraId="6807C3E3">
      <w:pPr>
        <w:ind w:firstLine="480" w:firstLineChars="200"/>
        <w:rPr>
          <w:rFonts w:ascii="宋体" w:hAnsi="宋体" w:eastAsia="宋体"/>
          <w:szCs w:val="21"/>
        </w:rPr>
      </w:pPr>
      <w:r>
        <w:rPr>
          <w:rFonts w:hint="eastAsia" w:ascii="宋体" w:hAnsi="宋体" w:eastAsia="宋体"/>
          <w:szCs w:val="21"/>
        </w:rPr>
        <w:t>对质疑答复不满意或者未在规定时间内答复的，提出质疑的供应商可以在答复期满后15个工作日内向同级财政部门投诉。</w:t>
      </w:r>
    </w:p>
    <w:p w14:paraId="2AFBB9BC">
      <w:pPr>
        <w:ind w:firstLine="480" w:firstLineChars="200"/>
        <w:rPr>
          <w:rFonts w:ascii="宋体" w:hAnsi="宋体" w:eastAsia="宋体"/>
          <w:szCs w:val="21"/>
        </w:rPr>
      </w:pPr>
      <w:r>
        <w:rPr>
          <w:rFonts w:hint="eastAsia" w:ascii="宋体" w:hAnsi="宋体" w:eastAsia="宋体"/>
          <w:szCs w:val="21"/>
        </w:rPr>
        <w:t>53.质疑后续处理</w:t>
      </w:r>
    </w:p>
    <w:p w14:paraId="1545CCB6">
      <w:pPr>
        <w:ind w:firstLine="480" w:firstLineChars="200"/>
        <w:rPr>
          <w:rFonts w:ascii="宋体" w:hAnsi="宋体" w:eastAsia="宋体"/>
          <w:szCs w:val="21"/>
        </w:rPr>
      </w:pPr>
      <w:r>
        <w:rPr>
          <w:rFonts w:hint="eastAsia" w:ascii="宋体" w:hAnsi="宋体" w:eastAsia="宋体"/>
          <w:szCs w:val="21"/>
        </w:rPr>
        <w:t>53.1供应商质疑不成立，或者成立但未对中标、成交结果构成影响的，继续开展采购活动。</w:t>
      </w:r>
    </w:p>
    <w:p w14:paraId="4F37BBCB">
      <w:pPr>
        <w:ind w:firstLine="480" w:firstLineChars="200"/>
        <w:rPr>
          <w:rFonts w:ascii="宋体" w:hAnsi="宋体" w:eastAsia="宋体"/>
          <w:szCs w:val="21"/>
        </w:rPr>
      </w:pPr>
      <w:r>
        <w:rPr>
          <w:rFonts w:hint="eastAsia" w:ascii="宋体" w:hAnsi="宋体" w:eastAsia="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如果合格供应商符合法定数量，依法从合格的中标或者成交候选人中另行确定中标、成交供应商；如果合格供应商不符合法定数量，应当重新开展采购活动。</w:t>
      </w:r>
    </w:p>
    <w:p w14:paraId="211AF1B4">
      <w:pPr>
        <w:ind w:firstLine="480" w:firstLineChars="200"/>
        <w:rPr>
          <w:rFonts w:ascii="宋体" w:hAnsi="宋体" w:eastAsia="宋体"/>
          <w:color w:val="FF0000"/>
          <w:szCs w:val="21"/>
        </w:rPr>
      </w:pPr>
      <w:r>
        <w:rPr>
          <w:rFonts w:hint="eastAsia" w:ascii="宋体" w:hAnsi="宋体" w:eastAsia="宋体"/>
          <w:color w:val="FF0000"/>
          <w:szCs w:val="21"/>
        </w:rPr>
        <w:t>54违约责任</w:t>
      </w:r>
    </w:p>
    <w:p w14:paraId="19FD5992">
      <w:pPr>
        <w:ind w:firstLine="480" w:firstLineChars="200"/>
        <w:rPr>
          <w:rFonts w:ascii="宋体" w:hAnsi="宋体" w:eastAsia="宋体"/>
          <w:color w:val="FF0000"/>
          <w:szCs w:val="21"/>
        </w:rPr>
      </w:pPr>
      <w:r>
        <w:rPr>
          <w:rFonts w:hint="eastAsia" w:ascii="宋体" w:hAnsi="宋体" w:eastAsia="宋体"/>
          <w:color w:val="FF0000"/>
          <w:szCs w:val="21"/>
        </w:rPr>
        <w:t>54.1供应商若在政府采购活动存在下列违法行为，给采购人、采购代理机造成损失的，应当承担赔偿责任。</w:t>
      </w:r>
    </w:p>
    <w:p w14:paraId="424EA25E">
      <w:pPr>
        <w:pStyle w:val="6"/>
        <w:rPr>
          <w:color w:val="FF0000"/>
        </w:rPr>
      </w:pPr>
      <w:r>
        <w:rPr>
          <w:color w:val="FF0000"/>
        </w:rPr>
        <w:t>（</w:t>
      </w:r>
      <w:r>
        <w:rPr>
          <w:rFonts w:hint="eastAsia"/>
          <w:color w:val="FF0000"/>
        </w:rPr>
        <w:t>1</w:t>
      </w:r>
      <w:r>
        <w:rPr>
          <w:color w:val="FF0000"/>
        </w:rPr>
        <w:t>）</w:t>
      </w:r>
      <w:r>
        <w:rPr>
          <w:rFonts w:hint="eastAsia"/>
          <w:color w:val="FF0000"/>
        </w:rPr>
        <w:t>未</w:t>
      </w:r>
      <w:r>
        <w:rPr>
          <w:color w:val="FF0000"/>
        </w:rPr>
        <w:t>按照规定签订、履行采购合同</w:t>
      </w:r>
      <w:r>
        <w:rPr>
          <w:rFonts w:hint="eastAsia"/>
          <w:color w:val="FF0000"/>
        </w:rPr>
        <w:t>；</w:t>
      </w:r>
    </w:p>
    <w:p w14:paraId="39735224">
      <w:pPr>
        <w:pStyle w:val="6"/>
        <w:rPr>
          <w:color w:val="FF0000"/>
        </w:rPr>
      </w:pPr>
      <w:r>
        <w:rPr>
          <w:rFonts w:hint="eastAsia"/>
          <w:color w:val="FF0000"/>
        </w:rPr>
        <w:t>（2）</w:t>
      </w:r>
      <w:r>
        <w:rPr>
          <w:color w:val="FF0000"/>
        </w:rPr>
        <w:t>提供虚假材料谋取中标、成交的；</w:t>
      </w:r>
    </w:p>
    <w:p w14:paraId="52FBBB5E">
      <w:pPr>
        <w:pStyle w:val="6"/>
        <w:rPr>
          <w:color w:val="FF0000"/>
        </w:rPr>
      </w:pPr>
      <w:r>
        <w:rPr>
          <w:color w:val="FF0000"/>
        </w:rPr>
        <w:t>（</w:t>
      </w:r>
      <w:r>
        <w:rPr>
          <w:rFonts w:hint="eastAsia"/>
          <w:color w:val="FF0000"/>
        </w:rPr>
        <w:t>3</w:t>
      </w:r>
      <w:r>
        <w:rPr>
          <w:color w:val="FF0000"/>
        </w:rPr>
        <w:t>）采取不正当手段诋毁、排挤其他供应商的；</w:t>
      </w:r>
    </w:p>
    <w:p w14:paraId="2D468A22">
      <w:pPr>
        <w:pStyle w:val="6"/>
        <w:rPr>
          <w:color w:val="FF0000"/>
        </w:rPr>
      </w:pPr>
      <w:r>
        <w:rPr>
          <w:color w:val="FF0000"/>
        </w:rPr>
        <w:t>（</w:t>
      </w:r>
      <w:r>
        <w:rPr>
          <w:rFonts w:hint="eastAsia"/>
          <w:color w:val="FF0000"/>
        </w:rPr>
        <w:t>4</w:t>
      </w:r>
      <w:r>
        <w:rPr>
          <w:color w:val="FF0000"/>
        </w:rPr>
        <w:t>）与其他供应商恶意串通的；</w:t>
      </w:r>
    </w:p>
    <w:p w14:paraId="4BA42498">
      <w:pPr>
        <w:pStyle w:val="6"/>
        <w:rPr>
          <w:color w:val="FF0000"/>
        </w:rPr>
      </w:pPr>
      <w:r>
        <w:rPr>
          <w:color w:val="FF0000"/>
        </w:rPr>
        <w:t>（</w:t>
      </w:r>
      <w:r>
        <w:rPr>
          <w:rFonts w:hint="eastAsia"/>
          <w:color w:val="FF0000"/>
        </w:rPr>
        <w:t>5</w:t>
      </w:r>
      <w:r>
        <w:rPr>
          <w:color w:val="FF0000"/>
        </w:rPr>
        <w:t>）拒绝有关部门监督检查或者提供虚假情况的</w:t>
      </w:r>
      <w:r>
        <w:rPr>
          <w:rFonts w:hint="eastAsia"/>
          <w:color w:val="FF0000"/>
        </w:rPr>
        <w:t>；</w:t>
      </w:r>
    </w:p>
    <w:p w14:paraId="5619580C">
      <w:pPr>
        <w:pStyle w:val="6"/>
        <w:rPr>
          <w:color w:val="FF0000"/>
        </w:rPr>
      </w:pPr>
      <w:r>
        <w:rPr>
          <w:rFonts w:hint="eastAsia"/>
          <w:color w:val="FF0000"/>
        </w:rPr>
        <w:t>（6）经主管部门认定的其他违法采购相关法律法规的行为。</w:t>
      </w:r>
    </w:p>
    <w:p w14:paraId="1C69C2C2">
      <w:pPr>
        <w:ind w:firstLine="480" w:firstLineChars="200"/>
        <w:rPr>
          <w:rFonts w:ascii="宋体" w:hAnsi="宋体" w:eastAsia="宋体"/>
          <w:color w:val="FF0000"/>
          <w:szCs w:val="21"/>
        </w:rPr>
      </w:pPr>
      <w:r>
        <w:rPr>
          <w:rFonts w:hint="eastAsia" w:ascii="宋体" w:hAnsi="宋体" w:eastAsia="宋体"/>
          <w:color w:val="FF0000"/>
          <w:szCs w:val="21"/>
        </w:rPr>
        <w:t>54.2采购人、采购代理机构有权对违法供应商造成的损失进行追偿，可优先在已缴纳的代理服务费中进行抵扣，已缴纳的代理服务费不足以赔偿采购人、采购代理机构损失的，采购人、采购代理机构有权向人民法院提起诉讼。</w:t>
      </w:r>
    </w:p>
    <w:p w14:paraId="7F33E371">
      <w:pPr>
        <w:jc w:val="center"/>
        <w:rPr>
          <w:rFonts w:ascii="宋体" w:hAnsi="宋体" w:eastAsia="宋体"/>
        </w:rPr>
      </w:pPr>
      <w:r>
        <w:rPr>
          <w:rFonts w:ascii="宋体" w:hAnsi="宋体" w:eastAsia="宋体"/>
        </w:rPr>
        <w:t>---- END ----</w:t>
      </w:r>
      <w:bookmarkEnd w:id="147"/>
    </w:p>
    <w:p w14:paraId="73DACD27">
      <w:pPr>
        <w:rPr>
          <w:rFonts w:ascii="宋体" w:hAnsi="宋体" w:eastAsia="宋体"/>
        </w:rPr>
      </w:pPr>
    </w:p>
    <w:p w14:paraId="233B8B69">
      <w:pPr>
        <w:rPr>
          <w:rFonts w:ascii="宋体" w:hAnsi="宋体" w:eastAsia="宋体"/>
        </w:rPr>
      </w:pPr>
    </w:p>
    <w:p w14:paraId="2364BB73">
      <w:pPr>
        <w:rPr>
          <w:rFonts w:ascii="宋体" w:hAnsi="宋体" w:eastAsia="宋体"/>
        </w:rPr>
      </w:pPr>
    </w:p>
    <w:sectPr>
      <w:footerReference r:id="rId5" w:type="default"/>
      <w:pgSz w:w="11906" w:h="16838"/>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4EFC764-55F5-48C5-9C4F-D805230BBDFD}"/>
  </w:font>
  <w:font w:name="黑体">
    <w:panose1 w:val="02010609060101010101"/>
    <w:charset w:val="86"/>
    <w:family w:val="auto"/>
    <w:pitch w:val="default"/>
    <w:sig w:usb0="800002BF" w:usb1="38CF7CFA" w:usb2="00000016" w:usb3="00000000" w:csb0="00040001" w:csb1="00000000"/>
    <w:embedRegular r:id="rId2" w:fontKey="{304B9602-819A-4B61-AEC6-135E7FFD9BD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046BDC6-8D55-4116-BD01-31879873898B}"/>
  </w:font>
  <w:font w:name="华文楷体">
    <w:panose1 w:val="02010600040101010101"/>
    <w:charset w:val="86"/>
    <w:family w:val="auto"/>
    <w:pitch w:val="default"/>
    <w:sig w:usb0="00000287" w:usb1="080F0000" w:usb2="00000000" w:usb3="00000000" w:csb0="0004009F" w:csb1="DFD70000"/>
    <w:embedRegular r:id="rId4" w:fontKey="{36DDDB85-4EB9-413A-903A-EB35E74B81C0}"/>
  </w:font>
  <w:font w:name="仿宋_GB2312">
    <w:panose1 w:val="02010609030101010101"/>
    <w:charset w:val="86"/>
    <w:family w:val="modern"/>
    <w:pitch w:val="default"/>
    <w:sig w:usb0="00000001" w:usb1="080E0000" w:usb2="00000000" w:usb3="00000000" w:csb0="00040000" w:csb1="00000000"/>
    <w:embedRegular r:id="rId5" w:fontKey="{13AD60BA-50B1-4974-B5CD-32591FB5B592}"/>
  </w:font>
  <w:font w:name="仿宋">
    <w:panose1 w:val="02010609060101010101"/>
    <w:charset w:val="86"/>
    <w:family w:val="modern"/>
    <w:pitch w:val="default"/>
    <w:sig w:usb0="800002BF" w:usb1="38CF7CFA" w:usb2="00000016" w:usb3="00000000" w:csb0="00040001" w:csb1="00000000"/>
    <w:embedRegular r:id="rId6" w:fontKey="{25A434FC-1FBC-4729-BFBF-54C93AA99ADA}"/>
  </w:font>
  <w:font w:name="方正仿宋_GB2312">
    <w:altName w:val="仿宋"/>
    <w:panose1 w:val="00000000000000000000"/>
    <w:charset w:val="86"/>
    <w:family w:val="auto"/>
    <w:pitch w:val="default"/>
    <w:sig w:usb0="00000000" w:usb1="00000000" w:usb2="00000012" w:usb3="00000000" w:csb0="00040001" w:csb1="00000000"/>
    <w:embedRegular r:id="rId7" w:fontKey="{8532CCC2-33CE-4005-A595-7C1FC9C9A6E9}"/>
  </w:font>
  <w:font w:name="Wingdings 2">
    <w:panose1 w:val="05020102010507070707"/>
    <w:charset w:val="02"/>
    <w:family w:val="roman"/>
    <w:pitch w:val="default"/>
    <w:sig w:usb0="00000000" w:usb1="00000000" w:usb2="00000000" w:usb3="00000000" w:csb0="80000000" w:csb1="00000000"/>
    <w:embedRegular r:id="rId8" w:fontKey="{4FF87E46-A22E-46B2-81E0-5D9E31C8FE29}"/>
  </w:font>
  <w:font w:name="Segoe UI Symbol">
    <w:panose1 w:val="020B0502040204020203"/>
    <w:charset w:val="00"/>
    <w:family w:val="swiss"/>
    <w:pitch w:val="default"/>
    <w:sig w:usb0="800001E3" w:usb1="1200FFEF" w:usb2="00040000" w:usb3="04000000" w:csb0="00000001" w:csb1="40000000"/>
    <w:embedRegular r:id="rId9" w:fontKey="{38E85996-80AB-4A4D-B91B-0B041A97FF29}"/>
  </w:font>
  <w:font w:name="微软雅黑">
    <w:panose1 w:val="020B0503020204020204"/>
    <w:charset w:val="86"/>
    <w:family w:val="swiss"/>
    <w:pitch w:val="default"/>
    <w:sig w:usb0="80000287" w:usb1="2ACF3C50" w:usb2="00000016" w:usb3="00000000" w:csb0="0004001F" w:csb1="00000000"/>
    <w:embedRegular r:id="rId10" w:fontKey="{28109E64-22AB-47F4-9E7B-0CD238669466}"/>
  </w:font>
  <w:font w:name="方正小标宋简体">
    <w:altName w:val="黑体"/>
    <w:panose1 w:val="00000000000000000000"/>
    <w:charset w:val="86"/>
    <w:family w:val="auto"/>
    <w:pitch w:val="default"/>
    <w:sig w:usb0="00000000" w:usb1="00000000" w:usb2="00000000" w:usb3="00000000" w:csb0="00040000" w:csb1="00000000"/>
    <w:embedRegular r:id="rId11" w:fontKey="{495E6F80-1726-4255-ACEE-FEECB5C1C566}"/>
  </w:font>
  <w:font w:name="华文中宋">
    <w:panose1 w:val="02010600040101010101"/>
    <w:charset w:val="86"/>
    <w:family w:val="auto"/>
    <w:pitch w:val="default"/>
    <w:sig w:usb0="00000287" w:usb1="080F0000" w:usb2="00000000" w:usb3="00000000" w:csb0="0004009F" w:csb1="DFD70000"/>
    <w:embedRegular r:id="rId12" w:fontKey="{789BDDC7-20A7-4144-B951-C07AB9689360}"/>
  </w:font>
  <w:font w:name="WPSEMBED10">
    <w:panose1 w:val="02010609030101010101"/>
    <w:charset w:val="86"/>
    <w:family w:val="auto"/>
    <w:pitch w:val="default"/>
    <w:sig w:usb0="00000001" w:usb1="080E0000" w:usb2="00000000" w:usb3="00000000" w:csb0="00040000" w:csb1="00000000"/>
  </w:font>
  <w:font w:name="WPSEMBED9">
    <w:panose1 w:val="02010600040101010101"/>
    <w:charset w:val="86"/>
    <w:family w:val="auto"/>
    <w:pitch w:val="default"/>
    <w:sig w:usb0="00000287" w:usb1="080F0000" w:usb2="00000000" w:usb3="00000000" w:csb0="0004009F" w:csb1="DFD70000"/>
  </w:font>
  <w:font w:name="WPSEMBED11">
    <w:panose1 w:val="05020102010507070707"/>
    <w:charset w:val="00"/>
    <w:family w:val="auto"/>
    <w:pitch w:val="default"/>
    <w:sig w:usb0="00000000" w:usb1="00000000" w:usb2="00000000" w:usb3="00000000" w:csb0="80000000" w:csb1="00000000"/>
  </w:font>
  <w:font w:name="WPSEMBED12">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972A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948C00C">
          <w:pPr>
            <w:pStyle w:val="13"/>
            <w:widowControl w:val="0"/>
            <w:jc w:val="both"/>
            <w:rPr>
              <w:sz w:val="28"/>
              <w:szCs w:val="28"/>
            </w:rPr>
          </w:pPr>
          <w:r>
            <w:rPr>
              <w:rFonts w:hint="eastAsia"/>
              <w:sz w:val="28"/>
              <w:szCs w:val="28"/>
            </w:rPr>
            <w:t xml:space="preserve">编制： </w:t>
          </w:r>
        </w:p>
      </w:tc>
      <w:tc>
        <w:tcPr>
          <w:tcW w:w="2841" w:type="dxa"/>
        </w:tcPr>
        <w:p w14:paraId="259C65AC">
          <w:pPr>
            <w:pStyle w:val="13"/>
            <w:widowControl w:val="0"/>
            <w:jc w:val="both"/>
            <w:rPr>
              <w:sz w:val="28"/>
              <w:szCs w:val="28"/>
            </w:rPr>
          </w:pPr>
          <w:r>
            <w:rPr>
              <w:rFonts w:hint="eastAsia"/>
              <w:sz w:val="28"/>
              <w:szCs w:val="28"/>
            </w:rPr>
            <w:t xml:space="preserve">复核： </w:t>
          </w:r>
        </w:p>
      </w:tc>
      <w:tc>
        <w:tcPr>
          <w:tcW w:w="2841" w:type="dxa"/>
        </w:tcPr>
        <w:p w14:paraId="21A3028C">
          <w:pPr>
            <w:pStyle w:val="13"/>
            <w:widowControl w:val="0"/>
            <w:jc w:val="both"/>
            <w:rPr>
              <w:sz w:val="28"/>
              <w:szCs w:val="28"/>
            </w:rPr>
          </w:pPr>
          <w:r>
            <w:rPr>
              <w:rFonts w:hint="eastAsia"/>
              <w:sz w:val="28"/>
              <w:szCs w:val="28"/>
            </w:rPr>
            <w:t xml:space="preserve">审核： </w:t>
          </w:r>
        </w:p>
      </w:tc>
    </w:tr>
  </w:tbl>
  <w:p w14:paraId="11D51338">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F402">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78130" cy="15494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78130" cy="154940"/>
                      </a:xfrm>
                      <a:prstGeom prst="rect">
                        <a:avLst/>
                      </a:prstGeom>
                      <a:noFill/>
                      <a:ln>
                        <a:noFill/>
                      </a:ln>
                    </wps:spPr>
                    <wps:txbx>
                      <w:txbxContent>
                        <w:p w14:paraId="21B204A3">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 </w:t>
                          </w:r>
                          <w:r>
                            <w:fldChar w:fldCharType="begin"/>
                          </w:r>
                          <w:r>
                            <w:instrText xml:space="preserve"> NUMPAGES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2pt;width:21.9pt;mso-position-horizontal:center;mso-position-horizontal-relative:margin;mso-wrap-style:none;z-index:251663360;mso-width-relative:page;mso-height-relative:page;" filled="f" stroked="f" coordsize="21600,21600" o:gfxdata="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EdMz0QAAAAMBAAAPAAAAAAAAAAEAIAAAACIAAABkcnMv&#10;ZG93bnJldi54bWxQSwECFAAUAAAACACHTuJAxOSQxwoCAAACBAAADgAAAAAAAAABACAAAAAgAQAA&#10;ZHJzL2Uyb0RvYy54bWxQSwUGAAAAAAYABgBZAQAAnAUAAAAA&#10;">
              <v:fill on="f" focussize="0,0"/>
              <v:stroke on="f"/>
              <v:imagedata o:title=""/>
              <o:lock v:ext="edit" aspectratio="f"/>
              <v:textbox inset="0mm,0mm,0mm,0mm" style="mso-fit-shape-to-text:t;">
                <w:txbxContent>
                  <w:p w14:paraId="21B204A3">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 </w:t>
                    </w:r>
                    <w:r>
                      <w:fldChar w:fldCharType="begin"/>
                    </w:r>
                    <w:r>
                      <w:instrText xml:space="preserve"> NUMPAGES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B849">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7B1FEC">
                          <w:pPr>
                            <w:pStyle w:val="13"/>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DmFm8MBAACQ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KI7dcYsDv3z/dvnx6/LzK1lW&#10;q9dZoT5AjYkPAVPTcOcH3JvZD+jMxAcVbf4iJYJx1Pd81VcOiYj8aL1arysMCYzNF8Rnj89DhPRW&#10;ekuy0dCIAyy68tN7SGPqnJKrOX+vjSlDNO4vB2JmD8u9jz1mKw37YSK09+0Z+fQ4+4Y6XHVKzDuH&#10;0uY1mY04G/vJyDUg3B4TFi79ZNQRaiqGgyqMpqXKm/DnvWQ9/kj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MOYWbwwEAAJADAAAOAAAAAAAAAAEAIAAAAB4BAABkcnMvZTJvRG9jLnhtbFBL&#10;BQYAAAAABgAGAFkBAABTBQAAAAA=&#10;">
              <v:fill on="f" focussize="0,0"/>
              <v:stroke on="f"/>
              <v:imagedata o:title=""/>
              <o:lock v:ext="edit" aspectratio="f"/>
              <v:textbox inset="0mm,0mm,0mm,0mm" style="mso-fit-shape-to-text:t;">
                <w:txbxContent>
                  <w:p w14:paraId="687B1FEC">
                    <w:pPr>
                      <w:pStyle w:val="1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B67B0"/>
    <w:multiLevelType w:val="singleLevel"/>
    <w:tmpl w:val="8CAB67B0"/>
    <w:lvl w:ilvl="0" w:tentative="0">
      <w:start w:val="1"/>
      <w:numFmt w:val="decimal"/>
      <w:suff w:val="nothing"/>
      <w:lvlText w:val="（%1）"/>
      <w:lvlJc w:val="left"/>
    </w:lvl>
  </w:abstractNum>
  <w:abstractNum w:abstractNumId="1">
    <w:nsid w:val="94FC427C"/>
    <w:multiLevelType w:val="singleLevel"/>
    <w:tmpl w:val="94FC427C"/>
    <w:lvl w:ilvl="0" w:tentative="0">
      <w:start w:val="1"/>
      <w:numFmt w:val="chineseCounting"/>
      <w:suff w:val="nothing"/>
      <w:lvlText w:val="%1、"/>
      <w:lvlJc w:val="left"/>
      <w:pPr>
        <w:ind w:left="6" w:firstLine="420"/>
      </w:pPr>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00000003"/>
    <w:multiLevelType w:val="multilevel"/>
    <w:tmpl w:val="0000000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13A5EFD"/>
    <w:multiLevelType w:val="multilevel"/>
    <w:tmpl w:val="213A5EFD"/>
    <w:lvl w:ilvl="0" w:tentative="0">
      <w:start w:val="1"/>
      <w:numFmt w:val="decimal"/>
      <w:lvlText w:val="(%1)"/>
      <w:lvlJc w:val="left"/>
      <w:pPr>
        <w:ind w:left="98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2C92DED"/>
    <w:multiLevelType w:val="multilevel"/>
    <w:tmpl w:val="22C92DED"/>
    <w:lvl w:ilvl="0" w:tentative="0">
      <w:start w:val="1"/>
      <w:numFmt w:val="japaneseCounting"/>
      <w:lvlText w:val="%1、"/>
      <w:lvlJc w:val="left"/>
      <w:pPr>
        <w:ind w:left="945" w:hanging="48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9">
    <w:nsid w:val="325E16F2"/>
    <w:multiLevelType w:val="singleLevel"/>
    <w:tmpl w:val="325E16F2"/>
    <w:lvl w:ilvl="0" w:tentative="0">
      <w:start w:val="1"/>
      <w:numFmt w:val="decimal"/>
      <w:lvlText w:val="%1."/>
      <w:lvlJc w:val="left"/>
      <w:pPr>
        <w:ind w:left="425" w:hanging="425"/>
      </w:pPr>
      <w:rPr>
        <w:rFonts w:hint="default"/>
        <w:color w:val="auto"/>
      </w:rPr>
    </w:lvl>
  </w:abstractNum>
  <w:abstractNum w:abstractNumId="10">
    <w:nsid w:val="44DC7EB6"/>
    <w:multiLevelType w:val="singleLevel"/>
    <w:tmpl w:val="44DC7EB6"/>
    <w:lvl w:ilvl="0" w:tentative="0">
      <w:start w:val="2"/>
      <w:numFmt w:val="decimal"/>
      <w:suff w:val="nothing"/>
      <w:lvlText w:val="（%1）"/>
      <w:lvlJc w:val="left"/>
    </w:lvl>
  </w:abstractNum>
  <w:abstractNum w:abstractNumId="11">
    <w:nsid w:val="4A4EDDAC"/>
    <w:multiLevelType w:val="singleLevel"/>
    <w:tmpl w:val="4A4EDDAC"/>
    <w:lvl w:ilvl="0" w:tentative="0">
      <w:start w:val="2"/>
      <w:numFmt w:val="chineseCounting"/>
      <w:suff w:val="nothing"/>
      <w:lvlText w:val="%1、"/>
      <w:lvlJc w:val="left"/>
      <w:rPr>
        <w:rFonts w:hint="eastAsia"/>
      </w:rPr>
    </w:lvl>
  </w:abstractNum>
  <w:abstractNum w:abstractNumId="12">
    <w:nsid w:val="7B5FA481"/>
    <w:multiLevelType w:val="singleLevel"/>
    <w:tmpl w:val="7B5FA481"/>
    <w:lvl w:ilvl="0" w:tentative="0">
      <w:start w:val="1"/>
      <w:numFmt w:val="decimal"/>
      <w:lvlText w:val="%1."/>
      <w:lvlJc w:val="left"/>
      <w:pPr>
        <w:ind w:left="425" w:hanging="425"/>
      </w:pPr>
      <w:rPr>
        <w:rFonts w:hint="default"/>
      </w:rPr>
    </w:lvl>
  </w:abstractNum>
  <w:num w:numId="1">
    <w:abstractNumId w:val="10"/>
  </w:num>
  <w:num w:numId="2">
    <w:abstractNumId w:val="11"/>
  </w:num>
  <w:num w:numId="3">
    <w:abstractNumId w:val="0"/>
  </w:num>
  <w:num w:numId="4">
    <w:abstractNumId w:val="8"/>
  </w:num>
  <w:num w:numId="5">
    <w:abstractNumId w:val="1"/>
  </w:num>
  <w:num w:numId="6">
    <w:abstractNumId w:val="7"/>
  </w:num>
  <w:num w:numId="7">
    <w:abstractNumId w:val="9"/>
  </w:num>
  <w:num w:numId="8">
    <w:abstractNumId w:val="12"/>
  </w:num>
  <w:num w:numId="9">
    <w:abstractNumId w:val="4"/>
  </w:num>
  <w:num w:numId="10">
    <w:abstractNumId w:val="3"/>
  </w:num>
  <w:num w:numId="11">
    <w:abstractNumId w:val="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0YzFmMDE1ZTIyYjFjZmVjNzA2YTBiYTRmNDVkYzEifQ=="/>
  </w:docVars>
  <w:rsids>
    <w:rsidRoot w:val="00D11BB9"/>
    <w:rsid w:val="006D7DDA"/>
    <w:rsid w:val="00D11BB9"/>
    <w:rsid w:val="00DE4E3B"/>
    <w:rsid w:val="00EB78BA"/>
    <w:rsid w:val="015D3E44"/>
    <w:rsid w:val="01B26081"/>
    <w:rsid w:val="02795F6A"/>
    <w:rsid w:val="03605622"/>
    <w:rsid w:val="045F2309"/>
    <w:rsid w:val="05A44BB2"/>
    <w:rsid w:val="06B61A92"/>
    <w:rsid w:val="073D0FBD"/>
    <w:rsid w:val="08694877"/>
    <w:rsid w:val="098242DD"/>
    <w:rsid w:val="0987754E"/>
    <w:rsid w:val="09AC33EF"/>
    <w:rsid w:val="0BA159AA"/>
    <w:rsid w:val="0C68119E"/>
    <w:rsid w:val="0C684A43"/>
    <w:rsid w:val="0C834780"/>
    <w:rsid w:val="0CA4247D"/>
    <w:rsid w:val="0CB7251D"/>
    <w:rsid w:val="0CD70E2B"/>
    <w:rsid w:val="0DE0422C"/>
    <w:rsid w:val="0E36061D"/>
    <w:rsid w:val="0E686368"/>
    <w:rsid w:val="0E845C30"/>
    <w:rsid w:val="0F037D8A"/>
    <w:rsid w:val="101E5B5C"/>
    <w:rsid w:val="10C1473A"/>
    <w:rsid w:val="12F615A3"/>
    <w:rsid w:val="130162F6"/>
    <w:rsid w:val="149A4C1E"/>
    <w:rsid w:val="14B41D0D"/>
    <w:rsid w:val="15065819"/>
    <w:rsid w:val="179F1A76"/>
    <w:rsid w:val="18C052FF"/>
    <w:rsid w:val="18C971B7"/>
    <w:rsid w:val="18F65773"/>
    <w:rsid w:val="193833AD"/>
    <w:rsid w:val="19B55240"/>
    <w:rsid w:val="1A772AD1"/>
    <w:rsid w:val="1B080EE5"/>
    <w:rsid w:val="1B2711B5"/>
    <w:rsid w:val="1B746A3A"/>
    <w:rsid w:val="1BB816D5"/>
    <w:rsid w:val="1BCB2F1D"/>
    <w:rsid w:val="1CE2623A"/>
    <w:rsid w:val="1D502529"/>
    <w:rsid w:val="1D94358E"/>
    <w:rsid w:val="1F0751E1"/>
    <w:rsid w:val="1FF47AD3"/>
    <w:rsid w:val="20827A66"/>
    <w:rsid w:val="215A0F0E"/>
    <w:rsid w:val="21677264"/>
    <w:rsid w:val="21737D34"/>
    <w:rsid w:val="21EA4BAB"/>
    <w:rsid w:val="21EE6F4E"/>
    <w:rsid w:val="220D5A2F"/>
    <w:rsid w:val="22606290"/>
    <w:rsid w:val="23386ADD"/>
    <w:rsid w:val="24496020"/>
    <w:rsid w:val="245A18FE"/>
    <w:rsid w:val="249E5DC0"/>
    <w:rsid w:val="24CD76F9"/>
    <w:rsid w:val="253D164F"/>
    <w:rsid w:val="26306FB5"/>
    <w:rsid w:val="26452B65"/>
    <w:rsid w:val="269D4FD0"/>
    <w:rsid w:val="26FA173C"/>
    <w:rsid w:val="27432CA4"/>
    <w:rsid w:val="278F70ED"/>
    <w:rsid w:val="28B27234"/>
    <w:rsid w:val="2916384A"/>
    <w:rsid w:val="2B0F582A"/>
    <w:rsid w:val="2B112C5A"/>
    <w:rsid w:val="2BBE7D9C"/>
    <w:rsid w:val="2BFF47C5"/>
    <w:rsid w:val="2C9034CB"/>
    <w:rsid w:val="2DBB6633"/>
    <w:rsid w:val="2DD06D74"/>
    <w:rsid w:val="2DEA39E2"/>
    <w:rsid w:val="2E8C628C"/>
    <w:rsid w:val="2EB332B8"/>
    <w:rsid w:val="2F48506F"/>
    <w:rsid w:val="30631373"/>
    <w:rsid w:val="31B86165"/>
    <w:rsid w:val="32700780"/>
    <w:rsid w:val="33E56D8E"/>
    <w:rsid w:val="3417124D"/>
    <w:rsid w:val="347344E7"/>
    <w:rsid w:val="34CA4F44"/>
    <w:rsid w:val="34F67DB8"/>
    <w:rsid w:val="352A3F6E"/>
    <w:rsid w:val="35304355"/>
    <w:rsid w:val="36443C6A"/>
    <w:rsid w:val="364F7F6E"/>
    <w:rsid w:val="37533553"/>
    <w:rsid w:val="397A17A6"/>
    <w:rsid w:val="39E846C0"/>
    <w:rsid w:val="3A3556CD"/>
    <w:rsid w:val="3A8E23BA"/>
    <w:rsid w:val="3AEA295B"/>
    <w:rsid w:val="3BD47582"/>
    <w:rsid w:val="3D6F7148"/>
    <w:rsid w:val="3E8E24F6"/>
    <w:rsid w:val="408D3511"/>
    <w:rsid w:val="4171183F"/>
    <w:rsid w:val="42120E80"/>
    <w:rsid w:val="4214415F"/>
    <w:rsid w:val="422C5607"/>
    <w:rsid w:val="42983285"/>
    <w:rsid w:val="43395A3D"/>
    <w:rsid w:val="43B21100"/>
    <w:rsid w:val="43BF0862"/>
    <w:rsid w:val="4453323E"/>
    <w:rsid w:val="45125213"/>
    <w:rsid w:val="452E1CA0"/>
    <w:rsid w:val="4588280D"/>
    <w:rsid w:val="45D264C6"/>
    <w:rsid w:val="45D44648"/>
    <w:rsid w:val="46182EA9"/>
    <w:rsid w:val="464C359F"/>
    <w:rsid w:val="47AB7721"/>
    <w:rsid w:val="487A697E"/>
    <w:rsid w:val="49026BA8"/>
    <w:rsid w:val="49D942C7"/>
    <w:rsid w:val="49E52DD5"/>
    <w:rsid w:val="4AB252A2"/>
    <w:rsid w:val="4B133808"/>
    <w:rsid w:val="4B4E2D16"/>
    <w:rsid w:val="4B5A2646"/>
    <w:rsid w:val="4B7C315C"/>
    <w:rsid w:val="4BB06245"/>
    <w:rsid w:val="4BB13F8C"/>
    <w:rsid w:val="4BF54E39"/>
    <w:rsid w:val="4CD860E5"/>
    <w:rsid w:val="4E451EA8"/>
    <w:rsid w:val="4E46329B"/>
    <w:rsid w:val="4E5133B4"/>
    <w:rsid w:val="4E9B215A"/>
    <w:rsid w:val="4EE8340B"/>
    <w:rsid w:val="4F9574C0"/>
    <w:rsid w:val="4FE265B7"/>
    <w:rsid w:val="505E11A9"/>
    <w:rsid w:val="50893192"/>
    <w:rsid w:val="50D8735B"/>
    <w:rsid w:val="51B05EC4"/>
    <w:rsid w:val="539714AF"/>
    <w:rsid w:val="53D04F91"/>
    <w:rsid w:val="54042AAD"/>
    <w:rsid w:val="54F83D45"/>
    <w:rsid w:val="5516017D"/>
    <w:rsid w:val="55277E07"/>
    <w:rsid w:val="559E1D7C"/>
    <w:rsid w:val="55D74E50"/>
    <w:rsid w:val="56DA1B0D"/>
    <w:rsid w:val="574D4374"/>
    <w:rsid w:val="57B43C7D"/>
    <w:rsid w:val="589B1568"/>
    <w:rsid w:val="58DE2E5D"/>
    <w:rsid w:val="594F1F73"/>
    <w:rsid w:val="59D357AF"/>
    <w:rsid w:val="5A1F3EB7"/>
    <w:rsid w:val="5AE87B0A"/>
    <w:rsid w:val="5B022B68"/>
    <w:rsid w:val="5BE87ACA"/>
    <w:rsid w:val="5CA50929"/>
    <w:rsid w:val="5D4137C8"/>
    <w:rsid w:val="5D656D58"/>
    <w:rsid w:val="5E4977D8"/>
    <w:rsid w:val="60CA62C0"/>
    <w:rsid w:val="622A5268"/>
    <w:rsid w:val="622D622A"/>
    <w:rsid w:val="63605AFF"/>
    <w:rsid w:val="63AE3606"/>
    <w:rsid w:val="642C78E5"/>
    <w:rsid w:val="64497024"/>
    <w:rsid w:val="651C3B7C"/>
    <w:rsid w:val="659375BC"/>
    <w:rsid w:val="65AC068A"/>
    <w:rsid w:val="66042947"/>
    <w:rsid w:val="660758C0"/>
    <w:rsid w:val="6710446C"/>
    <w:rsid w:val="6736645D"/>
    <w:rsid w:val="680E2F36"/>
    <w:rsid w:val="68294213"/>
    <w:rsid w:val="68305A82"/>
    <w:rsid w:val="68A845CF"/>
    <w:rsid w:val="69164798"/>
    <w:rsid w:val="69286306"/>
    <w:rsid w:val="6931512E"/>
    <w:rsid w:val="69C26425"/>
    <w:rsid w:val="6A3F4F2C"/>
    <w:rsid w:val="6A4C28F4"/>
    <w:rsid w:val="6AAD4314"/>
    <w:rsid w:val="6AD71D05"/>
    <w:rsid w:val="6B981494"/>
    <w:rsid w:val="6BD74C3F"/>
    <w:rsid w:val="6C232688"/>
    <w:rsid w:val="6C394018"/>
    <w:rsid w:val="6C7E2B1C"/>
    <w:rsid w:val="6D127148"/>
    <w:rsid w:val="6D4F2026"/>
    <w:rsid w:val="6F0410A4"/>
    <w:rsid w:val="6F615A1C"/>
    <w:rsid w:val="6F654505"/>
    <w:rsid w:val="6FEC2FE7"/>
    <w:rsid w:val="70D2127B"/>
    <w:rsid w:val="70DE7774"/>
    <w:rsid w:val="70E86A37"/>
    <w:rsid w:val="72B003FB"/>
    <w:rsid w:val="72EC65AF"/>
    <w:rsid w:val="733D069E"/>
    <w:rsid w:val="736D726D"/>
    <w:rsid w:val="740D4785"/>
    <w:rsid w:val="744001A0"/>
    <w:rsid w:val="74EB0D75"/>
    <w:rsid w:val="758635D9"/>
    <w:rsid w:val="75E272F1"/>
    <w:rsid w:val="76832F25"/>
    <w:rsid w:val="769B16D3"/>
    <w:rsid w:val="76BF00F5"/>
    <w:rsid w:val="76EE0B02"/>
    <w:rsid w:val="770E5C66"/>
    <w:rsid w:val="77163BB5"/>
    <w:rsid w:val="78483FF8"/>
    <w:rsid w:val="785E2ADB"/>
    <w:rsid w:val="793463EA"/>
    <w:rsid w:val="797F578D"/>
    <w:rsid w:val="79B317D1"/>
    <w:rsid w:val="7A3F4C2E"/>
    <w:rsid w:val="7A794B87"/>
    <w:rsid w:val="7B8C2698"/>
    <w:rsid w:val="7BDC717B"/>
    <w:rsid w:val="7D342485"/>
    <w:rsid w:val="7E4A4D31"/>
    <w:rsid w:val="7EEA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imes New Roman"/>
      <w:sz w:val="24"/>
      <w:szCs w:val="24"/>
      <w:lang w:val="en-US" w:eastAsia="zh-CN" w:bidi="ar-SA"/>
    </w:rPr>
  </w:style>
  <w:style w:type="paragraph" w:styleId="2">
    <w:name w:val="heading 1"/>
    <w:basedOn w:val="3"/>
    <w:next w:val="1"/>
    <w:link w:val="30"/>
    <w:autoRedefine/>
    <w:qFormat/>
    <w:uiPriority w:val="0"/>
    <w:pPr>
      <w:spacing w:before="340" w:after="330" w:line="360" w:lineRule="auto"/>
      <w:jc w:val="center"/>
      <w:outlineLvl w:val="0"/>
    </w:pPr>
    <w:rPr>
      <w:rFonts w:eastAsia="黑体"/>
      <w:kern w:val="44"/>
      <w:szCs w:val="44"/>
    </w:rPr>
  </w:style>
  <w:style w:type="paragraph" w:styleId="5">
    <w:name w:val="heading 2"/>
    <w:basedOn w:val="1"/>
    <w:next w:val="1"/>
    <w:link w:val="31"/>
    <w:autoRedefine/>
    <w:qFormat/>
    <w:uiPriority w:val="0"/>
    <w:pPr>
      <w:adjustRightInd w:val="0"/>
      <w:jc w:val="center"/>
      <w:textAlignment w:val="baseline"/>
      <w:outlineLvl w:val="1"/>
    </w:pPr>
    <w:rPr>
      <w:szCs w:val="20"/>
    </w:rPr>
  </w:style>
  <w:style w:type="paragraph" w:styleId="3">
    <w:name w:val="heading 3"/>
    <w:basedOn w:val="4"/>
    <w:next w:val="1"/>
    <w:link w:val="29"/>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28"/>
    <w:autoRedefine/>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26"/>
    <w:autoRedefine/>
    <w:qFormat/>
    <w:uiPriority w:val="0"/>
    <w:pPr>
      <w:ind w:firstLine="420"/>
    </w:pPr>
    <w:rPr>
      <w:szCs w:val="20"/>
    </w:rPr>
  </w:style>
  <w:style w:type="paragraph" w:styleId="7">
    <w:name w:val="annotation text"/>
    <w:basedOn w:val="1"/>
    <w:autoRedefine/>
    <w:qFormat/>
    <w:uiPriority w:val="0"/>
  </w:style>
  <w:style w:type="paragraph" w:styleId="8">
    <w:name w:val="Body Text"/>
    <w:basedOn w:val="1"/>
    <w:next w:val="9"/>
    <w:autoRedefine/>
    <w:qFormat/>
    <w:uiPriority w:val="0"/>
    <w:pPr>
      <w:spacing w:after="120"/>
    </w:pPr>
  </w:style>
  <w:style w:type="paragraph" w:customStyle="1" w:styleId="9">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10">
    <w:name w:val="Body Text Indent"/>
    <w:basedOn w:val="1"/>
    <w:autoRedefine/>
    <w:qFormat/>
    <w:uiPriority w:val="99"/>
    <w:pPr>
      <w:spacing w:after="120"/>
      <w:ind w:left="420" w:leftChars="200"/>
    </w:pPr>
    <w:rPr>
      <w:rFonts w:eastAsia="宋体"/>
      <w:sz w:val="21"/>
    </w:rPr>
  </w:style>
  <w:style w:type="paragraph" w:styleId="11">
    <w:name w:val="Plain Text"/>
    <w:basedOn w:val="1"/>
    <w:autoRedefine/>
    <w:qFormat/>
    <w:uiPriority w:val="0"/>
    <w:rPr>
      <w:rFonts w:ascii="宋体" w:hAnsi="Courier New" w:cs="Courier New"/>
      <w:szCs w:val="21"/>
    </w:rPr>
  </w:style>
  <w:style w:type="paragraph" w:styleId="12">
    <w:name w:val="Balloon Text"/>
    <w:basedOn w:val="1"/>
    <w:autoRedefine/>
    <w:qFormat/>
    <w:uiPriority w:val="0"/>
    <w:rPr>
      <w:sz w:val="18"/>
      <w:szCs w:val="18"/>
    </w:rPr>
  </w:style>
  <w:style w:type="paragraph" w:styleId="13">
    <w:name w:val="footer"/>
    <w:basedOn w:val="1"/>
    <w:autoRedefine/>
    <w:qFormat/>
    <w:uiPriority w:val="0"/>
    <w:pPr>
      <w:tabs>
        <w:tab w:val="center" w:pos="4153"/>
        <w:tab w:val="right" w:pos="8306"/>
      </w:tabs>
      <w:snapToGrid w:val="0"/>
    </w:pPr>
    <w:rPr>
      <w:sz w:val="18"/>
      <w:szCs w:val="18"/>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autoRedefine/>
    <w:qFormat/>
    <w:uiPriority w:val="0"/>
    <w:pPr>
      <w:spacing w:line="360" w:lineRule="auto"/>
    </w:pPr>
  </w:style>
  <w:style w:type="paragraph" w:styleId="16">
    <w:name w:val="Normal (Web)"/>
    <w:basedOn w:val="1"/>
    <w:autoRedefine/>
    <w:qFormat/>
    <w:uiPriority w:val="99"/>
    <w:pPr>
      <w:spacing w:beforeAutospacing="1" w:afterAutospacing="1"/>
    </w:pPr>
  </w:style>
  <w:style w:type="paragraph" w:styleId="17">
    <w:name w:val="Body Text First Indent 2"/>
    <w:basedOn w:val="10"/>
    <w:autoRedefine/>
    <w:qFormat/>
    <w:uiPriority w:val="99"/>
    <w:pPr>
      <w:ind w:firstLine="420" w:firstLineChars="200"/>
    </w:p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page number"/>
    <w:basedOn w:val="20"/>
    <w:autoRedefine/>
    <w:qFormat/>
    <w:uiPriority w:val="0"/>
  </w:style>
  <w:style w:type="character" w:styleId="23">
    <w:name w:val="Hyperlink"/>
    <w:autoRedefine/>
    <w:qFormat/>
    <w:uiPriority w:val="99"/>
    <w:rPr>
      <w:color w:val="0000FF"/>
      <w:u w:val="single"/>
    </w:rPr>
  </w:style>
  <w:style w:type="character" w:styleId="24">
    <w:name w:val="annotation reference"/>
    <w:basedOn w:val="20"/>
    <w:autoRedefine/>
    <w:qFormat/>
    <w:uiPriority w:val="0"/>
    <w:rPr>
      <w:sz w:val="21"/>
      <w:szCs w:val="21"/>
    </w:rPr>
  </w:style>
  <w:style w:type="paragraph" w:customStyle="1" w:styleId="2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6">
    <w:name w:val="正文缩进 Char"/>
    <w:link w:val="6"/>
    <w:autoRedefine/>
    <w:qFormat/>
    <w:uiPriority w:val="0"/>
    <w:rPr>
      <w:rFonts w:eastAsia="宋体"/>
      <w:kern w:val="2"/>
      <w:sz w:val="21"/>
      <w:lang w:val="en-US" w:eastAsia="zh-CN" w:bidi="ar-SA"/>
    </w:rPr>
  </w:style>
  <w:style w:type="paragraph" w:styleId="27">
    <w:name w:val="List Paragraph"/>
    <w:basedOn w:val="1"/>
    <w:autoRedefine/>
    <w:qFormat/>
    <w:uiPriority w:val="0"/>
    <w:pPr>
      <w:ind w:firstLine="420" w:firstLineChars="200"/>
    </w:pPr>
    <w:rPr>
      <w:rFonts w:ascii="Calibri" w:hAnsi="Calibri"/>
      <w:szCs w:val="22"/>
    </w:rPr>
  </w:style>
  <w:style w:type="character" w:customStyle="1" w:styleId="28">
    <w:name w:val="标题 4 Char"/>
    <w:link w:val="4"/>
    <w:autoRedefine/>
    <w:qFormat/>
    <w:uiPriority w:val="9"/>
    <w:rPr>
      <w:rFonts w:ascii="Arial" w:hAnsi="Arial" w:eastAsia="黑体"/>
      <w:b/>
      <w:bCs/>
      <w:kern w:val="2"/>
      <w:sz w:val="28"/>
      <w:szCs w:val="28"/>
      <w:lang w:val="en-US" w:eastAsia="zh-CN" w:bidi="ar-SA"/>
    </w:rPr>
  </w:style>
  <w:style w:type="character" w:customStyle="1" w:styleId="29">
    <w:name w:val="标题 3 Char1"/>
    <w:link w:val="3"/>
    <w:autoRedefine/>
    <w:qFormat/>
    <w:uiPriority w:val="9"/>
    <w:rPr>
      <w:rFonts w:ascii="宋体" w:hAnsi="宋体" w:eastAsia="宋体"/>
      <w:b/>
      <w:bCs/>
      <w:kern w:val="2"/>
      <w:sz w:val="28"/>
      <w:szCs w:val="32"/>
      <w:lang w:val="en-US" w:eastAsia="zh-CN" w:bidi="ar-SA"/>
    </w:rPr>
  </w:style>
  <w:style w:type="character" w:customStyle="1" w:styleId="30">
    <w:name w:val="标题 1 Char"/>
    <w:link w:val="2"/>
    <w:autoRedefine/>
    <w:qFormat/>
    <w:uiPriority w:val="0"/>
    <w:rPr>
      <w:rFonts w:ascii="宋体" w:hAnsi="宋体" w:eastAsia="黑体"/>
      <w:b/>
      <w:bCs/>
      <w:kern w:val="44"/>
      <w:sz w:val="28"/>
      <w:szCs w:val="44"/>
      <w:lang w:val="en-US" w:eastAsia="zh-CN" w:bidi="ar-SA"/>
    </w:rPr>
  </w:style>
  <w:style w:type="character" w:customStyle="1" w:styleId="31">
    <w:name w:val="标题 2 Char"/>
    <w:link w:val="5"/>
    <w:autoRedefine/>
    <w:qFormat/>
    <w:uiPriority w:val="0"/>
    <w:rPr>
      <w:rFonts w:ascii="宋体" w:hAnsi="宋体" w:eastAsia="宋体"/>
      <w:b/>
      <w:bCs/>
      <w:sz w:val="24"/>
      <w:lang w:val="en-US" w:eastAsia="zh-CN" w:bidi="ar-SA"/>
    </w:rPr>
  </w:style>
  <w:style w:type="character" w:customStyle="1" w:styleId="32">
    <w:name w:val="标题 3 Char"/>
    <w:autoRedefine/>
    <w:qFormat/>
    <w:uiPriority w:val="0"/>
    <w:rPr>
      <w:rFonts w:ascii="黑体" w:eastAsia="黑体"/>
      <w:bCs/>
      <w:sz w:val="30"/>
    </w:rPr>
  </w:style>
  <w:style w:type="paragraph" w:customStyle="1" w:styleId="33">
    <w:name w:val="彩色列表 - 强调文字颜色 111"/>
    <w:basedOn w:val="1"/>
    <w:autoRedefine/>
    <w:qFormat/>
    <w:uiPriority w:val="0"/>
    <w:pPr>
      <w:ind w:firstLine="420" w:firstLineChars="200"/>
    </w:pPr>
  </w:style>
  <w:style w:type="paragraph" w:customStyle="1" w:styleId="34">
    <w:name w:val="列出段落1"/>
    <w:basedOn w:val="1"/>
    <w:autoRedefine/>
    <w:qFormat/>
    <w:uiPriority w:val="0"/>
    <w:pPr>
      <w:ind w:firstLine="420" w:firstLineChars="200"/>
    </w:pPr>
    <w:rPr>
      <w:szCs w:val="21"/>
    </w:rPr>
  </w:style>
  <w:style w:type="paragraph" w:styleId="35">
    <w:name w:val="No Spacing"/>
    <w:qFormat/>
    <w:uiPriority w:val="1"/>
    <w:pPr>
      <w:widowControl w:val="0"/>
      <w:jc w:val="both"/>
    </w:pPr>
    <w:rPr>
      <w:rFonts w:ascii="Calibri" w:hAnsi="Calibri" w:eastAsia="宋体" w:cs="Times New Roman"/>
      <w:kern w:val="2"/>
      <w:sz w:val="21"/>
      <w:szCs w:val="22"/>
      <w:lang w:val="en-US" w:eastAsia="zh-CN" w:bidi="ar-SA"/>
    </w:rPr>
  </w:style>
  <w:style w:type="table" w:customStyle="1" w:styleId="36">
    <w:name w:val="Table Normal"/>
    <w:autoRedefine/>
    <w:semiHidden/>
    <w:unhideWhenUsed/>
    <w:qFormat/>
    <w:uiPriority w:val="0"/>
    <w:tblPr>
      <w:tblCellMar>
        <w:top w:w="0" w:type="dxa"/>
        <w:left w:w="0" w:type="dxa"/>
        <w:bottom w:w="0" w:type="dxa"/>
        <w:right w:w="0" w:type="dxa"/>
      </w:tblCellMar>
    </w:tblPr>
  </w:style>
  <w:style w:type="paragraph" w:customStyle="1" w:styleId="37">
    <w:name w:val="正文1"/>
    <w:qFormat/>
    <w:uiPriority w:val="0"/>
    <w:pPr>
      <w:jc w:val="both"/>
    </w:pPr>
    <w:rPr>
      <w:rFonts w:ascii="Calibri" w:hAnsi="Calibri" w:eastAsia="宋体" w:cs="Calibri"/>
      <w:kern w:val="2"/>
      <w:sz w:val="21"/>
      <w:szCs w:val="21"/>
      <w:lang w:val="en-US" w:eastAsia="zh-CN" w:bidi="ar-SA"/>
    </w:rPr>
  </w:style>
  <w:style w:type="paragraph" w:customStyle="1" w:styleId="38">
    <w:name w:val="p0"/>
    <w:basedOn w:val="1"/>
    <w:qFormat/>
    <w:uiPriority w:val="0"/>
    <w:pPr>
      <w:widowControl/>
    </w:pPr>
    <w:rPr>
      <w:kern w:val="0"/>
    </w:rPr>
  </w:style>
  <w:style w:type="table" w:customStyle="1" w:styleId="39">
    <w:name w:val="网格型1"/>
    <w:basedOn w:val="18"/>
    <w:autoRedefine/>
    <w:qFormat/>
    <w:uiPriority w:val="39"/>
    <w:pPr>
      <w:ind w:left="840" w:hanging="420"/>
      <w:jc w:val="both"/>
    </w:pPr>
    <w:rPr>
      <w:rFonts w:ascii="Calibri" w:hAnsi="Calibri"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189</Words>
  <Characters>219</Characters>
  <Lines>477</Lines>
  <Paragraphs>134</Paragraphs>
  <TotalTime>1</TotalTime>
  <ScaleCrop>false</ScaleCrop>
  <LinksUpToDate>false</LinksUpToDate>
  <CharactersWithSpaces>223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2022-04-21T03:28:00Z</dcterms:created>
  <dc:creator>hp</dc:creator>
  <cp:lastModifiedBy>WPS_1507534121</cp:lastModifiedBy>
  <dcterms:modified xsi:type="dcterms:W3CDTF">2025-12-22T08:07:34Z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B18C17EAE82A475BAEEA853850AA7ECA_13</vt:lpwstr>
  </property>
  <property fmtid="{D5CDD505-2E9C-101B-9397-08002B2CF9AE}" pid="4" name="KSOTemplateDocerSaveRecord">
    <vt:lpwstr>eyJoZGlkIjoiYzYwZGIyMmQ2Mjc4MjNhM2VhY2ZkNDJkOThhMDJmYTQiLCJ1c2VySWQiOiIzMzQ5MzMwOTYifQ==</vt:lpwstr>
  </property>
</Properties>
</file>