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CB32B">
      <w:pPr>
        <w:widowControl/>
        <w:spacing w:line="560" w:lineRule="exact"/>
        <w:jc w:val="center"/>
        <w:rPr>
          <w:rFonts w:hint="eastAsia" w:cs="微软雅黑" w:asciiTheme="minorEastAsia" w:hAnsiTheme="minorEastAsia" w:eastAsiaTheme="minorEastAsia"/>
          <w:b/>
          <w:bCs/>
          <w:sz w:val="44"/>
          <w:szCs w:val="44"/>
          <w:lang w:val="en-US" w:eastAsia="zh-CN"/>
        </w:rPr>
      </w:pPr>
      <w:bookmarkStart w:id="0" w:name="_Hlk22055263"/>
      <w:r>
        <w:rPr>
          <w:rFonts w:hint="eastAsia" w:cs="微软雅黑" w:asciiTheme="minorEastAsia" w:hAnsiTheme="minorEastAsia" w:eastAsiaTheme="minorEastAsia"/>
          <w:b/>
          <w:bCs/>
          <w:sz w:val="44"/>
          <w:szCs w:val="44"/>
          <w:lang w:val="en-US" w:eastAsia="zh-CN"/>
        </w:rPr>
        <w:t>污泥脱水干化系统螺旋输送机设备</w:t>
      </w:r>
    </w:p>
    <w:p w14:paraId="3C4C4620">
      <w:pPr>
        <w:widowControl/>
        <w:spacing w:line="560" w:lineRule="exact"/>
        <w:jc w:val="center"/>
        <w:rPr>
          <w:rFonts w:hint="eastAsia" w:cs="微软雅黑" w:asciiTheme="minorEastAsia" w:hAnsiTheme="minorEastAsia" w:eastAsiaTheme="minorEastAsia"/>
          <w:b/>
          <w:bCs/>
          <w:sz w:val="44"/>
          <w:szCs w:val="44"/>
        </w:rPr>
      </w:pPr>
      <w:r>
        <w:rPr>
          <w:rFonts w:hint="eastAsia" w:cs="微软雅黑" w:asciiTheme="minorEastAsia" w:hAnsiTheme="minorEastAsia" w:eastAsiaTheme="minorEastAsia"/>
          <w:b/>
          <w:bCs/>
          <w:sz w:val="44"/>
          <w:szCs w:val="44"/>
        </w:rPr>
        <w:t>采购</w:t>
      </w:r>
      <w:r>
        <w:rPr>
          <w:rFonts w:hint="eastAsia" w:cs="微软雅黑" w:asciiTheme="minorEastAsia" w:hAnsiTheme="minorEastAsia" w:eastAsiaTheme="minorEastAsia"/>
          <w:b/>
          <w:bCs/>
          <w:sz w:val="44"/>
          <w:szCs w:val="44"/>
          <w:lang w:val="en-US" w:eastAsia="zh-CN"/>
        </w:rPr>
        <w:t>项目</w:t>
      </w:r>
      <w:r>
        <w:rPr>
          <w:rFonts w:hint="eastAsia" w:cs="微软雅黑" w:asciiTheme="minorEastAsia" w:hAnsiTheme="minorEastAsia" w:eastAsiaTheme="minorEastAsia"/>
          <w:b/>
          <w:bCs/>
          <w:sz w:val="44"/>
          <w:szCs w:val="44"/>
        </w:rPr>
        <w:t>预询价公告</w:t>
      </w:r>
    </w:p>
    <w:p w14:paraId="00AEEC82">
      <w:pPr>
        <w:widowControl/>
        <w:adjustRightInd w:val="0"/>
        <w:snapToGrid w:val="0"/>
        <w:spacing w:line="560" w:lineRule="exact"/>
        <w:ind w:firstLine="640" w:firstLineChars="200"/>
        <w:jc w:val="left"/>
        <w:rPr>
          <w:rFonts w:cs="方正仿宋_GB2312" w:asciiTheme="minorEastAsia" w:hAnsiTheme="minorEastAsia" w:eastAsiaTheme="minorEastAsia"/>
          <w:sz w:val="32"/>
          <w:szCs w:val="32"/>
        </w:rPr>
      </w:pPr>
    </w:p>
    <w:p w14:paraId="101E1F40">
      <w:pPr>
        <w:widowControl/>
        <w:spacing w:line="560" w:lineRule="exact"/>
        <w:ind w:firstLine="480" w:firstLineChars="200"/>
        <w:jc w:val="lef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深圳市深水生态环境技术有限公司</w:t>
      </w:r>
      <w:bookmarkEnd w:id="0"/>
      <w:r>
        <w:rPr>
          <w:rFonts w:hint="eastAsia" w:cs="方正仿宋_GB2312" w:asciiTheme="minorEastAsia" w:hAnsiTheme="minorEastAsia" w:eastAsiaTheme="minorEastAsia"/>
          <w:sz w:val="24"/>
          <w:szCs w:val="24"/>
        </w:rPr>
        <w:t>就</w:t>
      </w:r>
      <w:r>
        <w:rPr>
          <w:rFonts w:hint="eastAsia" w:cs="方正仿宋_GB2312" w:asciiTheme="minorEastAsia" w:hAnsiTheme="minorEastAsia" w:eastAsiaTheme="minorEastAsia"/>
          <w:b w:val="0"/>
          <w:bCs w:val="0"/>
          <w:sz w:val="24"/>
          <w:szCs w:val="24"/>
          <w:lang w:val="en-US" w:eastAsia="zh-CN"/>
        </w:rPr>
        <w:t>污泥脱水干化系统螺旋输送机设备</w:t>
      </w:r>
      <w:r>
        <w:rPr>
          <w:rFonts w:hint="eastAsia" w:cs="方正仿宋_GB2312" w:asciiTheme="minorEastAsia" w:hAnsiTheme="minorEastAsia" w:eastAsiaTheme="minorEastAsia"/>
          <w:sz w:val="24"/>
          <w:szCs w:val="24"/>
        </w:rPr>
        <w:t>采购项目进行预询价，欢迎有意向的供应商提交预询价报价，有关事项如下：</w:t>
      </w:r>
    </w:p>
    <w:p w14:paraId="7F90A83F">
      <w:pPr>
        <w:pStyle w:val="4"/>
        <w:rPr>
          <w:rFonts w:cs="方正仿宋_GB2312" w:asciiTheme="minorEastAsia" w:hAnsiTheme="minorEastAsia" w:eastAsiaTheme="minorEastAsia"/>
          <w:sz w:val="24"/>
        </w:rPr>
      </w:pPr>
      <w:r>
        <w:rPr>
          <w:rFonts w:hint="eastAsia" w:cs="方正仿宋_GB2312" w:asciiTheme="minorEastAsia" w:hAnsiTheme="minorEastAsia" w:eastAsiaTheme="minorEastAsia"/>
          <w:sz w:val="24"/>
        </w:rPr>
        <w:t>预询价方</w:t>
      </w:r>
      <w:bookmarkStart w:id="1" w:name="_Hlk45207260"/>
      <w:r>
        <w:rPr>
          <w:rFonts w:hint="eastAsia" w:cs="方正仿宋_GB2312" w:asciiTheme="minorEastAsia" w:hAnsiTheme="minorEastAsia" w:eastAsiaTheme="minorEastAsia"/>
          <w:sz w:val="24"/>
        </w:rPr>
        <w:t>：深圳市深水生态环境技术有限公司</w:t>
      </w:r>
      <w:bookmarkEnd w:id="1"/>
    </w:p>
    <w:p w14:paraId="6B4AA6C0">
      <w:pPr>
        <w:pStyle w:val="4"/>
        <w:rPr>
          <w:rFonts w:cs="方正仿宋_GB2312" w:asciiTheme="minorEastAsia" w:hAnsiTheme="minorEastAsia" w:eastAsiaTheme="minorEastAsia"/>
          <w:sz w:val="24"/>
        </w:rPr>
      </w:pPr>
      <w:r>
        <w:rPr>
          <w:rFonts w:hint="eastAsia" w:cs="方正仿宋_GB2312" w:asciiTheme="minorEastAsia" w:hAnsiTheme="minorEastAsia" w:eastAsiaTheme="minorEastAsia"/>
          <w:sz w:val="24"/>
        </w:rPr>
        <w:t>项目名称：</w:t>
      </w:r>
      <w:r>
        <w:rPr>
          <w:rFonts w:hint="eastAsia" w:cs="方正仿宋_GB2312" w:asciiTheme="minorEastAsia" w:hAnsiTheme="minorEastAsia" w:eastAsiaTheme="minorEastAsia"/>
          <w:b w:val="0"/>
          <w:bCs w:val="0"/>
          <w:sz w:val="24"/>
          <w:szCs w:val="24"/>
          <w:lang w:val="en-US" w:eastAsia="zh-CN"/>
        </w:rPr>
        <w:t>污泥脱水干化系统螺旋输送机设备</w:t>
      </w:r>
      <w:r>
        <w:rPr>
          <w:rFonts w:hint="eastAsia" w:cs="方正仿宋_GB2312" w:asciiTheme="minorEastAsia" w:hAnsiTheme="minorEastAsia" w:eastAsiaTheme="minorEastAsia"/>
          <w:sz w:val="24"/>
          <w:szCs w:val="24"/>
        </w:rPr>
        <w:t>采购项目</w:t>
      </w:r>
    </w:p>
    <w:p w14:paraId="37D69DA7">
      <w:pPr>
        <w:pStyle w:val="4"/>
        <w:rPr>
          <w:rFonts w:asciiTheme="minorEastAsia" w:hAnsiTheme="minorEastAsia" w:eastAsiaTheme="minorEastAsia"/>
          <w:sz w:val="24"/>
        </w:rPr>
      </w:pPr>
      <w:r>
        <w:rPr>
          <w:rFonts w:hint="eastAsia" w:asciiTheme="minorEastAsia" w:hAnsiTheme="minorEastAsia" w:eastAsiaTheme="minorEastAsia"/>
          <w:sz w:val="24"/>
        </w:rPr>
        <w:t>报价人资格要求</w:t>
      </w:r>
    </w:p>
    <w:p w14:paraId="74E819E1">
      <w:pPr>
        <w:widowControl/>
        <w:snapToGrid/>
        <w:spacing w:line="560" w:lineRule="exact"/>
        <w:ind w:firstLineChars="200"/>
        <w:jc w:val="left"/>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kern w:val="2"/>
          <w:sz w:val="24"/>
          <w:szCs w:val="24"/>
          <w:lang w:val="en-US" w:eastAsia="zh-CN" w:bidi="ar"/>
        </w:rPr>
        <w:t>投标人应是在中国境内（不包括香港、澳门、台湾地区）合法注册并具有独立法人资格的企业</w:t>
      </w:r>
      <w:r>
        <w:rPr>
          <w:rFonts w:hint="eastAsia" w:cs="方正仿宋_GB2312" w:asciiTheme="minorEastAsia" w:hAnsiTheme="minorEastAsia" w:eastAsiaTheme="minorEastAsia"/>
          <w:b w:val="0"/>
          <w:bCs w:val="0"/>
          <w:sz w:val="24"/>
          <w:szCs w:val="24"/>
          <w:lang w:eastAsia="zh-CN"/>
        </w:rPr>
        <w:t>（</w:t>
      </w:r>
      <w:r>
        <w:rPr>
          <w:rFonts w:hint="eastAsia" w:cs="方正仿宋_GB2312" w:asciiTheme="minorEastAsia" w:hAnsiTheme="minorEastAsia" w:eastAsiaTheme="minorEastAsia"/>
          <w:b w:val="0"/>
          <w:bCs w:val="0"/>
          <w:sz w:val="24"/>
          <w:szCs w:val="24"/>
          <w:lang w:val="en-US" w:eastAsia="zh-CN"/>
        </w:rPr>
        <w:t>提供营业执照复印件并加盖公章）</w:t>
      </w:r>
      <w:r>
        <w:rPr>
          <w:rFonts w:hint="eastAsia" w:cs="方正仿宋_GB2312" w:asciiTheme="minorEastAsia" w:hAnsiTheme="minorEastAsia" w:eastAsiaTheme="minorEastAsia"/>
          <w:sz w:val="24"/>
          <w:szCs w:val="24"/>
          <w:lang w:val="en-US" w:eastAsia="zh-CN"/>
        </w:rPr>
        <w:t>；</w:t>
      </w:r>
    </w:p>
    <w:p w14:paraId="1BC8E244">
      <w:pPr>
        <w:widowControl/>
        <w:snapToGrid/>
        <w:spacing w:line="560" w:lineRule="exact"/>
        <w:ind w:firstLineChars="200"/>
        <w:jc w:val="left"/>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b w:val="0"/>
          <w:bCs w:val="0"/>
          <w:sz w:val="24"/>
          <w:szCs w:val="24"/>
          <w:lang w:val="en-US" w:eastAsia="zh-CN"/>
        </w:rPr>
        <w:t>2.</w:t>
      </w:r>
      <w:r>
        <w:rPr>
          <w:rFonts w:hint="eastAsia" w:cs="方正仿宋_GB2312" w:asciiTheme="minorEastAsia" w:hAnsiTheme="minorEastAsia" w:eastAsiaTheme="minorEastAsia"/>
          <w:sz w:val="24"/>
          <w:szCs w:val="24"/>
          <w:lang w:val="en-US" w:eastAsia="zh-CN"/>
        </w:rPr>
        <w:t>本项目不允许联合体投标，不允许转包、分包。</w:t>
      </w:r>
    </w:p>
    <w:p w14:paraId="1C0D6BD4">
      <w:pPr>
        <w:pStyle w:val="4"/>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采购需求</w:t>
      </w:r>
    </w:p>
    <w:p w14:paraId="2B776278">
      <w:pPr>
        <w:pStyle w:val="4"/>
        <w:numPr>
          <w:ilvl w:val="-1"/>
          <w:numId w:val="0"/>
        </w:numPr>
        <w:ind w:left="400" w:firstLine="0" w:firstLineChars="0"/>
        <w:rPr>
          <w:rFonts w:ascii="宋体" w:hAnsi="宋体" w:eastAsia="宋体" w:cs="宋体"/>
          <w:sz w:val="21"/>
          <w:szCs w:val="21"/>
        </w:rPr>
      </w:pPr>
      <w:r>
        <w:rPr>
          <w:rFonts w:hint="eastAsia" w:cs="方正仿宋_GB2312" w:asciiTheme="minorEastAsia" w:hAnsiTheme="minorEastAsia" w:eastAsiaTheme="minorEastAsia"/>
          <w:sz w:val="24"/>
          <w:szCs w:val="24"/>
          <w:lang w:bidi="ar-SA"/>
        </w:rPr>
        <w:t>本次采购为螺旋输送机供货、指导安装、调试、配合试运行。本次采购除供应螺旋输送机本体以外，还应包含其驱动、保护等</w:t>
      </w:r>
      <w:r>
        <w:rPr>
          <w:rFonts w:hint="eastAsia" w:cs="方正仿宋_GB2312" w:asciiTheme="minorEastAsia" w:hAnsiTheme="minorEastAsia" w:eastAsiaTheme="minorEastAsia"/>
          <w:sz w:val="24"/>
          <w:szCs w:val="24"/>
          <w:lang w:eastAsia="zh-CN" w:bidi="ar-SA"/>
        </w:rPr>
        <w:t>（</w:t>
      </w:r>
      <w:r>
        <w:rPr>
          <w:rFonts w:hint="eastAsia" w:cs="方正仿宋_GB2312" w:asciiTheme="minorEastAsia" w:hAnsiTheme="minorEastAsia" w:eastAsiaTheme="minorEastAsia"/>
          <w:sz w:val="24"/>
          <w:szCs w:val="24"/>
          <w:lang w:val="en-US" w:eastAsia="zh-CN" w:bidi="ar-SA"/>
        </w:rPr>
        <w:t>不含电控柜</w:t>
      </w:r>
      <w:r>
        <w:rPr>
          <w:rFonts w:hint="eastAsia" w:cs="方正仿宋_GB2312" w:asciiTheme="minorEastAsia" w:hAnsiTheme="minorEastAsia" w:eastAsiaTheme="minorEastAsia"/>
          <w:sz w:val="24"/>
          <w:szCs w:val="24"/>
          <w:lang w:eastAsia="zh-CN" w:bidi="ar-SA"/>
        </w:rPr>
        <w:t>）</w:t>
      </w:r>
      <w:r>
        <w:rPr>
          <w:rFonts w:hint="eastAsia" w:cs="方正仿宋_GB2312" w:asciiTheme="minorEastAsia" w:hAnsiTheme="minorEastAsia" w:eastAsiaTheme="minorEastAsia"/>
          <w:sz w:val="24"/>
          <w:szCs w:val="24"/>
          <w:lang w:bidi="ar-SA"/>
        </w:rPr>
        <w:t>，含安装所需的紧固件（预埋地脚螺栓、螺母、垫圈等）及备品备件等。设备用油需注满</w:t>
      </w:r>
      <w:r>
        <w:rPr>
          <w:rFonts w:hint="eastAsia" w:cs="方正仿宋_GB2312" w:asciiTheme="minorEastAsia" w:hAnsiTheme="minorEastAsia" w:eastAsiaTheme="minorEastAsia"/>
          <w:sz w:val="24"/>
          <w:szCs w:val="24"/>
          <w:lang w:eastAsia="zh-CN" w:bidi="ar-SA"/>
        </w:rPr>
        <w:t>。</w:t>
      </w:r>
    </w:p>
    <w:p w14:paraId="251C3A42">
      <w:pPr>
        <w:pStyle w:val="4"/>
        <w:rPr>
          <w:rFonts w:asciiTheme="minorEastAsia" w:hAnsiTheme="minorEastAsia" w:eastAsiaTheme="minorEastAsia"/>
          <w:sz w:val="24"/>
        </w:rPr>
      </w:pPr>
      <w:r>
        <w:rPr>
          <w:rFonts w:hint="eastAsia" w:asciiTheme="minorEastAsia" w:hAnsiTheme="minorEastAsia" w:eastAsiaTheme="minorEastAsia"/>
          <w:sz w:val="24"/>
        </w:rPr>
        <w:t>商务要求</w:t>
      </w:r>
    </w:p>
    <w:p w14:paraId="6CBC2E77">
      <w:pPr>
        <w:pStyle w:val="2"/>
        <w:snapToGrid w:val="0"/>
        <w:spacing w:line="560" w:lineRule="exact"/>
        <w:ind w:left="0" w:leftChars="0" w:firstLine="480"/>
        <w:rPr>
          <w:rFonts w:hint="eastAsia" w:cs="方正仿宋_GB2312" w:asciiTheme="minorEastAsia" w:hAnsiTheme="minorEastAsia" w:eastAsiaTheme="minorEastAsia"/>
          <w:bCs w:val="0"/>
          <w:sz w:val="24"/>
          <w:szCs w:val="24"/>
          <w:lang w:val="en-US" w:eastAsia="zh-CN"/>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bCs w:val="0"/>
          <w:sz w:val="24"/>
          <w:szCs w:val="24"/>
          <w:lang w:val="en-US" w:eastAsia="zh-CN"/>
        </w:rPr>
        <w:t>工期要求</w:t>
      </w:r>
    </w:p>
    <w:p w14:paraId="0454FC54">
      <w:pPr>
        <w:pStyle w:val="2"/>
        <w:snapToGrid w:val="0"/>
        <w:spacing w:after="0" w:line="560" w:lineRule="exact"/>
        <w:ind w:left="0" w:leftChars="0" w:firstLine="480"/>
        <w:rPr>
          <w:rFonts w:hint="eastAsia" w:cs="方正仿宋_GB2312" w:asciiTheme="minorEastAsia" w:hAnsiTheme="minorEastAsia" w:eastAsiaTheme="minorEastAsia"/>
          <w:bCs w:val="0"/>
          <w:color w:val="auto"/>
          <w:sz w:val="24"/>
          <w:szCs w:val="24"/>
          <w:highlight w:val="none"/>
        </w:rPr>
      </w:pPr>
      <w:r>
        <w:rPr>
          <w:rFonts w:hint="eastAsia" w:cs="方正仿宋_GB2312" w:asciiTheme="minorEastAsia" w:hAnsiTheme="minorEastAsia" w:eastAsiaTheme="minorEastAsia"/>
          <w:bCs w:val="0"/>
          <w:sz w:val="24"/>
          <w:szCs w:val="24"/>
          <w:lang w:val="en-US" w:eastAsia="zh-CN"/>
        </w:rPr>
        <w:t>（1）工期要求</w:t>
      </w:r>
      <w:r>
        <w:rPr>
          <w:rFonts w:hint="eastAsia" w:cs="方正仿宋_GB2312" w:asciiTheme="minorEastAsia" w:hAnsiTheme="minorEastAsia" w:eastAsiaTheme="minorEastAsia"/>
          <w:bCs w:val="0"/>
          <w:sz w:val="24"/>
          <w:szCs w:val="24"/>
        </w:rPr>
        <w:t>：</w:t>
      </w:r>
      <w:r>
        <w:rPr>
          <w:rFonts w:hint="eastAsia" w:cs="方正仿宋_GB2312" w:asciiTheme="minorEastAsia" w:hAnsiTheme="minorEastAsia" w:eastAsiaTheme="minorEastAsia"/>
          <w:color w:val="auto"/>
          <w:sz w:val="24"/>
          <w:szCs w:val="24"/>
          <w:highlight w:val="none"/>
        </w:rPr>
        <w:t>在中标通知书发出后，</w:t>
      </w:r>
      <w:r>
        <w:rPr>
          <w:rFonts w:hint="eastAsia" w:cs="方正仿宋_GB2312" w:asciiTheme="minorEastAsia" w:hAnsiTheme="minorEastAsia" w:eastAsiaTheme="minorEastAsia"/>
          <w:color w:val="auto"/>
          <w:sz w:val="24"/>
          <w:szCs w:val="24"/>
          <w:highlight w:val="none"/>
          <w:lang w:val="en-US" w:eastAsia="zh-CN"/>
        </w:rPr>
        <w:t>90</w:t>
      </w:r>
      <w:r>
        <w:rPr>
          <w:rFonts w:hint="eastAsia" w:cs="方正仿宋_GB2312" w:asciiTheme="minorEastAsia" w:hAnsiTheme="minorEastAsia" w:eastAsiaTheme="minorEastAsia"/>
          <w:color w:val="auto"/>
          <w:sz w:val="24"/>
          <w:szCs w:val="24"/>
          <w:highlight w:val="none"/>
        </w:rPr>
        <w:t>日历天内完成供货。中标方应根据发包方的进度要求，并在遵守进度要求的前提下，按最有利的情况来制定其工作计划表。（以上时间均为日历天），乙方必须无条件满足在新的交货期内全部货到甲方指定地点，不得以此为由向甲方索赔任何延期供货费用）。</w:t>
      </w:r>
    </w:p>
    <w:p w14:paraId="62E7DBEA">
      <w:pPr>
        <w:pStyle w:val="2"/>
        <w:snapToGrid w:val="0"/>
        <w:spacing w:after="0" w:line="560" w:lineRule="exact"/>
        <w:ind w:left="0" w:leftChars="0" w:firstLine="480"/>
        <w:rPr>
          <w:rFonts w:hint="eastAsia" w:cs="方正仿宋_GB2312" w:asciiTheme="minorEastAsia" w:hAnsiTheme="minorEastAsia" w:eastAsiaTheme="minorEastAsia"/>
          <w:bCs w:val="0"/>
          <w:sz w:val="24"/>
          <w:szCs w:val="24"/>
        </w:rPr>
      </w:pP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bCs w:val="0"/>
          <w:sz w:val="24"/>
          <w:szCs w:val="24"/>
          <w:lang w:val="en-US" w:eastAsia="zh-CN"/>
        </w:rPr>
        <w:t>2</w:t>
      </w: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bCs w:val="0"/>
          <w:sz w:val="24"/>
          <w:szCs w:val="24"/>
        </w:rPr>
        <w:t>地点：乙方应将所有合同设备全部运抵至甲方指定地点。</w:t>
      </w:r>
    </w:p>
    <w:p w14:paraId="3E5076E3">
      <w:pPr>
        <w:pStyle w:val="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bCs w:val="0"/>
          <w:sz w:val="24"/>
          <w:szCs w:val="24"/>
          <w:lang w:val="en-US" w:eastAsia="zh-CN"/>
        </w:rPr>
        <w:t>3</w:t>
      </w: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sz w:val="24"/>
          <w:szCs w:val="24"/>
        </w:rPr>
        <w:t>甲方提前7天通知乙方送货时间，乙方在通知的时间内将合同设备送达现场并由</w:t>
      </w:r>
      <w:r>
        <w:rPr>
          <w:rFonts w:hint="eastAsia" w:cs="方正仿宋_GB2312" w:asciiTheme="minorEastAsia" w:hAnsiTheme="minorEastAsia" w:eastAsiaTheme="minorEastAsia"/>
          <w:sz w:val="24"/>
          <w:szCs w:val="24"/>
          <w:lang w:val="en-US" w:eastAsia="zh-CN"/>
        </w:rPr>
        <w:t>甲</w:t>
      </w:r>
      <w:r>
        <w:rPr>
          <w:rFonts w:hint="eastAsia" w:cs="方正仿宋_GB2312" w:asciiTheme="minorEastAsia" w:hAnsiTheme="minorEastAsia" w:eastAsiaTheme="minorEastAsia"/>
          <w:sz w:val="24"/>
          <w:szCs w:val="24"/>
        </w:rPr>
        <w:t>方负责</w:t>
      </w:r>
      <w:r>
        <w:rPr>
          <w:rFonts w:hint="eastAsia" w:cs="方正仿宋_GB2312" w:asciiTheme="minorEastAsia" w:hAnsiTheme="minorEastAsia" w:eastAsiaTheme="minorEastAsia"/>
          <w:sz w:val="24"/>
          <w:szCs w:val="24"/>
          <w:lang w:val="en-US" w:eastAsia="zh-CN"/>
        </w:rPr>
        <w:t>统一</w:t>
      </w:r>
      <w:r>
        <w:rPr>
          <w:rFonts w:hint="eastAsia" w:cs="方正仿宋_GB2312" w:asciiTheme="minorEastAsia" w:hAnsiTheme="minorEastAsia" w:eastAsiaTheme="minorEastAsia"/>
          <w:sz w:val="24"/>
          <w:szCs w:val="24"/>
        </w:rPr>
        <w:t>吊装及完成安装。</w:t>
      </w:r>
    </w:p>
    <w:p w14:paraId="5E9AD3BB">
      <w:pPr>
        <w:pStyle w:val="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4）涉及到有土建预留、预埋要求的设备，乙方应在合同签订后1周内提供经乙方技术人员签字盖章确认的基础图、预留孔洞图和安装图，同时乙方有义务派遣技术人员对总包单位、土建单位、安装单位进行技术交底。乙方所供设备自带的预埋件必须在结构施工中埋入的，应列出清单并在合同签订后1周内发给甲方，并负责现场配合甲方指导土建单位、安装单位施工。预埋件发货时间以甲方要求为准。</w:t>
      </w:r>
    </w:p>
    <w:p w14:paraId="4476187F">
      <w:pPr>
        <w:pStyle w:val="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5）乙方负责运输和保险，将货物运抵交货地点。有关运输、保险和</w:t>
      </w:r>
      <w:r>
        <w:rPr>
          <w:rFonts w:hint="eastAsia" w:cs="方正仿宋_GB2312" w:asciiTheme="minorEastAsia" w:hAnsiTheme="minorEastAsia" w:eastAsiaTheme="minorEastAsia"/>
          <w:sz w:val="24"/>
          <w:szCs w:val="24"/>
          <w:lang w:val="en-US" w:eastAsia="zh-CN"/>
        </w:rPr>
        <w:t>装车</w:t>
      </w:r>
      <w:r>
        <w:rPr>
          <w:rFonts w:hint="eastAsia" w:cs="方正仿宋_GB2312" w:asciiTheme="minorEastAsia" w:hAnsiTheme="minorEastAsia" w:eastAsiaTheme="minorEastAsia"/>
          <w:sz w:val="24"/>
          <w:szCs w:val="24"/>
        </w:rPr>
        <w:t>等一切的费用由乙方承担</w:t>
      </w: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货物运抵项目现场移交后的保险责任由甲方负责；如乙方负责</w:t>
      </w:r>
      <w:r>
        <w:rPr>
          <w:rFonts w:hint="eastAsia" w:cs="方正仿宋_GB2312" w:asciiTheme="minorEastAsia" w:hAnsiTheme="minorEastAsia" w:eastAsiaTheme="minorEastAsia"/>
          <w:sz w:val="24"/>
          <w:szCs w:val="24"/>
          <w:lang w:val="en-US" w:eastAsia="zh-CN"/>
        </w:rPr>
        <w:t>现场指导</w:t>
      </w:r>
      <w:r>
        <w:rPr>
          <w:rFonts w:hint="eastAsia" w:cs="方正仿宋_GB2312" w:asciiTheme="minorEastAsia" w:hAnsiTheme="minorEastAsia" w:eastAsiaTheme="minorEastAsia"/>
          <w:sz w:val="24"/>
          <w:szCs w:val="24"/>
        </w:rPr>
        <w:t>安装的，则货物运抵现场移交后的保险责任仍由乙方负责。</w:t>
      </w:r>
    </w:p>
    <w:p w14:paraId="6D447332">
      <w:pPr>
        <w:pStyle w:val="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6）合同设备交货时，乙方应提供设备的全套资料（每套设备一份），包括但不限于下述文件：装箱单（包含交货设备清单、数量、品牌、规格型号、尺寸、重量等）、产品合格证、出厂检测报告、图纸、说明书、设备操作保养和维护手册等招标文件、项目需求中要求提交的资料。进口设备还须提交报关单、商检证明、原产地证明以及图文资料的中文译本。</w:t>
      </w:r>
    </w:p>
    <w:p w14:paraId="5234D31C">
      <w:pPr>
        <w:pStyle w:val="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7）乙方人员应经过必要的安全教育和安全交底，合同有效期内进入甲方现场时应遵守国家、深圳市及甲方有关安全及文明施工的规定，乙方必须为其工作人员配备相关安全防护用品，如非因甲方原因，乙方人员、设备等受到损害的，其责任由乙方自行承担。</w:t>
      </w:r>
    </w:p>
    <w:p w14:paraId="26CA3BAB">
      <w:pPr>
        <w:pStyle w:val="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8）在货物交付甲方使用前，货物的所有风险概由乙方承担。</w:t>
      </w:r>
    </w:p>
    <w:p w14:paraId="4F9340C8">
      <w:pPr>
        <w:pStyle w:val="2"/>
        <w:snapToGrid w:val="0"/>
        <w:spacing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2</w:t>
      </w:r>
      <w:r>
        <w:rPr>
          <w:rFonts w:hint="eastAsia" w:cs="方正仿宋_GB2312" w:asciiTheme="minorEastAsia" w:hAnsiTheme="minorEastAsia" w:eastAsiaTheme="minorEastAsia"/>
          <w:sz w:val="24"/>
          <w:szCs w:val="24"/>
        </w:rPr>
        <w:t>.付款方式</w:t>
      </w:r>
    </w:p>
    <w:p w14:paraId="6C788DAE">
      <w:pPr>
        <w:spacing w:line="360" w:lineRule="auto"/>
        <w:ind w:firstLine="480" w:firstLineChars="200"/>
        <w:jc w:val="left"/>
        <w:rPr>
          <w:rFonts w:hint="eastAsia" w:asciiTheme="minorEastAsia" w:hAnsiTheme="minorEastAsia" w:eastAsiaTheme="minorEastAsia" w:cstheme="minorEastAsia"/>
          <w:sz w:val="24"/>
          <w:szCs w:val="24"/>
        </w:rPr>
      </w:pPr>
      <w:bookmarkStart w:id="2" w:name="_Hlk127981952"/>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预付款：</w:t>
      </w:r>
      <w:r>
        <w:rPr>
          <w:rFonts w:hint="eastAsia" w:asciiTheme="minorEastAsia" w:hAnsiTheme="minorEastAsia" w:eastAsiaTheme="minorEastAsia" w:cstheme="minorEastAsia"/>
          <w:sz w:val="24"/>
          <w:szCs w:val="24"/>
        </w:rPr>
        <w:t>采购合同签订后，招标人在收到</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标人的付款申请后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标人支付合同内总价的30%作为预付款；</w:t>
      </w:r>
    </w:p>
    <w:p w14:paraId="5AFD1553">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到货款：</w:t>
      </w:r>
      <w:r>
        <w:rPr>
          <w:rFonts w:hint="eastAsia" w:asciiTheme="minorEastAsia" w:hAnsiTheme="minorEastAsia" w:eastAsiaTheme="minorEastAsia" w:cstheme="minorEastAsia"/>
          <w:sz w:val="24"/>
          <w:szCs w:val="24"/>
        </w:rPr>
        <w:t>合同内全部货物发到现场，经招标人验收合格后并出具验收合格报告后，内向</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标人支付合同总价的</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0%作为到货验收款；</w:t>
      </w:r>
    </w:p>
    <w:p w14:paraId="2463EF7B">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3）待合同货物全部安装及调试改造完成，经招标人验收合格后并出具验收合格报告后，招标人在收到投标人的付款申请后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标人支付合同内货物总价的</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5%作为验收款；</w:t>
      </w:r>
    </w:p>
    <w:p w14:paraId="1B182796">
      <w:pPr>
        <w:widowControl/>
        <w:adjustRightInd/>
        <w:snapToGrid/>
        <w:spacing w:line="360" w:lineRule="auto"/>
        <w:ind w:firstLineChars="200"/>
        <w:jc w:val="left"/>
        <w:textAlignment w:val="auto"/>
        <w:rPr>
          <w:rFonts w:hint="eastAsia"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4）合同内货物总价的剩余5%作为质保金，自验收合格之日起正常运转至质保期满后，经验收单位确认已完成维保任务并办理相关手续后支付</w:t>
      </w:r>
      <w:r>
        <w:rPr>
          <w:rFonts w:hint="eastAsia" w:asciiTheme="minorEastAsia" w:hAnsiTheme="minorEastAsia" w:eastAsiaTheme="minorEastAsia" w:cstheme="minorEastAsia"/>
          <w:sz w:val="24"/>
          <w:szCs w:val="24"/>
          <w:lang w:eastAsia="zh-CN"/>
        </w:rPr>
        <w:t>。</w:t>
      </w:r>
      <w:bookmarkEnd w:id="2"/>
    </w:p>
    <w:p w14:paraId="55E4ECC7">
      <w:pPr>
        <w:pStyle w:val="2"/>
        <w:snapToGrid w:val="0"/>
        <w:spacing w:line="560" w:lineRule="exact"/>
        <w:ind w:left="0" w:leftChars="0" w:firstLine="480"/>
        <w:rPr>
          <w:rFonts w:hint="eastAsia" w:cs="方正仿宋_GB2312" w:asciiTheme="minorEastAsia" w:hAnsiTheme="minorEastAsia" w:eastAsiaTheme="minorEastAsia"/>
          <w:color w:val="auto"/>
          <w:sz w:val="24"/>
          <w:szCs w:val="24"/>
        </w:rPr>
      </w:pPr>
      <w:r>
        <w:rPr>
          <w:rFonts w:hint="eastAsia" w:cs="方正仿宋_GB2312" w:asciiTheme="minorEastAsia" w:hAnsiTheme="minorEastAsia" w:eastAsiaTheme="minorEastAsia"/>
          <w:sz w:val="24"/>
          <w:szCs w:val="24"/>
          <w:lang w:val="en-US" w:eastAsia="zh-CN"/>
        </w:rPr>
        <w:t>3</w:t>
      </w:r>
      <w:r>
        <w:rPr>
          <w:rFonts w:hint="eastAsia" w:cs="方正仿宋_GB2312" w:asciiTheme="minorEastAsia" w:hAnsiTheme="minorEastAsia" w:eastAsiaTheme="minorEastAsia"/>
          <w:sz w:val="24"/>
          <w:szCs w:val="24"/>
        </w:rPr>
        <w:t>.</w:t>
      </w:r>
      <w:r>
        <w:rPr>
          <w:rFonts w:hint="eastAsia" w:cs="方正仿宋_GB2312" w:asciiTheme="minorEastAsia" w:hAnsiTheme="minorEastAsia" w:eastAsiaTheme="minorEastAsia"/>
          <w:color w:val="auto"/>
          <w:sz w:val="24"/>
          <w:szCs w:val="24"/>
        </w:rPr>
        <w:t>验收要求</w:t>
      </w:r>
    </w:p>
    <w:p w14:paraId="7D1C702B">
      <w:pPr>
        <w:spacing w:line="360" w:lineRule="auto"/>
        <w:ind w:firstLine="480" w:firstLineChars="200"/>
        <w:jc w:val="left"/>
        <w:rPr>
          <w:rFonts w:hint="eastAsia" w:asciiTheme="minorEastAsia" w:hAnsiTheme="minorEastAsia" w:eastAsiaTheme="minorEastAsia" w:cstheme="minorEastAsia"/>
          <w:bCs/>
          <w:color w:val="auto"/>
          <w:sz w:val="24"/>
          <w:szCs w:val="24"/>
        </w:rPr>
      </w:pPr>
      <w:bookmarkStart w:id="3" w:name="_Hlk128381732"/>
      <w:r>
        <w:rPr>
          <w:rFonts w:hint="eastAsia" w:asciiTheme="minorEastAsia" w:hAnsiTheme="minorEastAsia" w:eastAsiaTheme="minorEastAsia" w:cstheme="minorEastAsia"/>
          <w:b w:val="0"/>
          <w:bCs/>
          <w:strike w:val="0"/>
          <w:dstrike w:val="0"/>
          <w:color w:val="auto"/>
          <w:kern w:val="2"/>
          <w:sz w:val="24"/>
          <w:szCs w:val="24"/>
          <w:lang w:val="en-US" w:eastAsia="zh-CN"/>
        </w:rPr>
        <w:t>（1）</w:t>
      </w:r>
      <w:r>
        <w:rPr>
          <w:rFonts w:hint="eastAsia" w:asciiTheme="minorEastAsia" w:hAnsiTheme="minorEastAsia" w:eastAsiaTheme="minorEastAsia" w:cstheme="minorEastAsia"/>
          <w:bCs/>
          <w:color w:val="auto"/>
          <w:sz w:val="24"/>
          <w:szCs w:val="24"/>
        </w:rPr>
        <w:t>质量标准符合国家、行业标准。</w:t>
      </w:r>
      <w:bookmarkStart w:id="4" w:name="_Hlk128382782"/>
      <w:bookmarkStart w:id="5" w:name="_Hlk128382902"/>
      <w:r>
        <w:rPr>
          <w:rFonts w:hint="eastAsia" w:asciiTheme="minorEastAsia" w:hAnsiTheme="minorEastAsia" w:eastAsiaTheme="minorEastAsia" w:cstheme="minorEastAsia"/>
          <w:bCs/>
          <w:color w:val="auto"/>
          <w:sz w:val="24"/>
          <w:szCs w:val="24"/>
        </w:rPr>
        <w:t>凡属于国家规定强制检测的设备项目，都必须具备计量质检部门的检测合格证</w:t>
      </w:r>
      <w:bookmarkEnd w:id="4"/>
      <w:r>
        <w:rPr>
          <w:rFonts w:hint="eastAsia" w:asciiTheme="minorEastAsia" w:hAnsiTheme="minorEastAsia" w:eastAsiaTheme="minorEastAsia" w:cstheme="minorEastAsia"/>
          <w:bCs/>
          <w:color w:val="auto"/>
          <w:sz w:val="24"/>
          <w:szCs w:val="24"/>
        </w:rPr>
        <w:t>。</w:t>
      </w:r>
    </w:p>
    <w:bookmarkEnd w:id="5"/>
    <w:p w14:paraId="11453D82">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2）货物是原厂出产的、全新的、未使用过的、并保证所提供清单内设备的规格尺寸与数量完全相匹配。</w:t>
      </w:r>
    </w:p>
    <w:p w14:paraId="7CFDF304">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3</w:t>
      </w:r>
      <w:bookmarkStart w:id="6" w:name="_Hlk128382927"/>
      <w:r>
        <w:rPr>
          <w:rFonts w:hint="eastAsia" w:asciiTheme="minorEastAsia" w:hAnsiTheme="minorEastAsia" w:eastAsiaTheme="minorEastAsia" w:cstheme="minorEastAsia"/>
          <w:bCs/>
          <w:color w:val="auto"/>
          <w:sz w:val="24"/>
          <w:szCs w:val="24"/>
        </w:rPr>
        <w:t>）所有合同设备均应在安装后按照技术规范要求进行调试，以证明其适用性和保证值，若有不符合技术性能要求的情况，甲方拒绝验收。</w:t>
      </w:r>
      <w:bookmarkEnd w:id="6"/>
    </w:p>
    <w:p w14:paraId="1C9C0C01">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4</w:t>
      </w:r>
      <w:bookmarkStart w:id="7" w:name="_Hlk128382940"/>
      <w:r>
        <w:rPr>
          <w:rFonts w:hint="eastAsia" w:asciiTheme="minorEastAsia" w:hAnsiTheme="minorEastAsia" w:eastAsiaTheme="minorEastAsia" w:cstheme="minorEastAsia"/>
          <w:bCs/>
          <w:color w:val="auto"/>
          <w:sz w:val="24"/>
          <w:szCs w:val="24"/>
        </w:rPr>
        <w:t>）乙方已按照合同规定提供了全部产品及完整的技术资料（如出厂检测报告、产品合格证和安装图纸等）。</w:t>
      </w:r>
      <w:bookmarkEnd w:id="7"/>
    </w:p>
    <w:p w14:paraId="66E99642">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5</w:t>
      </w:r>
      <w:bookmarkStart w:id="8" w:name="_Hlk128382957"/>
      <w:r>
        <w:rPr>
          <w:rFonts w:hint="eastAsia" w:asciiTheme="minorEastAsia" w:hAnsiTheme="minorEastAsia" w:eastAsiaTheme="minorEastAsia" w:cstheme="minorEastAsia"/>
          <w:bCs/>
          <w:color w:val="auto"/>
          <w:sz w:val="24"/>
          <w:szCs w:val="24"/>
        </w:rPr>
        <w:t>）产品符合招标文件相关使用要求，性能满足技术要求。设备的性能应符合技术规格要求指标及投标人应答文件中承诺的技术指标。</w:t>
      </w:r>
      <w:bookmarkEnd w:id="8"/>
    </w:p>
    <w:p w14:paraId="6D7951F2">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6）</w:t>
      </w:r>
      <w:bookmarkStart w:id="9" w:name="_Hlk128382842"/>
      <w:r>
        <w:rPr>
          <w:rFonts w:hint="eastAsia" w:asciiTheme="minorEastAsia" w:hAnsiTheme="minorEastAsia" w:eastAsiaTheme="minorEastAsia" w:cstheme="minorEastAsia"/>
          <w:bCs/>
          <w:color w:val="auto"/>
          <w:sz w:val="24"/>
          <w:szCs w:val="24"/>
        </w:rPr>
        <w:t>性能测试和试运行验收时出现的问题已被解决。</w:t>
      </w:r>
      <w:bookmarkEnd w:id="9"/>
    </w:p>
    <w:p w14:paraId="37A106D8">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7）性能试验不得少于3次，每次试验间隔时间≥30min，试验前应测定样机的主要技术参数。</w:t>
      </w:r>
    </w:p>
    <w:p w14:paraId="648C044A">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8）选用的材料和外购件、不锈钢紧固件、铸件、变频电动机的检测按前文的规定进行；电气控制装置的测试按GB/T 5226.1的规定进行；焊接件按JB/T 5943的规定检测。</w:t>
      </w:r>
    </w:p>
    <w:p w14:paraId="45ABAAD8">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9）试验样机应按使用说明书要求进行安装，并调整到正常工作状态。试验时喂入量应控制在达到额定生产率要求的范围内，且试验用物料应是该螺旋输送机正常工作时输送的物料。试验用仪器、仪表应检定合格。</w:t>
      </w:r>
    </w:p>
    <w:p w14:paraId="3CF8D034">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10） 涂漆质量检查：按JB/T 5673的要求检测漆膜附着力，用涂层测厚仪测定漆膜厚度，用直尺和目测检查涂漆外观质量。</w:t>
      </w:r>
    </w:p>
    <w:p w14:paraId="36E9925E">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11） 输送螺旋检查：按前文要求逐项检查，用千分尺检测螺旋叶片（碾轧成形的螺旋叶片以测量距轴表面1/5叶片宽度处为准）的厚度。</w:t>
      </w:r>
    </w:p>
    <w:p w14:paraId="568830AE">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12） 壳体检查：按前文要求逐项检查，用长度1m的钢板尺检测机壳表面的直线度和凹陷变形量。</w:t>
      </w:r>
    </w:p>
    <w:p w14:paraId="15DA0075">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13） 安全检查</w:t>
      </w:r>
    </w:p>
    <w:p w14:paraId="74CFCC9B">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按前文要求逐项检查，用兆欧表测定绝缘电阻。</w:t>
      </w:r>
    </w:p>
    <w:p w14:paraId="5F72D994">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14） 装配质量检查：</w:t>
      </w:r>
    </w:p>
    <w:p w14:paraId="20BF7D31">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A）装配件应牢固；</w:t>
      </w:r>
    </w:p>
    <w:p w14:paraId="161590AB">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B）拆卸螺旋时不应拆卸驱动装置；</w:t>
      </w:r>
    </w:p>
    <w:p w14:paraId="5B919CEA">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C）拆卸中间轴承时不应拆卸输送螺旋</w:t>
      </w:r>
    </w:p>
    <w:p w14:paraId="4F41F72C">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D）移动式螺旋输送机行走轮的接地面应用缓冲耐磨材料制成。</w:t>
      </w:r>
    </w:p>
    <w:p w14:paraId="3955D7B9">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15） 焊接质量检查</w:t>
      </w:r>
    </w:p>
    <w:p w14:paraId="371056DF">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按前文要求逐项检查焊接质量</w:t>
      </w:r>
    </w:p>
    <w:p w14:paraId="6C900E60">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16） 使用说明书审查</w:t>
      </w:r>
    </w:p>
    <w:p w14:paraId="688D0696">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A）说明书应通俗易懂，必要处应配附图；</w:t>
      </w:r>
    </w:p>
    <w:p w14:paraId="797B5154">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B）说明书的编写格式和内容应符合GB 9969.1的规定。并应有产品“三包”和质量保证内容。</w:t>
      </w:r>
    </w:p>
    <w:p w14:paraId="351809BC">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17） 标志、包装、运输和储存</w:t>
      </w:r>
    </w:p>
    <w:p w14:paraId="268E94D6">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每台螺旋输送机应在明显位置装有固定的金属铭牌，其内容应包括：</w:t>
      </w:r>
    </w:p>
    <w:p w14:paraId="225E086F">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A）产品名称和型号；</w:t>
      </w:r>
    </w:p>
    <w:p w14:paraId="13D3BF1E">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B）产品主要技术参数；</w:t>
      </w:r>
    </w:p>
    <w:p w14:paraId="55D5CF2B">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C）制造日期和产品编号；</w:t>
      </w:r>
    </w:p>
    <w:p w14:paraId="7E935F8A">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D）制造厂名称、厂址。</w:t>
      </w:r>
    </w:p>
    <w:p w14:paraId="2451CFF2">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en-US" w:eastAsia="zh-CN"/>
        </w:rPr>
        <w:t>8</w:t>
      </w:r>
      <w:r>
        <w:rPr>
          <w:rFonts w:hint="eastAsia" w:asciiTheme="minorEastAsia" w:hAnsiTheme="minorEastAsia" w:eastAsiaTheme="minorEastAsia" w:cstheme="minorEastAsia"/>
          <w:bCs/>
          <w:color w:val="auto"/>
          <w:sz w:val="24"/>
          <w:szCs w:val="24"/>
        </w:rPr>
        <w:t>） 产品包装、运输和储存应符合下列要求：</w:t>
      </w:r>
    </w:p>
    <w:p w14:paraId="46E0C599">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A）保证产品在运输和存放过程中完整无损，表面无划痕，漆膜脱落，挤压变形等；</w:t>
      </w:r>
    </w:p>
    <w:p w14:paraId="4729EF7F">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B）驱动电动机应单独包装，且有防护措施；</w:t>
      </w:r>
    </w:p>
    <w:p w14:paraId="2338ACE5">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C）分段运输的输送机体等应捆扎固定牢固；</w:t>
      </w:r>
    </w:p>
    <w:p w14:paraId="23ADC3A8">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D）随机技术文件包括产品合格证，使用说明书及装箱单或附件，均应装箱或固定在螺旋输送机身上；</w:t>
      </w:r>
    </w:p>
    <w:p w14:paraId="76FD9BA5">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E）存放时要有良好的通风防潮条件，若露天存放应有防雨淋和日晒措施。</w:t>
      </w:r>
    </w:p>
    <w:p w14:paraId="035BDD91">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en-US" w:eastAsia="zh-CN"/>
        </w:rPr>
        <w:t>9</w:t>
      </w:r>
      <w:r>
        <w:rPr>
          <w:rFonts w:hint="eastAsia" w:asciiTheme="minorEastAsia" w:hAnsiTheme="minorEastAsia" w:eastAsiaTheme="minorEastAsia" w:cstheme="minorEastAsia"/>
          <w:bCs/>
          <w:color w:val="auto"/>
          <w:sz w:val="24"/>
          <w:szCs w:val="24"/>
        </w:rPr>
        <w:t>）符合上述条款要求视为验收合格，否则为不合格。所有设备验收合格则验收通过，验收不合格的设备由供应商在不超过30日历日的整改期限内整改，到期后自动进行二次验收。二次验收合格亦视为验收合格。若二次验收仍未达到本约定验收标准，买方有权单方面解除合同，并按合同约定追究供应商违约责任。</w:t>
      </w:r>
    </w:p>
    <w:p w14:paraId="0473389A">
      <w:pPr>
        <w:spacing w:line="360" w:lineRule="auto"/>
        <w:ind w:firstLine="480" w:firstLineChars="200"/>
        <w:jc w:val="left"/>
        <w:rPr>
          <w:rFonts w:hint="eastAsia" w:asciiTheme="minorEastAsia" w:hAnsiTheme="minorEastAsia" w:eastAsiaTheme="minorEastAsia" w:cstheme="minorEastAsia"/>
          <w:bCs/>
          <w:strike w:val="0"/>
          <w:dstrike w:val="0"/>
          <w:color w:val="auto"/>
          <w:kern w:val="2"/>
          <w:sz w:val="24"/>
          <w:szCs w:val="24"/>
          <w:lang w:eastAsia="zh-CN"/>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20</w:t>
      </w:r>
      <w:r>
        <w:rPr>
          <w:rFonts w:hint="eastAsia" w:asciiTheme="minorEastAsia" w:hAnsiTheme="minorEastAsia" w:eastAsiaTheme="minorEastAsia" w:cstheme="minorEastAsia"/>
          <w:bCs/>
          <w:color w:val="auto"/>
          <w:sz w:val="24"/>
          <w:szCs w:val="24"/>
        </w:rPr>
        <w:t>）逐套检测螺旋输送机连续稳定运行5天的性能参数，均达到本文件要求时视为最终验收合格，由买方、监理和卖方共同出具验收报告。但该报告不能免除卖方对由于设计、工艺或材料的缺陷而产生的故障或质量问题所应承担的责任</w:t>
      </w:r>
      <w:r>
        <w:rPr>
          <w:rFonts w:hint="eastAsia" w:asciiTheme="minorEastAsia" w:hAnsiTheme="minorEastAsia" w:eastAsiaTheme="minorEastAsia" w:cstheme="minorEastAsia"/>
          <w:bCs/>
          <w:strike w:val="0"/>
          <w:dstrike w:val="0"/>
          <w:color w:val="auto"/>
          <w:kern w:val="2"/>
          <w:sz w:val="24"/>
          <w:szCs w:val="24"/>
          <w:lang w:eastAsia="zh-CN"/>
        </w:rPr>
        <w:t>。</w:t>
      </w:r>
    </w:p>
    <w:bookmarkEnd w:id="3"/>
    <w:p w14:paraId="1E2E7585">
      <w:pPr>
        <w:pStyle w:val="2"/>
        <w:numPr>
          <w:ilvl w:val="-1"/>
          <w:numId w:val="0"/>
        </w:numPr>
        <w:snapToGrid w:val="0"/>
        <w:spacing w:line="560" w:lineRule="exact"/>
        <w:ind w:left="420" w:leftChars="200" w:firstLine="0" w:firstLineChars="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4.</w:t>
      </w:r>
      <w:r>
        <w:rPr>
          <w:rFonts w:hint="eastAsia" w:cs="方正仿宋_GB2312" w:asciiTheme="minorEastAsia" w:hAnsiTheme="minorEastAsia" w:eastAsiaTheme="minorEastAsia"/>
          <w:sz w:val="24"/>
          <w:szCs w:val="24"/>
        </w:rPr>
        <w:t>质保期/保修期</w:t>
      </w:r>
      <w:r>
        <w:rPr>
          <w:rFonts w:hint="eastAsia" w:cs="方正仿宋_GB2312" w:asciiTheme="minorEastAsia" w:hAnsiTheme="minorEastAsia" w:eastAsiaTheme="minorEastAsia"/>
          <w:sz w:val="24"/>
          <w:szCs w:val="24"/>
          <w:lang w:val="en-US" w:eastAsia="zh-CN"/>
        </w:rPr>
        <w:t>要求</w:t>
      </w:r>
    </w:p>
    <w:p w14:paraId="27E49F88">
      <w:pPr>
        <w:pStyle w:val="2"/>
        <w:numPr>
          <w:ilvl w:val="-1"/>
          <w:numId w:val="0"/>
        </w:numPr>
        <w:snapToGrid w:val="0"/>
        <w:spacing w:after="0" w:line="560" w:lineRule="exact"/>
        <w:ind w:left="0" w:leftChars="0" w:firstLine="48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sz w:val="24"/>
          <w:szCs w:val="24"/>
          <w:lang w:val="en-US" w:eastAsia="zh-CN"/>
        </w:rPr>
        <w:t>合同</w:t>
      </w:r>
      <w:r>
        <w:rPr>
          <w:rFonts w:hint="eastAsia" w:asciiTheme="minorEastAsia" w:hAnsiTheme="minorEastAsia" w:eastAsiaTheme="minorEastAsia" w:cstheme="minorEastAsia"/>
          <w:b w:val="0"/>
          <w:bCs/>
          <w:color w:val="auto"/>
          <w:sz w:val="24"/>
          <w:szCs w:val="24"/>
          <w:lang w:val="en-US" w:eastAsia="zh-CN"/>
        </w:rPr>
        <w:t>设备整体质量保证期为2年，</w:t>
      </w:r>
      <w:r>
        <w:rPr>
          <w:rFonts w:hint="eastAsia" w:asciiTheme="minorEastAsia" w:hAnsiTheme="minorEastAsia" w:eastAsiaTheme="minorEastAsia" w:cstheme="minorEastAsia"/>
          <w:b w:val="0"/>
          <w:bCs/>
          <w:color w:val="auto"/>
          <w:sz w:val="24"/>
          <w:szCs w:val="24"/>
          <w:highlight w:val="none"/>
          <w:lang w:val="en-US" w:eastAsia="zh-CN"/>
        </w:rPr>
        <w:t>自</w:t>
      </w:r>
      <w:r>
        <w:rPr>
          <w:rFonts w:hint="eastAsia" w:asciiTheme="minorEastAsia" w:hAnsiTheme="minorEastAsia" w:eastAsiaTheme="minorEastAsia" w:cstheme="minorEastAsia"/>
          <w:bCs/>
          <w:color w:val="auto"/>
          <w:sz w:val="24"/>
          <w:szCs w:val="24"/>
          <w:highlight w:val="none"/>
        </w:rPr>
        <w:t>设备验收合格之日起</w:t>
      </w:r>
      <w:r>
        <w:rPr>
          <w:rFonts w:hint="eastAsia" w:asciiTheme="minorEastAsia" w:hAnsiTheme="minorEastAsia" w:eastAsiaTheme="minorEastAsia" w:cstheme="minorEastAsia"/>
          <w:b w:val="0"/>
          <w:bCs/>
          <w:color w:val="auto"/>
          <w:sz w:val="24"/>
          <w:szCs w:val="24"/>
          <w:highlight w:val="none"/>
          <w:lang w:val="en-US" w:eastAsia="zh-CN"/>
        </w:rPr>
        <w:t>算。</w:t>
      </w:r>
      <w:r>
        <w:rPr>
          <w:rFonts w:hint="eastAsia" w:asciiTheme="minorEastAsia" w:hAnsiTheme="minorEastAsia" w:eastAsiaTheme="minorEastAsia" w:cstheme="minorEastAsia"/>
          <w:bCs/>
          <w:sz w:val="24"/>
          <w:szCs w:val="24"/>
        </w:rPr>
        <w:t>质保期内，任何由设备本身用材和制造工艺不当或制造过程控制不当引起的质量问题，由中标人或中标人联系制造商负责免费维修。质保期满前1个月内中标人应负责一次免费全面检查，并写出正式报告，如发现潜在问题，应负责排除</w:t>
      </w:r>
      <w:r>
        <w:rPr>
          <w:rFonts w:hint="eastAsia" w:asciiTheme="minorEastAsia" w:hAnsiTheme="minorEastAsia" w:eastAsiaTheme="minorEastAsia" w:cstheme="minorEastAsia"/>
          <w:b w:val="0"/>
          <w:bCs/>
          <w:color w:val="auto"/>
          <w:sz w:val="24"/>
          <w:szCs w:val="24"/>
          <w:lang w:val="en-US" w:eastAsia="zh-CN"/>
        </w:rPr>
        <w:t>。具体质保及售后服务要求按合同约定执行</w:t>
      </w:r>
      <w:r>
        <w:rPr>
          <w:rFonts w:hint="eastAsia" w:asciiTheme="minorEastAsia" w:hAnsiTheme="minorEastAsia" w:eastAsiaTheme="minorEastAsia" w:cstheme="minorEastAsia"/>
          <w:bCs/>
          <w:sz w:val="24"/>
          <w:szCs w:val="24"/>
        </w:rPr>
        <w:t>。</w:t>
      </w:r>
    </w:p>
    <w:p w14:paraId="2CF19DF4">
      <w:pPr>
        <w:pStyle w:val="4"/>
        <w:rPr>
          <w:rFonts w:asciiTheme="minorEastAsia" w:hAnsiTheme="minorEastAsia" w:eastAsiaTheme="minorEastAsia"/>
          <w:sz w:val="24"/>
        </w:rPr>
      </w:pPr>
      <w:r>
        <w:rPr>
          <w:rFonts w:hint="eastAsia" w:asciiTheme="minorEastAsia" w:hAnsiTheme="minorEastAsia" w:eastAsiaTheme="minorEastAsia"/>
          <w:sz w:val="24"/>
        </w:rPr>
        <w:t>报价要求</w:t>
      </w:r>
    </w:p>
    <w:p w14:paraId="3DC74FDA">
      <w:pPr>
        <w:pStyle w:val="2"/>
        <w:numPr>
          <w:ilvl w:val="-1"/>
          <w:numId w:val="0"/>
        </w:numPr>
        <w:snapToGrid w:val="0"/>
        <w:spacing w:after="0" w:line="560" w:lineRule="exact"/>
        <w:ind w:left="0" w:leftChars="0" w:firstLine="480" w:firstLineChars="200"/>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1、报价格式自拟（附上满足资格要求的相关证明文件，均需加盖公章）。</w:t>
      </w:r>
    </w:p>
    <w:p w14:paraId="57590739">
      <w:pPr>
        <w:pStyle w:val="2"/>
        <w:numPr>
          <w:ilvl w:val="-1"/>
          <w:numId w:val="0"/>
        </w:numPr>
        <w:snapToGrid w:val="0"/>
        <w:spacing w:after="0" w:line="560" w:lineRule="exact"/>
        <w:ind w:left="0" w:leftChars="0" w:firstLine="480" w:firstLineChars="200"/>
        <w:rPr>
          <w:rFonts w:hint="eastAsia" w:cs="方正仿宋_GB2312" w:asciiTheme="minorEastAsia" w:hAnsiTheme="minorEastAsia" w:eastAsiaTheme="minorEastAsia"/>
          <w:sz w:val="24"/>
          <w:szCs w:val="24"/>
          <w:u w:val="none"/>
          <w:shd w:val="clear"/>
        </w:rPr>
      </w:pPr>
      <w:r>
        <w:rPr>
          <w:rFonts w:hint="eastAsia" w:cs="方正仿宋_GB2312" w:asciiTheme="minorEastAsia" w:hAnsiTheme="minorEastAsia" w:eastAsiaTheme="minorEastAsia"/>
          <w:sz w:val="24"/>
          <w:szCs w:val="24"/>
          <w:u w:val="none"/>
          <w:lang w:val="en-US" w:eastAsia="zh-CN"/>
        </w:rPr>
        <w:t>2、</w:t>
      </w:r>
      <w:r>
        <w:rPr>
          <w:rFonts w:hint="eastAsia" w:cs="方正仿宋_GB2312" w:asciiTheme="minorEastAsia" w:hAnsiTheme="minorEastAsia" w:eastAsiaTheme="minorEastAsia"/>
          <w:kern w:val="2"/>
          <w:sz w:val="24"/>
          <w:szCs w:val="24"/>
          <w:u w:val="none"/>
          <w:lang w:val="en-US" w:eastAsia="zh-CN" w:bidi="ar-SA"/>
        </w:rPr>
        <w:t>本次投标</w:t>
      </w:r>
      <w:r>
        <w:rPr>
          <w:rFonts w:hint="eastAsia" w:cs="方正仿宋_GB2312" w:asciiTheme="minorEastAsia" w:hAnsiTheme="minorEastAsia" w:eastAsiaTheme="minorEastAsia"/>
          <w:sz w:val="24"/>
          <w:szCs w:val="24"/>
          <w:u w:val="none"/>
        </w:rPr>
        <w:t>报价</w:t>
      </w:r>
      <w:r>
        <w:rPr>
          <w:rFonts w:hint="eastAsia" w:cs="方正仿宋_GB2312" w:asciiTheme="minorEastAsia" w:hAnsiTheme="minorEastAsia" w:eastAsiaTheme="minorEastAsia"/>
          <w:kern w:val="2"/>
          <w:sz w:val="24"/>
          <w:szCs w:val="24"/>
          <w:u w:val="none"/>
          <w:lang w:val="en-US" w:eastAsia="zh-CN"/>
        </w:rPr>
        <w:t>采用总价包干形式报价（需列明各细项单价），</w:t>
      </w:r>
      <w:r>
        <w:rPr>
          <w:rFonts w:hint="eastAsia" w:cs="方正仿宋_GB2312" w:asciiTheme="minorEastAsia" w:hAnsiTheme="minorEastAsia" w:eastAsiaTheme="minorEastAsia"/>
          <w:sz w:val="24"/>
          <w:szCs w:val="24"/>
          <w:u w:val="none"/>
        </w:rPr>
        <w:t>包含但不限于以下所有成本：货物的加工制造、深化设计、设计联络、生产监造(本项目建设单位、监理单位、总包单位及甲方监造人员的交通、食宿等费用由乙方承担)、制造、工厂检验和试验、出厂检验、包装、运输、</w:t>
      </w:r>
      <w:r>
        <w:rPr>
          <w:rFonts w:hint="eastAsia" w:cs="方正仿宋_GB2312" w:asciiTheme="minorEastAsia" w:hAnsiTheme="minorEastAsia" w:eastAsiaTheme="minorEastAsia"/>
          <w:sz w:val="24"/>
          <w:szCs w:val="24"/>
          <w:u w:val="none"/>
          <w:lang w:val="en-US" w:eastAsia="zh-CN"/>
        </w:rPr>
        <w:t>指导</w:t>
      </w:r>
      <w:r>
        <w:rPr>
          <w:rFonts w:hint="eastAsia" w:cs="方正仿宋_GB2312" w:asciiTheme="minorEastAsia" w:hAnsiTheme="minorEastAsia" w:eastAsiaTheme="minorEastAsia"/>
          <w:sz w:val="24"/>
          <w:szCs w:val="24"/>
          <w:u w:val="none"/>
        </w:rPr>
        <w:t>安装、调试、指导试运行、培训、质保期、缺陷责任期的服务等全过程所产生的所有成本以及保险、管理费、利润、规费、税金、原材料价格变动及供货期变化等风险</w:t>
      </w:r>
      <w:r>
        <w:rPr>
          <w:rFonts w:hint="eastAsia" w:cs="方正仿宋_GB2312" w:asciiTheme="minorEastAsia" w:hAnsiTheme="minorEastAsia" w:eastAsiaTheme="minorEastAsia"/>
          <w:kern w:val="2"/>
          <w:sz w:val="24"/>
          <w:szCs w:val="24"/>
          <w:u w:val="none"/>
          <w:lang w:val="en-US" w:eastAsia="zh-CN" w:bidi="ar-SA"/>
        </w:rPr>
        <w:t>。</w:t>
      </w:r>
    </w:p>
    <w:p w14:paraId="363F0F6B">
      <w:pPr>
        <w:pStyle w:val="4"/>
        <w:rPr>
          <w:rFonts w:asciiTheme="minorEastAsia" w:hAnsiTheme="minorEastAsia" w:eastAsiaTheme="minorEastAsia"/>
          <w:sz w:val="24"/>
        </w:rPr>
      </w:pPr>
      <w:r>
        <w:rPr>
          <w:rFonts w:hint="eastAsia" w:asciiTheme="minorEastAsia" w:hAnsiTheme="minorEastAsia" w:eastAsiaTheme="minorEastAsia"/>
          <w:sz w:val="24"/>
        </w:rPr>
        <w:t>递交报价文件的截止时间、地</w:t>
      </w:r>
      <w:r>
        <w:rPr>
          <w:rFonts w:hint="eastAsia" w:cs="宋体" w:asciiTheme="minorEastAsia" w:hAnsiTheme="minorEastAsia" w:eastAsiaTheme="minorEastAsia"/>
          <w:sz w:val="24"/>
        </w:rPr>
        <w:t>点</w:t>
      </w:r>
    </w:p>
    <w:p w14:paraId="10863ADF">
      <w:pPr>
        <w:widowControl/>
        <w:adjustRightInd w:val="0"/>
        <w:snapToGrid w:val="0"/>
        <w:spacing w:line="560" w:lineRule="exact"/>
        <w:ind w:firstLine="480" w:firstLineChars="200"/>
        <w:jc w:val="lef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sz w:val="24"/>
          <w:szCs w:val="24"/>
        </w:rPr>
        <w:t>方式：所有报价文件可通过电子邮件发送至联系人邮箱，邮件标题格式：“报价文件+项目名称+投标人全称”；</w:t>
      </w:r>
    </w:p>
    <w:p w14:paraId="6CEB4974">
      <w:pPr>
        <w:widowControl/>
        <w:adjustRightInd w:val="0"/>
        <w:snapToGrid w:val="0"/>
        <w:spacing w:line="560" w:lineRule="exact"/>
        <w:ind w:firstLine="480" w:firstLineChars="200"/>
        <w:jc w:val="left"/>
        <w:rPr>
          <w:rFonts w:cs="方正仿宋_GB2312" w:asciiTheme="minorEastAsia" w:hAnsiTheme="minorEastAsia" w:eastAsiaTheme="minorEastAsia"/>
          <w:b/>
          <w:bCs/>
          <w:sz w:val="24"/>
          <w:szCs w:val="24"/>
        </w:rPr>
      </w:pPr>
      <w:r>
        <w:rPr>
          <w:rFonts w:hint="eastAsia" w:cs="方正仿宋_GB2312" w:asciiTheme="minorEastAsia" w:hAnsiTheme="minorEastAsia" w:eastAsiaTheme="minorEastAsia"/>
          <w:sz w:val="24"/>
          <w:szCs w:val="24"/>
          <w:lang w:val="en-US" w:eastAsia="zh-CN"/>
        </w:rPr>
        <w:t>2、</w:t>
      </w:r>
      <w:r>
        <w:rPr>
          <w:rFonts w:hint="eastAsia" w:cs="方正仿宋_GB2312" w:asciiTheme="minorEastAsia" w:hAnsiTheme="minorEastAsia" w:eastAsiaTheme="minorEastAsia"/>
          <w:sz w:val="24"/>
          <w:szCs w:val="24"/>
        </w:rPr>
        <w:t>接收报价文件截止时间：</w:t>
      </w:r>
      <w:r>
        <w:rPr>
          <w:rFonts w:hint="eastAsia" w:cs="方正仿宋_GB2312" w:asciiTheme="minorEastAsia" w:hAnsiTheme="minorEastAsia" w:eastAsiaTheme="minorEastAsia"/>
          <w:color w:val="FF0000"/>
          <w:sz w:val="24"/>
          <w:szCs w:val="24"/>
        </w:rPr>
        <w:t>202</w:t>
      </w:r>
      <w:r>
        <w:rPr>
          <w:rFonts w:hint="eastAsia" w:cs="方正仿宋_GB2312" w:asciiTheme="minorEastAsia" w:hAnsiTheme="minorEastAsia" w:eastAsiaTheme="minorEastAsia"/>
          <w:color w:val="FF0000"/>
          <w:sz w:val="24"/>
          <w:szCs w:val="24"/>
          <w:lang w:val="en-US" w:eastAsia="zh-CN"/>
        </w:rPr>
        <w:t>5</w:t>
      </w:r>
      <w:r>
        <w:rPr>
          <w:rFonts w:hint="eastAsia" w:cs="方正仿宋_GB2312" w:asciiTheme="minorEastAsia" w:hAnsiTheme="minorEastAsia" w:eastAsiaTheme="minorEastAsia"/>
          <w:color w:val="FF0000"/>
          <w:sz w:val="24"/>
          <w:szCs w:val="24"/>
        </w:rPr>
        <w:t>年</w:t>
      </w:r>
      <w:r>
        <w:rPr>
          <w:rFonts w:hint="eastAsia" w:cs="方正仿宋_GB2312" w:asciiTheme="minorEastAsia" w:hAnsiTheme="minorEastAsia" w:eastAsiaTheme="minorEastAsia"/>
          <w:color w:val="FF0000"/>
          <w:sz w:val="24"/>
          <w:szCs w:val="24"/>
          <w:lang w:val="en-US" w:eastAsia="zh-CN"/>
        </w:rPr>
        <w:t>6</w:t>
      </w:r>
      <w:r>
        <w:rPr>
          <w:rFonts w:hint="eastAsia" w:cs="方正仿宋_GB2312" w:asciiTheme="minorEastAsia" w:hAnsiTheme="minorEastAsia" w:eastAsiaTheme="minorEastAsia"/>
          <w:color w:val="FF0000"/>
          <w:sz w:val="24"/>
          <w:szCs w:val="24"/>
        </w:rPr>
        <w:t>月</w:t>
      </w:r>
      <w:r>
        <w:rPr>
          <w:rFonts w:hint="eastAsia" w:cs="方正仿宋_GB2312" w:asciiTheme="minorEastAsia" w:hAnsiTheme="minorEastAsia" w:eastAsiaTheme="minorEastAsia"/>
          <w:color w:val="FF0000"/>
          <w:sz w:val="24"/>
          <w:szCs w:val="24"/>
          <w:lang w:val="en-US" w:eastAsia="zh-CN"/>
        </w:rPr>
        <w:t>20</w:t>
      </w:r>
      <w:r>
        <w:rPr>
          <w:rFonts w:hint="eastAsia" w:cs="方正仿宋_GB2312" w:asciiTheme="minorEastAsia" w:hAnsiTheme="minorEastAsia" w:eastAsiaTheme="minorEastAsia"/>
          <w:color w:val="FF0000"/>
          <w:sz w:val="24"/>
          <w:szCs w:val="24"/>
        </w:rPr>
        <w:t>日1</w:t>
      </w:r>
      <w:r>
        <w:rPr>
          <w:rFonts w:hint="eastAsia" w:cs="方正仿宋_GB2312" w:asciiTheme="minorEastAsia" w:hAnsiTheme="minorEastAsia" w:eastAsiaTheme="minorEastAsia"/>
          <w:color w:val="FF0000"/>
          <w:sz w:val="24"/>
          <w:szCs w:val="24"/>
          <w:lang w:val="en-US" w:eastAsia="zh-CN"/>
        </w:rPr>
        <w:t>8</w:t>
      </w:r>
      <w:r>
        <w:rPr>
          <w:rFonts w:hint="eastAsia" w:cs="方正仿宋_GB2312" w:asciiTheme="minorEastAsia" w:hAnsiTheme="minorEastAsia" w:eastAsiaTheme="minorEastAsia"/>
          <w:color w:val="FF0000"/>
          <w:sz w:val="24"/>
          <w:szCs w:val="24"/>
        </w:rPr>
        <w:t>：00（北京时间）之前</w:t>
      </w:r>
      <w:r>
        <w:rPr>
          <w:rFonts w:hint="eastAsia" w:cs="方正仿宋_GB2312" w:asciiTheme="minorEastAsia" w:hAnsiTheme="minorEastAsia" w:eastAsiaTheme="minorEastAsia"/>
          <w:sz w:val="24"/>
          <w:szCs w:val="24"/>
        </w:rPr>
        <w:t>，逾期或不符合规定的报价文件恕不接受。</w:t>
      </w:r>
    </w:p>
    <w:p w14:paraId="7905557A">
      <w:pPr>
        <w:pStyle w:val="4"/>
        <w:rPr>
          <w:rFonts w:asciiTheme="minorEastAsia" w:hAnsiTheme="minorEastAsia" w:eastAsiaTheme="minorEastAsia"/>
          <w:sz w:val="24"/>
        </w:rPr>
      </w:pPr>
      <w:r>
        <w:rPr>
          <w:rFonts w:hint="eastAsia" w:asciiTheme="minorEastAsia" w:hAnsiTheme="minorEastAsia" w:eastAsiaTheme="minorEastAsia"/>
          <w:sz w:val="24"/>
        </w:rPr>
        <w:t>本项目的联系方式</w:t>
      </w:r>
    </w:p>
    <w:p w14:paraId="40D2A0B4">
      <w:pPr>
        <w:pStyle w:val="12"/>
        <w:widowControl/>
        <w:spacing w:before="0" w:beforeAutospacing="0" w:after="0" w:afterAutospacing="0" w:line="555" w:lineRule="atLeast"/>
        <w:ind w:firstLine="645"/>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可按下列地址以书面或邮箱的形式查询：</w:t>
      </w:r>
    </w:p>
    <w:p w14:paraId="71AA7378">
      <w:pPr>
        <w:pStyle w:val="12"/>
        <w:widowControl/>
        <w:spacing w:before="0" w:beforeAutospacing="0" w:after="0" w:afterAutospacing="0" w:line="555" w:lineRule="atLeast"/>
        <w:ind w:firstLine="645"/>
        <w:jc w:val="both"/>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公开询价方：深圳市深水生态环境技术有限公司</w:t>
      </w:r>
    </w:p>
    <w:p w14:paraId="2C175B82">
      <w:pPr>
        <w:pStyle w:val="12"/>
        <w:widowControl/>
        <w:spacing w:before="0" w:beforeAutospacing="0" w:after="0" w:afterAutospacing="0" w:line="555" w:lineRule="atLeast"/>
        <w:ind w:firstLine="645"/>
        <w:jc w:val="both"/>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地址：</w:t>
      </w:r>
      <w:r>
        <w:rPr>
          <w:rFonts w:hint="eastAsia" w:cs="方正仿宋_GB2312" w:asciiTheme="minorEastAsia" w:hAnsiTheme="minorEastAsia" w:eastAsiaTheme="minorEastAsia"/>
          <w:kern w:val="2"/>
          <w:szCs w:val="24"/>
        </w:rPr>
        <w:t>广东省深圳市福田区白石路5号福田水质净化厂</w:t>
      </w:r>
    </w:p>
    <w:p w14:paraId="21E5365D">
      <w:pPr>
        <w:pStyle w:val="12"/>
        <w:widowControl/>
        <w:spacing w:before="0" w:beforeAutospacing="0" w:after="0" w:afterAutospacing="0" w:line="555" w:lineRule="atLeast"/>
        <w:ind w:firstLine="645"/>
        <w:jc w:val="both"/>
        <w:rPr>
          <w:rFonts w:hint="default" w:cs="方正仿宋_GB2312" w:asciiTheme="minorEastAsia" w:hAnsiTheme="minorEastAsia" w:eastAsiaTheme="minorEastAsia"/>
          <w:kern w:val="2"/>
          <w:szCs w:val="24"/>
          <w:lang w:val="en-US" w:eastAsia="zh-CN"/>
        </w:rPr>
      </w:pPr>
      <w:r>
        <w:rPr>
          <w:rFonts w:cs="方正仿宋_GB2312" w:asciiTheme="minorEastAsia" w:hAnsiTheme="minorEastAsia" w:eastAsiaTheme="minorEastAsia"/>
          <w:kern w:val="2"/>
          <w:szCs w:val="24"/>
          <w:shd w:val="clear"/>
        </w:rPr>
        <w:t>联系人：</w:t>
      </w:r>
      <w:r>
        <w:rPr>
          <w:rFonts w:hint="eastAsia" w:cs="方正仿宋_GB2312" w:asciiTheme="minorEastAsia" w:hAnsiTheme="minorEastAsia" w:eastAsiaTheme="minorEastAsia"/>
          <w:kern w:val="2"/>
          <w:szCs w:val="24"/>
          <w:shd w:val="clear"/>
          <w:lang w:val="en-US" w:eastAsia="zh-CN"/>
        </w:rPr>
        <w:t>吴</w:t>
      </w:r>
      <w:r>
        <w:rPr>
          <w:rFonts w:hint="default" w:cs="方正仿宋_GB2312" w:asciiTheme="minorEastAsia" w:hAnsiTheme="minorEastAsia" w:eastAsiaTheme="minorEastAsia"/>
          <w:kern w:val="2"/>
          <w:szCs w:val="24"/>
          <w:shd w:val="clear"/>
        </w:rPr>
        <w:t xml:space="preserve">工 </w:t>
      </w:r>
      <w:r>
        <w:rPr>
          <w:rFonts w:hint="eastAsia" w:cs="方正仿宋_GB2312" w:asciiTheme="minorEastAsia" w:hAnsiTheme="minorEastAsia" w:eastAsiaTheme="minorEastAsia"/>
          <w:kern w:val="2"/>
          <w:sz w:val="24"/>
          <w:szCs w:val="24"/>
          <w:lang w:val="en-US" w:eastAsia="zh-CN"/>
        </w:rPr>
        <w:t>17665389716</w:t>
      </w:r>
    </w:p>
    <w:p w14:paraId="592120FC">
      <w:pPr>
        <w:pStyle w:val="12"/>
        <w:widowControl/>
        <w:spacing w:before="0" w:beforeAutospacing="0" w:after="0" w:afterAutospacing="0" w:line="555" w:lineRule="atLeast"/>
        <w:ind w:firstLine="645"/>
        <w:jc w:val="both"/>
        <w:rPr>
          <w:rFonts w:cs="方正仿宋_GB2312" w:asciiTheme="minorEastAsia" w:hAnsiTheme="minorEastAsia" w:eastAsiaTheme="minorEastAsia"/>
          <w:kern w:val="2"/>
          <w:szCs w:val="24"/>
          <w:shd w:val="clear"/>
        </w:rPr>
      </w:pPr>
      <w:r>
        <w:rPr>
          <w:rFonts w:cs="方正仿宋_GB2312" w:asciiTheme="minorEastAsia" w:hAnsiTheme="minorEastAsia" w:eastAsiaTheme="minorEastAsia"/>
          <w:kern w:val="2"/>
          <w:szCs w:val="24"/>
          <w:shd w:val="clear"/>
        </w:rPr>
        <w:t>联系人邮箱：</w:t>
      </w:r>
      <w:r>
        <w:rPr>
          <w:rFonts w:ascii="宋体" w:hAnsi="宋体" w:eastAsia="宋体" w:cs="宋体"/>
          <w:sz w:val="24"/>
          <w:szCs w:val="24"/>
        </w:rPr>
        <w:t>wu.rongyang@szwatereco.com</w:t>
      </w:r>
    </w:p>
    <w:p w14:paraId="40BDD5A8">
      <w:pPr>
        <w:widowControl/>
        <w:tabs>
          <w:tab w:val="left" w:pos="0"/>
        </w:tabs>
        <w:spacing w:line="560" w:lineRule="exact"/>
        <w:ind w:firstLine="480" w:firstLineChars="200"/>
        <w:jc w:val="right"/>
        <w:rPr>
          <w:rFonts w:hint="eastAsia" w:cs="方正仿宋_GB2312" w:asciiTheme="minorEastAsia" w:hAnsiTheme="minorEastAsia" w:eastAsiaTheme="minorEastAsia"/>
          <w:sz w:val="24"/>
          <w:szCs w:val="24"/>
        </w:rPr>
      </w:pPr>
    </w:p>
    <w:p w14:paraId="39A216AC">
      <w:pPr>
        <w:widowControl/>
        <w:tabs>
          <w:tab w:val="left" w:pos="0"/>
        </w:tabs>
        <w:spacing w:line="560" w:lineRule="exact"/>
        <w:ind w:firstLine="480" w:firstLineChars="200"/>
        <w:jc w:val="righ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深圳市深水生态环境技术有限公司</w:t>
      </w:r>
    </w:p>
    <w:p w14:paraId="36A44488">
      <w:pPr>
        <w:widowControl/>
        <w:tabs>
          <w:tab w:val="left" w:pos="0"/>
        </w:tabs>
        <w:spacing w:line="560" w:lineRule="exact"/>
        <w:ind w:firstLine="480" w:firstLineChars="200"/>
        <w:jc w:val="right"/>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rPr>
        <w:t>20</w:t>
      </w:r>
      <w:r>
        <w:rPr>
          <w:rFonts w:hint="eastAsia" w:cs="方正仿宋_GB2312" w:asciiTheme="minorEastAsia" w:hAnsiTheme="minorEastAsia" w:eastAsiaTheme="minorEastAsia"/>
          <w:sz w:val="24"/>
          <w:szCs w:val="24"/>
          <w:lang w:val="en-US" w:eastAsia="zh-CN"/>
        </w:rPr>
        <w:t>25</w:t>
      </w:r>
      <w:r>
        <w:rPr>
          <w:rFonts w:hint="eastAsia" w:cs="方正仿宋_GB2312" w:asciiTheme="minorEastAsia" w:hAnsiTheme="minorEastAsia" w:eastAsiaTheme="minorEastAsia"/>
          <w:sz w:val="24"/>
          <w:szCs w:val="24"/>
        </w:rPr>
        <w:t>年</w:t>
      </w:r>
      <w:r>
        <w:rPr>
          <w:rFonts w:hint="eastAsia" w:cs="方正仿宋_GB2312" w:asciiTheme="minorEastAsia" w:hAnsiTheme="minorEastAsia" w:eastAsiaTheme="minorEastAsia"/>
          <w:sz w:val="24"/>
          <w:szCs w:val="24"/>
          <w:lang w:val="en-US" w:eastAsia="zh-CN"/>
        </w:rPr>
        <w:t>6</w:t>
      </w:r>
      <w:r>
        <w:rPr>
          <w:rFonts w:hint="eastAsia" w:cs="方正仿宋_GB2312" w:asciiTheme="minorEastAsia" w:hAnsiTheme="minorEastAsia" w:eastAsiaTheme="minorEastAsia"/>
          <w:sz w:val="24"/>
          <w:szCs w:val="24"/>
        </w:rPr>
        <w:t>月</w:t>
      </w:r>
      <w:r>
        <w:rPr>
          <w:rFonts w:hint="eastAsia" w:cs="方正仿宋_GB2312" w:asciiTheme="minorEastAsia" w:hAnsiTheme="minorEastAsia" w:eastAsiaTheme="minorEastAsia"/>
          <w:sz w:val="24"/>
          <w:szCs w:val="24"/>
          <w:lang w:val="en-US" w:eastAsia="zh-CN"/>
        </w:rPr>
        <w:t>16日</w:t>
      </w:r>
    </w:p>
    <w:p w14:paraId="580B2D1C">
      <w:pPr>
        <w:widowControl/>
        <w:spacing w:line="240" w:lineRule="auto"/>
        <w:ind w:firstLine="0" w:firstLineChars="0"/>
        <w:jc w:val="left"/>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br w:type="page"/>
      </w:r>
    </w:p>
    <w:p w14:paraId="76A1AF78">
      <w:pPr>
        <w:pStyle w:val="10"/>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附件：设备清单及品牌要求</w:t>
      </w:r>
    </w:p>
    <w:p w14:paraId="245B7D72">
      <w:pPr>
        <w:numPr>
          <w:ilvl w:val="0"/>
          <w:numId w:val="3"/>
        </w:numPr>
        <w:spacing w:line="360" w:lineRule="auto"/>
        <w:outlineLvl w:val="1"/>
        <w:rPr>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1"/>
          <w:szCs w:val="21"/>
          <w:highlight w:val="none"/>
          <w:lang w:val="en-US" w:eastAsia="zh-CN"/>
          <w14:textFill>
            <w14:solidFill>
              <w14:schemeClr w14:val="tx1"/>
            </w14:solidFill>
          </w14:textFill>
        </w:rPr>
        <w:t>设备清单</w:t>
      </w:r>
      <w:r>
        <w:rPr>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w:t>
      </w:r>
    </w:p>
    <w:tbl>
      <w:tblPr>
        <w:tblStyle w:val="14"/>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525"/>
        <w:gridCol w:w="3362"/>
        <w:gridCol w:w="702"/>
        <w:gridCol w:w="627"/>
        <w:gridCol w:w="1681"/>
      </w:tblGrid>
      <w:tr w14:paraId="2811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2" w:type="dxa"/>
            <w:vAlign w:val="center"/>
          </w:tcPr>
          <w:p w14:paraId="6DCD03F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序号</w:t>
            </w:r>
          </w:p>
        </w:tc>
        <w:tc>
          <w:tcPr>
            <w:tcW w:w="1525" w:type="dxa"/>
            <w:vAlign w:val="center"/>
          </w:tcPr>
          <w:p w14:paraId="37BC798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名称</w:t>
            </w:r>
          </w:p>
        </w:tc>
        <w:tc>
          <w:tcPr>
            <w:tcW w:w="3362" w:type="dxa"/>
            <w:vAlign w:val="center"/>
          </w:tcPr>
          <w:p w14:paraId="05E42EF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型号规格</w:t>
            </w:r>
          </w:p>
        </w:tc>
        <w:tc>
          <w:tcPr>
            <w:tcW w:w="702" w:type="dxa"/>
            <w:vAlign w:val="center"/>
          </w:tcPr>
          <w:p w14:paraId="058B5C2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单位</w:t>
            </w:r>
          </w:p>
        </w:tc>
        <w:tc>
          <w:tcPr>
            <w:tcW w:w="627" w:type="dxa"/>
            <w:vAlign w:val="center"/>
          </w:tcPr>
          <w:p w14:paraId="101E18A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数量</w:t>
            </w:r>
          </w:p>
        </w:tc>
        <w:tc>
          <w:tcPr>
            <w:tcW w:w="1681" w:type="dxa"/>
            <w:vAlign w:val="center"/>
          </w:tcPr>
          <w:p w14:paraId="5597B3C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0"/>
              </w:rPr>
            </w:pPr>
            <w:r>
              <w:rPr>
                <w:rFonts w:hint="eastAsia" w:cs="宋体"/>
                <w:color w:val="auto"/>
                <w:kern w:val="0"/>
                <w:sz w:val="20"/>
                <w:szCs w:val="20"/>
                <w:lang w:val="en-US" w:eastAsia="zh-CN"/>
              </w:rPr>
              <w:t>备注</w:t>
            </w:r>
          </w:p>
        </w:tc>
      </w:tr>
      <w:tr w14:paraId="26D9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5435DC3C">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1</w:t>
            </w:r>
          </w:p>
        </w:tc>
        <w:tc>
          <w:tcPr>
            <w:tcW w:w="1525" w:type="dxa"/>
            <w:vAlign w:val="center"/>
          </w:tcPr>
          <w:p w14:paraId="00C4AE72">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sz w:val="21"/>
                <w:szCs w:val="21"/>
              </w:rPr>
            </w:pPr>
            <w:r>
              <w:rPr>
                <w:rFonts w:hint="eastAsia" w:ascii="宋体" w:hAnsi="宋体" w:eastAsia="宋体" w:cs="宋体"/>
                <w:color w:val="auto"/>
                <w:kern w:val="0"/>
                <w:sz w:val="21"/>
                <w:szCs w:val="21"/>
                <w:lang w:val="en-US" w:eastAsia="zh-CN" w:bidi="ar"/>
              </w:rPr>
              <w:t>出料螺旋1</w:t>
            </w:r>
          </w:p>
        </w:tc>
        <w:tc>
          <w:tcPr>
            <w:tcW w:w="3362" w:type="dxa"/>
            <w:vAlign w:val="center"/>
          </w:tcPr>
          <w:p w14:paraId="4260FD85">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cs="宋体"/>
                <w:color w:val="auto"/>
                <w:kern w:val="0"/>
                <w:sz w:val="21"/>
                <w:szCs w:val="21"/>
                <w:lang w:val="en-US"/>
              </w:rPr>
            </w:pPr>
            <w:r>
              <w:rPr>
                <w:rFonts w:hint="eastAsia" w:ascii="宋体" w:hAnsi="宋体" w:eastAsia="宋体" w:cs="宋体"/>
                <w:color w:val="auto"/>
                <w:kern w:val="0"/>
                <w:sz w:val="21"/>
                <w:szCs w:val="21"/>
                <w:lang w:val="en-US" w:eastAsia="zh-CN" w:bidi="ar"/>
              </w:rPr>
              <w:t>输送量</w:t>
            </w:r>
            <w:r>
              <w:rPr>
                <w:rFonts w:hint="eastAsia" w:cs="宋体"/>
                <w:color w:val="auto"/>
                <w:kern w:val="0"/>
                <w:sz w:val="21"/>
                <w:szCs w:val="21"/>
                <w:lang w:val="en-US" w:eastAsia="zh-CN" w:bidi="ar"/>
              </w:rPr>
              <w:t>4</w:t>
            </w:r>
            <w:r>
              <w:rPr>
                <w:rFonts w:hint="eastAsia" w:ascii="宋体" w:hAnsi="宋体" w:eastAsia="宋体" w:cs="宋体"/>
                <w:color w:val="auto"/>
                <w:kern w:val="0"/>
                <w:sz w:val="21"/>
                <w:szCs w:val="21"/>
                <w:lang w:val="en-US" w:eastAsia="zh-CN" w:bidi="ar"/>
              </w:rPr>
              <w:t>m³/h；暂定长度</w:t>
            </w:r>
            <w:r>
              <w:rPr>
                <w:rFonts w:hint="eastAsia" w:cs="宋体"/>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m，N=</w:t>
            </w:r>
            <w:r>
              <w:rPr>
                <w:rFonts w:hint="eastAsia" w:cs="宋体"/>
                <w:color w:val="auto"/>
                <w:kern w:val="0"/>
                <w:sz w:val="21"/>
                <w:szCs w:val="21"/>
                <w:lang w:val="en-US" w:eastAsia="zh-CN" w:bidi="ar"/>
              </w:rPr>
              <w:t>5.5</w:t>
            </w:r>
            <w:r>
              <w:rPr>
                <w:rFonts w:hint="eastAsia" w:ascii="宋体" w:hAnsi="宋体" w:eastAsia="宋体" w:cs="宋体"/>
                <w:color w:val="auto"/>
                <w:kern w:val="0"/>
                <w:sz w:val="21"/>
                <w:szCs w:val="21"/>
                <w:lang w:val="en-US" w:eastAsia="zh-CN" w:bidi="ar"/>
              </w:rPr>
              <w:t>kW</w:t>
            </w:r>
            <w:r>
              <w:rPr>
                <w:rFonts w:hint="eastAsia" w:cs="宋体"/>
                <w:color w:val="auto"/>
                <w:kern w:val="0"/>
                <w:sz w:val="21"/>
                <w:szCs w:val="21"/>
                <w:lang w:val="en-US" w:eastAsia="zh-CN" w:bidi="ar"/>
              </w:rPr>
              <w:t>，材质：</w:t>
            </w:r>
            <w:r>
              <w:rPr>
                <w:rFonts w:hint="eastAsia" w:ascii="宋体" w:hAnsi="宋体" w:eastAsia="宋体" w:cs="宋体"/>
                <w:color w:val="auto"/>
                <w:kern w:val="0"/>
                <w:sz w:val="21"/>
                <w:szCs w:val="21"/>
                <w:lang w:val="en-US" w:eastAsia="zh-CN" w:bidi="ar"/>
              </w:rPr>
              <w:t>不锈钢304</w:t>
            </w:r>
            <w:r>
              <w:rPr>
                <w:rFonts w:hint="eastAsia" w:cs="宋体"/>
                <w:color w:val="auto"/>
                <w:kern w:val="0"/>
                <w:sz w:val="21"/>
                <w:szCs w:val="21"/>
                <w:lang w:val="en-US" w:eastAsia="zh-CN" w:bidi="ar"/>
              </w:rPr>
              <w:t>，倾角20°，有轴螺旋，工频控制</w:t>
            </w:r>
          </w:p>
        </w:tc>
        <w:tc>
          <w:tcPr>
            <w:tcW w:w="702" w:type="dxa"/>
            <w:vAlign w:val="center"/>
          </w:tcPr>
          <w:p w14:paraId="6272B1F9">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套</w:t>
            </w:r>
          </w:p>
        </w:tc>
        <w:tc>
          <w:tcPr>
            <w:tcW w:w="627" w:type="dxa"/>
            <w:vAlign w:val="center"/>
          </w:tcPr>
          <w:p w14:paraId="48E6495F">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1</w:t>
            </w:r>
          </w:p>
        </w:tc>
        <w:tc>
          <w:tcPr>
            <w:tcW w:w="1681" w:type="dxa"/>
            <w:vAlign w:val="center"/>
          </w:tcPr>
          <w:p w14:paraId="57D5D1EA">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lang w:val="en-US" w:eastAsia="zh-CN" w:bidi="ar"/>
              </w:rPr>
            </w:pPr>
            <w:r>
              <w:rPr>
                <w:rFonts w:hint="eastAsia" w:cs="宋体"/>
                <w:color w:val="auto"/>
                <w:kern w:val="0"/>
                <w:sz w:val="21"/>
                <w:szCs w:val="21"/>
                <w:lang w:val="en-US" w:eastAsia="zh-CN" w:bidi="ar"/>
              </w:rPr>
              <w:t>1个入口，1个出口</w:t>
            </w:r>
          </w:p>
        </w:tc>
      </w:tr>
      <w:tr w14:paraId="1C35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0E884841">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2</w:t>
            </w:r>
          </w:p>
        </w:tc>
        <w:tc>
          <w:tcPr>
            <w:tcW w:w="1525" w:type="dxa"/>
            <w:vAlign w:val="center"/>
          </w:tcPr>
          <w:p w14:paraId="11146B40">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sz w:val="21"/>
                <w:szCs w:val="21"/>
              </w:rPr>
            </w:pPr>
            <w:r>
              <w:rPr>
                <w:rFonts w:hint="eastAsia" w:ascii="宋体" w:hAnsi="宋体" w:eastAsia="宋体" w:cs="宋体"/>
                <w:color w:val="auto"/>
                <w:kern w:val="0"/>
                <w:sz w:val="21"/>
                <w:szCs w:val="21"/>
                <w:lang w:val="en-US" w:eastAsia="zh-CN" w:bidi="ar"/>
              </w:rPr>
              <w:t>出料螺旋2</w:t>
            </w:r>
          </w:p>
        </w:tc>
        <w:tc>
          <w:tcPr>
            <w:tcW w:w="3362" w:type="dxa"/>
            <w:vAlign w:val="center"/>
          </w:tcPr>
          <w:p w14:paraId="61014D1E">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输送量4m³/h；暂定长度</w:t>
            </w:r>
            <w:r>
              <w:rPr>
                <w:rFonts w:hint="eastAsia" w:cs="宋体"/>
                <w:color w:val="auto"/>
                <w:kern w:val="0"/>
                <w:sz w:val="21"/>
                <w:szCs w:val="21"/>
                <w:lang w:val="en-US" w:eastAsia="zh-CN" w:bidi="ar"/>
              </w:rPr>
              <w:t>6.8</w:t>
            </w:r>
            <w:r>
              <w:rPr>
                <w:rFonts w:hint="eastAsia" w:ascii="宋体" w:hAnsi="宋体" w:eastAsia="宋体" w:cs="宋体"/>
                <w:color w:val="auto"/>
                <w:kern w:val="0"/>
                <w:sz w:val="21"/>
                <w:szCs w:val="21"/>
                <w:lang w:val="en-US" w:eastAsia="zh-CN" w:bidi="ar"/>
              </w:rPr>
              <w:t>m，N=5.5kW</w:t>
            </w:r>
            <w:r>
              <w:rPr>
                <w:rFonts w:hint="eastAsia" w:cs="宋体"/>
                <w:color w:val="auto"/>
                <w:kern w:val="0"/>
                <w:sz w:val="21"/>
                <w:szCs w:val="21"/>
                <w:lang w:val="en-US" w:eastAsia="zh-CN" w:bidi="ar"/>
              </w:rPr>
              <w:t>，材质：</w:t>
            </w:r>
            <w:r>
              <w:rPr>
                <w:rFonts w:hint="eastAsia" w:ascii="宋体" w:hAnsi="宋体" w:eastAsia="宋体" w:cs="宋体"/>
                <w:color w:val="auto"/>
                <w:kern w:val="0"/>
                <w:sz w:val="21"/>
                <w:szCs w:val="21"/>
                <w:lang w:val="en-US" w:eastAsia="zh-CN" w:bidi="ar"/>
              </w:rPr>
              <w:t>不锈钢304</w:t>
            </w:r>
            <w:r>
              <w:rPr>
                <w:rFonts w:hint="eastAsia" w:cs="宋体"/>
                <w:color w:val="auto"/>
                <w:kern w:val="0"/>
                <w:sz w:val="21"/>
                <w:szCs w:val="21"/>
                <w:lang w:val="en-US" w:eastAsia="zh-CN" w:bidi="ar"/>
              </w:rPr>
              <w:t>，倾角10°，有轴螺旋，工频控制</w:t>
            </w:r>
          </w:p>
        </w:tc>
        <w:tc>
          <w:tcPr>
            <w:tcW w:w="702" w:type="dxa"/>
            <w:vAlign w:val="center"/>
          </w:tcPr>
          <w:p w14:paraId="185B64AD">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套</w:t>
            </w:r>
          </w:p>
        </w:tc>
        <w:tc>
          <w:tcPr>
            <w:tcW w:w="627" w:type="dxa"/>
            <w:vAlign w:val="center"/>
          </w:tcPr>
          <w:p w14:paraId="44D2717E">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1</w:t>
            </w:r>
          </w:p>
        </w:tc>
        <w:tc>
          <w:tcPr>
            <w:tcW w:w="1681" w:type="dxa"/>
            <w:vAlign w:val="center"/>
          </w:tcPr>
          <w:p w14:paraId="2AB32A3D">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lang w:val="en-US" w:eastAsia="zh-CN" w:bidi="ar"/>
              </w:rPr>
            </w:pPr>
            <w:r>
              <w:rPr>
                <w:rFonts w:hint="eastAsia" w:cs="宋体"/>
                <w:color w:val="auto"/>
                <w:kern w:val="0"/>
                <w:sz w:val="21"/>
                <w:szCs w:val="21"/>
                <w:lang w:val="en-US" w:eastAsia="zh-CN" w:bidi="ar"/>
              </w:rPr>
              <w:t>1个入口，1个出口</w:t>
            </w:r>
          </w:p>
        </w:tc>
      </w:tr>
      <w:tr w14:paraId="6F25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0B5EEBFA">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w:t>
            </w:r>
          </w:p>
        </w:tc>
        <w:tc>
          <w:tcPr>
            <w:tcW w:w="1525" w:type="dxa"/>
            <w:vAlign w:val="center"/>
          </w:tcPr>
          <w:p w14:paraId="00F0A1B3">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出料螺旋3</w:t>
            </w:r>
          </w:p>
        </w:tc>
        <w:tc>
          <w:tcPr>
            <w:tcW w:w="3362" w:type="dxa"/>
            <w:vAlign w:val="center"/>
          </w:tcPr>
          <w:p w14:paraId="6A4F9448">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输送量4m³/h；暂定长度</w:t>
            </w:r>
            <w:r>
              <w:rPr>
                <w:rFonts w:hint="eastAsia" w:cs="宋体"/>
                <w:color w:val="auto"/>
                <w:kern w:val="0"/>
                <w:sz w:val="21"/>
                <w:szCs w:val="21"/>
                <w:lang w:val="en-US" w:eastAsia="zh-CN" w:bidi="ar"/>
              </w:rPr>
              <w:t>4.9</w:t>
            </w:r>
            <w:r>
              <w:rPr>
                <w:rFonts w:hint="eastAsia" w:ascii="宋体" w:hAnsi="宋体" w:eastAsia="宋体" w:cs="宋体"/>
                <w:color w:val="auto"/>
                <w:kern w:val="0"/>
                <w:sz w:val="21"/>
                <w:szCs w:val="21"/>
                <w:lang w:val="en-US" w:eastAsia="zh-CN" w:bidi="ar"/>
              </w:rPr>
              <w:t>m，N=5.5kW</w:t>
            </w:r>
            <w:r>
              <w:rPr>
                <w:rFonts w:hint="eastAsia" w:cs="宋体"/>
                <w:color w:val="auto"/>
                <w:kern w:val="0"/>
                <w:sz w:val="21"/>
                <w:szCs w:val="21"/>
                <w:lang w:val="en-US" w:eastAsia="zh-CN" w:bidi="ar"/>
              </w:rPr>
              <w:t>，材质：</w:t>
            </w:r>
            <w:r>
              <w:rPr>
                <w:rFonts w:hint="eastAsia" w:ascii="宋体" w:hAnsi="宋体" w:eastAsia="宋体" w:cs="宋体"/>
                <w:color w:val="auto"/>
                <w:kern w:val="0"/>
                <w:sz w:val="21"/>
                <w:szCs w:val="21"/>
                <w:lang w:val="en-US" w:eastAsia="zh-CN" w:bidi="ar"/>
              </w:rPr>
              <w:t>不锈钢304</w:t>
            </w:r>
            <w:r>
              <w:rPr>
                <w:rFonts w:hint="eastAsia" w:cs="宋体"/>
                <w:color w:val="auto"/>
                <w:kern w:val="0"/>
                <w:sz w:val="21"/>
                <w:szCs w:val="21"/>
                <w:lang w:val="en-US" w:eastAsia="zh-CN" w:bidi="ar"/>
              </w:rPr>
              <w:t>，倾角14°，有轴螺旋，工频控制</w:t>
            </w:r>
          </w:p>
        </w:tc>
        <w:tc>
          <w:tcPr>
            <w:tcW w:w="702" w:type="dxa"/>
            <w:vAlign w:val="center"/>
          </w:tcPr>
          <w:p w14:paraId="2FAA31A1">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套</w:t>
            </w:r>
          </w:p>
        </w:tc>
        <w:tc>
          <w:tcPr>
            <w:tcW w:w="627" w:type="dxa"/>
            <w:vAlign w:val="center"/>
          </w:tcPr>
          <w:p w14:paraId="2D74DF72">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1681" w:type="dxa"/>
            <w:vAlign w:val="center"/>
          </w:tcPr>
          <w:p w14:paraId="44ACE3E7">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eastAsia="宋体" w:cs="宋体"/>
                <w:color w:val="auto"/>
                <w:kern w:val="0"/>
                <w:sz w:val="21"/>
                <w:szCs w:val="21"/>
                <w:lang w:val="en-US" w:eastAsia="zh-CN" w:bidi="ar"/>
              </w:rPr>
            </w:pPr>
            <w:r>
              <w:rPr>
                <w:rFonts w:hint="eastAsia" w:cs="宋体"/>
                <w:color w:val="auto"/>
                <w:kern w:val="0"/>
                <w:sz w:val="21"/>
                <w:szCs w:val="21"/>
                <w:lang w:val="en-US" w:eastAsia="zh-CN" w:bidi="ar"/>
              </w:rPr>
              <w:t>1个入口，1个出口</w:t>
            </w:r>
          </w:p>
        </w:tc>
      </w:tr>
      <w:tr w14:paraId="5E4C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1D371D10">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cs="宋体"/>
                <w:color w:val="auto"/>
                <w:kern w:val="0"/>
                <w:sz w:val="21"/>
                <w:szCs w:val="21"/>
              </w:rPr>
            </w:pPr>
            <w:r>
              <w:rPr>
                <w:rFonts w:hint="eastAsia" w:ascii="宋体" w:hAnsi="宋体" w:eastAsia="宋体" w:cs="宋体"/>
                <w:color w:val="auto"/>
                <w:kern w:val="0"/>
                <w:sz w:val="21"/>
                <w:szCs w:val="21"/>
                <w:lang w:val="en-US" w:eastAsia="zh-CN" w:bidi="ar"/>
              </w:rPr>
              <w:t>6</w:t>
            </w:r>
          </w:p>
        </w:tc>
        <w:tc>
          <w:tcPr>
            <w:tcW w:w="1525" w:type="dxa"/>
            <w:vAlign w:val="center"/>
          </w:tcPr>
          <w:p w14:paraId="374EA7C9">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sz w:val="21"/>
                <w:szCs w:val="21"/>
              </w:rPr>
            </w:pPr>
            <w:r>
              <w:rPr>
                <w:rFonts w:hint="eastAsia" w:ascii="宋体" w:hAnsi="宋体" w:eastAsia="宋体" w:cs="宋体"/>
                <w:color w:val="auto"/>
                <w:kern w:val="0"/>
                <w:sz w:val="21"/>
                <w:szCs w:val="21"/>
                <w:lang w:val="en-US" w:eastAsia="zh-CN" w:bidi="ar"/>
              </w:rPr>
              <w:t>料仓应急螺旋</w:t>
            </w:r>
          </w:p>
        </w:tc>
        <w:tc>
          <w:tcPr>
            <w:tcW w:w="3362" w:type="dxa"/>
            <w:vAlign w:val="center"/>
          </w:tcPr>
          <w:p w14:paraId="6706A6CB">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lang w:val="en-US"/>
              </w:rPr>
            </w:pPr>
            <w:r>
              <w:rPr>
                <w:rFonts w:hint="eastAsia" w:ascii="宋体" w:hAnsi="宋体" w:eastAsia="宋体" w:cs="宋体"/>
                <w:color w:val="auto"/>
                <w:kern w:val="0"/>
                <w:sz w:val="21"/>
                <w:szCs w:val="21"/>
                <w:lang w:val="en-US" w:eastAsia="zh-CN" w:bidi="ar"/>
              </w:rPr>
              <w:t>输送量10m³/h；</w:t>
            </w:r>
            <w:r>
              <w:rPr>
                <w:rFonts w:hint="eastAsia" w:ascii="宋体" w:hAnsi="宋体" w:eastAsia="宋体" w:cs="宋体"/>
                <w:color w:val="auto"/>
                <w:kern w:val="0"/>
                <w:sz w:val="21"/>
                <w:szCs w:val="21"/>
                <w:highlight w:val="none"/>
                <w:lang w:val="en-US" w:eastAsia="zh-CN" w:bidi="ar"/>
              </w:rPr>
              <w:t>暂定长度</w:t>
            </w:r>
            <w:r>
              <w:rPr>
                <w:rFonts w:hint="eastAsia"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m</w:t>
            </w:r>
            <w:r>
              <w:rPr>
                <w:rFonts w:hint="eastAsia" w:ascii="宋体" w:hAnsi="宋体" w:eastAsia="宋体" w:cs="宋体"/>
                <w:color w:val="auto"/>
                <w:kern w:val="0"/>
                <w:sz w:val="21"/>
                <w:szCs w:val="21"/>
                <w:lang w:val="en-US" w:eastAsia="zh-CN" w:bidi="ar"/>
              </w:rPr>
              <w:t>，N=5</w:t>
            </w:r>
            <w:r>
              <w:rPr>
                <w:rFonts w:hint="eastAsia" w:cs="宋体"/>
                <w:color w:val="auto"/>
                <w:kern w:val="0"/>
                <w:sz w:val="21"/>
                <w:szCs w:val="21"/>
                <w:lang w:val="en-US" w:eastAsia="zh-CN" w:bidi="ar"/>
              </w:rPr>
              <w:t>.5</w:t>
            </w:r>
            <w:r>
              <w:rPr>
                <w:rFonts w:hint="eastAsia" w:ascii="宋体" w:hAnsi="宋体" w:eastAsia="宋体" w:cs="宋体"/>
                <w:color w:val="auto"/>
                <w:kern w:val="0"/>
                <w:sz w:val="21"/>
                <w:szCs w:val="21"/>
                <w:lang w:val="en-US" w:eastAsia="zh-CN" w:bidi="ar"/>
              </w:rPr>
              <w:t>kW</w:t>
            </w:r>
            <w:r>
              <w:rPr>
                <w:rFonts w:hint="eastAsia" w:cs="宋体"/>
                <w:color w:val="auto"/>
                <w:kern w:val="0"/>
                <w:sz w:val="21"/>
                <w:szCs w:val="21"/>
                <w:lang w:val="en-US" w:eastAsia="zh-CN" w:bidi="ar"/>
              </w:rPr>
              <w:t>，材质：</w:t>
            </w:r>
            <w:r>
              <w:rPr>
                <w:rFonts w:hint="eastAsia" w:ascii="宋体" w:hAnsi="宋体" w:eastAsia="宋体" w:cs="宋体"/>
                <w:color w:val="auto"/>
                <w:kern w:val="0"/>
                <w:sz w:val="21"/>
                <w:szCs w:val="21"/>
                <w:lang w:val="en-US" w:eastAsia="zh-CN" w:bidi="ar"/>
              </w:rPr>
              <w:t>不锈钢304</w:t>
            </w:r>
            <w:r>
              <w:rPr>
                <w:rFonts w:hint="eastAsia" w:cs="宋体"/>
                <w:color w:val="auto"/>
                <w:kern w:val="0"/>
                <w:sz w:val="21"/>
                <w:szCs w:val="21"/>
                <w:lang w:val="en-US" w:eastAsia="zh-CN" w:bidi="ar"/>
              </w:rPr>
              <w:t>，水平安装，正反转，无轴螺旋，工频控制</w:t>
            </w:r>
          </w:p>
        </w:tc>
        <w:tc>
          <w:tcPr>
            <w:tcW w:w="702" w:type="dxa"/>
            <w:vAlign w:val="center"/>
          </w:tcPr>
          <w:p w14:paraId="51352F2F">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套</w:t>
            </w:r>
          </w:p>
        </w:tc>
        <w:tc>
          <w:tcPr>
            <w:tcW w:w="627" w:type="dxa"/>
            <w:vAlign w:val="center"/>
          </w:tcPr>
          <w:p w14:paraId="1379F934">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1</w:t>
            </w:r>
          </w:p>
        </w:tc>
        <w:tc>
          <w:tcPr>
            <w:tcW w:w="1681" w:type="dxa"/>
            <w:vAlign w:val="center"/>
          </w:tcPr>
          <w:p w14:paraId="03A27113">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lang w:val="en-US" w:eastAsia="zh-CN" w:bidi="ar"/>
              </w:rPr>
            </w:pPr>
            <w:r>
              <w:rPr>
                <w:rFonts w:hint="eastAsia" w:cs="宋体"/>
                <w:color w:val="auto"/>
                <w:kern w:val="0"/>
                <w:sz w:val="21"/>
                <w:szCs w:val="21"/>
                <w:lang w:val="en-US" w:eastAsia="zh-CN" w:bidi="ar"/>
              </w:rPr>
              <w:t>2个入口，2个出口配置2套插板阀</w:t>
            </w:r>
          </w:p>
        </w:tc>
      </w:tr>
      <w:tr w14:paraId="440C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22" w:type="dxa"/>
            <w:vAlign w:val="center"/>
          </w:tcPr>
          <w:p w14:paraId="57C1C33B">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cs="宋体"/>
                <w:color w:val="auto"/>
                <w:kern w:val="0"/>
                <w:sz w:val="21"/>
                <w:szCs w:val="21"/>
              </w:rPr>
            </w:pPr>
            <w:r>
              <w:rPr>
                <w:rFonts w:hint="eastAsia" w:ascii="宋体" w:hAnsi="宋体" w:eastAsia="宋体" w:cs="宋体"/>
                <w:color w:val="auto"/>
                <w:kern w:val="0"/>
                <w:sz w:val="21"/>
                <w:szCs w:val="21"/>
                <w:lang w:val="en-US" w:eastAsia="zh-CN" w:bidi="ar"/>
              </w:rPr>
              <w:t>7</w:t>
            </w:r>
          </w:p>
        </w:tc>
        <w:tc>
          <w:tcPr>
            <w:tcW w:w="1525" w:type="dxa"/>
            <w:vAlign w:val="center"/>
          </w:tcPr>
          <w:p w14:paraId="058BD1FF">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sz w:val="21"/>
                <w:szCs w:val="21"/>
              </w:rPr>
            </w:pPr>
            <w:r>
              <w:rPr>
                <w:rFonts w:hint="eastAsia" w:ascii="宋体" w:hAnsi="宋体" w:eastAsia="宋体" w:cs="宋体"/>
                <w:color w:val="auto"/>
                <w:kern w:val="0"/>
                <w:sz w:val="21"/>
                <w:szCs w:val="21"/>
                <w:lang w:val="en-US" w:eastAsia="zh-CN" w:bidi="ar"/>
              </w:rPr>
              <w:t>出料衔接螺旋</w:t>
            </w:r>
          </w:p>
        </w:tc>
        <w:tc>
          <w:tcPr>
            <w:tcW w:w="3362" w:type="dxa"/>
            <w:vAlign w:val="center"/>
          </w:tcPr>
          <w:p w14:paraId="50456AF2">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bidi="ar"/>
              </w:rPr>
              <w:t>输送量30m³/h；暂定长度</w:t>
            </w:r>
            <w:r>
              <w:rPr>
                <w:rFonts w:hint="eastAsia" w:cs="宋体"/>
                <w:color w:val="auto"/>
                <w:kern w:val="0"/>
                <w:sz w:val="21"/>
                <w:szCs w:val="21"/>
                <w:lang w:val="en-US" w:eastAsia="zh-CN" w:bidi="ar"/>
              </w:rPr>
              <w:t>8</w:t>
            </w:r>
            <w:r>
              <w:rPr>
                <w:rFonts w:hint="eastAsia" w:ascii="宋体" w:hAnsi="宋体" w:eastAsia="宋体" w:cs="宋体"/>
                <w:color w:val="auto"/>
                <w:kern w:val="0"/>
                <w:sz w:val="21"/>
                <w:szCs w:val="21"/>
                <w:lang w:val="en-US" w:eastAsia="zh-CN" w:bidi="ar"/>
              </w:rPr>
              <w:t>m，N=11kW</w:t>
            </w:r>
            <w:r>
              <w:rPr>
                <w:rFonts w:hint="eastAsia" w:cs="宋体"/>
                <w:color w:val="auto"/>
                <w:kern w:val="0"/>
                <w:sz w:val="21"/>
                <w:szCs w:val="21"/>
                <w:lang w:val="en-US" w:eastAsia="zh-CN" w:bidi="ar"/>
              </w:rPr>
              <w:t>，材质：</w:t>
            </w:r>
            <w:r>
              <w:rPr>
                <w:rFonts w:hint="eastAsia" w:ascii="宋体" w:hAnsi="宋体" w:eastAsia="宋体" w:cs="宋体"/>
                <w:color w:val="auto"/>
                <w:kern w:val="0"/>
                <w:sz w:val="21"/>
                <w:szCs w:val="21"/>
                <w:lang w:val="en-US" w:eastAsia="zh-CN" w:bidi="ar"/>
              </w:rPr>
              <w:t>不锈钢304</w:t>
            </w:r>
            <w:r>
              <w:rPr>
                <w:rFonts w:hint="eastAsia" w:cs="宋体"/>
                <w:color w:val="auto"/>
                <w:kern w:val="0"/>
                <w:sz w:val="21"/>
                <w:szCs w:val="21"/>
                <w:lang w:val="en-US" w:eastAsia="zh-CN" w:bidi="ar"/>
              </w:rPr>
              <w:t>，水平安装</w:t>
            </w:r>
            <w:r>
              <w:rPr>
                <w:rFonts w:hint="eastAsia" w:cs="宋体"/>
                <w:szCs w:val="21"/>
                <w:lang w:eastAsia="zh-CN"/>
              </w:rPr>
              <w:t>，</w:t>
            </w:r>
            <w:r>
              <w:rPr>
                <w:rFonts w:hint="eastAsia" w:cs="宋体"/>
                <w:color w:val="auto"/>
                <w:kern w:val="0"/>
                <w:sz w:val="21"/>
                <w:szCs w:val="21"/>
                <w:lang w:val="en-US" w:eastAsia="zh-CN" w:bidi="ar"/>
              </w:rPr>
              <w:t>无轴螺旋，变频控制，</w:t>
            </w:r>
          </w:p>
        </w:tc>
        <w:tc>
          <w:tcPr>
            <w:tcW w:w="702" w:type="dxa"/>
            <w:vAlign w:val="center"/>
          </w:tcPr>
          <w:p w14:paraId="34B0ED29">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台</w:t>
            </w:r>
          </w:p>
        </w:tc>
        <w:tc>
          <w:tcPr>
            <w:tcW w:w="627" w:type="dxa"/>
            <w:vAlign w:val="center"/>
          </w:tcPr>
          <w:p w14:paraId="03E74C8D">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2</w:t>
            </w:r>
          </w:p>
        </w:tc>
        <w:tc>
          <w:tcPr>
            <w:tcW w:w="1681" w:type="dxa"/>
            <w:vAlign w:val="center"/>
          </w:tcPr>
          <w:p w14:paraId="4423A8D8">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eastAsia="宋体" w:cs="宋体"/>
                <w:color w:val="auto"/>
                <w:kern w:val="0"/>
                <w:sz w:val="21"/>
                <w:szCs w:val="21"/>
                <w:lang w:val="en-US" w:eastAsia="zh-CN" w:bidi="ar"/>
              </w:rPr>
            </w:pPr>
            <w:r>
              <w:rPr>
                <w:rFonts w:hint="eastAsia" w:cs="宋体"/>
                <w:color w:val="auto"/>
                <w:kern w:val="0"/>
                <w:sz w:val="21"/>
                <w:szCs w:val="21"/>
                <w:lang w:val="en-US" w:eastAsia="zh-CN" w:bidi="ar"/>
              </w:rPr>
              <w:t>单台2个入口，2个出口，2个出口配置2个插板阀，2台共4套插板阀</w:t>
            </w:r>
          </w:p>
        </w:tc>
      </w:tr>
      <w:tr w14:paraId="56EC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22" w:type="dxa"/>
            <w:vAlign w:val="center"/>
          </w:tcPr>
          <w:p w14:paraId="285DE63A">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cs="宋体"/>
                <w:color w:val="auto"/>
                <w:kern w:val="0"/>
                <w:sz w:val="21"/>
                <w:szCs w:val="21"/>
              </w:rPr>
            </w:pPr>
            <w:r>
              <w:rPr>
                <w:rFonts w:hint="eastAsia" w:cs="宋体"/>
                <w:color w:val="auto"/>
                <w:kern w:val="0"/>
                <w:sz w:val="21"/>
                <w:szCs w:val="21"/>
                <w:lang w:val="en-US" w:eastAsia="zh-CN" w:bidi="ar"/>
              </w:rPr>
              <w:t>8</w:t>
            </w:r>
          </w:p>
        </w:tc>
        <w:tc>
          <w:tcPr>
            <w:tcW w:w="1525" w:type="dxa"/>
            <w:vAlign w:val="center"/>
          </w:tcPr>
          <w:p w14:paraId="2AEF968A">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sz w:val="21"/>
                <w:szCs w:val="21"/>
              </w:rPr>
            </w:pPr>
            <w:r>
              <w:rPr>
                <w:rFonts w:hint="eastAsia" w:ascii="宋体" w:hAnsi="宋体" w:eastAsia="宋体" w:cs="宋体"/>
                <w:color w:val="auto"/>
                <w:kern w:val="0"/>
                <w:sz w:val="21"/>
                <w:szCs w:val="21"/>
                <w:lang w:val="en-US" w:eastAsia="zh-CN" w:bidi="ar"/>
              </w:rPr>
              <w:t>外接螺旋</w:t>
            </w:r>
          </w:p>
        </w:tc>
        <w:tc>
          <w:tcPr>
            <w:tcW w:w="3362" w:type="dxa"/>
            <w:vAlign w:val="center"/>
          </w:tcPr>
          <w:p w14:paraId="6663C6B8">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输送量</w:t>
            </w:r>
            <w:r>
              <w:rPr>
                <w:rFonts w:hint="eastAsia" w:cs="宋体"/>
                <w:color w:val="auto"/>
                <w:kern w:val="0"/>
                <w:sz w:val="21"/>
                <w:szCs w:val="21"/>
                <w:lang w:val="en-US" w:eastAsia="zh-CN" w:bidi="ar"/>
              </w:rPr>
              <w:t>4</w:t>
            </w:r>
            <w:r>
              <w:rPr>
                <w:rFonts w:hint="eastAsia" w:ascii="宋体" w:hAnsi="宋体" w:eastAsia="宋体" w:cs="宋体"/>
                <w:color w:val="auto"/>
                <w:kern w:val="0"/>
                <w:sz w:val="21"/>
                <w:szCs w:val="21"/>
                <w:lang w:val="en-US" w:eastAsia="zh-CN" w:bidi="ar"/>
              </w:rPr>
              <w:t>0m³/h；</w:t>
            </w:r>
            <w:r>
              <w:rPr>
                <w:rFonts w:hint="eastAsia" w:cs="宋体"/>
                <w:color w:val="auto"/>
                <w:kern w:val="0"/>
                <w:sz w:val="21"/>
                <w:szCs w:val="21"/>
                <w:lang w:val="en-US" w:eastAsia="zh-CN" w:bidi="ar"/>
              </w:rPr>
              <w:t>暂定</w:t>
            </w:r>
            <w:r>
              <w:rPr>
                <w:rFonts w:hint="eastAsia" w:ascii="宋体" w:hAnsi="宋体" w:eastAsia="宋体" w:cs="宋体"/>
                <w:color w:val="auto"/>
                <w:kern w:val="0"/>
                <w:sz w:val="21"/>
                <w:szCs w:val="21"/>
                <w:lang w:val="en-US" w:eastAsia="zh-CN" w:bidi="ar"/>
              </w:rPr>
              <w:t>长度8m；N=11kW</w:t>
            </w:r>
            <w:r>
              <w:rPr>
                <w:rFonts w:hint="eastAsia" w:cs="宋体"/>
                <w:color w:val="auto"/>
                <w:kern w:val="0"/>
                <w:sz w:val="21"/>
                <w:szCs w:val="21"/>
                <w:lang w:val="en-US" w:eastAsia="zh-CN" w:bidi="ar"/>
              </w:rPr>
              <w:t>，材质：</w:t>
            </w:r>
            <w:r>
              <w:rPr>
                <w:rFonts w:hint="eastAsia" w:ascii="宋体" w:hAnsi="宋体" w:eastAsia="宋体" w:cs="宋体"/>
                <w:color w:val="auto"/>
                <w:kern w:val="0"/>
                <w:sz w:val="21"/>
                <w:szCs w:val="21"/>
                <w:lang w:val="en-US" w:eastAsia="zh-CN" w:bidi="ar"/>
              </w:rPr>
              <w:t>不锈钢304</w:t>
            </w:r>
            <w:r>
              <w:rPr>
                <w:rFonts w:hint="eastAsia" w:cs="宋体"/>
                <w:color w:val="auto"/>
                <w:kern w:val="0"/>
                <w:sz w:val="21"/>
                <w:szCs w:val="21"/>
                <w:lang w:val="en-US" w:eastAsia="zh-CN" w:bidi="ar"/>
              </w:rPr>
              <w:t>，水平安装</w:t>
            </w:r>
            <w:r>
              <w:rPr>
                <w:rFonts w:hint="eastAsia" w:cs="宋体"/>
                <w:szCs w:val="21"/>
                <w:lang w:eastAsia="zh-CN"/>
              </w:rPr>
              <w:t>，</w:t>
            </w:r>
            <w:r>
              <w:rPr>
                <w:rFonts w:hint="eastAsia" w:cs="宋体"/>
                <w:color w:val="auto"/>
                <w:kern w:val="0"/>
                <w:sz w:val="21"/>
                <w:szCs w:val="21"/>
                <w:lang w:val="en-US" w:eastAsia="zh-CN" w:bidi="ar"/>
              </w:rPr>
              <w:t>无轴螺旋，工频控制</w:t>
            </w:r>
          </w:p>
        </w:tc>
        <w:tc>
          <w:tcPr>
            <w:tcW w:w="702" w:type="dxa"/>
            <w:vAlign w:val="center"/>
          </w:tcPr>
          <w:p w14:paraId="3B334436">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台</w:t>
            </w:r>
          </w:p>
        </w:tc>
        <w:tc>
          <w:tcPr>
            <w:tcW w:w="627" w:type="dxa"/>
            <w:vAlign w:val="center"/>
          </w:tcPr>
          <w:p w14:paraId="28A0699E">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cs="宋体"/>
                <w:color w:val="auto"/>
                <w:kern w:val="0"/>
                <w:sz w:val="21"/>
                <w:szCs w:val="21"/>
                <w:lang w:val="en-US" w:eastAsia="zh-CN" w:bidi="ar"/>
              </w:rPr>
              <w:t>2</w:t>
            </w:r>
          </w:p>
        </w:tc>
        <w:tc>
          <w:tcPr>
            <w:tcW w:w="1681" w:type="dxa"/>
            <w:vAlign w:val="center"/>
          </w:tcPr>
          <w:p w14:paraId="7709F87F">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eastAsia="宋体" w:cs="宋体"/>
                <w:color w:val="auto"/>
                <w:kern w:val="0"/>
                <w:sz w:val="21"/>
                <w:szCs w:val="21"/>
                <w:lang w:val="en-US" w:eastAsia="zh-CN" w:bidi="ar"/>
              </w:rPr>
            </w:pPr>
            <w:r>
              <w:rPr>
                <w:rFonts w:hint="eastAsia" w:cs="宋体"/>
                <w:color w:val="auto"/>
                <w:kern w:val="0"/>
                <w:sz w:val="21"/>
                <w:szCs w:val="21"/>
                <w:lang w:val="en-US" w:eastAsia="zh-CN" w:bidi="ar"/>
              </w:rPr>
              <w:t>1个出口配置1个插板阀，2台共2套插板阀</w:t>
            </w:r>
          </w:p>
        </w:tc>
      </w:tr>
      <w:tr w14:paraId="0BB9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0CD999B4">
            <w:pPr>
              <w:keepNext w:val="0"/>
              <w:keepLines w:val="0"/>
              <w:suppressLineNumbers w:val="0"/>
              <w:adjustRightInd w:val="0"/>
              <w:snapToGrid w:val="0"/>
              <w:spacing w:before="0" w:beforeAutospacing="0" w:after="0" w:afterAutospacing="0" w:line="360" w:lineRule="auto"/>
              <w:ind w:left="0" w:leftChars="0" w:right="0" w:rightChars="0"/>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rPr>
              <w:t>注</w:t>
            </w:r>
          </w:p>
        </w:tc>
        <w:tc>
          <w:tcPr>
            <w:tcW w:w="7897" w:type="dxa"/>
            <w:gridSpan w:val="5"/>
            <w:vAlign w:val="center"/>
          </w:tcPr>
          <w:p w14:paraId="4ABD95BE">
            <w:pPr>
              <w:keepNext w:val="0"/>
              <w:keepLines w:val="0"/>
              <w:suppressLineNumbers w:val="0"/>
              <w:adjustRightInd w:val="0"/>
              <w:snapToGrid w:val="0"/>
              <w:spacing w:before="0" w:beforeAutospacing="0" w:after="0" w:afterAutospacing="0" w:line="360" w:lineRule="auto"/>
              <w:ind w:left="0" w:leftChars="0" w:right="0" w:firstLine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含安装所需的紧固件（预埋地脚螺栓、螺母、垫圈等）及备品备件等</w:t>
            </w:r>
            <w:r>
              <w:rPr>
                <w:rFonts w:hint="eastAsia" w:ascii="宋体" w:hAnsi="宋体" w:eastAsia="宋体" w:cs="宋体"/>
                <w:color w:val="auto"/>
                <w:kern w:val="0"/>
                <w:sz w:val="21"/>
                <w:szCs w:val="21"/>
                <w:lang w:eastAsia="zh-CN"/>
              </w:rPr>
              <w:t>；</w:t>
            </w:r>
          </w:p>
          <w:p w14:paraId="0CE581D5">
            <w:pPr>
              <w:keepNext w:val="0"/>
              <w:keepLines w:val="0"/>
              <w:suppressLineNumbers w:val="0"/>
              <w:adjustRightInd w:val="0"/>
              <w:snapToGrid w:val="0"/>
              <w:spacing w:before="0" w:beforeAutospacing="0" w:after="0" w:afterAutospacing="0" w:line="360" w:lineRule="auto"/>
              <w:ind w:left="0" w:leftChars="0" w:right="0" w:firstLine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含设备安装详图等相关资料</w:t>
            </w:r>
            <w:r>
              <w:rPr>
                <w:rFonts w:hint="eastAsia" w:ascii="宋体" w:hAnsi="宋体" w:eastAsia="宋体" w:cs="宋体"/>
                <w:color w:val="auto"/>
                <w:kern w:val="0"/>
                <w:sz w:val="21"/>
                <w:szCs w:val="21"/>
                <w:lang w:eastAsia="zh-CN"/>
              </w:rPr>
              <w:t>；</w:t>
            </w:r>
          </w:p>
          <w:p w14:paraId="04F44F06">
            <w:pPr>
              <w:keepNext w:val="0"/>
              <w:keepLines w:val="0"/>
              <w:suppressLineNumbers w:val="0"/>
              <w:adjustRightInd w:val="0"/>
              <w:snapToGrid w:val="0"/>
              <w:spacing w:before="0" w:beforeAutospacing="0" w:after="0" w:afterAutospacing="0" w:line="360" w:lineRule="auto"/>
              <w:ind w:left="0" w:leftChars="0" w:right="0" w:firstLine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设备</w:t>
            </w:r>
            <w:r>
              <w:rPr>
                <w:rFonts w:hint="eastAsia" w:ascii="宋体" w:hAnsi="宋体" w:eastAsia="宋体" w:cs="宋体"/>
                <w:color w:val="auto"/>
                <w:kern w:val="0"/>
                <w:sz w:val="21"/>
                <w:szCs w:val="21"/>
                <w:lang w:val="en-US" w:eastAsia="zh-CN"/>
              </w:rPr>
              <w:t>调试、试运行期间用油</w:t>
            </w:r>
            <w:r>
              <w:rPr>
                <w:rFonts w:hint="eastAsia" w:ascii="宋体" w:hAnsi="宋体" w:eastAsia="宋体" w:cs="宋体"/>
                <w:color w:val="auto"/>
                <w:kern w:val="0"/>
                <w:sz w:val="21"/>
                <w:szCs w:val="21"/>
              </w:rPr>
              <w:t>需注满</w:t>
            </w:r>
            <w:r>
              <w:rPr>
                <w:rFonts w:hint="eastAsia" w:ascii="宋体" w:hAnsi="宋体" w:eastAsia="宋体" w:cs="宋体"/>
                <w:color w:val="auto"/>
                <w:kern w:val="0"/>
                <w:sz w:val="21"/>
                <w:szCs w:val="21"/>
                <w:lang w:eastAsia="zh-CN"/>
              </w:rPr>
              <w:t>；</w:t>
            </w:r>
          </w:p>
          <w:p w14:paraId="11402B07">
            <w:pPr>
              <w:keepNext w:val="0"/>
              <w:keepLines w:val="0"/>
              <w:suppressLineNumbers w:val="0"/>
              <w:adjustRightInd w:val="0"/>
              <w:snapToGrid w:val="0"/>
              <w:spacing w:before="0" w:beforeAutospacing="0" w:after="0" w:afterAutospacing="0" w:line="360" w:lineRule="auto"/>
              <w:ind w:left="0" w:leftChars="0" w:right="0" w:firstLineChars="0"/>
              <w:rPr>
                <w:rFonts w:hint="eastAsia" w:ascii="宋体" w:hAnsi="宋体" w:eastAsia="宋体" w:cs="宋体"/>
                <w:sz w:val="21"/>
                <w:szCs w:val="21"/>
                <w:lang w:eastAsia="zh-CN"/>
              </w:rPr>
            </w:pPr>
            <w:r>
              <w:rPr>
                <w:rFonts w:hint="eastAsia" w:ascii="宋体" w:hAnsi="宋体" w:eastAsia="宋体" w:cs="宋体"/>
                <w:color w:val="auto"/>
                <w:kern w:val="0"/>
                <w:sz w:val="21"/>
                <w:szCs w:val="21"/>
                <w:lang w:val="en-US" w:eastAsia="zh-CN"/>
              </w:rPr>
              <w:t>以上设备长度及功率为参考规格，最终尺寸以确认图纸为准；</w:t>
            </w:r>
          </w:p>
          <w:p w14:paraId="00A6B852">
            <w:pPr>
              <w:keepNext w:val="0"/>
              <w:keepLines w:val="0"/>
              <w:suppressLineNumbers w:val="0"/>
              <w:adjustRightInd w:val="0"/>
              <w:snapToGrid w:val="0"/>
              <w:spacing w:before="0" w:beforeAutospacing="0" w:after="0" w:afterAutospacing="0" w:line="360" w:lineRule="auto"/>
              <w:ind w:left="0" w:leftChars="0" w:right="0" w:right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详见技术参数要求。</w:t>
            </w:r>
          </w:p>
        </w:tc>
      </w:tr>
    </w:tbl>
    <w:p w14:paraId="3F66422B">
      <w:pPr>
        <w:widowControl/>
        <w:numPr>
          <w:ilvl w:val="0"/>
          <w:numId w:val="0"/>
        </w:numPr>
        <w:spacing w:line="360" w:lineRule="auto"/>
        <w:jc w:val="left"/>
        <w:outlineLvl w:val="1"/>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t>备注：</w:t>
      </w:r>
    </w:p>
    <w:p w14:paraId="70078752">
      <w:pPr>
        <w:widowControl/>
        <w:numPr>
          <w:ilvl w:val="0"/>
          <w:numId w:val="0"/>
        </w:numPr>
        <w:adjustRightInd/>
        <w:snapToGrid/>
        <w:spacing w:before="0" w:beforeLines="-2147483648" w:line="360" w:lineRule="auto"/>
        <w:ind w:firstLine="0" w:firstLineChars="0"/>
        <w:jc w:val="left"/>
        <w:outlineLvl w:val="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投标人可自行选择投标设备、材料，但所投设备、材料的技术参数不得低于文件中供参考的技术要求和档次。</w:t>
      </w:r>
    </w:p>
    <w:p w14:paraId="09D8B461">
      <w:pPr>
        <w:widowControl/>
        <w:numPr>
          <w:ilvl w:val="0"/>
          <w:numId w:val="0"/>
        </w:numPr>
        <w:adjustRightInd/>
        <w:snapToGrid/>
        <w:spacing w:line="360" w:lineRule="auto"/>
        <w:ind w:firstLine="0" w:firstLineChars="0"/>
        <w:jc w:val="left"/>
        <w:outlineLvl w:val="1"/>
        <w:rPr>
          <w:rFonts w:hint="eastAsia" w:asciiTheme="minorEastAsia" w:hAnsiTheme="minorEastAsia" w:eastAsiaTheme="minorEastAsia" w:cstheme="minorEastAsia"/>
          <w:color w:val="000000" w:themeColor="text1"/>
          <w:kern w:val="2"/>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2）</w:t>
      </w:r>
      <w:r>
        <w:rPr>
          <w:rFonts w:hint="eastAsia" w:asciiTheme="minorEastAsia" w:hAnsiTheme="minorEastAsia" w:eastAsiaTheme="minorEastAsia" w:cstheme="minorEastAsia"/>
          <w:color w:val="000000" w:themeColor="text1"/>
          <w:kern w:val="2"/>
          <w:sz w:val="21"/>
          <w:szCs w:val="21"/>
          <w:highlight w:val="none"/>
          <w:lang w:bidi="ar"/>
          <w14:textFill>
            <w14:solidFill>
              <w14:schemeClr w14:val="tx1"/>
            </w14:solidFill>
          </w14:textFill>
        </w:rPr>
        <w:t xml:space="preserve">以上设备尺寸（外形尺寸、出料口尺寸、入料口尺寸等）及图纸须在下单生产前提交我司技术确认。 </w:t>
      </w:r>
    </w:p>
    <w:p w14:paraId="4C7D078C">
      <w:pPr>
        <w:widowControl/>
        <w:numPr>
          <w:ilvl w:val="0"/>
          <w:numId w:val="0"/>
        </w:numPr>
        <w:spacing w:line="360" w:lineRule="auto"/>
        <w:jc w:val="left"/>
        <w:outlineLvl w:val="1"/>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bidi="ar"/>
          <w14:textFill>
            <w14:solidFill>
              <w14:schemeClr w14:val="tx1"/>
            </w14:solidFill>
          </w14:textFill>
        </w:rPr>
        <w:t>设备铭牌按我司要求制作标示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43144841">
      <w:pPr>
        <w:widowControl/>
        <w:numPr>
          <w:ilvl w:val="0"/>
          <w:numId w:val="0"/>
        </w:numPr>
        <w:spacing w:line="360" w:lineRule="auto"/>
        <w:jc w:val="left"/>
        <w:outlineLvl w:val="1"/>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6B918629">
      <w:pPr>
        <w:widowControl/>
        <w:numPr>
          <w:ilvl w:val="0"/>
          <w:numId w:val="3"/>
        </w:numPr>
        <w:spacing w:line="360" w:lineRule="auto"/>
        <w:jc w:val="left"/>
        <w:outlineLvl w:val="1"/>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t>详细技术参数要求</w:t>
      </w:r>
    </w:p>
    <w:p w14:paraId="6855EC78">
      <w:pPr>
        <w:adjustRightInd w:val="0"/>
        <w:snapToGrid w:val="0"/>
        <w:spacing w:line="360" w:lineRule="auto"/>
        <w:ind w:firstLine="420" w:firstLineChars="200"/>
        <w:jc w:val="left"/>
        <w:rPr>
          <w:rFonts w:hint="eastAsia" w:ascii="Times" w:hAnsi="Times" w:cs="宋体"/>
          <w:b/>
          <w:bCs/>
          <w:color w:val="000000" w:themeColor="text1"/>
          <w:szCs w:val="21"/>
          <w14:textFill>
            <w14:solidFill>
              <w14:schemeClr w14:val="tx1"/>
            </w14:solidFill>
          </w14:textFill>
        </w:rPr>
      </w:pPr>
      <w:r>
        <w:rPr>
          <w:rFonts w:hint="eastAsia" w:ascii="Times" w:hAnsi="Times" w:cs="宋体"/>
          <w:b/>
          <w:bCs/>
          <w:color w:val="000000" w:themeColor="text1"/>
          <w:szCs w:val="21"/>
          <w14:textFill>
            <w14:solidFill>
              <w14:schemeClr w14:val="tx1"/>
            </w14:solidFill>
          </w14:textFill>
        </w:rPr>
        <w:t>1</w:t>
      </w:r>
      <w:r>
        <w:rPr>
          <w:rFonts w:ascii="Times" w:hAnsi="Times" w:cs="宋体"/>
          <w:b/>
          <w:bCs/>
          <w:color w:val="000000" w:themeColor="text1"/>
          <w:szCs w:val="21"/>
          <w14:textFill>
            <w14:solidFill>
              <w14:schemeClr w14:val="tx1"/>
            </w14:solidFill>
          </w14:textFill>
        </w:rPr>
        <w:t>.</w:t>
      </w:r>
      <w:r>
        <w:rPr>
          <w:rFonts w:hint="eastAsia" w:ascii="Times" w:hAnsi="Times" w:cs="宋体"/>
          <w:b/>
          <w:bCs/>
          <w:color w:val="000000" w:themeColor="text1"/>
          <w:szCs w:val="21"/>
          <w14:textFill>
            <w14:solidFill>
              <w14:schemeClr w14:val="tx1"/>
            </w14:solidFill>
          </w14:textFill>
        </w:rPr>
        <w:t>参数要求</w:t>
      </w:r>
    </w:p>
    <w:p w14:paraId="5074ED6D">
      <w:pPr>
        <w:adjustRightInd w:val="0"/>
        <w:snapToGrid w:val="0"/>
        <w:spacing w:line="360" w:lineRule="auto"/>
        <w:ind w:firstLine="420" w:firstLineChars="200"/>
        <w:jc w:val="left"/>
        <w:rPr>
          <w:rFonts w:hint="eastAsia" w:ascii="Times" w:hAnsi="Times" w:cs="宋体"/>
          <w:b/>
          <w:bCs/>
          <w:color w:val="000000" w:themeColor="text1"/>
          <w:szCs w:val="21"/>
          <w14:textFill>
            <w14:solidFill>
              <w14:schemeClr w14:val="tx1"/>
            </w14:solidFill>
          </w14:textFill>
        </w:rPr>
      </w:pPr>
      <w:r>
        <w:rPr>
          <w:rFonts w:ascii="Times" w:hAnsi="Times" w:cs="宋体"/>
          <w:b/>
          <w:bCs/>
          <w:color w:val="000000" w:themeColor="text1"/>
          <w:szCs w:val="21"/>
          <w14:textFill>
            <w14:solidFill>
              <w14:schemeClr w14:val="tx1"/>
            </w14:solidFill>
          </w14:textFill>
        </w:rPr>
        <w:t>1</w:t>
      </w:r>
      <w:r>
        <w:rPr>
          <w:rFonts w:hint="eastAsia" w:ascii="Times" w:hAnsi="Times" w:cs="宋体"/>
          <w:color w:val="000000" w:themeColor="text1"/>
          <w:szCs w:val="21"/>
          <w14:textFill>
            <w14:solidFill>
              <w14:schemeClr w14:val="tx1"/>
            </w14:solidFill>
          </w14:textFill>
        </w:rPr>
        <w:t>）</w:t>
      </w:r>
      <w:r>
        <w:rPr>
          <w:rFonts w:hint="eastAsia" w:ascii="Times" w:hAnsi="Times" w:cs="宋体"/>
          <w:b/>
          <w:bCs/>
          <w:color w:val="000000" w:themeColor="text1"/>
          <w:szCs w:val="21"/>
          <w14:textFill>
            <w14:solidFill>
              <w14:schemeClr w14:val="tx1"/>
            </w14:solidFill>
          </w14:textFill>
        </w:rPr>
        <w:t>螺旋</w:t>
      </w:r>
      <w:r>
        <w:rPr>
          <w:rFonts w:hint="eastAsia" w:ascii="Times" w:hAnsi="Times" w:cs="宋体"/>
          <w:b/>
          <w:bCs/>
          <w:color w:val="000000" w:themeColor="text1"/>
          <w:szCs w:val="21"/>
          <w:lang w:val="en-US" w:eastAsia="zh-CN"/>
          <w14:textFill>
            <w14:solidFill>
              <w14:schemeClr w14:val="tx1"/>
            </w14:solidFill>
          </w14:textFill>
        </w:rPr>
        <w:t>输送机</w:t>
      </w:r>
      <w:r>
        <w:rPr>
          <w:rFonts w:hint="eastAsia" w:ascii="Times" w:hAnsi="Times" w:cs="宋体"/>
          <w:b/>
          <w:bCs/>
          <w:color w:val="000000" w:themeColor="text1"/>
          <w:szCs w:val="21"/>
          <w14:textFill>
            <w14:solidFill>
              <w14:schemeClr w14:val="tx1"/>
            </w14:solidFill>
          </w14:textFill>
        </w:rPr>
        <w:t>基本参数：</w:t>
      </w:r>
    </w:p>
    <w:p w14:paraId="6B6682B1">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1.1</w:t>
      </w:r>
      <w:r>
        <w:rPr>
          <w:rFonts w:hint="eastAsia" w:ascii="Times" w:hAnsi="Times" w:cs="宋体"/>
          <w:color w:val="000000" w:themeColor="text1"/>
          <w:szCs w:val="21"/>
          <w14:textFill>
            <w14:solidFill>
              <w14:schemeClr w14:val="tx1"/>
            </w14:solidFill>
          </w14:textFill>
        </w:rPr>
        <w:t>）输送含</w:t>
      </w:r>
      <w:r>
        <w:rPr>
          <w:rFonts w:hint="eastAsia" w:ascii="Times" w:hAnsi="Times" w:cs="宋体"/>
          <w:color w:val="auto"/>
          <w:szCs w:val="21"/>
        </w:rPr>
        <w:t>水率为</w:t>
      </w:r>
      <w:r>
        <w:rPr>
          <w:rFonts w:ascii="Times" w:hAnsi="Times" w:cs="宋体"/>
          <w:color w:val="auto"/>
          <w:szCs w:val="21"/>
        </w:rPr>
        <w:t>65%</w:t>
      </w:r>
      <w:r>
        <w:rPr>
          <w:rFonts w:hint="eastAsia" w:ascii="Times" w:hAnsi="Times" w:cs="宋体"/>
          <w:color w:val="auto"/>
          <w:szCs w:val="21"/>
        </w:rPr>
        <w:t>以</w:t>
      </w:r>
      <w:r>
        <w:rPr>
          <w:rFonts w:hint="eastAsia" w:ascii="Times" w:hAnsi="Times" w:cs="宋体"/>
          <w:color w:val="000000" w:themeColor="text1"/>
          <w:szCs w:val="21"/>
          <w14:textFill>
            <w14:solidFill>
              <w14:schemeClr w14:val="tx1"/>
            </w14:solidFill>
          </w14:textFill>
        </w:rPr>
        <w:t>下的脱水泥饼；</w:t>
      </w:r>
    </w:p>
    <w:p w14:paraId="338798F2">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1.2</w:t>
      </w:r>
      <w:r>
        <w:rPr>
          <w:rFonts w:hint="eastAsia" w:ascii="Times" w:hAnsi="Times" w:cs="宋体"/>
          <w:color w:val="000000" w:themeColor="text1"/>
          <w:szCs w:val="21"/>
          <w14:textFill>
            <w14:solidFill>
              <w14:schemeClr w14:val="tx1"/>
            </w14:solidFill>
          </w14:textFill>
        </w:rPr>
        <w:t>）结构:带盖板全密封、设有排水口；</w:t>
      </w:r>
    </w:p>
    <w:p w14:paraId="672C4D9A">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1.3</w:t>
      </w:r>
      <w:r>
        <w:rPr>
          <w:rFonts w:hint="eastAsia" w:ascii="Times" w:hAnsi="Times" w:cs="宋体"/>
          <w:color w:val="000000" w:themeColor="text1"/>
          <w:szCs w:val="21"/>
          <w14:textFill>
            <w14:solidFill>
              <w14:schemeClr w14:val="tx1"/>
            </w14:solidFill>
          </w14:textFill>
        </w:rPr>
        <w:t>）驱动方式:拉螺旋；</w:t>
      </w:r>
    </w:p>
    <w:p w14:paraId="3256C725">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1.4</w:t>
      </w:r>
      <w:r>
        <w:rPr>
          <w:rFonts w:hint="eastAsia" w:ascii="Times" w:hAnsi="Times" w:cs="宋体"/>
          <w:color w:val="000000" w:themeColor="text1"/>
          <w:szCs w:val="21"/>
          <w14:textFill>
            <w14:solidFill>
              <w14:schemeClr w14:val="tx1"/>
            </w14:solidFill>
          </w14:textFill>
        </w:rPr>
        <w:t>）驱动电机: 交流鼠笼感应电动机，其设计、制造符合GB标准。防护等级:IP55，绝缘等级:F级。与其联结的负荷不得超过电机铭牌上所示功率；</w:t>
      </w:r>
    </w:p>
    <w:p w14:paraId="5070265B">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1.5</w:t>
      </w:r>
      <w:r>
        <w:rPr>
          <w:rFonts w:hint="eastAsia" w:ascii="Times" w:hAnsi="Times" w:cs="宋体"/>
          <w:color w:val="000000" w:themeColor="text1"/>
          <w:szCs w:val="21"/>
          <w14:textFill>
            <w14:solidFill>
              <w14:schemeClr w14:val="tx1"/>
            </w14:solidFill>
          </w14:textFill>
        </w:rPr>
        <w:t>）输送量:与系统配套；</w:t>
      </w:r>
    </w:p>
    <w:p w14:paraId="7B269832">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1.6</w:t>
      </w:r>
      <w:r>
        <w:rPr>
          <w:rFonts w:hint="eastAsia" w:ascii="Times" w:hAnsi="Times" w:cs="宋体"/>
          <w:color w:val="000000" w:themeColor="text1"/>
          <w:szCs w:val="21"/>
          <w14:textFill>
            <w14:solidFill>
              <w14:schemeClr w14:val="tx1"/>
            </w14:solidFill>
          </w14:textFill>
        </w:rPr>
        <w:t>）长度: 长度符合实际使用需求，</w:t>
      </w:r>
      <w:r>
        <w:rPr>
          <w:rFonts w:hint="eastAsia" w:ascii="Times" w:hAnsi="Times" w:cs="宋体"/>
          <w:color w:val="000000" w:themeColor="text1"/>
          <w:szCs w:val="21"/>
          <w:lang w:val="en-US" w:eastAsia="zh-CN"/>
          <w14:textFill>
            <w14:solidFill>
              <w14:schemeClr w14:val="tx1"/>
            </w14:solidFill>
          </w14:textFill>
        </w:rPr>
        <w:t>以确认图为准</w:t>
      </w:r>
      <w:r>
        <w:rPr>
          <w:rFonts w:hint="eastAsia" w:ascii="Times" w:hAnsi="Times" w:cs="宋体"/>
          <w:color w:val="000000" w:themeColor="text1"/>
          <w:szCs w:val="21"/>
          <w14:textFill>
            <w14:solidFill>
              <w14:schemeClr w14:val="tx1"/>
            </w14:solidFill>
          </w14:textFill>
        </w:rPr>
        <w:t>；</w:t>
      </w:r>
    </w:p>
    <w:p w14:paraId="07D324E6">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1.7</w:t>
      </w:r>
      <w:r>
        <w:rPr>
          <w:rFonts w:hint="eastAsia" w:ascii="Times" w:hAnsi="Times" w:cs="宋体"/>
          <w:color w:val="000000" w:themeColor="text1"/>
          <w:szCs w:val="21"/>
          <w14:textFill>
            <w14:solidFill>
              <w14:schemeClr w14:val="tx1"/>
            </w14:solidFill>
          </w14:textFill>
        </w:rPr>
        <w:t>）材质: 螺旋体材质采用SUS304，</w:t>
      </w:r>
      <w:r>
        <w:rPr>
          <w:rFonts w:hint="eastAsia" w:ascii="Times" w:hAnsi="Times" w:cs="宋体"/>
          <w:color w:val="000000" w:themeColor="text1"/>
          <w:szCs w:val="21"/>
          <w:lang w:val="en-US" w:eastAsia="zh-CN"/>
          <w14:textFill>
            <w14:solidFill>
              <w14:schemeClr w14:val="tx1"/>
            </w14:solidFill>
          </w14:textFill>
        </w:rPr>
        <w:t>有轴</w:t>
      </w:r>
      <w:r>
        <w:rPr>
          <w:rFonts w:hint="eastAsia" w:ascii="Times" w:hAnsi="Times" w:cs="宋体"/>
          <w:color w:val="000000" w:themeColor="text1"/>
          <w:szCs w:val="21"/>
          <w14:textFill>
            <w14:solidFill>
              <w14:schemeClr w14:val="tx1"/>
            </w14:solidFill>
          </w14:textFill>
        </w:rPr>
        <w:t>螺旋叶片厚度≥1</w:t>
      </w:r>
      <w:r>
        <w:rPr>
          <w:rFonts w:ascii="Times" w:hAnsi="Times" w:cs="宋体"/>
          <w:color w:val="000000" w:themeColor="text1"/>
          <w:szCs w:val="21"/>
          <w14:textFill>
            <w14:solidFill>
              <w14:schemeClr w14:val="tx1"/>
            </w14:solidFill>
          </w14:textFill>
        </w:rPr>
        <w:t>2</w:t>
      </w:r>
      <w:r>
        <w:rPr>
          <w:rFonts w:hint="eastAsia" w:ascii="Times" w:hAnsi="Times" w:cs="宋体"/>
          <w:color w:val="000000" w:themeColor="text1"/>
          <w:szCs w:val="21"/>
          <w14:textFill>
            <w14:solidFill>
              <w14:schemeClr w14:val="tx1"/>
            </w14:solidFill>
          </w14:textFill>
        </w:rPr>
        <w:t>mm；</w:t>
      </w:r>
      <w:r>
        <w:rPr>
          <w:rFonts w:hint="eastAsia" w:ascii="Times" w:hAnsi="Times" w:cs="宋体"/>
          <w:color w:val="000000" w:themeColor="text1"/>
          <w:szCs w:val="21"/>
          <w:lang w:val="en-US" w:eastAsia="zh-CN"/>
          <w14:textFill>
            <w14:solidFill>
              <w14:schemeClr w14:val="tx1"/>
            </w14:solidFill>
          </w14:textFill>
        </w:rPr>
        <w:t>无轴</w:t>
      </w:r>
      <w:r>
        <w:rPr>
          <w:rFonts w:hint="eastAsia" w:ascii="Times" w:hAnsi="Times" w:cs="宋体"/>
          <w:color w:val="000000" w:themeColor="text1"/>
          <w:szCs w:val="21"/>
          <w14:textFill>
            <w14:solidFill>
              <w14:schemeClr w14:val="tx1"/>
            </w14:solidFill>
          </w14:textFill>
        </w:rPr>
        <w:t>螺旋叶片厚度≥</w:t>
      </w:r>
      <w:r>
        <w:rPr>
          <w:rFonts w:hint="eastAsia" w:ascii="Times" w:hAnsi="Times" w:cs="宋体"/>
          <w:color w:val="000000" w:themeColor="text1"/>
          <w:szCs w:val="21"/>
          <w:lang w:val="en-US" w:eastAsia="zh-CN"/>
          <w14:textFill>
            <w14:solidFill>
              <w14:schemeClr w14:val="tx1"/>
            </w14:solidFill>
          </w14:textFill>
        </w:rPr>
        <w:t>20</w:t>
      </w:r>
      <w:r>
        <w:rPr>
          <w:rFonts w:hint="eastAsia" w:ascii="Times" w:hAnsi="Times" w:cs="宋体"/>
          <w:color w:val="000000" w:themeColor="text1"/>
          <w:szCs w:val="21"/>
          <w14:textFill>
            <w14:solidFill>
              <w14:schemeClr w14:val="tx1"/>
            </w14:solidFill>
          </w14:textFill>
        </w:rPr>
        <w:t>mm；与物料接触面小，磨擦力低，无堵塞、缠绕现象。紧固件材质3</w:t>
      </w:r>
      <w:r>
        <w:rPr>
          <w:rFonts w:ascii="Times" w:hAnsi="Times" w:cs="宋体"/>
          <w:color w:val="000000" w:themeColor="text1"/>
          <w:szCs w:val="21"/>
          <w14:textFill>
            <w14:solidFill>
              <w14:schemeClr w14:val="tx1"/>
            </w14:solidFill>
          </w14:textFill>
        </w:rPr>
        <w:t>04</w:t>
      </w:r>
      <w:r>
        <w:rPr>
          <w:rFonts w:hint="eastAsia" w:ascii="Times" w:hAnsi="Times" w:cs="宋体"/>
          <w:color w:val="000000" w:themeColor="text1"/>
          <w:szCs w:val="21"/>
          <w14:textFill>
            <w14:solidFill>
              <w14:schemeClr w14:val="tx1"/>
            </w14:solidFill>
          </w14:textFill>
        </w:rPr>
        <w:t>；壳体厚度≥</w:t>
      </w:r>
      <w:r>
        <w:rPr>
          <w:rFonts w:hint="eastAsia" w:ascii="Times" w:hAnsi="Times" w:cs="宋体"/>
          <w:color w:val="000000" w:themeColor="text1"/>
          <w:szCs w:val="21"/>
          <w:lang w:val="en-US" w:eastAsia="zh-CN"/>
          <w14:textFill>
            <w14:solidFill>
              <w14:schemeClr w14:val="tx1"/>
            </w14:solidFill>
          </w14:textFill>
        </w:rPr>
        <w:t>6</w:t>
      </w:r>
      <w:r>
        <w:rPr>
          <w:rFonts w:hint="eastAsia" w:ascii="Times" w:hAnsi="Times" w:cs="宋体"/>
          <w:color w:val="000000" w:themeColor="text1"/>
          <w:szCs w:val="21"/>
          <w14:textFill>
            <w14:solidFill>
              <w14:schemeClr w14:val="tx1"/>
            </w14:solidFill>
          </w14:textFill>
        </w:rPr>
        <w:t>mm</w:t>
      </w:r>
      <w:r>
        <w:rPr>
          <w:rFonts w:hint="eastAsia" w:ascii="Times" w:hAnsi="Times" w:cs="宋体"/>
          <w:color w:val="000000" w:themeColor="text1"/>
          <w:szCs w:val="21"/>
          <w:lang w:eastAsia="zh-CN"/>
          <w14:textFill>
            <w14:solidFill>
              <w14:schemeClr w14:val="tx1"/>
            </w14:solidFill>
          </w14:textFill>
        </w:rPr>
        <w:t>；</w:t>
      </w:r>
      <w:r>
        <w:rPr>
          <w:rFonts w:hint="eastAsia" w:ascii="Times" w:hAnsi="Times" w:cs="宋体"/>
          <w:color w:val="000000" w:themeColor="text1"/>
          <w:szCs w:val="21"/>
          <w:lang w:val="en-US" w:eastAsia="zh-CN"/>
          <w14:textFill>
            <w14:solidFill>
              <w14:schemeClr w14:val="tx1"/>
            </w14:solidFill>
          </w14:textFill>
        </w:rPr>
        <w:t>无轴螺旋</w:t>
      </w:r>
      <w:r>
        <w:rPr>
          <w:rFonts w:hint="eastAsia" w:ascii="Times New Roman" w:hAnsi="Times New Roman" w:eastAsia="宋体" w:cs="宋体"/>
          <w:kern w:val="2"/>
          <w:sz w:val="20"/>
          <w:szCs w:val="20"/>
          <w:lang w:val="en-US" w:eastAsia="zh-CN" w:bidi="ar"/>
        </w:rPr>
        <w:t>输送槽内衬采用耐磨耐腐蚀材料，易更换；参考：单体浇铸尼龙（</w:t>
      </w:r>
      <w:r>
        <w:rPr>
          <w:rFonts w:hint="default" w:ascii="Times New Roman" w:hAnsi="Times New Roman" w:eastAsia="宋体" w:cs="宋体"/>
          <w:kern w:val="2"/>
          <w:sz w:val="20"/>
          <w:szCs w:val="20"/>
          <w:lang w:val="en-US" w:eastAsia="zh-CN" w:bidi="ar"/>
        </w:rPr>
        <w:t>MC</w:t>
      </w:r>
      <w:r>
        <w:rPr>
          <w:rFonts w:hint="eastAsia" w:ascii="Times New Roman" w:hAnsi="Times New Roman" w:eastAsia="宋体" w:cs="宋体"/>
          <w:kern w:val="2"/>
          <w:sz w:val="20"/>
          <w:szCs w:val="20"/>
          <w:lang w:val="en-US" w:eastAsia="zh-CN" w:bidi="ar"/>
        </w:rPr>
        <w:t>尼龙）／超高分子量聚乙烯（</w:t>
      </w:r>
      <w:r>
        <w:rPr>
          <w:rFonts w:hint="default" w:ascii="Times New Roman" w:hAnsi="Times New Roman" w:eastAsia="宋体" w:cs="宋体"/>
          <w:kern w:val="2"/>
          <w:sz w:val="20"/>
          <w:szCs w:val="20"/>
          <w:lang w:val="en-US" w:eastAsia="zh-CN" w:bidi="ar"/>
        </w:rPr>
        <w:t>UHMW-PE</w:t>
      </w:r>
      <w:r>
        <w:rPr>
          <w:rFonts w:hint="eastAsia" w:ascii="Times New Roman" w:hAnsi="Times New Roman" w:eastAsia="宋体" w:cs="宋体"/>
          <w:kern w:val="2"/>
          <w:sz w:val="20"/>
          <w:szCs w:val="20"/>
          <w:lang w:val="en-US" w:eastAsia="zh-CN" w:bidi="ar"/>
        </w:rPr>
        <w:t>）</w:t>
      </w:r>
      <w:r>
        <w:rPr>
          <w:rFonts w:hint="default" w:ascii="Times New Roman" w:hAnsi="Times New Roman" w:eastAsia="宋体" w:cs="宋体"/>
          <w:kern w:val="2"/>
          <w:sz w:val="20"/>
          <w:szCs w:val="20"/>
          <w:lang w:val="en-US" w:eastAsia="zh-CN" w:bidi="ar"/>
        </w:rPr>
        <w:t>/ABS</w:t>
      </w:r>
      <w:r>
        <w:rPr>
          <w:rFonts w:hint="eastAsia" w:ascii="Times New Roman" w:hAnsi="Times New Roman" w:eastAsia="宋体" w:cs="宋体"/>
          <w:kern w:val="2"/>
          <w:sz w:val="20"/>
          <w:szCs w:val="20"/>
          <w:lang w:val="en-US" w:eastAsia="zh-CN" w:bidi="ar"/>
        </w:rPr>
        <w:t>工程塑料</w:t>
      </w:r>
      <w:r>
        <w:rPr>
          <w:rFonts w:hint="eastAsia" w:ascii="Times" w:hAnsi="Times" w:cs="宋体"/>
          <w:color w:val="000000" w:themeColor="text1"/>
          <w:szCs w:val="21"/>
          <w14:textFill>
            <w14:solidFill>
              <w14:schemeClr w14:val="tx1"/>
            </w14:solidFill>
          </w14:textFill>
        </w:rPr>
        <w:t>。</w:t>
      </w:r>
    </w:p>
    <w:p w14:paraId="23B0C843">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1.8</w:t>
      </w:r>
      <w:r>
        <w:rPr>
          <w:rFonts w:hint="eastAsia" w:ascii="Times" w:hAnsi="Times" w:cs="宋体"/>
          <w:color w:val="000000" w:themeColor="text1"/>
          <w:szCs w:val="21"/>
          <w14:textFill>
            <w14:solidFill>
              <w14:schemeClr w14:val="tx1"/>
            </w14:solidFill>
          </w14:textFill>
        </w:rPr>
        <w:t>）除进、出料口外，其余部位全密封，焊缝等需经过渗水试验；</w:t>
      </w:r>
    </w:p>
    <w:p w14:paraId="4110F97B">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1.9</w:t>
      </w:r>
      <w:r>
        <w:rPr>
          <w:rFonts w:hint="eastAsia" w:ascii="Times" w:hAnsi="Times" w:cs="宋体"/>
          <w:color w:val="000000" w:themeColor="text1"/>
          <w:szCs w:val="21"/>
          <w14:textFill>
            <w14:solidFill>
              <w14:schemeClr w14:val="tx1"/>
            </w14:solidFill>
          </w14:textFill>
        </w:rPr>
        <w:t>）单驱动，单向输送；</w:t>
      </w:r>
    </w:p>
    <w:p w14:paraId="7BD34607">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1.10</w:t>
      </w:r>
      <w:r>
        <w:rPr>
          <w:rFonts w:hint="eastAsia" w:ascii="Times" w:hAnsi="Times" w:cs="宋体"/>
          <w:color w:val="000000" w:themeColor="text1"/>
          <w:szCs w:val="21"/>
          <w14:textFill>
            <w14:solidFill>
              <w14:schemeClr w14:val="tx1"/>
            </w14:solidFill>
          </w14:textFill>
        </w:rPr>
        <w:t>）轴承:原装进口品牌，减速机采用江苏国茂、宁波东力、江苏泰隆、重庆赛力盟或同等档次品牌；</w:t>
      </w:r>
    </w:p>
    <w:p w14:paraId="3D013D46">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1.11</w:t>
      </w:r>
      <w:r>
        <w:rPr>
          <w:rFonts w:hint="eastAsia" w:ascii="Times" w:hAnsi="Times" w:cs="宋体"/>
          <w:color w:val="000000" w:themeColor="text1"/>
          <w:szCs w:val="21"/>
          <w14:textFill>
            <w14:solidFill>
              <w14:schemeClr w14:val="tx1"/>
            </w14:solidFill>
          </w14:textFill>
        </w:rPr>
        <w:t>）螺旋输送机带有:进口、出口、取样点、检查孔、紧急卸料口；</w:t>
      </w:r>
    </w:p>
    <w:p w14:paraId="46193F22">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1.12</w:t>
      </w:r>
      <w:r>
        <w:rPr>
          <w:rFonts w:hint="eastAsia" w:ascii="Times" w:hAnsi="Times" w:cs="宋体"/>
          <w:color w:val="000000" w:themeColor="text1"/>
          <w:szCs w:val="21"/>
          <w14:textFill>
            <w14:solidFill>
              <w14:schemeClr w14:val="tx1"/>
            </w14:solidFill>
          </w14:textFill>
        </w:rPr>
        <w:t>）进出料口先制作好，待现场焊接。</w:t>
      </w:r>
    </w:p>
    <w:p w14:paraId="483E96B4">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1.13</w:t>
      </w:r>
      <w:r>
        <w:rPr>
          <w:rFonts w:hint="eastAsia" w:ascii="Times" w:hAnsi="Times" w:cs="宋体"/>
          <w:color w:val="000000" w:themeColor="text1"/>
          <w:szCs w:val="21"/>
          <w14:textFill>
            <w14:solidFill>
              <w14:schemeClr w14:val="tx1"/>
            </w14:solidFill>
          </w14:textFill>
        </w:rPr>
        <w:t>）</w:t>
      </w:r>
      <w:r>
        <w:rPr>
          <w:rFonts w:ascii="Times" w:hAnsi="Times" w:cs="宋体"/>
          <w:color w:val="000000" w:themeColor="text1"/>
          <w:szCs w:val="21"/>
          <w14:textFill>
            <w14:solidFill>
              <w14:schemeClr w14:val="tx1"/>
            </w14:solidFill>
          </w14:textFill>
        </w:rPr>
        <w:t>螺旋输送机配有断电保护装置，与PLC相连。</w:t>
      </w:r>
    </w:p>
    <w:p w14:paraId="0E135DE8">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1.14</w:t>
      </w:r>
      <w:r>
        <w:rPr>
          <w:rFonts w:hint="eastAsia" w:ascii="Times" w:hAnsi="Times" w:cs="宋体"/>
          <w:color w:val="000000" w:themeColor="text1"/>
          <w:szCs w:val="21"/>
          <w14:textFill>
            <w14:solidFill>
              <w14:schemeClr w14:val="tx1"/>
            </w14:solidFill>
          </w14:textFill>
        </w:rPr>
        <w:t>）</w:t>
      </w:r>
      <w:r>
        <w:rPr>
          <w:rFonts w:ascii="Times" w:hAnsi="Times" w:cs="宋体"/>
          <w:color w:val="000000" w:themeColor="text1"/>
          <w:szCs w:val="21"/>
          <w14:textFill>
            <w14:solidFill>
              <w14:schemeClr w14:val="tx1"/>
            </w14:solidFill>
          </w14:textFill>
        </w:rPr>
        <w:t>螺旋输送机应有空转保护报警。</w:t>
      </w:r>
    </w:p>
    <w:p w14:paraId="4D7614B9">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1.15</w:t>
      </w:r>
      <w:r>
        <w:rPr>
          <w:rFonts w:hint="eastAsia" w:ascii="Times" w:hAnsi="Times" w:cs="宋体"/>
          <w:color w:val="000000" w:themeColor="text1"/>
          <w:szCs w:val="21"/>
          <w14:textFill>
            <w14:solidFill>
              <w14:schemeClr w14:val="tx1"/>
            </w14:solidFill>
          </w14:textFill>
        </w:rPr>
        <w:t>）支腿，材质3</w:t>
      </w:r>
      <w:r>
        <w:rPr>
          <w:rFonts w:ascii="Times" w:hAnsi="Times" w:cs="宋体"/>
          <w:color w:val="000000" w:themeColor="text1"/>
          <w:szCs w:val="21"/>
          <w14:textFill>
            <w14:solidFill>
              <w14:schemeClr w14:val="tx1"/>
            </w14:solidFill>
          </w14:textFill>
        </w:rPr>
        <w:t>04</w:t>
      </w:r>
      <w:r>
        <w:rPr>
          <w:rFonts w:hint="eastAsia" w:ascii="Times" w:hAnsi="Times" w:cs="宋体"/>
          <w:color w:val="000000" w:themeColor="text1"/>
          <w:szCs w:val="21"/>
          <w14:textFill>
            <w14:solidFill>
              <w14:schemeClr w14:val="tx1"/>
            </w14:solidFill>
          </w14:textFill>
        </w:rPr>
        <w:t>。</w:t>
      </w:r>
    </w:p>
    <w:p w14:paraId="49C16182">
      <w:pPr>
        <w:numPr>
          <w:ilvl w:val="255"/>
          <w:numId w:val="0"/>
        </w:numPr>
        <w:adjustRightInd w:val="0"/>
        <w:snapToGrid w:val="0"/>
        <w:spacing w:line="360" w:lineRule="auto"/>
        <w:ind w:firstLine="420" w:firstLineChars="200"/>
        <w:jc w:val="left"/>
        <w:rPr>
          <w:rFonts w:hint="default" w:ascii="Times" w:hAnsi="Times" w:eastAsia="宋体" w:cs="宋体"/>
          <w:color w:val="000000" w:themeColor="text1"/>
          <w:sz w:val="21"/>
          <w:szCs w:val="21"/>
          <w:highlight w:val="none"/>
          <w14:textFill>
            <w14:solidFill>
              <w14:schemeClr w14:val="tx1"/>
            </w14:solidFill>
          </w14:textFill>
        </w:rPr>
      </w:pPr>
      <w:r>
        <w:rPr>
          <w:rFonts w:hint="default" w:ascii="Times" w:hAnsi="Times" w:cs="宋体"/>
          <w:color w:val="000000" w:themeColor="text1"/>
          <w:sz w:val="21"/>
          <w:szCs w:val="21"/>
          <w:highlight w:val="none"/>
          <w:lang w:val="en-US" w:eastAsia="zh-CN"/>
          <w14:textFill>
            <w14:solidFill>
              <w14:schemeClr w14:val="tx1"/>
            </w14:solidFill>
          </w14:textFill>
        </w:rPr>
        <w:t>1.16）有轴螺旋</w:t>
      </w:r>
      <w:r>
        <w:rPr>
          <w:rFonts w:hint="default" w:ascii="Times" w:hAnsi="Times" w:eastAsia="宋体" w:cs="宋体"/>
          <w:color w:val="000000" w:themeColor="text1"/>
          <w:sz w:val="21"/>
          <w:szCs w:val="21"/>
          <w:highlight w:val="none"/>
          <w14:textFill>
            <w14:solidFill>
              <w14:schemeClr w14:val="tx1"/>
            </w14:solidFill>
          </w14:textFill>
        </w:rPr>
        <w:t>输送机旋转中心轴为一体的整根轴，不得分段、拼接而成。</w:t>
      </w:r>
    </w:p>
    <w:p w14:paraId="7EE2655F">
      <w:pPr>
        <w:numPr>
          <w:ilvl w:val="-1"/>
          <w:numId w:val="0"/>
        </w:numPr>
        <w:adjustRightInd w:val="0"/>
        <w:snapToGrid w:val="0"/>
        <w:spacing w:line="360" w:lineRule="auto"/>
        <w:ind w:left="420" w:leftChars="200" w:firstLine="0" w:firstLineChars="0"/>
        <w:jc w:val="left"/>
        <w:rPr>
          <w:rFonts w:hint="default" w:ascii="Times" w:hAnsi="Times" w:eastAsia="宋体" w:cs="宋体"/>
          <w:color w:val="000000" w:themeColor="text1"/>
          <w:sz w:val="21"/>
          <w:szCs w:val="21"/>
          <w:highlight w:val="none"/>
          <w:lang w:val="en-US"/>
          <w14:textFill>
            <w14:solidFill>
              <w14:schemeClr w14:val="tx1"/>
            </w14:solidFill>
          </w14:textFill>
        </w:rPr>
      </w:pPr>
      <w:bookmarkStart w:id="42" w:name="_GoBack"/>
      <w:bookmarkEnd w:id="42"/>
      <w:r>
        <w:rPr>
          <w:rFonts w:hint="default" w:ascii="Times" w:hAnsi="Times" w:cs="宋体"/>
          <w:color w:val="000000" w:themeColor="text1"/>
          <w:sz w:val="21"/>
          <w:szCs w:val="21"/>
          <w:highlight w:val="none"/>
          <w:lang w:val="en-US" w:eastAsia="zh-CN"/>
          <w14:textFill>
            <w14:solidFill>
              <w14:schemeClr w14:val="tx1"/>
            </w14:solidFill>
          </w14:textFill>
        </w:rPr>
        <w:t>1.17）</w:t>
      </w:r>
      <w:r>
        <w:rPr>
          <w:rFonts w:hint="default" w:ascii="Times" w:hAnsi="Times" w:eastAsia="宋体" w:cs="宋体"/>
          <w:color w:val="000000" w:themeColor="text1"/>
          <w:sz w:val="21"/>
          <w:szCs w:val="21"/>
          <w:highlight w:val="none"/>
          <w:lang w:val="en-US"/>
          <w14:textFill>
            <w14:solidFill>
              <w14:schemeClr w14:val="tx1"/>
            </w14:solidFill>
          </w14:textFill>
        </w:rPr>
        <w:t>材质要求</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474"/>
        <w:gridCol w:w="1891"/>
        <w:gridCol w:w="3436"/>
      </w:tblGrid>
      <w:tr w14:paraId="171E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552EFF2F">
            <w:pPr>
              <w:pStyle w:val="29"/>
              <w:keepNext w:val="0"/>
              <w:keepLines w:val="0"/>
              <w:suppressLineNumbers w:val="0"/>
              <w:spacing w:before="0" w:beforeAutospacing="0" w:after="0" w:afterAutospacing="0"/>
              <w:ind w:left="0" w:right="0"/>
              <w:rPr>
                <w:rFonts w:hint="default" w:ascii="宋体" w:hAnsi="宋体" w:eastAsia="宋体" w:cs="宋体"/>
                <w:b/>
                <w:bCs/>
                <w:szCs w:val="21"/>
                <w:highlight w:val="none"/>
              </w:rPr>
            </w:pPr>
            <w:r>
              <w:rPr>
                <w:rFonts w:hint="eastAsia" w:ascii="宋体" w:hAnsi="宋体" w:eastAsia="宋体" w:cs="宋体"/>
                <w:b/>
                <w:bCs/>
                <w:szCs w:val="21"/>
                <w:highlight w:val="none"/>
              </w:rPr>
              <w:t>序号</w:t>
            </w:r>
          </w:p>
        </w:tc>
        <w:tc>
          <w:tcPr>
            <w:tcW w:w="1451" w:type="pct"/>
            <w:vAlign w:val="center"/>
          </w:tcPr>
          <w:p w14:paraId="54259A35">
            <w:pPr>
              <w:pStyle w:val="29"/>
              <w:keepNext w:val="0"/>
              <w:keepLines w:val="0"/>
              <w:suppressLineNumbers w:val="0"/>
              <w:spacing w:before="0" w:beforeAutospacing="0" w:after="0" w:afterAutospacing="0"/>
              <w:ind w:left="0" w:right="0"/>
              <w:rPr>
                <w:rFonts w:hint="default" w:ascii="宋体" w:hAnsi="宋体" w:eastAsia="宋体" w:cs="宋体"/>
                <w:b/>
                <w:bCs/>
                <w:szCs w:val="21"/>
                <w:highlight w:val="none"/>
              </w:rPr>
            </w:pPr>
            <w:r>
              <w:rPr>
                <w:rFonts w:hint="eastAsia" w:ascii="宋体" w:hAnsi="宋体" w:eastAsia="宋体" w:cs="宋体"/>
                <w:b/>
                <w:bCs/>
                <w:szCs w:val="21"/>
                <w:highlight w:val="none"/>
              </w:rPr>
              <w:t>名称</w:t>
            </w:r>
          </w:p>
        </w:tc>
        <w:tc>
          <w:tcPr>
            <w:tcW w:w="1109" w:type="pct"/>
            <w:vAlign w:val="center"/>
          </w:tcPr>
          <w:p w14:paraId="300578B3">
            <w:pPr>
              <w:pStyle w:val="29"/>
              <w:keepNext w:val="0"/>
              <w:keepLines w:val="0"/>
              <w:suppressLineNumbers w:val="0"/>
              <w:spacing w:before="0" w:beforeAutospacing="0" w:after="0" w:afterAutospacing="0"/>
              <w:ind w:left="0" w:right="0"/>
              <w:rPr>
                <w:rFonts w:hint="default" w:ascii="宋体" w:hAnsi="宋体" w:eastAsia="宋体" w:cs="宋体"/>
                <w:b/>
                <w:bCs/>
                <w:szCs w:val="21"/>
                <w:highlight w:val="none"/>
              </w:rPr>
            </w:pPr>
            <w:r>
              <w:rPr>
                <w:rFonts w:hint="eastAsia" w:ascii="宋体" w:hAnsi="宋体" w:eastAsia="宋体" w:cs="宋体"/>
                <w:b/>
                <w:bCs/>
                <w:szCs w:val="21"/>
                <w:highlight w:val="none"/>
              </w:rPr>
              <w:t>材质</w:t>
            </w:r>
          </w:p>
        </w:tc>
        <w:tc>
          <w:tcPr>
            <w:tcW w:w="2015" w:type="pct"/>
          </w:tcPr>
          <w:p w14:paraId="4E4AEDAE">
            <w:pPr>
              <w:pStyle w:val="29"/>
              <w:keepNext w:val="0"/>
              <w:keepLines w:val="0"/>
              <w:suppressLineNumbers w:val="0"/>
              <w:spacing w:before="0" w:beforeAutospacing="0" w:after="0" w:afterAutospacing="0"/>
              <w:ind w:left="0" w:right="0"/>
              <w:rPr>
                <w:rFonts w:hint="default" w:ascii="宋体" w:hAnsi="宋体" w:eastAsia="宋体" w:cs="宋体"/>
                <w:b/>
                <w:bCs/>
                <w:szCs w:val="21"/>
                <w:highlight w:val="none"/>
              </w:rPr>
            </w:pPr>
            <w:r>
              <w:rPr>
                <w:rFonts w:hint="eastAsia" w:ascii="宋体" w:hAnsi="宋体" w:eastAsia="宋体" w:cs="宋体"/>
                <w:b/>
                <w:bCs/>
                <w:szCs w:val="21"/>
                <w:highlight w:val="none"/>
              </w:rPr>
              <w:t>备注</w:t>
            </w:r>
          </w:p>
        </w:tc>
      </w:tr>
      <w:tr w14:paraId="572B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7D69F6D8">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ascii="宋体" w:hAnsi="宋体" w:eastAsia="宋体" w:cs="宋体"/>
                <w:szCs w:val="21"/>
                <w:highlight w:val="none"/>
              </w:rPr>
              <w:t>1</w:t>
            </w:r>
          </w:p>
        </w:tc>
        <w:tc>
          <w:tcPr>
            <w:tcW w:w="1451" w:type="pct"/>
            <w:vAlign w:val="center"/>
          </w:tcPr>
          <w:p w14:paraId="44F078CE">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ascii="宋体" w:hAnsi="宋体" w:eastAsia="宋体" w:cs="宋体"/>
                <w:szCs w:val="21"/>
                <w:highlight w:val="none"/>
              </w:rPr>
              <w:t>螺旋叶片</w:t>
            </w:r>
          </w:p>
        </w:tc>
        <w:tc>
          <w:tcPr>
            <w:tcW w:w="1109" w:type="pct"/>
            <w:vAlign w:val="center"/>
          </w:tcPr>
          <w:p w14:paraId="60C064D9">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lang w:val="en-US" w:eastAsia="zh-CN"/>
              </w:rPr>
            </w:pPr>
            <w:r>
              <w:rPr>
                <w:rFonts w:hint="eastAsia" w:cs="宋体"/>
                <w:szCs w:val="21"/>
                <w:highlight w:val="none"/>
                <w:lang w:val="en-US" w:eastAsia="zh-CN"/>
              </w:rPr>
              <w:t>304不锈钢</w:t>
            </w:r>
          </w:p>
        </w:tc>
        <w:tc>
          <w:tcPr>
            <w:tcW w:w="2015" w:type="pct"/>
          </w:tcPr>
          <w:p w14:paraId="529CDF99">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lang w:val="en-US" w:eastAsia="zh-CN"/>
              </w:rPr>
            </w:pPr>
            <w:r>
              <w:rPr>
                <w:rFonts w:hint="eastAsia" w:cs="宋体"/>
                <w:szCs w:val="21"/>
                <w:highlight w:val="none"/>
                <w:lang w:val="en-US" w:eastAsia="zh-CN"/>
              </w:rPr>
              <w:t>有轴螺旋</w:t>
            </w:r>
            <w:r>
              <w:rPr>
                <w:rFonts w:hint="eastAsia" w:ascii="宋体" w:hAnsi="宋体" w:eastAsia="宋体" w:cs="宋体"/>
                <w:szCs w:val="21"/>
                <w:highlight w:val="none"/>
              </w:rPr>
              <w:t>厚度</w:t>
            </w:r>
            <w:r>
              <w:rPr>
                <w:rFonts w:hint="eastAsia" w:cs="宋体"/>
                <w:szCs w:val="21"/>
                <w:highlight w:val="none"/>
                <w:lang w:val="en-US" w:eastAsia="zh-CN"/>
              </w:rPr>
              <w:t>≥</w:t>
            </w:r>
            <w:r>
              <w:rPr>
                <w:rFonts w:hint="eastAsia" w:ascii="宋体" w:hAnsi="宋体" w:eastAsia="宋体" w:cs="宋体"/>
                <w:szCs w:val="21"/>
                <w:highlight w:val="none"/>
              </w:rPr>
              <w:t>1</w:t>
            </w:r>
            <w:r>
              <w:rPr>
                <w:rFonts w:hint="eastAsia" w:cs="宋体"/>
                <w:szCs w:val="21"/>
                <w:highlight w:val="none"/>
                <w:lang w:val="en-US" w:eastAsia="zh-CN"/>
              </w:rPr>
              <w:t>2</w:t>
            </w:r>
            <w:r>
              <w:rPr>
                <w:rFonts w:hint="eastAsia" w:ascii="宋体" w:hAnsi="宋体" w:eastAsia="宋体" w:cs="宋体"/>
                <w:szCs w:val="21"/>
                <w:highlight w:val="none"/>
              </w:rPr>
              <w:t>mm</w:t>
            </w:r>
            <w:r>
              <w:rPr>
                <w:rFonts w:hint="eastAsia" w:cs="宋体"/>
                <w:szCs w:val="21"/>
                <w:highlight w:val="none"/>
                <w:lang w:eastAsia="zh-CN"/>
              </w:rPr>
              <w:t>，</w:t>
            </w:r>
            <w:r>
              <w:rPr>
                <w:rFonts w:hint="eastAsia" w:cs="宋体"/>
                <w:szCs w:val="21"/>
                <w:highlight w:val="none"/>
                <w:lang w:val="en-US" w:eastAsia="zh-CN"/>
              </w:rPr>
              <w:t>无轴螺旋</w:t>
            </w:r>
            <w:r>
              <w:rPr>
                <w:rFonts w:hint="eastAsia" w:ascii="宋体" w:hAnsi="宋体" w:eastAsia="宋体" w:cs="宋体"/>
                <w:szCs w:val="21"/>
                <w:highlight w:val="none"/>
              </w:rPr>
              <w:t>厚度</w:t>
            </w:r>
            <w:r>
              <w:rPr>
                <w:rFonts w:hint="eastAsia" w:cs="宋体"/>
                <w:szCs w:val="21"/>
                <w:highlight w:val="none"/>
                <w:lang w:val="en-US" w:eastAsia="zh-CN"/>
              </w:rPr>
              <w:t>≥20</w:t>
            </w:r>
            <w:r>
              <w:rPr>
                <w:rFonts w:hint="eastAsia" w:ascii="宋体" w:hAnsi="宋体" w:eastAsia="宋体" w:cs="宋体"/>
                <w:szCs w:val="21"/>
                <w:highlight w:val="none"/>
              </w:rPr>
              <w:t>mm</w:t>
            </w:r>
          </w:p>
        </w:tc>
      </w:tr>
      <w:tr w14:paraId="4F6A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13F2050B">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ascii="宋体" w:hAnsi="宋体" w:eastAsia="宋体" w:cs="宋体"/>
                <w:szCs w:val="21"/>
                <w:highlight w:val="none"/>
              </w:rPr>
              <w:t>2</w:t>
            </w:r>
          </w:p>
        </w:tc>
        <w:tc>
          <w:tcPr>
            <w:tcW w:w="1451" w:type="pct"/>
            <w:vAlign w:val="center"/>
          </w:tcPr>
          <w:p w14:paraId="0971C9A7">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ascii="宋体" w:hAnsi="宋体" w:eastAsia="宋体" w:cs="宋体"/>
                <w:szCs w:val="21"/>
                <w:highlight w:val="none"/>
              </w:rPr>
              <w:t>螺旋中心轴</w:t>
            </w:r>
          </w:p>
        </w:tc>
        <w:tc>
          <w:tcPr>
            <w:tcW w:w="1109" w:type="pct"/>
            <w:vAlign w:val="center"/>
          </w:tcPr>
          <w:p w14:paraId="2AB11A02">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cs="宋体"/>
                <w:szCs w:val="21"/>
                <w:highlight w:val="none"/>
                <w:lang w:val="en-US" w:eastAsia="zh-CN"/>
              </w:rPr>
              <w:t>304不锈钢</w:t>
            </w:r>
          </w:p>
        </w:tc>
        <w:tc>
          <w:tcPr>
            <w:tcW w:w="2015" w:type="pct"/>
          </w:tcPr>
          <w:p w14:paraId="4CBEE7C0">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p>
        </w:tc>
      </w:tr>
      <w:tr w14:paraId="1C23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23" w:type="pct"/>
          </w:tcPr>
          <w:p w14:paraId="31FC51B3">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ascii="宋体" w:hAnsi="宋体" w:eastAsia="宋体" w:cs="宋体"/>
                <w:szCs w:val="21"/>
                <w:highlight w:val="none"/>
              </w:rPr>
              <w:t>3</w:t>
            </w:r>
          </w:p>
        </w:tc>
        <w:tc>
          <w:tcPr>
            <w:tcW w:w="1451" w:type="pct"/>
            <w:vAlign w:val="center"/>
          </w:tcPr>
          <w:p w14:paraId="513BDECB">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ascii="宋体" w:hAnsi="宋体" w:eastAsia="宋体" w:cs="宋体"/>
                <w:szCs w:val="21"/>
                <w:highlight w:val="none"/>
              </w:rPr>
              <w:t>输送机壳体及盖板</w:t>
            </w:r>
          </w:p>
        </w:tc>
        <w:tc>
          <w:tcPr>
            <w:tcW w:w="1109" w:type="pct"/>
            <w:vAlign w:val="center"/>
          </w:tcPr>
          <w:p w14:paraId="38575EFE">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cs="宋体"/>
                <w:szCs w:val="21"/>
                <w:highlight w:val="none"/>
                <w:lang w:val="en-US" w:eastAsia="zh-CN"/>
              </w:rPr>
              <w:t>304不锈钢</w:t>
            </w:r>
          </w:p>
        </w:tc>
        <w:tc>
          <w:tcPr>
            <w:tcW w:w="2015" w:type="pct"/>
          </w:tcPr>
          <w:p w14:paraId="1EF8C5B6">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ascii="宋体" w:hAnsi="宋体" w:eastAsia="宋体" w:cs="宋体"/>
                <w:szCs w:val="21"/>
                <w:highlight w:val="none"/>
              </w:rPr>
              <w:t>壳体厚度6mm</w:t>
            </w:r>
          </w:p>
        </w:tc>
      </w:tr>
      <w:tr w14:paraId="77FC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2E156B12">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ascii="宋体" w:hAnsi="宋体" w:eastAsia="宋体" w:cs="宋体"/>
                <w:szCs w:val="21"/>
                <w:highlight w:val="none"/>
              </w:rPr>
              <w:t>4</w:t>
            </w:r>
          </w:p>
        </w:tc>
        <w:tc>
          <w:tcPr>
            <w:tcW w:w="1451" w:type="pct"/>
            <w:vAlign w:val="center"/>
          </w:tcPr>
          <w:p w14:paraId="073F18EF">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ascii="宋体" w:hAnsi="宋体" w:eastAsia="宋体" w:cs="宋体"/>
                <w:szCs w:val="21"/>
                <w:highlight w:val="none"/>
              </w:rPr>
              <w:t>耐磨衬板</w:t>
            </w:r>
          </w:p>
        </w:tc>
        <w:tc>
          <w:tcPr>
            <w:tcW w:w="1109" w:type="pct"/>
            <w:vAlign w:val="center"/>
          </w:tcPr>
          <w:p w14:paraId="2045DE2F">
            <w:pPr>
              <w:pStyle w:val="29"/>
              <w:keepNext w:val="0"/>
              <w:keepLines w:val="0"/>
              <w:suppressLineNumbers w:val="0"/>
              <w:spacing w:before="0" w:beforeAutospacing="0" w:after="0" w:afterAutospacing="0" w:line="240" w:lineRule="auto"/>
              <w:ind w:left="0" w:right="0"/>
              <w:rPr>
                <w:rFonts w:hint="default" w:ascii="宋体" w:hAnsi="宋体" w:eastAsia="宋体" w:cs="宋体"/>
                <w:iCs/>
                <w:szCs w:val="21"/>
                <w:highlight w:val="none"/>
              </w:rPr>
            </w:pPr>
            <w:r>
              <w:rPr>
                <w:rFonts w:hint="eastAsia" w:ascii="宋体" w:hAnsi="宋体" w:eastAsia="宋体" w:cs="宋体"/>
                <w:iCs/>
                <w:szCs w:val="21"/>
                <w:highlight w:val="none"/>
              </w:rPr>
              <w:t>耐磨工程塑料</w:t>
            </w:r>
          </w:p>
        </w:tc>
        <w:tc>
          <w:tcPr>
            <w:tcW w:w="2015" w:type="pct"/>
          </w:tcPr>
          <w:p w14:paraId="4965D892">
            <w:pPr>
              <w:pStyle w:val="29"/>
              <w:keepNext w:val="0"/>
              <w:keepLines w:val="0"/>
              <w:suppressLineNumbers w:val="0"/>
              <w:spacing w:before="0" w:beforeAutospacing="0" w:after="0" w:afterAutospacing="0" w:line="240" w:lineRule="auto"/>
              <w:ind w:left="0" w:right="0"/>
              <w:rPr>
                <w:rFonts w:hint="default" w:ascii="宋体" w:hAnsi="宋体" w:eastAsia="宋体" w:cs="宋体"/>
                <w:iCs/>
                <w:szCs w:val="21"/>
                <w:highlight w:val="none"/>
              </w:rPr>
            </w:pPr>
            <w:r>
              <w:rPr>
                <w:rFonts w:hint="eastAsia" w:ascii="宋体" w:hAnsi="宋体" w:eastAsia="宋体" w:cs="宋体"/>
                <w:szCs w:val="21"/>
                <w:highlight w:val="none"/>
              </w:rPr>
              <w:t>厚度10mm</w:t>
            </w:r>
          </w:p>
        </w:tc>
      </w:tr>
      <w:tr w14:paraId="3924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03E2E522">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ascii="宋体" w:hAnsi="宋体" w:eastAsia="宋体" w:cs="宋体"/>
                <w:szCs w:val="21"/>
                <w:highlight w:val="none"/>
              </w:rPr>
              <w:t>5</w:t>
            </w:r>
          </w:p>
        </w:tc>
        <w:tc>
          <w:tcPr>
            <w:tcW w:w="1451" w:type="pct"/>
            <w:vAlign w:val="center"/>
          </w:tcPr>
          <w:p w14:paraId="4C8CE94C">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ascii="宋体" w:hAnsi="宋体" w:eastAsia="宋体" w:cs="宋体"/>
                <w:szCs w:val="21"/>
                <w:highlight w:val="none"/>
              </w:rPr>
              <w:t>安装支架</w:t>
            </w:r>
          </w:p>
        </w:tc>
        <w:tc>
          <w:tcPr>
            <w:tcW w:w="1109" w:type="pct"/>
            <w:vAlign w:val="center"/>
          </w:tcPr>
          <w:p w14:paraId="6A1AE113">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ascii="宋体" w:hAnsi="宋体" w:eastAsia="宋体" w:cs="宋体"/>
                <w:szCs w:val="21"/>
                <w:highlight w:val="none"/>
              </w:rPr>
              <w:t>碳钢</w:t>
            </w:r>
          </w:p>
        </w:tc>
        <w:tc>
          <w:tcPr>
            <w:tcW w:w="2015" w:type="pct"/>
          </w:tcPr>
          <w:p w14:paraId="7C2B276A">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p>
        </w:tc>
      </w:tr>
      <w:tr w14:paraId="06CC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23D96147">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lang w:val="en-US" w:eastAsia="zh-CN"/>
              </w:rPr>
            </w:pPr>
            <w:r>
              <w:rPr>
                <w:rFonts w:hint="eastAsia" w:cs="宋体"/>
                <w:szCs w:val="21"/>
                <w:highlight w:val="none"/>
                <w:lang w:val="en-US" w:eastAsia="zh-CN"/>
              </w:rPr>
              <w:t>6</w:t>
            </w:r>
          </w:p>
        </w:tc>
        <w:tc>
          <w:tcPr>
            <w:tcW w:w="1451" w:type="pct"/>
            <w:vAlign w:val="center"/>
          </w:tcPr>
          <w:p w14:paraId="1A17A7F2">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紧固件</w:t>
            </w:r>
          </w:p>
        </w:tc>
        <w:tc>
          <w:tcPr>
            <w:tcW w:w="1109" w:type="pct"/>
            <w:vAlign w:val="center"/>
          </w:tcPr>
          <w:p w14:paraId="28E0D245">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304不锈钢</w:t>
            </w:r>
          </w:p>
        </w:tc>
        <w:tc>
          <w:tcPr>
            <w:tcW w:w="2015" w:type="pct"/>
          </w:tcPr>
          <w:p w14:paraId="5507CB1E">
            <w:pPr>
              <w:pStyle w:val="29"/>
              <w:keepNext w:val="0"/>
              <w:keepLines w:val="0"/>
              <w:suppressLineNumbers w:val="0"/>
              <w:spacing w:before="0" w:beforeAutospacing="0" w:after="0" w:afterAutospacing="0" w:line="240" w:lineRule="auto"/>
              <w:ind w:left="0" w:right="0"/>
              <w:rPr>
                <w:rFonts w:hint="eastAsia" w:ascii="宋体" w:hAnsi="宋体" w:eastAsia="宋体" w:cs="宋体"/>
                <w:szCs w:val="21"/>
                <w:highlight w:val="none"/>
              </w:rPr>
            </w:pPr>
          </w:p>
        </w:tc>
      </w:tr>
    </w:tbl>
    <w:p w14:paraId="312FC719">
      <w:pPr>
        <w:pStyle w:val="22"/>
        <w:numPr>
          <w:ilvl w:val="255"/>
          <w:numId w:val="0"/>
        </w:numPr>
        <w:spacing w:line="360" w:lineRule="auto"/>
        <w:ind w:firstLine="420" w:firstLineChars="200"/>
        <w:rPr>
          <w:rFonts w:hint="eastAsia" w:ascii="宋体" w:hAnsi="宋体" w:eastAsia="宋体" w:cs="宋体"/>
          <w:sz w:val="21"/>
          <w:szCs w:val="21"/>
          <w:highlight w:val="none"/>
        </w:rPr>
      </w:pPr>
    </w:p>
    <w:p w14:paraId="556E596F">
      <w:pPr>
        <w:pStyle w:val="2"/>
        <w:rPr>
          <w:rFonts w:hint="eastAsia"/>
        </w:rPr>
      </w:pPr>
    </w:p>
    <w:p w14:paraId="01A94B99">
      <w:pPr>
        <w:adjustRightInd w:val="0"/>
        <w:snapToGrid w:val="0"/>
        <w:spacing w:line="360" w:lineRule="auto"/>
        <w:ind w:firstLine="420" w:firstLineChars="200"/>
        <w:jc w:val="left"/>
        <w:rPr>
          <w:rFonts w:hint="eastAsia" w:ascii="Times" w:hAnsi="Times" w:cs="宋体"/>
          <w:b/>
          <w:bCs/>
          <w:color w:val="000000" w:themeColor="text1"/>
          <w:szCs w:val="21"/>
          <w14:textFill>
            <w14:solidFill>
              <w14:schemeClr w14:val="tx1"/>
            </w14:solidFill>
          </w14:textFill>
        </w:rPr>
      </w:pPr>
      <w:r>
        <w:rPr>
          <w:rFonts w:ascii="Times" w:hAnsi="Times" w:cs="宋体"/>
          <w:b/>
          <w:bCs/>
          <w:color w:val="000000" w:themeColor="text1"/>
          <w:szCs w:val="21"/>
          <w14:textFill>
            <w14:solidFill>
              <w14:schemeClr w14:val="tx1"/>
            </w14:solidFill>
          </w14:textFill>
        </w:rPr>
        <w:t>2</w:t>
      </w:r>
      <w:r>
        <w:rPr>
          <w:rFonts w:hint="eastAsia" w:ascii="Times" w:hAnsi="Times" w:cs="宋体"/>
          <w:b/>
          <w:bCs/>
          <w:color w:val="000000" w:themeColor="text1"/>
          <w:szCs w:val="21"/>
          <w14:textFill>
            <w14:solidFill>
              <w14:schemeClr w14:val="tx1"/>
            </w14:solidFill>
          </w14:textFill>
        </w:rPr>
        <w:t>）其他</w:t>
      </w:r>
    </w:p>
    <w:p w14:paraId="3A2F14D8">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2</w:t>
      </w:r>
      <w:r>
        <w:rPr>
          <w:rFonts w:hint="eastAsia" w:ascii="Times" w:hAnsi="Times" w:cs="宋体"/>
          <w:color w:val="000000" w:themeColor="text1"/>
          <w:szCs w:val="21"/>
          <w14:textFill>
            <w14:solidFill>
              <w14:schemeClr w14:val="tx1"/>
            </w14:solidFill>
          </w14:textFill>
        </w:rPr>
        <w:t>.</w:t>
      </w:r>
      <w:r>
        <w:rPr>
          <w:rFonts w:ascii="Times" w:hAnsi="Times" w:cs="宋体"/>
          <w:color w:val="000000" w:themeColor="text1"/>
          <w:szCs w:val="21"/>
          <w14:textFill>
            <w14:solidFill>
              <w14:schemeClr w14:val="tx1"/>
            </w14:solidFill>
          </w14:textFill>
        </w:rPr>
        <w:t>1</w:t>
      </w:r>
      <w:r>
        <w:rPr>
          <w:rFonts w:hint="eastAsia" w:ascii="Times" w:hAnsi="Times" w:cs="宋体"/>
          <w:color w:val="000000" w:themeColor="text1"/>
          <w:szCs w:val="21"/>
          <w14:textFill>
            <w14:solidFill>
              <w14:schemeClr w14:val="tx1"/>
            </w14:solidFill>
          </w14:textFill>
        </w:rPr>
        <w:t>）</w:t>
      </w:r>
      <w:r>
        <w:rPr>
          <w:rFonts w:ascii="Times" w:hAnsi="Times" w:cs="宋体"/>
          <w:color w:val="000000" w:themeColor="text1"/>
          <w:szCs w:val="21"/>
          <w14:textFill>
            <w14:solidFill>
              <w14:schemeClr w14:val="tx1"/>
            </w14:solidFill>
          </w14:textFill>
        </w:rPr>
        <w:t>设备整体及各部件的制造遵循国家和行业标准，确保整体与部件具有互换性与通用。</w:t>
      </w:r>
    </w:p>
    <w:p w14:paraId="480DA6C4">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2.2</w:t>
      </w:r>
      <w:r>
        <w:rPr>
          <w:rFonts w:hint="eastAsia" w:ascii="Times" w:hAnsi="Times" w:cs="宋体"/>
          <w:color w:val="000000" w:themeColor="text1"/>
          <w:szCs w:val="21"/>
          <w14:textFill>
            <w14:solidFill>
              <w14:schemeClr w14:val="tx1"/>
            </w14:solidFill>
          </w14:textFill>
        </w:rPr>
        <w:t>）</w:t>
      </w:r>
      <w:r>
        <w:rPr>
          <w:rFonts w:ascii="Times" w:hAnsi="Times" w:cs="宋体"/>
          <w:color w:val="000000" w:themeColor="text1"/>
          <w:szCs w:val="21"/>
          <w14:textFill>
            <w14:solidFill>
              <w14:schemeClr w14:val="tx1"/>
            </w14:solidFill>
          </w14:textFill>
        </w:rPr>
        <w:t>设备制造中应选用知名材料及零件供应商产品，如轴承使用进口品牌，电机及减速机使用国际知名进口品牌，等级 F级。</w:t>
      </w:r>
    </w:p>
    <w:p w14:paraId="467AA3CA">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2.3</w:t>
      </w:r>
      <w:r>
        <w:rPr>
          <w:rFonts w:hint="eastAsia" w:ascii="Times" w:hAnsi="Times" w:cs="宋体"/>
          <w:color w:val="000000" w:themeColor="text1"/>
          <w:szCs w:val="21"/>
          <w14:textFill>
            <w14:solidFill>
              <w14:schemeClr w14:val="tx1"/>
            </w14:solidFill>
          </w14:textFill>
        </w:rPr>
        <w:t>）</w:t>
      </w:r>
      <w:r>
        <w:rPr>
          <w:rFonts w:ascii="Times" w:hAnsi="Times" w:cs="宋体"/>
          <w:color w:val="000000" w:themeColor="text1"/>
          <w:szCs w:val="21"/>
          <w14:textFill>
            <w14:solidFill>
              <w14:schemeClr w14:val="tx1"/>
            </w14:solidFill>
          </w14:textFill>
        </w:rPr>
        <w:t>设备无故障运行时间应大于8000小时。</w:t>
      </w:r>
    </w:p>
    <w:p w14:paraId="2BC8BFB8">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2.4</w:t>
      </w:r>
      <w:r>
        <w:rPr>
          <w:rFonts w:hint="eastAsia" w:ascii="Times" w:hAnsi="Times" w:cs="宋体"/>
          <w:color w:val="auto"/>
          <w:szCs w:val="21"/>
        </w:rPr>
        <w:t>）质保2年，从</w:t>
      </w:r>
      <w:r>
        <w:rPr>
          <w:rFonts w:hint="eastAsia" w:ascii="Times" w:hAnsi="Times" w:cs="宋体"/>
          <w:color w:val="000000" w:themeColor="text1"/>
          <w:szCs w:val="21"/>
          <w14:textFill>
            <w14:solidFill>
              <w14:schemeClr w14:val="tx1"/>
            </w14:solidFill>
          </w14:textFill>
        </w:rPr>
        <w:t>调试验收合格之日算起，投标人须保证零配件的供应，质保期内免费维护设备。</w:t>
      </w:r>
    </w:p>
    <w:p w14:paraId="51F9DC9B">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2.5</w:t>
      </w:r>
      <w:r>
        <w:rPr>
          <w:rFonts w:hint="eastAsia" w:ascii="Times" w:hAnsi="Times" w:cs="宋体"/>
          <w:color w:val="000000" w:themeColor="text1"/>
          <w:szCs w:val="21"/>
          <w14:textFill>
            <w14:solidFill>
              <w14:schemeClr w14:val="tx1"/>
            </w14:solidFill>
          </w14:textFill>
        </w:rPr>
        <w:t>）</w:t>
      </w:r>
      <w:r>
        <w:rPr>
          <w:rFonts w:ascii="Times" w:hAnsi="Times" w:cs="宋体"/>
          <w:color w:val="000000" w:themeColor="text1"/>
          <w:szCs w:val="21"/>
          <w14:textFill>
            <w14:solidFill>
              <w14:schemeClr w14:val="tx1"/>
            </w14:solidFill>
          </w14:textFill>
        </w:rPr>
        <w:t>设备每年维护保养一次，减速机轴承使用寿命不少于5年，电气装置不少于3年，防护涂层年限在5年以上。</w:t>
      </w:r>
    </w:p>
    <w:p w14:paraId="6D7B5DAB">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2.6</w:t>
      </w:r>
      <w:r>
        <w:rPr>
          <w:rFonts w:hint="eastAsia" w:ascii="Times" w:hAnsi="Times" w:cs="宋体"/>
          <w:color w:val="000000" w:themeColor="text1"/>
          <w:szCs w:val="21"/>
          <w14:textFill>
            <w14:solidFill>
              <w14:schemeClr w14:val="tx1"/>
            </w14:solidFill>
          </w14:textFill>
        </w:rPr>
        <w:t>）</w:t>
      </w:r>
      <w:r>
        <w:rPr>
          <w:rFonts w:ascii="Times" w:hAnsi="Times" w:cs="宋体"/>
          <w:color w:val="000000" w:themeColor="text1"/>
          <w:szCs w:val="21"/>
          <w14:textFill>
            <w14:solidFill>
              <w14:schemeClr w14:val="tx1"/>
            </w14:solidFill>
          </w14:textFill>
        </w:rPr>
        <w:t>不锈钢部件加工完后对其进行表面酸洗处理。</w:t>
      </w:r>
    </w:p>
    <w:p w14:paraId="203A2E3F">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2.7</w:t>
      </w:r>
      <w:r>
        <w:rPr>
          <w:rFonts w:hint="eastAsia" w:ascii="Times" w:hAnsi="Times" w:cs="宋体"/>
          <w:color w:val="000000" w:themeColor="text1"/>
          <w:szCs w:val="21"/>
          <w14:textFill>
            <w14:solidFill>
              <w14:schemeClr w14:val="tx1"/>
            </w14:solidFill>
          </w14:textFill>
        </w:rPr>
        <w:t>）</w:t>
      </w:r>
      <w:r>
        <w:rPr>
          <w:rFonts w:ascii="Times" w:hAnsi="Times" w:cs="宋体"/>
          <w:color w:val="000000" w:themeColor="text1"/>
          <w:szCs w:val="21"/>
          <w14:textFill>
            <w14:solidFill>
              <w14:schemeClr w14:val="tx1"/>
            </w14:solidFill>
          </w14:textFill>
        </w:rPr>
        <w:t>碳钢件、铸件表面除锈达Sa2.5级标准。涂富锌底漆，云母氧化铁中间漆、环氧面漆、漆膜总厚度不低于相关标准要求。</w:t>
      </w:r>
    </w:p>
    <w:p w14:paraId="1BE46854">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bookmarkStart w:id="10" w:name="_Toc25977"/>
      <w:r>
        <w:rPr>
          <w:rFonts w:ascii="Times" w:hAnsi="Times" w:cs="宋体"/>
          <w:color w:val="000000" w:themeColor="text1"/>
          <w:szCs w:val="21"/>
          <w14:textFill>
            <w14:solidFill>
              <w14:schemeClr w14:val="tx1"/>
            </w14:solidFill>
          </w14:textFill>
        </w:rPr>
        <w:t>2.8</w:t>
      </w:r>
      <w:r>
        <w:rPr>
          <w:rFonts w:hint="eastAsia" w:ascii="Times" w:hAnsi="Times" w:cs="宋体"/>
          <w:color w:val="000000" w:themeColor="text1"/>
          <w:szCs w:val="21"/>
          <w14:textFill>
            <w14:solidFill>
              <w14:schemeClr w14:val="tx1"/>
            </w14:solidFill>
          </w14:textFill>
        </w:rPr>
        <w:t>）</w:t>
      </w:r>
      <w:r>
        <w:rPr>
          <w:rFonts w:ascii="Times" w:hAnsi="Times" w:cs="宋体"/>
          <w:color w:val="000000" w:themeColor="text1"/>
          <w:szCs w:val="21"/>
          <w14:textFill>
            <w14:solidFill>
              <w14:schemeClr w14:val="tx1"/>
            </w14:solidFill>
          </w14:textFill>
        </w:rPr>
        <w:t>包装前对机加工面按GB4879标准要求做防锈处理。</w:t>
      </w:r>
      <w:bookmarkEnd w:id="10"/>
    </w:p>
    <w:p w14:paraId="6D5CA2AF">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2.9</w:t>
      </w:r>
      <w:r>
        <w:rPr>
          <w:rFonts w:hint="eastAsia" w:ascii="Times" w:hAnsi="Times" w:cs="宋体"/>
          <w:color w:val="000000" w:themeColor="text1"/>
          <w:szCs w:val="21"/>
          <w14:textFill>
            <w14:solidFill>
              <w14:schemeClr w14:val="tx1"/>
            </w14:solidFill>
          </w14:textFill>
        </w:rPr>
        <w:t>）</w:t>
      </w:r>
      <w:r>
        <w:rPr>
          <w:rFonts w:ascii="Times" w:hAnsi="Times" w:cs="宋体"/>
          <w:color w:val="000000" w:themeColor="text1"/>
          <w:szCs w:val="21"/>
          <w14:textFill>
            <w14:solidFill>
              <w14:schemeClr w14:val="tx1"/>
            </w14:solidFill>
          </w14:textFill>
        </w:rPr>
        <w:t>运输、安装过程中涂层破损，严格按涂装工艺进行修复，其质量水平不低于原涂层的质量水平。交货时如果涂过漆或涂过底漆的金属构件出现锈迹，采用钢丝刷将生锈的部分锈迹除掉，并按规定进行修复。</w:t>
      </w:r>
    </w:p>
    <w:p w14:paraId="19658BDF">
      <w:pPr>
        <w:spacing w:line="360" w:lineRule="auto"/>
        <w:ind w:firstLine="420" w:firstLineChars="200"/>
        <w:jc w:val="left"/>
        <w:rPr>
          <w:rFonts w:hint="eastAsia" w:ascii="Times" w:hAnsi="Times" w:cs="宋体"/>
          <w:b/>
          <w:bCs/>
          <w:color w:val="000000" w:themeColor="text1"/>
          <w:szCs w:val="21"/>
          <w14:textFill>
            <w14:solidFill>
              <w14:schemeClr w14:val="tx1"/>
            </w14:solidFill>
          </w14:textFill>
        </w:rPr>
      </w:pPr>
      <w:r>
        <w:rPr>
          <w:rFonts w:hint="eastAsia" w:ascii="Times" w:hAnsi="Times" w:cs="宋体"/>
          <w:b/>
          <w:bCs/>
          <w:color w:val="000000" w:themeColor="text1"/>
          <w:szCs w:val="21"/>
          <w14:textFill>
            <w14:solidFill>
              <w14:schemeClr w14:val="tx1"/>
            </w14:solidFill>
          </w14:textFill>
        </w:rPr>
        <w:t>2</w:t>
      </w:r>
      <w:r>
        <w:rPr>
          <w:rFonts w:ascii="Times" w:hAnsi="Times" w:cs="宋体"/>
          <w:b/>
          <w:bCs/>
          <w:color w:val="000000" w:themeColor="text1"/>
          <w:szCs w:val="21"/>
          <w14:textFill>
            <w14:solidFill>
              <w14:schemeClr w14:val="tx1"/>
            </w14:solidFill>
          </w14:textFill>
        </w:rPr>
        <w:t>.</w:t>
      </w:r>
      <w:r>
        <w:rPr>
          <w:rFonts w:hint="eastAsia" w:ascii="Times" w:hAnsi="Times" w:cs="宋体"/>
          <w:b/>
          <w:bCs/>
          <w:color w:val="000000" w:themeColor="text1"/>
          <w:szCs w:val="21"/>
          <w14:textFill>
            <w14:solidFill>
              <w14:schemeClr w14:val="tx1"/>
            </w14:solidFill>
          </w14:textFill>
        </w:rPr>
        <w:t>质量要求</w:t>
      </w:r>
    </w:p>
    <w:p w14:paraId="66B7C439">
      <w:pPr>
        <w:pStyle w:val="2"/>
        <w:ind w:left="0" w:leftChars="0"/>
        <w:rPr>
          <w:rFonts w:hint="eastAsia" w:ascii="Times" w:hAnsi="Times"/>
        </w:rPr>
      </w:pPr>
      <w:bookmarkStart w:id="11" w:name="_Toc785"/>
      <w:bookmarkStart w:id="12" w:name="_Toc4372"/>
      <w:bookmarkStart w:id="13" w:name="_Toc10732"/>
      <w:bookmarkStart w:id="14" w:name="_Toc5806"/>
      <w:bookmarkStart w:id="15" w:name="_Toc24765"/>
      <w:bookmarkStart w:id="16" w:name="_Toc19753"/>
      <w:bookmarkStart w:id="17" w:name="_Toc26289"/>
      <w:r>
        <w:rPr>
          <w:rFonts w:hint="eastAsia" w:ascii="Times" w:hAnsi="Times"/>
        </w:rPr>
        <w:t>1）</w:t>
      </w:r>
      <w:bookmarkEnd w:id="11"/>
      <w:bookmarkEnd w:id="12"/>
      <w:bookmarkEnd w:id="13"/>
      <w:bookmarkEnd w:id="14"/>
      <w:bookmarkEnd w:id="15"/>
      <w:bookmarkEnd w:id="16"/>
      <w:bookmarkEnd w:id="17"/>
      <w:r>
        <w:rPr>
          <w:rFonts w:hint="eastAsia" w:ascii="Times" w:hAnsi="Times"/>
        </w:rPr>
        <w:t>一般技术要求</w:t>
      </w:r>
    </w:p>
    <w:p w14:paraId="18764A2F">
      <w:pPr>
        <w:pStyle w:val="2"/>
        <w:ind w:left="0" w:leftChars="0"/>
        <w:rPr>
          <w:rFonts w:hint="eastAsia" w:ascii="Times" w:hAnsi="Times"/>
        </w:rPr>
      </w:pPr>
      <w:r>
        <w:rPr>
          <w:rFonts w:hint="eastAsia" w:ascii="Times" w:hAnsi="Times"/>
        </w:rPr>
        <w:t>1</w:t>
      </w:r>
      <w:r>
        <w:rPr>
          <w:rFonts w:ascii="Times" w:hAnsi="Times"/>
        </w:rPr>
        <w:t>.1</w:t>
      </w:r>
      <w:r>
        <w:rPr>
          <w:rFonts w:hint="eastAsia" w:ascii="Times" w:hAnsi="Times"/>
        </w:rPr>
        <w:t>）铸件应符合GB</w:t>
      </w:r>
      <w:r>
        <w:rPr>
          <w:rFonts w:ascii="Times" w:hAnsi="Times"/>
        </w:rPr>
        <w:t>/</w:t>
      </w:r>
      <w:r>
        <w:rPr>
          <w:rFonts w:hint="eastAsia" w:ascii="Times" w:hAnsi="Times"/>
        </w:rPr>
        <w:t>T</w:t>
      </w:r>
      <w:r>
        <w:rPr>
          <w:rFonts w:ascii="Times" w:hAnsi="Times"/>
        </w:rPr>
        <w:t xml:space="preserve"> 1348</w:t>
      </w:r>
      <w:r>
        <w:rPr>
          <w:rFonts w:hint="eastAsia" w:ascii="Times" w:hAnsi="Times"/>
        </w:rPr>
        <w:t>、GB</w:t>
      </w:r>
      <w:r>
        <w:rPr>
          <w:rFonts w:ascii="Times" w:hAnsi="Times"/>
        </w:rPr>
        <w:t>/</w:t>
      </w:r>
      <w:r>
        <w:rPr>
          <w:rFonts w:hint="eastAsia" w:ascii="Times" w:hAnsi="Times"/>
        </w:rPr>
        <w:t>T</w:t>
      </w:r>
      <w:r>
        <w:rPr>
          <w:rFonts w:ascii="Times" w:hAnsi="Times"/>
        </w:rPr>
        <w:t xml:space="preserve"> 11352</w:t>
      </w:r>
      <w:r>
        <w:rPr>
          <w:rFonts w:hint="eastAsia" w:ascii="Times" w:hAnsi="Times"/>
        </w:rPr>
        <w:t>的规定。</w:t>
      </w:r>
    </w:p>
    <w:p w14:paraId="68EA9F2B">
      <w:pPr>
        <w:pStyle w:val="2"/>
        <w:ind w:left="0" w:leftChars="0"/>
        <w:rPr>
          <w:rFonts w:hint="eastAsia" w:ascii="Times" w:hAnsi="Times"/>
        </w:rPr>
      </w:pPr>
      <w:r>
        <w:rPr>
          <w:rFonts w:ascii="Times" w:hAnsi="Times"/>
        </w:rPr>
        <w:t>1.2</w:t>
      </w:r>
      <w:r>
        <w:rPr>
          <w:rFonts w:hint="eastAsia" w:ascii="Times" w:hAnsi="Times"/>
        </w:rPr>
        <w:t>）金属结构件的焊缝应紧密、均匀、不应有未焊透、未熔合、咬肉、烧伤、裂纹、夹渣及气孔等缺陷。</w:t>
      </w:r>
    </w:p>
    <w:p w14:paraId="167B5A77">
      <w:pPr>
        <w:pStyle w:val="2"/>
        <w:ind w:left="0" w:leftChars="0"/>
        <w:rPr>
          <w:rFonts w:hint="eastAsia" w:ascii="Times" w:hAnsi="Times"/>
        </w:rPr>
      </w:pPr>
      <w:r>
        <w:rPr>
          <w:rFonts w:hint="eastAsia" w:ascii="Times" w:hAnsi="Times"/>
        </w:rPr>
        <w:t>1</w:t>
      </w:r>
      <w:r>
        <w:rPr>
          <w:rFonts w:ascii="Times" w:hAnsi="Times"/>
        </w:rPr>
        <w:t>.3</w:t>
      </w:r>
      <w:r>
        <w:rPr>
          <w:rFonts w:hint="eastAsia" w:ascii="Times" w:hAnsi="Times"/>
        </w:rPr>
        <w:t>）</w:t>
      </w:r>
      <w:bookmarkStart w:id="18" w:name="_Hlk145514908"/>
      <w:r>
        <w:rPr>
          <w:rFonts w:hint="eastAsia" w:ascii="Times" w:hAnsi="Times"/>
        </w:rPr>
        <w:t>外协件、外购件应有合格证。并经检验部门检验合格后方可进行装配。</w:t>
      </w:r>
      <w:bookmarkEnd w:id="18"/>
    </w:p>
    <w:p w14:paraId="4DEF4491">
      <w:pPr>
        <w:pStyle w:val="2"/>
        <w:ind w:left="0" w:leftChars="0"/>
        <w:rPr>
          <w:rFonts w:hint="eastAsia" w:ascii="Times" w:hAnsi="Times" w:cs="宋体"/>
          <w:szCs w:val="21"/>
        </w:rPr>
      </w:pPr>
      <w:r>
        <w:rPr>
          <w:rFonts w:hint="eastAsia" w:ascii="Times" w:hAnsi="Times"/>
        </w:rPr>
        <w:t>1</w:t>
      </w:r>
      <w:r>
        <w:rPr>
          <w:rFonts w:ascii="Times" w:hAnsi="Times"/>
        </w:rPr>
        <w:t>.4</w:t>
      </w:r>
      <w:r>
        <w:rPr>
          <w:rFonts w:hint="eastAsia" w:ascii="Times" w:hAnsi="Times"/>
        </w:rPr>
        <w:t>）</w:t>
      </w:r>
      <w:r>
        <w:rPr>
          <w:rFonts w:hint="eastAsia" w:ascii="Times" w:hAnsi="Times" w:cs="宋体"/>
          <w:szCs w:val="21"/>
        </w:rPr>
        <w:t>外露的转动部件均应设置防护罩，且便于拆卸。所用的减速机电动机为变频电动机时，变频电动机应符合JB</w:t>
      </w:r>
      <w:r>
        <w:rPr>
          <w:rFonts w:ascii="Times" w:hAnsi="Times" w:cs="宋体"/>
          <w:szCs w:val="21"/>
        </w:rPr>
        <w:t>/</w:t>
      </w:r>
      <w:r>
        <w:rPr>
          <w:rFonts w:hint="eastAsia" w:ascii="Times" w:hAnsi="Times" w:cs="宋体"/>
          <w:szCs w:val="21"/>
        </w:rPr>
        <w:t>T</w:t>
      </w:r>
      <w:r>
        <w:rPr>
          <w:rFonts w:ascii="Times" w:hAnsi="Times" w:cs="宋体"/>
          <w:szCs w:val="21"/>
        </w:rPr>
        <w:t xml:space="preserve"> 7118</w:t>
      </w:r>
      <w:r>
        <w:rPr>
          <w:rFonts w:hint="eastAsia" w:ascii="Times" w:hAnsi="Times" w:cs="宋体"/>
          <w:szCs w:val="21"/>
        </w:rPr>
        <w:t>的规定：防护等级“IP</w:t>
      </w:r>
      <w:r>
        <w:rPr>
          <w:rFonts w:ascii="Times" w:hAnsi="Times" w:cs="宋体"/>
          <w:szCs w:val="21"/>
        </w:rPr>
        <w:t>54</w:t>
      </w:r>
      <w:r>
        <w:rPr>
          <w:rFonts w:hint="eastAsia" w:ascii="Times" w:hAnsi="Times" w:cs="宋体"/>
          <w:szCs w:val="21"/>
        </w:rPr>
        <w:t>”以上的，应符合GB</w:t>
      </w:r>
      <w:r>
        <w:rPr>
          <w:rFonts w:ascii="Times" w:hAnsi="Times" w:cs="宋体"/>
          <w:szCs w:val="21"/>
        </w:rPr>
        <w:t>/</w:t>
      </w:r>
      <w:r>
        <w:rPr>
          <w:rFonts w:hint="eastAsia" w:ascii="Times" w:hAnsi="Times" w:cs="宋体"/>
          <w:szCs w:val="21"/>
        </w:rPr>
        <w:t>T</w:t>
      </w:r>
      <w:r>
        <w:rPr>
          <w:rFonts w:ascii="Times" w:hAnsi="Times" w:cs="宋体"/>
          <w:szCs w:val="21"/>
        </w:rPr>
        <w:t xml:space="preserve"> 4942.1</w:t>
      </w:r>
      <w:r>
        <w:rPr>
          <w:rFonts w:hint="eastAsia" w:ascii="Times" w:hAnsi="Times" w:cs="宋体"/>
          <w:szCs w:val="21"/>
        </w:rPr>
        <w:t>的规定：绝缘等级选用“E”级以上的，应符合GB</w:t>
      </w:r>
      <w:r>
        <w:rPr>
          <w:rFonts w:ascii="Times" w:hAnsi="Times" w:cs="宋体"/>
          <w:szCs w:val="21"/>
        </w:rPr>
        <w:t>/</w:t>
      </w:r>
      <w:r>
        <w:rPr>
          <w:rFonts w:hint="eastAsia" w:ascii="Times" w:hAnsi="Times" w:cs="宋体"/>
          <w:szCs w:val="21"/>
        </w:rPr>
        <w:t>T</w:t>
      </w:r>
      <w:r>
        <w:rPr>
          <w:rFonts w:ascii="Times" w:hAnsi="Times" w:cs="宋体"/>
          <w:szCs w:val="21"/>
        </w:rPr>
        <w:t xml:space="preserve"> 21707</w:t>
      </w:r>
      <w:r>
        <w:rPr>
          <w:rFonts w:hint="eastAsia" w:ascii="Times" w:hAnsi="Times" w:cs="宋体"/>
          <w:szCs w:val="21"/>
        </w:rPr>
        <w:t>的规定。电气控制装置应符合GB/T</w:t>
      </w:r>
      <w:r>
        <w:rPr>
          <w:rFonts w:ascii="Times" w:hAnsi="Times" w:cs="宋体"/>
          <w:szCs w:val="21"/>
        </w:rPr>
        <w:t xml:space="preserve"> 5226.1</w:t>
      </w:r>
      <w:r>
        <w:rPr>
          <w:rFonts w:hint="eastAsia" w:ascii="Times" w:hAnsi="Times" w:cs="宋体"/>
          <w:szCs w:val="21"/>
        </w:rPr>
        <w:t>的要求。</w:t>
      </w:r>
    </w:p>
    <w:p w14:paraId="1E147DC5">
      <w:pPr>
        <w:pStyle w:val="2"/>
        <w:ind w:left="0" w:leftChars="0"/>
        <w:rPr>
          <w:rFonts w:hint="eastAsia" w:ascii="Times" w:hAnsi="Times" w:cs="宋体"/>
          <w:color w:val="000000" w:themeColor="text1"/>
          <w:szCs w:val="21"/>
          <w14:textFill>
            <w14:solidFill>
              <w14:schemeClr w14:val="tx1"/>
            </w14:solidFill>
          </w14:textFill>
        </w:rPr>
      </w:pPr>
      <w:r>
        <w:rPr>
          <w:rFonts w:hint="eastAsia" w:ascii="Times" w:hAnsi="Times" w:cs="宋体"/>
          <w:color w:val="000000" w:themeColor="text1"/>
          <w:szCs w:val="21"/>
          <w14:textFill>
            <w14:solidFill>
              <w14:schemeClr w14:val="tx1"/>
            </w14:solidFill>
          </w14:textFill>
        </w:rPr>
        <w:t>1</w:t>
      </w:r>
      <w:r>
        <w:rPr>
          <w:rFonts w:ascii="Times" w:hAnsi="Times" w:cs="宋体"/>
          <w:color w:val="000000" w:themeColor="text1"/>
          <w:szCs w:val="21"/>
          <w14:textFill>
            <w14:solidFill>
              <w14:schemeClr w14:val="tx1"/>
            </w14:solidFill>
          </w14:textFill>
        </w:rPr>
        <w:t>.5</w:t>
      </w:r>
      <w:r>
        <w:rPr>
          <w:rFonts w:hint="eastAsia" w:ascii="Times" w:hAnsi="Times" w:cs="宋体"/>
          <w:color w:val="000000" w:themeColor="text1"/>
          <w:szCs w:val="21"/>
          <w14:textFill>
            <w14:solidFill>
              <w14:schemeClr w14:val="tx1"/>
            </w14:solidFill>
          </w14:textFill>
        </w:rPr>
        <w:t>）轴转速如需调整，采用变频调速。</w:t>
      </w:r>
    </w:p>
    <w:p w14:paraId="1FC9278F">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2）整机技术要求</w:t>
      </w:r>
    </w:p>
    <w:p w14:paraId="4E0A9B4F">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2</w:t>
      </w:r>
      <w:r>
        <w:rPr>
          <w:rFonts w:ascii="Times" w:hAnsi="Times" w:eastAsia="宋体" w:cs="宋体"/>
          <w:color w:val="000000" w:themeColor="text1"/>
          <w:szCs w:val="21"/>
          <w14:textFill>
            <w14:solidFill>
              <w14:schemeClr w14:val="tx1"/>
            </w14:solidFill>
          </w14:textFill>
        </w:rPr>
        <w:t>.1</w:t>
      </w:r>
      <w:r>
        <w:rPr>
          <w:rFonts w:hint="eastAsia" w:ascii="Times" w:hAnsi="Times" w:eastAsia="宋体" w:cs="宋体"/>
          <w:color w:val="000000" w:themeColor="text1"/>
          <w:szCs w:val="21"/>
          <w14:textFill>
            <w14:solidFill>
              <w14:schemeClr w14:val="tx1"/>
            </w14:solidFill>
          </w14:textFill>
        </w:rPr>
        <w:t>）</w:t>
      </w:r>
      <w:bookmarkStart w:id="19" w:name="_Hlk145514950"/>
      <w:r>
        <w:rPr>
          <w:rFonts w:hint="eastAsia" w:ascii="Times" w:hAnsi="Times" w:eastAsia="宋体" w:cs="宋体"/>
          <w:color w:val="000000" w:themeColor="text1"/>
          <w:szCs w:val="21"/>
          <w14:textFill>
            <w14:solidFill>
              <w14:schemeClr w14:val="tx1"/>
            </w14:solidFill>
          </w14:textFill>
        </w:rPr>
        <w:t>输送机的结构应保证：</w:t>
      </w:r>
      <w:bookmarkEnd w:id="19"/>
    </w:p>
    <w:p w14:paraId="4D5F9540">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bookmarkStart w:id="20" w:name="_Hlk145515154"/>
      <w:r>
        <w:rPr>
          <w:rFonts w:hint="eastAsia" w:ascii="Times" w:hAnsi="Times" w:eastAsia="宋体" w:cs="宋体"/>
          <w:color w:val="000000" w:themeColor="text1"/>
          <w:szCs w:val="21"/>
          <w14:textFill>
            <w14:solidFill>
              <w14:schemeClr w14:val="tx1"/>
            </w14:solidFill>
          </w14:textFill>
        </w:rPr>
        <w:t>A）拆卸螺旋体时，不用移动或拆卸驱动装置；</w:t>
      </w:r>
    </w:p>
    <w:p w14:paraId="60A83AC0">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B）拆卸中间吊轴承时，不用移动或拆卸螺旋体；</w:t>
      </w:r>
    </w:p>
    <w:p w14:paraId="1CBCA1DB">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C）在不拆卸料槽和盖板的状态下可以润滑中间吊轴承。</w:t>
      </w:r>
    </w:p>
    <w:p w14:paraId="5500B648">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输送机各中间吊轴承应可靠地固定在机壳支承上，与相邻螺旋体连接后应转动灵活，无卡阻现象；中间吊轴承在支承上应是可调整的，预留的调整空间应能够满足螺旋体轴线直线度调整的需要。</w:t>
      </w:r>
    </w:p>
    <w:bookmarkEnd w:id="20"/>
    <w:p w14:paraId="7A791C1C">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2</w:t>
      </w:r>
      <w:r>
        <w:rPr>
          <w:rFonts w:ascii="Times" w:hAnsi="Times" w:eastAsia="宋体" w:cs="宋体"/>
          <w:color w:val="000000" w:themeColor="text1"/>
          <w:szCs w:val="21"/>
          <w14:textFill>
            <w14:solidFill>
              <w14:schemeClr w14:val="tx1"/>
            </w14:solidFill>
          </w14:textFill>
        </w:rPr>
        <w:t>.2</w:t>
      </w:r>
      <w:r>
        <w:rPr>
          <w:rFonts w:hint="eastAsia" w:ascii="Times" w:hAnsi="Times" w:eastAsia="宋体" w:cs="宋体"/>
          <w:color w:val="000000" w:themeColor="text1"/>
          <w:szCs w:val="21"/>
          <w14:textFill>
            <w14:solidFill>
              <w14:schemeClr w14:val="tx1"/>
            </w14:solidFill>
          </w14:textFill>
        </w:rPr>
        <w:t>）螺旋输送机的设计与制造应符合包括但不限于如下的规范：《螺旋输送机》（JB/T</w:t>
      </w:r>
      <w:r>
        <w:rPr>
          <w:rFonts w:ascii="Times" w:hAnsi="Times" w:eastAsia="宋体" w:cs="宋体"/>
          <w:color w:val="000000" w:themeColor="text1"/>
          <w:szCs w:val="21"/>
          <w14:textFill>
            <w14:solidFill>
              <w14:schemeClr w14:val="tx1"/>
            </w14:solidFill>
          </w14:textFill>
        </w:rPr>
        <w:t xml:space="preserve"> 7679</w:t>
      </w:r>
      <w:r>
        <w:rPr>
          <w:rFonts w:hint="eastAsia" w:ascii="Times" w:hAnsi="Times" w:eastAsia="宋体" w:cs="宋体"/>
          <w:color w:val="000000" w:themeColor="text1"/>
          <w:szCs w:val="21"/>
          <w14:textFill>
            <w14:solidFill>
              <w14:schemeClr w14:val="tx1"/>
            </w14:solidFill>
          </w14:textFill>
        </w:rPr>
        <w:t>-</w:t>
      </w:r>
      <w:r>
        <w:rPr>
          <w:rFonts w:ascii="Times" w:hAnsi="Times" w:eastAsia="宋体" w:cs="宋体"/>
          <w:color w:val="000000" w:themeColor="text1"/>
          <w:szCs w:val="21"/>
          <w14:textFill>
            <w14:solidFill>
              <w14:schemeClr w14:val="tx1"/>
            </w14:solidFill>
          </w14:textFill>
        </w:rPr>
        <w:t>2019</w:t>
      </w:r>
      <w:r>
        <w:rPr>
          <w:rFonts w:hint="eastAsia" w:ascii="Times" w:hAnsi="Times" w:eastAsia="宋体" w:cs="宋体"/>
          <w:color w:val="000000" w:themeColor="text1"/>
          <w:szCs w:val="21"/>
          <w14:textFill>
            <w14:solidFill>
              <w14:schemeClr w14:val="tx1"/>
            </w14:solidFill>
          </w14:textFill>
        </w:rPr>
        <w:t>）、《无轴螺旋输送机》（JB/T</w:t>
      </w:r>
      <w:r>
        <w:rPr>
          <w:rFonts w:ascii="Times" w:hAnsi="Times" w:eastAsia="宋体" w:cs="宋体"/>
          <w:color w:val="000000" w:themeColor="text1"/>
          <w:szCs w:val="21"/>
          <w14:textFill>
            <w14:solidFill>
              <w14:schemeClr w14:val="tx1"/>
            </w14:solidFill>
          </w14:textFill>
        </w:rPr>
        <w:t xml:space="preserve"> 12636</w:t>
      </w:r>
      <w:r>
        <w:rPr>
          <w:rFonts w:hint="eastAsia" w:ascii="Times" w:hAnsi="Times" w:eastAsia="宋体" w:cs="宋体"/>
          <w:color w:val="000000" w:themeColor="text1"/>
          <w:szCs w:val="21"/>
          <w14:textFill>
            <w14:solidFill>
              <w14:schemeClr w14:val="tx1"/>
            </w14:solidFill>
          </w14:textFill>
        </w:rPr>
        <w:t>-</w:t>
      </w:r>
      <w:r>
        <w:rPr>
          <w:rFonts w:ascii="Times" w:hAnsi="Times" w:eastAsia="宋体" w:cs="宋体"/>
          <w:color w:val="000000" w:themeColor="text1"/>
          <w:szCs w:val="21"/>
          <w14:textFill>
            <w14:solidFill>
              <w14:schemeClr w14:val="tx1"/>
            </w14:solidFill>
          </w14:textFill>
        </w:rPr>
        <w:t>2016</w:t>
      </w:r>
      <w:r>
        <w:rPr>
          <w:rFonts w:hint="eastAsia" w:ascii="Times" w:hAnsi="Times" w:eastAsia="宋体" w:cs="宋体"/>
          <w:color w:val="000000" w:themeColor="text1"/>
          <w:szCs w:val="21"/>
          <w14:textFill>
            <w14:solidFill>
              <w14:schemeClr w14:val="tx1"/>
            </w14:solidFill>
          </w14:textFill>
        </w:rPr>
        <w:t>）。</w:t>
      </w:r>
    </w:p>
    <w:p w14:paraId="5C89E4B9">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2</w:t>
      </w:r>
      <w:r>
        <w:rPr>
          <w:rFonts w:ascii="Times" w:hAnsi="Times" w:eastAsia="宋体" w:cs="宋体"/>
          <w:color w:val="000000" w:themeColor="text1"/>
          <w:szCs w:val="21"/>
          <w14:textFill>
            <w14:solidFill>
              <w14:schemeClr w14:val="tx1"/>
            </w14:solidFill>
          </w14:textFill>
        </w:rPr>
        <w:t>.3</w:t>
      </w:r>
      <w:r>
        <w:rPr>
          <w:rFonts w:hint="eastAsia" w:ascii="Times" w:hAnsi="Times" w:eastAsia="宋体" w:cs="宋体"/>
          <w:color w:val="000000" w:themeColor="text1"/>
          <w:szCs w:val="21"/>
          <w14:textFill>
            <w14:solidFill>
              <w14:schemeClr w14:val="tx1"/>
            </w14:solidFill>
          </w14:textFill>
        </w:rPr>
        <w:t>）设备零部件应采用先进、可靠的加工制造技术，有良好的表面几何形状及合适的公差配合。选用的材料和外购件应</w:t>
      </w:r>
      <w:r>
        <w:rPr>
          <w:rFonts w:ascii="Times" w:hAnsi="Times" w:eastAsia="宋体" w:cs="宋体"/>
          <w:color w:val="000000" w:themeColor="text1"/>
          <w:szCs w:val="21"/>
          <w14:textFill>
            <w14:solidFill>
              <w14:schemeClr w14:val="tx1"/>
            </w14:solidFill>
          </w14:textFill>
        </w:rPr>
        <w:t>有供货商的合格证明，无合格证时，须检验合格后方能使用。</w:t>
      </w:r>
    </w:p>
    <w:p w14:paraId="3124EA30">
      <w:pPr>
        <w:pStyle w:val="2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2.4）输送机料槽内，中间吊轴承在螺旋体几何轴线下的截面积，不应超过螺旋体几何轴线下料槽有效面的25%。</w:t>
      </w:r>
    </w:p>
    <w:p w14:paraId="493CAD1A">
      <w:pPr>
        <w:pStyle w:val="2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2.5）进料口到壳体端板的距离应大于一个螺距，出料口到壳体端板的距离应大于半个螺距。</w:t>
      </w:r>
    </w:p>
    <w:p w14:paraId="61611AEB">
      <w:pPr>
        <w:pStyle w:val="2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w:t>
      </w:r>
      <w:bookmarkStart w:id="21" w:name="_Hlk145516057"/>
      <w:r>
        <w:rPr>
          <w:rFonts w:hint="eastAsia" w:ascii="宋体" w:hAnsi="宋体" w:eastAsia="宋体" w:cs="宋体"/>
          <w:color w:val="000000" w:themeColor="text1"/>
          <w:szCs w:val="21"/>
          <w14:textFill>
            <w14:solidFill>
              <w14:schemeClr w14:val="tx1"/>
            </w14:solidFill>
          </w14:textFill>
        </w:rPr>
        <w:t>螺旋体外径与料槽间的间隙不得超过表1的规定，其最小间隙不得小于名义间隙的50%。</w:t>
      </w:r>
      <w:bookmarkEnd w:id="21"/>
    </w:p>
    <w:p w14:paraId="179C0CF5">
      <w:pPr>
        <w:spacing w:line="360" w:lineRule="auto"/>
        <w:jc w:val="right"/>
        <w:rPr>
          <w:rFonts w:hint="eastAsia" w:ascii="宋体" w:hAnsi="宋体" w:eastAsia="宋体" w:cs="宋体"/>
          <w:sz w:val="24"/>
          <w:szCs w:val="22"/>
        </w:rPr>
      </w:pPr>
      <w:bookmarkStart w:id="22" w:name="_Hlk145516121"/>
      <w:r>
        <w:rPr>
          <w:rFonts w:hint="eastAsia" w:ascii="宋体" w:hAnsi="宋体" w:eastAsia="宋体" w:cs="宋体"/>
          <w:sz w:val="22"/>
          <w:szCs w:val="21"/>
        </w:rPr>
        <w:t xml:space="preserve">表1 </w:t>
      </w:r>
      <w:r>
        <w:rPr>
          <w:rFonts w:hint="eastAsia" w:ascii="宋体" w:hAnsi="宋体" w:eastAsia="宋体" w:cs="宋体"/>
          <w:sz w:val="24"/>
          <w:szCs w:val="22"/>
        </w:rPr>
        <w:t xml:space="preserve">                                             </w:t>
      </w:r>
      <w:r>
        <w:rPr>
          <w:rFonts w:hint="eastAsia" w:ascii="宋体" w:hAnsi="宋体" w:eastAsia="宋体" w:cs="宋体"/>
          <w:sz w:val="20"/>
          <w:szCs w:val="20"/>
        </w:rPr>
        <w:t>单位为毫米</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40"/>
        <w:gridCol w:w="441"/>
        <w:gridCol w:w="538"/>
        <w:gridCol w:w="441"/>
        <w:gridCol w:w="441"/>
        <w:gridCol w:w="523"/>
        <w:gridCol w:w="441"/>
        <w:gridCol w:w="451"/>
        <w:gridCol w:w="551"/>
        <w:gridCol w:w="551"/>
        <w:gridCol w:w="561"/>
        <w:gridCol w:w="569"/>
        <w:gridCol w:w="516"/>
        <w:gridCol w:w="516"/>
      </w:tblGrid>
      <w:tr w14:paraId="7D1D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292DAD93">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螺旋体公称直径</w:t>
            </w:r>
          </w:p>
        </w:tc>
        <w:tc>
          <w:tcPr>
            <w:tcW w:w="740" w:type="dxa"/>
            <w:vAlign w:val="center"/>
          </w:tcPr>
          <w:p w14:paraId="0638B4C9">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100</w:t>
            </w:r>
          </w:p>
        </w:tc>
        <w:tc>
          <w:tcPr>
            <w:tcW w:w="441" w:type="dxa"/>
            <w:vAlign w:val="center"/>
          </w:tcPr>
          <w:p w14:paraId="1F719B8D">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125</w:t>
            </w:r>
          </w:p>
        </w:tc>
        <w:tc>
          <w:tcPr>
            <w:tcW w:w="538" w:type="dxa"/>
            <w:vAlign w:val="center"/>
          </w:tcPr>
          <w:p w14:paraId="6B34B19E">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160</w:t>
            </w:r>
          </w:p>
        </w:tc>
        <w:tc>
          <w:tcPr>
            <w:tcW w:w="441" w:type="dxa"/>
            <w:vAlign w:val="center"/>
          </w:tcPr>
          <w:p w14:paraId="0364FC6A">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200</w:t>
            </w:r>
          </w:p>
        </w:tc>
        <w:tc>
          <w:tcPr>
            <w:tcW w:w="441" w:type="dxa"/>
            <w:vAlign w:val="center"/>
          </w:tcPr>
          <w:p w14:paraId="7D990D32">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250</w:t>
            </w:r>
          </w:p>
        </w:tc>
        <w:tc>
          <w:tcPr>
            <w:tcW w:w="523" w:type="dxa"/>
            <w:vAlign w:val="center"/>
          </w:tcPr>
          <w:p w14:paraId="426B51C4">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315</w:t>
            </w:r>
          </w:p>
        </w:tc>
        <w:tc>
          <w:tcPr>
            <w:tcW w:w="441" w:type="dxa"/>
            <w:vAlign w:val="center"/>
          </w:tcPr>
          <w:p w14:paraId="3FC43641">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400</w:t>
            </w:r>
          </w:p>
        </w:tc>
        <w:tc>
          <w:tcPr>
            <w:tcW w:w="451" w:type="dxa"/>
            <w:vAlign w:val="center"/>
          </w:tcPr>
          <w:p w14:paraId="213E2F70">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500</w:t>
            </w:r>
          </w:p>
        </w:tc>
        <w:tc>
          <w:tcPr>
            <w:tcW w:w="551" w:type="dxa"/>
            <w:vAlign w:val="center"/>
          </w:tcPr>
          <w:p w14:paraId="3DD0AD9F">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630</w:t>
            </w:r>
          </w:p>
        </w:tc>
        <w:tc>
          <w:tcPr>
            <w:tcW w:w="551" w:type="dxa"/>
            <w:vAlign w:val="center"/>
          </w:tcPr>
          <w:p w14:paraId="5C6B122F">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800</w:t>
            </w:r>
          </w:p>
        </w:tc>
        <w:tc>
          <w:tcPr>
            <w:tcW w:w="561" w:type="dxa"/>
            <w:vAlign w:val="center"/>
          </w:tcPr>
          <w:p w14:paraId="23C4A8E5">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1000</w:t>
            </w:r>
          </w:p>
        </w:tc>
        <w:tc>
          <w:tcPr>
            <w:tcW w:w="569" w:type="dxa"/>
            <w:vAlign w:val="center"/>
          </w:tcPr>
          <w:p w14:paraId="1CFA17C5">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1250</w:t>
            </w:r>
          </w:p>
        </w:tc>
        <w:tc>
          <w:tcPr>
            <w:tcW w:w="516" w:type="dxa"/>
            <w:vAlign w:val="center"/>
          </w:tcPr>
          <w:p w14:paraId="6E64CAC8">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1600</w:t>
            </w:r>
          </w:p>
        </w:tc>
        <w:tc>
          <w:tcPr>
            <w:tcW w:w="516" w:type="dxa"/>
            <w:vAlign w:val="center"/>
          </w:tcPr>
          <w:p w14:paraId="63EDBC0C">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2000</w:t>
            </w:r>
          </w:p>
        </w:tc>
      </w:tr>
      <w:tr w14:paraId="3459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366CA1AE">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名义间隙</w:t>
            </w:r>
          </w:p>
        </w:tc>
        <w:tc>
          <w:tcPr>
            <w:tcW w:w="1181" w:type="dxa"/>
            <w:gridSpan w:val="2"/>
            <w:vAlign w:val="center"/>
          </w:tcPr>
          <w:p w14:paraId="4853297B">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7.5</w:t>
            </w:r>
          </w:p>
        </w:tc>
        <w:tc>
          <w:tcPr>
            <w:tcW w:w="1943" w:type="dxa"/>
            <w:gridSpan w:val="4"/>
            <w:vAlign w:val="center"/>
          </w:tcPr>
          <w:p w14:paraId="628F13A0">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10</w:t>
            </w:r>
          </w:p>
        </w:tc>
        <w:tc>
          <w:tcPr>
            <w:tcW w:w="892" w:type="dxa"/>
            <w:gridSpan w:val="2"/>
            <w:vAlign w:val="center"/>
          </w:tcPr>
          <w:p w14:paraId="45937D76">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12.5</w:t>
            </w:r>
          </w:p>
        </w:tc>
        <w:tc>
          <w:tcPr>
            <w:tcW w:w="1102" w:type="dxa"/>
            <w:gridSpan w:val="2"/>
            <w:vAlign w:val="center"/>
          </w:tcPr>
          <w:p w14:paraId="794123BE">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15</w:t>
            </w:r>
          </w:p>
        </w:tc>
        <w:tc>
          <w:tcPr>
            <w:tcW w:w="1130" w:type="dxa"/>
            <w:gridSpan w:val="2"/>
            <w:vAlign w:val="center"/>
          </w:tcPr>
          <w:p w14:paraId="545C8C9A">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20</w:t>
            </w:r>
          </w:p>
        </w:tc>
        <w:tc>
          <w:tcPr>
            <w:tcW w:w="1032" w:type="dxa"/>
            <w:gridSpan w:val="2"/>
            <w:vAlign w:val="center"/>
          </w:tcPr>
          <w:p w14:paraId="7F231CC8">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25</w:t>
            </w:r>
          </w:p>
        </w:tc>
      </w:tr>
      <w:bookmarkEnd w:id="22"/>
    </w:tbl>
    <w:p w14:paraId="6E73B001">
      <w:pPr>
        <w:pStyle w:val="2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3）主要零部件</w:t>
      </w:r>
    </w:p>
    <w:p w14:paraId="24CDEE24">
      <w:pPr>
        <w:pStyle w:val="2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3.1）螺旋体的要求应符合如下的规定。</w:t>
      </w:r>
    </w:p>
    <w:p w14:paraId="5E7E19CA">
      <w:pPr>
        <w:pStyle w:val="2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A）外径公差</w:t>
      </w:r>
    </w:p>
    <w:p w14:paraId="6AC611BE">
      <w:pPr>
        <w:spacing w:line="360" w:lineRule="auto"/>
        <w:jc w:val="right"/>
        <w:rPr>
          <w:rFonts w:hint="eastAsia" w:ascii="宋体" w:hAnsi="宋体" w:eastAsia="宋体" w:cs="宋体"/>
          <w:sz w:val="24"/>
          <w:szCs w:val="22"/>
        </w:rPr>
      </w:pPr>
      <w:r>
        <w:rPr>
          <w:rFonts w:hint="eastAsia" w:ascii="宋体" w:hAnsi="宋体" w:eastAsia="宋体" w:cs="宋体"/>
          <w:sz w:val="22"/>
          <w:szCs w:val="21"/>
        </w:rPr>
        <w:t xml:space="preserve">表2 </w:t>
      </w:r>
      <w:r>
        <w:rPr>
          <w:rFonts w:hint="eastAsia" w:ascii="宋体" w:hAnsi="宋体" w:eastAsia="宋体" w:cs="宋体"/>
          <w:sz w:val="24"/>
          <w:szCs w:val="22"/>
        </w:rPr>
        <w:t xml:space="preserve">                                               </w:t>
      </w:r>
      <w:r>
        <w:rPr>
          <w:rFonts w:hint="eastAsia" w:ascii="宋体" w:hAnsi="宋体" w:eastAsia="宋体" w:cs="宋体"/>
          <w:sz w:val="20"/>
          <w:szCs w:val="20"/>
        </w:rPr>
        <w:t>单位为毫米</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682"/>
        <w:gridCol w:w="454"/>
        <w:gridCol w:w="521"/>
        <w:gridCol w:w="454"/>
        <w:gridCol w:w="454"/>
        <w:gridCol w:w="509"/>
        <w:gridCol w:w="454"/>
        <w:gridCol w:w="454"/>
        <w:gridCol w:w="531"/>
        <w:gridCol w:w="531"/>
        <w:gridCol w:w="555"/>
        <w:gridCol w:w="562"/>
        <w:gridCol w:w="533"/>
        <w:gridCol w:w="533"/>
      </w:tblGrid>
      <w:tr w14:paraId="261B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14:paraId="3B57F42A">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螺旋体公称直径</w:t>
            </w:r>
          </w:p>
        </w:tc>
        <w:tc>
          <w:tcPr>
            <w:tcW w:w="682" w:type="dxa"/>
            <w:vAlign w:val="center"/>
          </w:tcPr>
          <w:p w14:paraId="652E4273">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100</w:t>
            </w:r>
          </w:p>
        </w:tc>
        <w:tc>
          <w:tcPr>
            <w:tcW w:w="454" w:type="dxa"/>
            <w:vAlign w:val="center"/>
          </w:tcPr>
          <w:p w14:paraId="26C83730">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125</w:t>
            </w:r>
          </w:p>
        </w:tc>
        <w:tc>
          <w:tcPr>
            <w:tcW w:w="521" w:type="dxa"/>
            <w:vAlign w:val="center"/>
          </w:tcPr>
          <w:p w14:paraId="54A6037D">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160</w:t>
            </w:r>
          </w:p>
        </w:tc>
        <w:tc>
          <w:tcPr>
            <w:tcW w:w="454" w:type="dxa"/>
            <w:vAlign w:val="center"/>
          </w:tcPr>
          <w:p w14:paraId="24FB4A0D">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200</w:t>
            </w:r>
          </w:p>
        </w:tc>
        <w:tc>
          <w:tcPr>
            <w:tcW w:w="454" w:type="dxa"/>
            <w:vAlign w:val="center"/>
          </w:tcPr>
          <w:p w14:paraId="7FBDFE04">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250</w:t>
            </w:r>
          </w:p>
        </w:tc>
        <w:tc>
          <w:tcPr>
            <w:tcW w:w="509" w:type="dxa"/>
            <w:vAlign w:val="center"/>
          </w:tcPr>
          <w:p w14:paraId="607F4D60">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315</w:t>
            </w:r>
          </w:p>
        </w:tc>
        <w:tc>
          <w:tcPr>
            <w:tcW w:w="454" w:type="dxa"/>
            <w:vAlign w:val="center"/>
          </w:tcPr>
          <w:p w14:paraId="56291CF6">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400</w:t>
            </w:r>
          </w:p>
        </w:tc>
        <w:tc>
          <w:tcPr>
            <w:tcW w:w="454" w:type="dxa"/>
            <w:vAlign w:val="center"/>
          </w:tcPr>
          <w:p w14:paraId="4A9ACC2B">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500</w:t>
            </w:r>
          </w:p>
        </w:tc>
        <w:tc>
          <w:tcPr>
            <w:tcW w:w="531" w:type="dxa"/>
            <w:vAlign w:val="center"/>
          </w:tcPr>
          <w:p w14:paraId="7ACB62F1">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630</w:t>
            </w:r>
          </w:p>
        </w:tc>
        <w:tc>
          <w:tcPr>
            <w:tcW w:w="531" w:type="dxa"/>
            <w:vAlign w:val="center"/>
          </w:tcPr>
          <w:p w14:paraId="7BE459BD">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800</w:t>
            </w:r>
          </w:p>
        </w:tc>
        <w:tc>
          <w:tcPr>
            <w:tcW w:w="555" w:type="dxa"/>
            <w:vAlign w:val="center"/>
          </w:tcPr>
          <w:p w14:paraId="3D22C6B0">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1000</w:t>
            </w:r>
          </w:p>
        </w:tc>
        <w:tc>
          <w:tcPr>
            <w:tcW w:w="562" w:type="dxa"/>
            <w:vAlign w:val="center"/>
          </w:tcPr>
          <w:p w14:paraId="2C6F46BA">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1250</w:t>
            </w:r>
          </w:p>
        </w:tc>
        <w:tc>
          <w:tcPr>
            <w:tcW w:w="533" w:type="dxa"/>
            <w:vAlign w:val="center"/>
          </w:tcPr>
          <w:p w14:paraId="4CD57AE4">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1600</w:t>
            </w:r>
          </w:p>
        </w:tc>
        <w:tc>
          <w:tcPr>
            <w:tcW w:w="533" w:type="dxa"/>
            <w:vAlign w:val="center"/>
          </w:tcPr>
          <w:p w14:paraId="7D8A7B3D">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2000</w:t>
            </w:r>
          </w:p>
        </w:tc>
      </w:tr>
      <w:tr w14:paraId="6731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14:paraId="7E47458A">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公差</w:t>
            </w:r>
          </w:p>
        </w:tc>
        <w:tc>
          <w:tcPr>
            <w:tcW w:w="1136" w:type="dxa"/>
            <w:gridSpan w:val="2"/>
            <w:vAlign w:val="center"/>
          </w:tcPr>
          <w:p w14:paraId="3749AAEC">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±1.0</w:t>
            </w:r>
          </w:p>
        </w:tc>
        <w:tc>
          <w:tcPr>
            <w:tcW w:w="1938" w:type="dxa"/>
            <w:gridSpan w:val="4"/>
            <w:vAlign w:val="center"/>
          </w:tcPr>
          <w:p w14:paraId="1363DB28">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±1.5</w:t>
            </w:r>
          </w:p>
        </w:tc>
        <w:tc>
          <w:tcPr>
            <w:tcW w:w="1970" w:type="dxa"/>
            <w:gridSpan w:val="4"/>
            <w:vAlign w:val="center"/>
          </w:tcPr>
          <w:p w14:paraId="43DC8479">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±2.0</w:t>
            </w:r>
          </w:p>
        </w:tc>
        <w:tc>
          <w:tcPr>
            <w:tcW w:w="1117" w:type="dxa"/>
            <w:gridSpan w:val="2"/>
            <w:vAlign w:val="center"/>
          </w:tcPr>
          <w:p w14:paraId="1D2857A7">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±3.0</w:t>
            </w:r>
          </w:p>
        </w:tc>
        <w:tc>
          <w:tcPr>
            <w:tcW w:w="1066" w:type="dxa"/>
            <w:gridSpan w:val="2"/>
            <w:vAlign w:val="center"/>
          </w:tcPr>
          <w:p w14:paraId="3577A120">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±4.0</w:t>
            </w:r>
          </w:p>
        </w:tc>
      </w:tr>
    </w:tbl>
    <w:p w14:paraId="5F08851D">
      <w:pPr>
        <w:pStyle w:val="2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B）螺距公差</w:t>
      </w:r>
    </w:p>
    <w:p w14:paraId="7B2B4D56">
      <w:pPr>
        <w:spacing w:line="360" w:lineRule="auto"/>
        <w:jc w:val="right"/>
        <w:rPr>
          <w:rFonts w:hint="eastAsia" w:ascii="宋体" w:hAnsi="宋体" w:eastAsia="宋体" w:cs="宋体"/>
          <w:sz w:val="24"/>
          <w:szCs w:val="22"/>
        </w:rPr>
      </w:pPr>
      <w:r>
        <w:rPr>
          <w:rFonts w:hint="eastAsia" w:ascii="宋体" w:hAnsi="宋体" w:eastAsia="宋体" w:cs="宋体"/>
          <w:sz w:val="22"/>
          <w:szCs w:val="21"/>
        </w:rPr>
        <w:t>表3</w:t>
      </w:r>
      <w:r>
        <w:rPr>
          <w:rFonts w:hint="eastAsia" w:ascii="宋体" w:hAnsi="宋体" w:eastAsia="宋体" w:cs="宋体"/>
          <w:sz w:val="24"/>
          <w:szCs w:val="22"/>
        </w:rPr>
        <w:t xml:space="preserve">                                                </w:t>
      </w:r>
      <w:r>
        <w:rPr>
          <w:rFonts w:hint="eastAsia" w:ascii="宋体" w:hAnsi="宋体" w:eastAsia="宋体" w:cs="宋体"/>
          <w:sz w:val="20"/>
          <w:szCs w:val="20"/>
        </w:rPr>
        <w:t>单位为毫米</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2080"/>
        <w:gridCol w:w="2081"/>
        <w:gridCol w:w="2088"/>
      </w:tblGrid>
      <w:tr w14:paraId="0707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vAlign w:val="center"/>
          </w:tcPr>
          <w:p w14:paraId="2D4F990A">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螺距</w:t>
            </w:r>
          </w:p>
        </w:tc>
        <w:tc>
          <w:tcPr>
            <w:tcW w:w="2080" w:type="dxa"/>
            <w:vAlign w:val="center"/>
          </w:tcPr>
          <w:p w14:paraId="6818AF10">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100~250</w:t>
            </w:r>
          </w:p>
        </w:tc>
        <w:tc>
          <w:tcPr>
            <w:tcW w:w="2081" w:type="dxa"/>
            <w:vAlign w:val="center"/>
          </w:tcPr>
          <w:p w14:paraId="541E5912">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315~500</w:t>
            </w:r>
          </w:p>
        </w:tc>
        <w:tc>
          <w:tcPr>
            <w:tcW w:w="2088" w:type="dxa"/>
            <w:vAlign w:val="center"/>
          </w:tcPr>
          <w:p w14:paraId="250FC89F">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560~1000</w:t>
            </w:r>
          </w:p>
        </w:tc>
      </w:tr>
      <w:tr w14:paraId="6039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vAlign w:val="center"/>
          </w:tcPr>
          <w:p w14:paraId="3ADF9D62">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公差</w:t>
            </w:r>
          </w:p>
        </w:tc>
        <w:tc>
          <w:tcPr>
            <w:tcW w:w="2080" w:type="dxa"/>
            <w:vAlign w:val="center"/>
          </w:tcPr>
          <w:p w14:paraId="439254C7">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±4</w:t>
            </w:r>
          </w:p>
        </w:tc>
        <w:tc>
          <w:tcPr>
            <w:tcW w:w="2081" w:type="dxa"/>
            <w:vAlign w:val="center"/>
          </w:tcPr>
          <w:p w14:paraId="218D528B">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±6</w:t>
            </w:r>
          </w:p>
        </w:tc>
        <w:tc>
          <w:tcPr>
            <w:tcW w:w="2088" w:type="dxa"/>
            <w:vAlign w:val="center"/>
          </w:tcPr>
          <w:p w14:paraId="1B056718">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±10</w:t>
            </w:r>
          </w:p>
        </w:tc>
      </w:tr>
    </w:tbl>
    <w:p w14:paraId="4AEE962D">
      <w:pPr>
        <w:pStyle w:val="28"/>
        <w:spacing w:line="360" w:lineRule="auto"/>
        <w:rPr>
          <w:rFonts w:hint="eastAsia" w:ascii="宋体" w:hAnsi="宋体" w:eastAsia="宋体" w:cs="宋体"/>
          <w:szCs w:val="21"/>
        </w:rPr>
      </w:pPr>
    </w:p>
    <w:p w14:paraId="065D6A94">
      <w:pPr>
        <w:pStyle w:val="2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C）叶片厚度</w:t>
      </w:r>
    </w:p>
    <w:p w14:paraId="3C603BA4">
      <w:pPr>
        <w:pStyle w:val="2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螺旋体中叶片应用碾压成型、冷挤、模压和冲压等方法制造；叶片应为整体式或有几部分焊接而成，对接焊的错位偏差应小于0.2δ（叶片板厚）；</w:t>
      </w:r>
    </w:p>
    <w:p w14:paraId="2BC6EDF3">
      <w:pPr>
        <w:pStyle w:val="2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D）螺旋体轴线直线度</w:t>
      </w:r>
    </w:p>
    <w:p w14:paraId="0D7A0CD4">
      <w:pPr>
        <w:spacing w:line="360" w:lineRule="auto"/>
        <w:jc w:val="right"/>
        <w:rPr>
          <w:rFonts w:hint="eastAsia" w:ascii="宋体" w:hAnsi="宋体" w:eastAsia="宋体" w:cs="宋体"/>
          <w:sz w:val="24"/>
          <w:szCs w:val="22"/>
        </w:rPr>
      </w:pPr>
      <w:bookmarkStart w:id="23" w:name="_Hlk145516365"/>
      <w:r>
        <w:rPr>
          <w:rFonts w:hint="eastAsia" w:ascii="宋体" w:hAnsi="宋体" w:eastAsia="宋体" w:cs="宋体"/>
          <w:sz w:val="22"/>
          <w:szCs w:val="21"/>
        </w:rPr>
        <w:t>表5</w:t>
      </w:r>
      <w:r>
        <w:rPr>
          <w:rFonts w:hint="eastAsia" w:ascii="宋体" w:hAnsi="宋体" w:eastAsia="宋体" w:cs="宋体"/>
          <w:sz w:val="24"/>
          <w:szCs w:val="22"/>
        </w:rPr>
        <w:t xml:space="preserve">                                               </w:t>
      </w:r>
      <w:r>
        <w:rPr>
          <w:rFonts w:hint="eastAsia" w:ascii="宋体" w:hAnsi="宋体" w:eastAsia="宋体" w:cs="宋体"/>
          <w:sz w:val="20"/>
          <w:szCs w:val="20"/>
        </w:rPr>
        <w:t>单位为毫米</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826"/>
        <w:gridCol w:w="1877"/>
        <w:gridCol w:w="1877"/>
        <w:gridCol w:w="1428"/>
      </w:tblGrid>
      <w:tr w14:paraId="4783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4" w:type="dxa"/>
            <w:vAlign w:val="center"/>
          </w:tcPr>
          <w:p w14:paraId="089AEF9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螺旋体长度</w:t>
            </w:r>
          </w:p>
        </w:tc>
        <w:tc>
          <w:tcPr>
            <w:tcW w:w="1826" w:type="dxa"/>
            <w:vAlign w:val="center"/>
          </w:tcPr>
          <w:p w14:paraId="61913B6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1000~2000</w:t>
            </w:r>
          </w:p>
        </w:tc>
        <w:tc>
          <w:tcPr>
            <w:tcW w:w="1877" w:type="dxa"/>
            <w:vAlign w:val="center"/>
          </w:tcPr>
          <w:p w14:paraId="7036D964">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&gt;2000~4000</w:t>
            </w:r>
          </w:p>
        </w:tc>
        <w:tc>
          <w:tcPr>
            <w:tcW w:w="1877" w:type="dxa"/>
            <w:vAlign w:val="center"/>
          </w:tcPr>
          <w:p w14:paraId="775ADBF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&gt;4000~6000</w:t>
            </w:r>
          </w:p>
        </w:tc>
        <w:tc>
          <w:tcPr>
            <w:tcW w:w="1428" w:type="dxa"/>
          </w:tcPr>
          <w:p w14:paraId="1DB4A30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&gt;6000~9000</w:t>
            </w:r>
          </w:p>
        </w:tc>
      </w:tr>
      <w:tr w14:paraId="49EE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3D87D65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直线度公差</w:t>
            </w:r>
          </w:p>
        </w:tc>
        <w:tc>
          <w:tcPr>
            <w:tcW w:w="1826" w:type="dxa"/>
            <w:vAlign w:val="center"/>
          </w:tcPr>
          <w:p w14:paraId="3A34E46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877" w:type="dxa"/>
            <w:vAlign w:val="center"/>
          </w:tcPr>
          <w:p w14:paraId="1ECA63FA">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w:t>
            </w:r>
          </w:p>
        </w:tc>
        <w:tc>
          <w:tcPr>
            <w:tcW w:w="1877" w:type="dxa"/>
            <w:vAlign w:val="center"/>
          </w:tcPr>
          <w:p w14:paraId="3DC0738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1428" w:type="dxa"/>
          </w:tcPr>
          <w:p w14:paraId="478AA9C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r>
      <w:bookmarkEnd w:id="23"/>
    </w:tbl>
    <w:p w14:paraId="3FE1B02B">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3</w:t>
      </w:r>
      <w:r>
        <w:rPr>
          <w:rFonts w:ascii="Times" w:hAnsi="Times" w:eastAsia="宋体" w:cs="宋体"/>
          <w:color w:val="000000" w:themeColor="text1"/>
          <w:szCs w:val="21"/>
          <w14:textFill>
            <w14:solidFill>
              <w14:schemeClr w14:val="tx1"/>
            </w14:solidFill>
          </w14:textFill>
        </w:rPr>
        <w:t>.2</w:t>
      </w:r>
      <w:r>
        <w:rPr>
          <w:rFonts w:hint="eastAsia" w:ascii="Times" w:hAnsi="Times" w:eastAsia="宋体" w:cs="宋体"/>
          <w:color w:val="000000" w:themeColor="text1"/>
          <w:szCs w:val="21"/>
          <w14:textFill>
            <w14:solidFill>
              <w14:schemeClr w14:val="tx1"/>
            </w14:solidFill>
          </w14:textFill>
        </w:rPr>
        <w:t>）</w:t>
      </w:r>
      <w:bookmarkStart w:id="24" w:name="_Hlk145516403"/>
      <w:r>
        <w:rPr>
          <w:rFonts w:hint="eastAsia" w:ascii="Times" w:hAnsi="Times" w:eastAsia="宋体" w:cs="宋体"/>
          <w:color w:val="000000" w:themeColor="text1"/>
          <w:szCs w:val="21"/>
          <w14:textFill>
            <w14:solidFill>
              <w14:schemeClr w14:val="tx1"/>
            </w14:solidFill>
          </w14:textFill>
        </w:rPr>
        <w:t>螺旋机壳为U型槽体结构时，外表面应平整，不应有明显凹坑和划痕，U型表面应圆滑过渡。机壳两端法兰端面对其轴线的垂直度应符合GB</w:t>
      </w:r>
      <w:r>
        <w:rPr>
          <w:rFonts w:ascii="Times" w:hAnsi="Times" w:eastAsia="宋体" w:cs="宋体"/>
          <w:color w:val="000000" w:themeColor="text1"/>
          <w:szCs w:val="21"/>
          <w14:textFill>
            <w14:solidFill>
              <w14:schemeClr w14:val="tx1"/>
            </w14:solidFill>
          </w14:textFill>
        </w:rPr>
        <w:t>/</w:t>
      </w:r>
      <w:r>
        <w:rPr>
          <w:rFonts w:hint="eastAsia" w:ascii="Times" w:hAnsi="Times" w:eastAsia="宋体" w:cs="宋体"/>
          <w:color w:val="000000" w:themeColor="text1"/>
          <w:szCs w:val="21"/>
          <w14:textFill>
            <w14:solidFill>
              <w14:schemeClr w14:val="tx1"/>
            </w14:solidFill>
          </w14:textFill>
        </w:rPr>
        <w:t>T</w:t>
      </w:r>
      <w:r>
        <w:rPr>
          <w:rFonts w:ascii="Times" w:hAnsi="Times" w:eastAsia="宋体" w:cs="宋体"/>
          <w:color w:val="000000" w:themeColor="text1"/>
          <w:szCs w:val="21"/>
          <w14:textFill>
            <w14:solidFill>
              <w14:schemeClr w14:val="tx1"/>
            </w14:solidFill>
          </w14:textFill>
        </w:rPr>
        <w:t xml:space="preserve"> 1184-1996</w:t>
      </w:r>
      <w:r>
        <w:rPr>
          <w:rFonts w:hint="eastAsia" w:ascii="Times" w:hAnsi="Times" w:eastAsia="宋体" w:cs="宋体"/>
          <w:color w:val="000000" w:themeColor="text1"/>
          <w:szCs w:val="21"/>
          <w14:textFill>
            <w14:solidFill>
              <w14:schemeClr w14:val="tx1"/>
            </w14:solidFill>
          </w14:textFill>
        </w:rPr>
        <w:t>中1</w:t>
      </w:r>
      <w:r>
        <w:rPr>
          <w:rFonts w:ascii="Times" w:hAnsi="Times" w:eastAsia="宋体" w:cs="宋体"/>
          <w:color w:val="000000" w:themeColor="text1"/>
          <w:szCs w:val="21"/>
          <w14:textFill>
            <w14:solidFill>
              <w14:schemeClr w14:val="tx1"/>
            </w14:solidFill>
          </w14:textFill>
        </w:rPr>
        <w:t>2</w:t>
      </w:r>
      <w:r>
        <w:rPr>
          <w:rFonts w:hint="eastAsia" w:ascii="Times" w:hAnsi="Times" w:eastAsia="宋体" w:cs="宋体"/>
          <w:color w:val="000000" w:themeColor="text1"/>
          <w:szCs w:val="21"/>
          <w14:textFill>
            <w14:solidFill>
              <w14:schemeClr w14:val="tx1"/>
            </w14:solidFill>
          </w14:textFill>
        </w:rPr>
        <w:t>级的规定。</w:t>
      </w:r>
      <w:bookmarkEnd w:id="24"/>
    </w:p>
    <w:p w14:paraId="30627493">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ascii="Times" w:hAnsi="Times" w:eastAsia="宋体" w:cs="宋体"/>
          <w:color w:val="000000" w:themeColor="text1"/>
          <w:szCs w:val="21"/>
          <w14:textFill>
            <w14:solidFill>
              <w14:schemeClr w14:val="tx1"/>
            </w14:solidFill>
          </w14:textFill>
        </w:rPr>
        <w:t>4</w:t>
      </w:r>
      <w:r>
        <w:rPr>
          <w:rFonts w:hint="eastAsia" w:ascii="Times" w:hAnsi="Times" w:eastAsia="宋体" w:cs="宋体"/>
          <w:color w:val="000000" w:themeColor="text1"/>
          <w:szCs w:val="21"/>
          <w14:textFill>
            <w14:solidFill>
              <w14:schemeClr w14:val="tx1"/>
            </w14:solidFill>
          </w14:textFill>
        </w:rPr>
        <w:t>）表面涂装要求：</w:t>
      </w:r>
    </w:p>
    <w:p w14:paraId="0A0794F0">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A）</w:t>
      </w:r>
      <w:bookmarkStart w:id="25" w:name="_Hlk145516739"/>
      <w:r>
        <w:rPr>
          <w:rFonts w:hint="eastAsia" w:ascii="Times" w:hAnsi="Times" w:eastAsia="宋体" w:cs="宋体"/>
          <w:color w:val="000000" w:themeColor="text1"/>
          <w:szCs w:val="21"/>
          <w14:textFill>
            <w14:solidFill>
              <w14:schemeClr w14:val="tx1"/>
            </w14:solidFill>
          </w14:textFill>
        </w:rPr>
        <w:t>涂漆前，钢材表面应进行除锈处理，并应达到GB</w:t>
      </w:r>
      <w:r>
        <w:rPr>
          <w:rFonts w:ascii="Times" w:hAnsi="Times" w:eastAsia="宋体" w:cs="宋体"/>
          <w:color w:val="000000" w:themeColor="text1"/>
          <w:szCs w:val="21"/>
          <w14:textFill>
            <w14:solidFill>
              <w14:schemeClr w14:val="tx1"/>
            </w14:solidFill>
          </w14:textFill>
        </w:rPr>
        <w:t>/</w:t>
      </w:r>
      <w:r>
        <w:rPr>
          <w:rFonts w:hint="eastAsia" w:ascii="Times" w:hAnsi="Times" w:eastAsia="宋体" w:cs="宋体"/>
          <w:color w:val="000000" w:themeColor="text1"/>
          <w:szCs w:val="21"/>
          <w14:textFill>
            <w14:solidFill>
              <w14:schemeClr w14:val="tx1"/>
            </w14:solidFill>
          </w14:textFill>
        </w:rPr>
        <w:t>T</w:t>
      </w:r>
      <w:r>
        <w:rPr>
          <w:rFonts w:ascii="Times" w:hAnsi="Times" w:eastAsia="宋体" w:cs="宋体"/>
          <w:color w:val="000000" w:themeColor="text1"/>
          <w:szCs w:val="21"/>
          <w14:textFill>
            <w14:solidFill>
              <w14:schemeClr w14:val="tx1"/>
            </w14:solidFill>
          </w14:textFill>
        </w:rPr>
        <w:t xml:space="preserve"> 8923</w:t>
      </w:r>
      <w:r>
        <w:rPr>
          <w:rFonts w:hint="eastAsia" w:ascii="Times" w:hAnsi="Times" w:eastAsia="宋体" w:cs="宋体"/>
          <w:color w:val="000000" w:themeColor="text1"/>
          <w:szCs w:val="21"/>
          <w14:textFill>
            <w14:solidFill>
              <w14:schemeClr w14:val="tx1"/>
            </w14:solidFill>
          </w14:textFill>
        </w:rPr>
        <w:t>（所有部分）中的Sa</w:t>
      </w:r>
      <w:r>
        <w:rPr>
          <w:rFonts w:ascii="Times" w:hAnsi="Times" w:eastAsia="宋体" w:cs="宋体"/>
          <w:color w:val="000000" w:themeColor="text1"/>
          <w:szCs w:val="21"/>
          <w14:textFill>
            <w14:solidFill>
              <w14:schemeClr w14:val="tx1"/>
            </w14:solidFill>
          </w14:textFill>
        </w:rPr>
        <w:t>11/2</w:t>
      </w:r>
      <w:r>
        <w:rPr>
          <w:rFonts w:hint="eastAsia" w:ascii="Times" w:hAnsi="Times" w:eastAsia="宋体" w:cs="宋体"/>
          <w:color w:val="000000" w:themeColor="text1"/>
          <w:szCs w:val="21"/>
          <w14:textFill>
            <w14:solidFill>
              <w14:schemeClr w14:val="tx1"/>
            </w14:solidFill>
          </w14:textFill>
        </w:rPr>
        <w:t>级或St</w:t>
      </w:r>
      <w:r>
        <w:rPr>
          <w:rFonts w:ascii="Times" w:hAnsi="Times" w:eastAsia="宋体" w:cs="宋体"/>
          <w:color w:val="000000" w:themeColor="text1"/>
          <w:szCs w:val="21"/>
          <w14:textFill>
            <w14:solidFill>
              <w14:schemeClr w14:val="tx1"/>
            </w14:solidFill>
          </w14:textFill>
        </w:rPr>
        <w:t>3</w:t>
      </w:r>
      <w:r>
        <w:rPr>
          <w:rFonts w:hint="eastAsia" w:ascii="Times" w:hAnsi="Times" w:eastAsia="宋体" w:cs="宋体"/>
          <w:color w:val="000000" w:themeColor="text1"/>
          <w:szCs w:val="21"/>
          <w14:textFill>
            <w14:solidFill>
              <w14:schemeClr w14:val="tx1"/>
            </w14:solidFill>
          </w14:textFill>
        </w:rPr>
        <w:t>级；</w:t>
      </w:r>
      <w:bookmarkEnd w:id="25"/>
    </w:p>
    <w:p w14:paraId="4E78E7C4">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B）</w:t>
      </w:r>
      <w:bookmarkStart w:id="26" w:name="_Hlk145516755"/>
      <w:r>
        <w:rPr>
          <w:rFonts w:hint="eastAsia" w:ascii="Times" w:hAnsi="Times" w:eastAsia="宋体" w:cs="宋体"/>
          <w:color w:val="000000" w:themeColor="text1"/>
          <w:szCs w:val="21"/>
          <w14:textFill>
            <w14:solidFill>
              <w14:schemeClr w14:val="tx1"/>
            </w14:solidFill>
          </w14:textFill>
        </w:rPr>
        <w:t>油漆干膜总厚度应为7</w:t>
      </w:r>
      <w:r>
        <w:rPr>
          <w:rFonts w:ascii="Times" w:hAnsi="Times" w:eastAsia="宋体" w:cs="宋体"/>
          <w:color w:val="000000" w:themeColor="text1"/>
          <w:szCs w:val="21"/>
          <w14:textFill>
            <w14:solidFill>
              <w14:schemeClr w14:val="tx1"/>
            </w14:solidFill>
          </w14:textFill>
        </w:rPr>
        <w:t>5μ</w:t>
      </w:r>
      <w:r>
        <w:rPr>
          <w:rFonts w:hint="eastAsia" w:ascii="Times" w:hAnsi="Times" w:eastAsia="宋体" w:cs="宋体"/>
          <w:color w:val="000000" w:themeColor="text1"/>
          <w:szCs w:val="21"/>
          <w14:textFill>
            <w14:solidFill>
              <w14:schemeClr w14:val="tx1"/>
            </w14:solidFill>
          </w14:textFill>
        </w:rPr>
        <w:t>m</w:t>
      </w:r>
      <w:r>
        <w:rPr>
          <w:rFonts w:ascii="Times" w:hAnsi="Times" w:eastAsia="宋体" w:cs="宋体"/>
          <w:color w:val="000000" w:themeColor="text1"/>
          <w:szCs w:val="21"/>
          <w14:textFill>
            <w14:solidFill>
              <w14:schemeClr w14:val="tx1"/>
            </w14:solidFill>
          </w14:textFill>
        </w:rPr>
        <w:t>~100μ</w:t>
      </w:r>
      <w:r>
        <w:rPr>
          <w:rFonts w:hint="eastAsia" w:ascii="Times" w:hAnsi="Times" w:eastAsia="宋体" w:cs="宋体"/>
          <w:color w:val="000000" w:themeColor="text1"/>
          <w:szCs w:val="21"/>
          <w14:textFill>
            <w14:solidFill>
              <w14:schemeClr w14:val="tx1"/>
            </w14:solidFill>
          </w14:textFill>
        </w:rPr>
        <w:t>m，漆膜附着力应符合GB</w:t>
      </w:r>
      <w:r>
        <w:rPr>
          <w:rFonts w:ascii="Times" w:hAnsi="Times" w:eastAsia="宋体" w:cs="宋体"/>
          <w:color w:val="000000" w:themeColor="text1"/>
          <w:szCs w:val="21"/>
          <w14:textFill>
            <w14:solidFill>
              <w14:schemeClr w14:val="tx1"/>
            </w14:solidFill>
          </w14:textFill>
        </w:rPr>
        <w:t>/</w:t>
      </w:r>
      <w:r>
        <w:rPr>
          <w:rFonts w:hint="eastAsia" w:ascii="Times" w:hAnsi="Times" w:eastAsia="宋体" w:cs="宋体"/>
          <w:color w:val="000000" w:themeColor="text1"/>
          <w:szCs w:val="21"/>
          <w14:textFill>
            <w14:solidFill>
              <w14:schemeClr w14:val="tx1"/>
            </w14:solidFill>
          </w14:textFill>
        </w:rPr>
        <w:t>T</w:t>
      </w:r>
      <w:r>
        <w:rPr>
          <w:rFonts w:ascii="Times" w:hAnsi="Times" w:eastAsia="宋体" w:cs="宋体"/>
          <w:color w:val="000000" w:themeColor="text1"/>
          <w:szCs w:val="21"/>
          <w14:textFill>
            <w14:solidFill>
              <w14:schemeClr w14:val="tx1"/>
            </w14:solidFill>
          </w14:textFill>
        </w:rPr>
        <w:t xml:space="preserve"> 9286-1998</w:t>
      </w:r>
      <w:r>
        <w:rPr>
          <w:rFonts w:hint="eastAsia" w:ascii="Times" w:hAnsi="Times" w:eastAsia="宋体" w:cs="宋体"/>
          <w:color w:val="000000" w:themeColor="text1"/>
          <w:szCs w:val="21"/>
          <w14:textFill>
            <w14:solidFill>
              <w14:schemeClr w14:val="tx1"/>
            </w14:solidFill>
          </w14:textFill>
        </w:rPr>
        <w:t>中2级的规定；</w:t>
      </w:r>
      <w:bookmarkEnd w:id="26"/>
    </w:p>
    <w:p w14:paraId="1141ACCF">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C）</w:t>
      </w:r>
      <w:bookmarkStart w:id="27" w:name="_Hlk145517031"/>
      <w:r>
        <w:rPr>
          <w:rFonts w:hint="eastAsia" w:ascii="Times" w:hAnsi="Times" w:eastAsia="宋体" w:cs="宋体"/>
          <w:color w:val="000000" w:themeColor="text1"/>
          <w:szCs w:val="21"/>
          <w14:textFill>
            <w14:solidFill>
              <w14:schemeClr w14:val="tx1"/>
            </w14:solidFill>
          </w14:textFill>
        </w:rPr>
        <w:t>面漆应光亮、平整、色泽均匀一致，结合牢固，无流挂、起皱、漏涂等缺陷。</w:t>
      </w:r>
      <w:bookmarkEnd w:id="27"/>
    </w:p>
    <w:p w14:paraId="42A2792E">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5）性能要求:</w:t>
      </w:r>
    </w:p>
    <w:p w14:paraId="1A7FC2D5">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5</w:t>
      </w:r>
      <w:r>
        <w:rPr>
          <w:rFonts w:ascii="Times" w:hAnsi="Times" w:eastAsia="宋体" w:cs="宋体"/>
          <w:color w:val="000000" w:themeColor="text1"/>
          <w:szCs w:val="21"/>
          <w14:textFill>
            <w14:solidFill>
              <w14:schemeClr w14:val="tx1"/>
            </w14:solidFill>
          </w14:textFill>
        </w:rPr>
        <w:t>.1)</w:t>
      </w:r>
      <w:r>
        <w:rPr>
          <w:rFonts w:hint="eastAsia" w:ascii="Times" w:hAnsi="Times" w:eastAsia="宋体" w:cs="宋体"/>
          <w:color w:val="000000" w:themeColor="text1"/>
          <w:szCs w:val="21"/>
          <w14:textFill>
            <w14:solidFill>
              <w14:schemeClr w14:val="tx1"/>
            </w14:solidFill>
          </w14:textFill>
        </w:rPr>
        <w:t xml:space="preserve"> 投标方必须保证满足招标方提出的螺旋输送机性能设计参数，并能在招标方指明的环境下长期安全运行。</w:t>
      </w:r>
    </w:p>
    <w:p w14:paraId="29480157">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ascii="Times" w:hAnsi="Times" w:eastAsia="宋体" w:cs="宋体"/>
          <w:color w:val="000000" w:themeColor="text1"/>
          <w:szCs w:val="21"/>
          <w14:textFill>
            <w14:solidFill>
              <w14:schemeClr w14:val="tx1"/>
            </w14:solidFill>
          </w14:textFill>
        </w:rPr>
        <w:t>5.2)</w:t>
      </w:r>
      <w:r>
        <w:rPr>
          <w:rFonts w:hint="eastAsia" w:ascii="Times" w:hAnsi="Times" w:eastAsia="宋体" w:cs="宋体"/>
          <w:color w:val="000000" w:themeColor="text1"/>
          <w:szCs w:val="21"/>
          <w14:textFill>
            <w14:solidFill>
              <w14:schemeClr w14:val="tx1"/>
            </w14:solidFill>
          </w14:textFill>
        </w:rPr>
        <w:t xml:space="preserve"> 输送机应运行平稳，螺旋叶片不应与壳体摩擦，无卡滞现象，无异常声响，旋转部件应运转灵活。</w:t>
      </w:r>
    </w:p>
    <w:p w14:paraId="0D69B731">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5</w:t>
      </w:r>
      <w:r>
        <w:rPr>
          <w:rFonts w:ascii="Times" w:hAnsi="Times" w:eastAsia="宋体" w:cs="宋体"/>
          <w:color w:val="000000" w:themeColor="text1"/>
          <w:szCs w:val="21"/>
          <w14:textFill>
            <w14:solidFill>
              <w14:schemeClr w14:val="tx1"/>
            </w14:solidFill>
          </w14:textFill>
        </w:rPr>
        <w:t>.3)</w:t>
      </w:r>
      <w:bookmarkStart w:id="28" w:name="_Hlk145517936"/>
      <w:r>
        <w:rPr>
          <w:rFonts w:hint="eastAsia" w:ascii="Times" w:hAnsi="Times" w:eastAsia="宋体" w:cs="宋体"/>
          <w:color w:val="000000" w:themeColor="text1"/>
          <w:szCs w:val="21"/>
          <w14:textFill>
            <w14:solidFill>
              <w14:schemeClr w14:val="tx1"/>
            </w14:solidFill>
          </w14:textFill>
        </w:rPr>
        <w:t xml:space="preserve"> 轴承部位应密封可靠，无漏油现象。</w:t>
      </w:r>
      <w:bookmarkEnd w:id="28"/>
    </w:p>
    <w:p w14:paraId="63D7B10B">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5</w:t>
      </w:r>
      <w:r>
        <w:rPr>
          <w:rFonts w:ascii="Times" w:hAnsi="Times" w:eastAsia="宋体" w:cs="宋体"/>
          <w:color w:val="000000" w:themeColor="text1"/>
          <w:szCs w:val="21"/>
          <w14:textFill>
            <w14:solidFill>
              <w14:schemeClr w14:val="tx1"/>
            </w14:solidFill>
          </w14:textFill>
        </w:rPr>
        <w:t xml:space="preserve">.4) </w:t>
      </w:r>
      <w:r>
        <w:rPr>
          <w:rFonts w:hint="eastAsia" w:ascii="Times" w:hAnsi="Times" w:eastAsia="宋体" w:cs="宋体"/>
          <w:color w:val="000000" w:themeColor="text1"/>
          <w:szCs w:val="21"/>
          <w14:textFill>
            <w14:solidFill>
              <w14:schemeClr w14:val="tx1"/>
            </w14:solidFill>
          </w14:textFill>
        </w:rPr>
        <w:t>输送机空运转，输送机长度为2</w:t>
      </w:r>
      <w:r>
        <w:rPr>
          <w:rFonts w:ascii="Times" w:hAnsi="Times" w:eastAsia="宋体" w:cs="宋体"/>
          <w:color w:val="000000" w:themeColor="text1"/>
          <w:szCs w:val="21"/>
          <w14:textFill>
            <w14:solidFill>
              <w14:schemeClr w14:val="tx1"/>
            </w14:solidFill>
          </w14:textFill>
        </w:rPr>
        <w:t>0</w:t>
      </w:r>
      <w:r>
        <w:rPr>
          <w:rFonts w:hint="eastAsia" w:ascii="Times" w:hAnsi="Times" w:eastAsia="宋体" w:cs="宋体"/>
          <w:color w:val="000000" w:themeColor="text1"/>
          <w:szCs w:val="21"/>
          <w14:textFill>
            <w14:solidFill>
              <w14:schemeClr w14:val="tx1"/>
            </w14:solidFill>
          </w14:textFill>
        </w:rPr>
        <w:t>m时，输送机主轴转矩应不超过表</w:t>
      </w:r>
      <w:r>
        <w:rPr>
          <w:rFonts w:ascii="Times" w:hAnsi="Times" w:eastAsia="宋体" w:cs="宋体"/>
          <w:color w:val="000000" w:themeColor="text1"/>
          <w:szCs w:val="21"/>
          <w14:textFill>
            <w14:solidFill>
              <w14:schemeClr w14:val="tx1"/>
            </w14:solidFill>
          </w14:textFill>
        </w:rPr>
        <w:t>6</w:t>
      </w:r>
      <w:r>
        <w:rPr>
          <w:rFonts w:hint="eastAsia" w:ascii="Times" w:hAnsi="Times" w:eastAsia="宋体" w:cs="宋体"/>
          <w:color w:val="000000" w:themeColor="text1"/>
          <w:szCs w:val="21"/>
          <w14:textFill>
            <w14:solidFill>
              <w14:schemeClr w14:val="tx1"/>
            </w14:solidFill>
          </w14:textFill>
        </w:rPr>
        <w:t>的规定。</w:t>
      </w:r>
    </w:p>
    <w:p w14:paraId="4B95DD64">
      <w:pPr>
        <w:spacing w:line="360" w:lineRule="auto"/>
        <w:jc w:val="center"/>
        <w:rPr>
          <w:rFonts w:hint="eastAsia" w:ascii="宋体" w:hAnsi="宋体" w:eastAsia="宋体" w:cs="宋体"/>
          <w:sz w:val="21"/>
          <w:szCs w:val="21"/>
        </w:rPr>
      </w:pPr>
      <w:bookmarkStart w:id="29" w:name="_Hlk145518075"/>
      <w:r>
        <w:rPr>
          <w:rFonts w:hint="eastAsia" w:ascii="宋体" w:hAnsi="宋体" w:eastAsia="宋体" w:cs="宋体"/>
          <w:sz w:val="21"/>
          <w:szCs w:val="21"/>
        </w:rPr>
        <w:t>表6</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890"/>
        <w:gridCol w:w="1704"/>
        <w:gridCol w:w="1705"/>
        <w:gridCol w:w="1705"/>
      </w:tblGrid>
      <w:tr w14:paraId="5D55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9AE01A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螺旋体公称直径*mm</w:t>
            </w:r>
          </w:p>
        </w:tc>
        <w:tc>
          <w:tcPr>
            <w:tcW w:w="890" w:type="dxa"/>
            <w:vAlign w:val="center"/>
          </w:tcPr>
          <w:p w14:paraId="04DFA68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≤315</w:t>
            </w:r>
          </w:p>
        </w:tc>
        <w:tc>
          <w:tcPr>
            <w:tcW w:w="1704" w:type="dxa"/>
            <w:vAlign w:val="center"/>
          </w:tcPr>
          <w:p w14:paraId="38A39A9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400~800</w:t>
            </w:r>
          </w:p>
        </w:tc>
        <w:tc>
          <w:tcPr>
            <w:tcW w:w="1705" w:type="dxa"/>
            <w:vAlign w:val="center"/>
          </w:tcPr>
          <w:p w14:paraId="40C633E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1000、1250</w:t>
            </w:r>
          </w:p>
        </w:tc>
        <w:tc>
          <w:tcPr>
            <w:tcW w:w="1705" w:type="dxa"/>
            <w:vAlign w:val="center"/>
          </w:tcPr>
          <w:p w14:paraId="2500FCC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1600、2000</w:t>
            </w:r>
          </w:p>
        </w:tc>
      </w:tr>
      <w:tr w14:paraId="0CDB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1554F4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转矩 N*m</w:t>
            </w:r>
          </w:p>
        </w:tc>
        <w:tc>
          <w:tcPr>
            <w:tcW w:w="890" w:type="dxa"/>
            <w:vAlign w:val="center"/>
          </w:tcPr>
          <w:p w14:paraId="1B3DB19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75</w:t>
            </w:r>
          </w:p>
        </w:tc>
        <w:tc>
          <w:tcPr>
            <w:tcW w:w="1704" w:type="dxa"/>
            <w:vAlign w:val="center"/>
          </w:tcPr>
          <w:p w14:paraId="2E6FA40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380</w:t>
            </w:r>
          </w:p>
        </w:tc>
        <w:tc>
          <w:tcPr>
            <w:tcW w:w="1705" w:type="dxa"/>
            <w:vAlign w:val="center"/>
          </w:tcPr>
          <w:p w14:paraId="5E1BE13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920</w:t>
            </w:r>
          </w:p>
        </w:tc>
        <w:tc>
          <w:tcPr>
            <w:tcW w:w="1705" w:type="dxa"/>
            <w:vAlign w:val="center"/>
          </w:tcPr>
          <w:p w14:paraId="7CAAB12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1600</w:t>
            </w:r>
          </w:p>
        </w:tc>
      </w:tr>
    </w:tbl>
    <w:p w14:paraId="5D4CAA94">
      <w:pPr>
        <w:spacing w:line="360" w:lineRule="auto"/>
        <w:rPr>
          <w:rFonts w:hint="eastAsia" w:ascii="宋体" w:hAnsi="宋体" w:eastAsia="宋体" w:cs="宋体"/>
          <w:sz w:val="21"/>
          <w:szCs w:val="21"/>
        </w:rPr>
      </w:pPr>
      <w:r>
        <w:rPr>
          <w:rFonts w:hint="eastAsia" w:ascii="宋体" w:hAnsi="宋体" w:eastAsia="宋体" w:cs="宋体"/>
          <w:sz w:val="21"/>
          <w:szCs w:val="21"/>
        </w:rPr>
        <w:t>空载运转2h后，输送机轴承温升不应超过20℃</w:t>
      </w:r>
    </w:p>
    <w:bookmarkEnd w:id="29"/>
    <w:p w14:paraId="55AA5DFE">
      <w:pPr>
        <w:widowControl/>
        <w:numPr>
          <w:ilvl w:val="-1"/>
          <w:numId w:val="0"/>
        </w:numPr>
        <w:adjustRightInd/>
        <w:snapToGrid/>
        <w:spacing w:line="360" w:lineRule="auto"/>
        <w:ind w:firstLine="0" w:firstLineChars="0"/>
        <w:jc w:val="left"/>
        <w:outlineLvl w:val="1"/>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pPr>
    </w:p>
    <w:p w14:paraId="375BB920">
      <w:pPr>
        <w:widowControl/>
        <w:numPr>
          <w:ilvl w:val="0"/>
          <w:numId w:val="3"/>
        </w:numPr>
        <w:adjustRightInd/>
        <w:snapToGrid/>
        <w:spacing w:line="360" w:lineRule="auto"/>
        <w:ind w:firstLine="0" w:firstLineChars="0"/>
        <w:jc w:val="left"/>
        <w:outlineLvl w:val="1"/>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t>设备一般</w:t>
      </w:r>
      <w:r>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t>要求</w:t>
      </w:r>
    </w:p>
    <w:p w14:paraId="0FA1813B">
      <w:pPr>
        <w:widowControl/>
        <w:numPr>
          <w:ilvl w:val="0"/>
          <w:numId w:val="4"/>
        </w:numPr>
        <w:snapToGrid w:val="0"/>
        <w:spacing w:line="360" w:lineRule="auto"/>
        <w:ind w:left="0" w:leftChars="0" w:firstLine="420" w:firstLineChars="0"/>
        <w:outlineLvl w:val="1"/>
        <w:rPr>
          <w:b/>
          <w:sz w:val="21"/>
          <w:szCs w:val="21"/>
        </w:rPr>
      </w:pPr>
      <w:bookmarkStart w:id="30" w:name="_Toc28785"/>
      <w:bookmarkStart w:id="31" w:name="_Toc36656133"/>
      <w:bookmarkStart w:id="32" w:name="_Toc36655881"/>
      <w:bookmarkStart w:id="33" w:name="_Toc118200237"/>
      <w:r>
        <w:rPr>
          <w:b/>
          <w:sz w:val="21"/>
          <w:szCs w:val="21"/>
        </w:rPr>
        <w:t>机械设备</w:t>
      </w:r>
    </w:p>
    <w:p w14:paraId="6B0EB4FB">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1.1制造技术与材料</w:t>
      </w:r>
    </w:p>
    <w:p w14:paraId="7FA45A7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提供的所有设备及材料必须是全新的、先进的、从未使用过的。材质和设计加工方面无任何缺陷，且耗能低，使用寿命长，维修量低。</w:t>
      </w:r>
    </w:p>
    <w:p w14:paraId="409DC6E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（2）所有设备必须依据最新、最佳的技术和工艺进行设计、制造与装配等工作。技术性能满足工厂的正常安全运行。设备的各部分零件应按标准的尺寸和规格制造，相同的零件应能互相更替。</w:t>
      </w:r>
    </w:p>
    <w:p w14:paraId="015161D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（3）材质应适合各种操作情况，选择金属材料要考虑其强度、延伸性及耐用性。铸铁应结构致密，不得有气孔、缺陷和龟裂；承受应力的锻件应是细质的、均匀的。</w:t>
      </w:r>
    </w:p>
    <w:p w14:paraId="27FFEB52">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1.2 安全防护</w:t>
      </w:r>
    </w:p>
    <w:p w14:paraId="3DC1520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（1）安全防护应为制造厂标准产品或电镀、镀锌金属片制造；每一防护设备应易于安装与拆卸，并须附有所需的支撑及附件；户外安全防护设备须能防止雨水溅入。</w:t>
      </w:r>
    </w:p>
    <w:p w14:paraId="7C2EF9E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（2）表面有油漆者，应能防止冲击、磨损、褪色或其他损坏。</w:t>
      </w:r>
    </w:p>
    <w:p w14:paraId="3D4D0E5F">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1.3 设备基础和底座</w:t>
      </w:r>
    </w:p>
    <w:p w14:paraId="3B1806D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规定，根据安装和使用的需求，设备应配有必要的高强度的铸铁或钢结构的底座，可安装在混凝土基础上。基础与底座应有支撑填塞垫、尖钉，并与结合体或相关设备排列配合，并须有足够的空间作为灌浆或电线管之用。所有钢板间的接口必须连续焊接及磨平。</w:t>
      </w:r>
    </w:p>
    <w:p w14:paraId="417064C2">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1.4 紧固件</w:t>
      </w:r>
    </w:p>
    <w:p w14:paraId="5DBD871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提供设备安装所需要的全部紧固件，包括调整螺栓、锚固螺栓、螺帽、垫圈和套管。紧固件的材质满足防腐和强度要求（如热浸锌螺栓、304不锈钢等）。如需采用化学螺栓，</w:t>
      </w:r>
      <w:r>
        <w:rPr>
          <w:rFonts w:hint="eastAsia" w:ascii="宋体" w:hAnsi="宋体" w:eastAsia="宋体" w:cs="宋体"/>
          <w:sz w:val="21"/>
          <w:szCs w:val="21"/>
          <w:lang w:eastAsia="zh-CN"/>
        </w:rPr>
        <w:t>中标人</w:t>
      </w:r>
      <w:r>
        <w:rPr>
          <w:rFonts w:hint="eastAsia" w:ascii="宋体" w:hAnsi="宋体" w:eastAsia="宋体" w:cs="宋体"/>
          <w:sz w:val="21"/>
          <w:szCs w:val="21"/>
        </w:rPr>
        <w:t>必须免费提供所需的化学粘接剂以及安装所需的特殊工具。</w:t>
      </w:r>
    </w:p>
    <w:p w14:paraId="044A9F1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为设备安装和土建施工方便，除特殊情况（现有膨胀螺栓或化学螺栓不能满足设备运行要求）外，所有的紧固件均采用膨胀螺栓或化学螺栓固定，</w:t>
      </w:r>
      <w:r>
        <w:rPr>
          <w:rFonts w:hint="eastAsia" w:ascii="宋体" w:hAnsi="宋体" w:eastAsia="宋体" w:cs="宋体"/>
          <w:sz w:val="21"/>
          <w:szCs w:val="21"/>
          <w:lang w:eastAsia="zh-CN"/>
        </w:rPr>
        <w:t>中标人</w:t>
      </w:r>
      <w:r>
        <w:rPr>
          <w:rFonts w:hint="eastAsia" w:ascii="宋体" w:hAnsi="宋体" w:eastAsia="宋体" w:cs="宋体"/>
          <w:sz w:val="21"/>
          <w:szCs w:val="21"/>
        </w:rPr>
        <w:t>必须保证其紧固的强度符合运行要求。</w:t>
      </w:r>
    </w:p>
    <w:p w14:paraId="5E9D50A6">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1.5 特殊工具与附属设备</w:t>
      </w:r>
    </w:p>
    <w:p w14:paraId="7C59E8C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必须提供机械设备周期性维修与调整所需的特殊工具、仪表以及维护所需的附属设备。</w:t>
      </w:r>
    </w:p>
    <w:p w14:paraId="1014E287">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1.6 铭牌</w:t>
      </w:r>
    </w:p>
    <w:p w14:paraId="44F5E4F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设备的铭牌应当刻在或贴在金属片上，并紧固在设备外壳上，安装好后能清楚地看到。铭牌上写下述内容：</w:t>
      </w:r>
    </w:p>
    <w:p w14:paraId="1E3FE70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（1）制造厂名称。</w:t>
      </w:r>
    </w:p>
    <w:p w14:paraId="76B05D9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（2）设备的机型及其规格、性能参数指标等。</w:t>
      </w:r>
    </w:p>
    <w:p w14:paraId="76CD57F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（3）序列号。</w:t>
      </w:r>
    </w:p>
    <w:p w14:paraId="4F9DB45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（4）出厂年月。</w:t>
      </w:r>
    </w:p>
    <w:p w14:paraId="577E92ED">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1.7 润滑</w:t>
      </w:r>
    </w:p>
    <w:p w14:paraId="6456C78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（1）机械设备在连续试运转期间应能进行润滑工作。润滑剂的种类应由</w:t>
      </w:r>
      <w:r>
        <w:rPr>
          <w:rFonts w:hint="eastAsia" w:ascii="宋体" w:hAnsi="宋体" w:eastAsia="宋体" w:cs="宋体"/>
          <w:sz w:val="21"/>
          <w:szCs w:val="21"/>
          <w:lang w:eastAsia="zh-CN"/>
        </w:rPr>
        <w:t>中标人</w:t>
      </w:r>
      <w:r>
        <w:rPr>
          <w:rFonts w:hint="eastAsia" w:ascii="宋体" w:hAnsi="宋体" w:eastAsia="宋体" w:cs="宋体"/>
          <w:sz w:val="21"/>
          <w:szCs w:val="21"/>
        </w:rPr>
        <w:t>建议，并应提供足够试运行期间（最多不超30天）连续运转所需用量。</w:t>
      </w:r>
    </w:p>
    <w:p w14:paraId="78341A0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中标人</w:t>
      </w:r>
      <w:r>
        <w:rPr>
          <w:rFonts w:hint="eastAsia" w:ascii="宋体" w:hAnsi="宋体" w:eastAsia="宋体" w:cs="宋体"/>
          <w:sz w:val="21"/>
          <w:szCs w:val="21"/>
        </w:rPr>
        <w:t>应说明机械设备的润滑方式、每年所需的润滑剂量，并建议润滑时间。</w:t>
      </w:r>
    </w:p>
    <w:p w14:paraId="7DED5420">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1.8 防潮措施</w:t>
      </w:r>
    </w:p>
    <w:p w14:paraId="69DEF80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应该采取特别的预防措施，防止由于潮气、降雨和湿气而造成的腐蚀。</w:t>
      </w:r>
    </w:p>
    <w:p w14:paraId="4B0FBFA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设备上所有的空洞，都应有效的密封，以防止水的进入。所有暴露在空气中或水中的部件，均不得有集水装置，必要时应提供排水孔，防止积水。</w:t>
      </w:r>
    </w:p>
    <w:p w14:paraId="5018164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安装于室外的</w:t>
      </w:r>
      <w:r>
        <w:rPr>
          <w:rFonts w:hint="eastAsia" w:ascii="宋体" w:hAnsi="宋体" w:eastAsia="宋体" w:cs="宋体"/>
          <w:sz w:val="21"/>
          <w:szCs w:val="21"/>
        </w:rPr>
        <w:t>电机如果没有防止空气自由移动的密封装置，则应该配备防冷凝的加热装置，防止空气中的水气凝结。通常这种加热装置，应该是恒温控制，当设备运行产生热量后，便自动断开。</w:t>
      </w:r>
    </w:p>
    <w:p w14:paraId="35674451">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1.9 材料的防腐蚀</w:t>
      </w:r>
    </w:p>
    <w:p w14:paraId="0BC7713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设备中所有在污水下运行的部件，或在污水、有毒有害气体界面中的部件，或那些与化学品直接接触的所有部件，应具有抗腐蚀性和抗侵蚀性能。上述部件如在保证期间内出现腐蚀的迹象应由</w:t>
      </w:r>
      <w:r>
        <w:rPr>
          <w:rFonts w:hint="eastAsia" w:ascii="宋体" w:hAnsi="宋体" w:eastAsia="宋体" w:cs="宋体"/>
          <w:sz w:val="21"/>
          <w:szCs w:val="21"/>
          <w:lang w:eastAsia="zh-CN"/>
        </w:rPr>
        <w:t>中标人</w:t>
      </w:r>
      <w:r>
        <w:rPr>
          <w:rFonts w:hint="eastAsia" w:ascii="宋体" w:hAnsi="宋体" w:eastAsia="宋体" w:cs="宋体"/>
          <w:sz w:val="21"/>
          <w:szCs w:val="21"/>
        </w:rPr>
        <w:t>将其更换成具有防腐性能的、合格的防锈材料，以满足长期使用的要求。当调理池中投加自主药剂后，经过调理后的污泥pH值满足工况要求。</w:t>
      </w:r>
    </w:p>
    <w:p w14:paraId="1874F78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应特别注意由于不同种类金属的紧密连接面引起的锈蚀问题，应防止此类问题发生。</w:t>
      </w:r>
    </w:p>
    <w:p w14:paraId="43A58A9E">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1.10 噪音和振动</w:t>
      </w:r>
    </w:p>
    <w:p w14:paraId="1FC0EF4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在装置的设计中，应包括有关隔音材料、防振装置和其他适当的设施和设计，以保证设备在最终安装位置运行时，在厂区内（车间外）任意一点听到机械噪音，都不能大于85分贝。</w:t>
      </w:r>
    </w:p>
    <w:p w14:paraId="77EF34E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所有传动部件，均必须做静平衡和动平衡，以便在部件在加速运行、全速运行以及在最大负荷状态运行的任意一种情况，机器本身的任何部位以及机器相邻的任何结构，都没有超过标准规定的振动要求值。</w:t>
      </w:r>
    </w:p>
    <w:p w14:paraId="4BD319DC">
      <w:pPr>
        <w:widowControl/>
        <w:numPr>
          <w:ilvl w:val="0"/>
          <w:numId w:val="4"/>
        </w:numPr>
        <w:snapToGrid w:val="0"/>
        <w:spacing w:line="360" w:lineRule="auto"/>
        <w:ind w:left="0" w:leftChars="0" w:firstLine="420" w:firstLineChars="0"/>
        <w:outlineLvl w:val="1"/>
        <w:rPr>
          <w:rFonts w:hint="eastAsia" w:ascii="宋体" w:hAnsi="宋体" w:eastAsia="宋体" w:cs="Times New Roman"/>
          <w:b/>
          <w:sz w:val="21"/>
          <w:szCs w:val="21"/>
        </w:rPr>
      </w:pPr>
      <w:r>
        <w:rPr>
          <w:rFonts w:hint="eastAsia" w:ascii="宋体" w:hAnsi="宋体" w:eastAsia="宋体" w:cs="Times New Roman"/>
          <w:b/>
          <w:sz w:val="21"/>
          <w:szCs w:val="21"/>
        </w:rPr>
        <w:t>旋转电机技术要求</w:t>
      </w:r>
    </w:p>
    <w:p w14:paraId="129D9AD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必须选择并提供与机械相配的所有电动机。</w:t>
      </w:r>
    </w:p>
    <w:p w14:paraId="356FC70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电动机的设计、制造、安装、测试应服从IEC 和国家标准</w:t>
      </w:r>
      <w:r>
        <w:rPr>
          <w:rFonts w:hint="eastAsia" w:cs="宋体"/>
          <w:sz w:val="21"/>
          <w:szCs w:val="21"/>
          <w:lang w:eastAsia="zh-CN"/>
        </w:rPr>
        <w:t>，</w:t>
      </w:r>
      <w:r>
        <w:rPr>
          <w:rFonts w:hint="eastAsia" w:ascii="宋体" w:hAnsi="宋体" w:cs="黑体"/>
          <w:kern w:val="0"/>
          <w:szCs w:val="21"/>
        </w:rPr>
        <w:t>定速电机效率不低于《GB18613-2020电动机能效限定及能效等级》</w:t>
      </w:r>
      <w:r>
        <w:rPr>
          <w:rFonts w:hint="eastAsia" w:cs="黑体"/>
          <w:kern w:val="0"/>
          <w:szCs w:val="21"/>
          <w:lang w:val="en-US" w:eastAsia="zh-CN"/>
        </w:rPr>
        <w:t>二</w:t>
      </w:r>
      <w:r>
        <w:rPr>
          <w:rFonts w:hint="eastAsia" w:ascii="宋体" w:hAnsi="宋体" w:cs="黑体"/>
          <w:kern w:val="0"/>
          <w:szCs w:val="21"/>
        </w:rPr>
        <w:t>级能效要求</w:t>
      </w:r>
      <w:r>
        <w:rPr>
          <w:rFonts w:hint="eastAsia" w:ascii="宋体" w:hAnsi="宋体" w:eastAsia="宋体" w:cs="宋体"/>
          <w:sz w:val="21"/>
          <w:szCs w:val="21"/>
        </w:rPr>
        <w:t>。</w:t>
      </w:r>
    </w:p>
    <w:p w14:paraId="3B6DE33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（1）每一电动机的机械特性，必须适合被驱动设备的负载特性。除另有注明者外，电动机应为笼型交流异步感应电动机。</w:t>
      </w:r>
    </w:p>
    <w:p w14:paraId="1D30C59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（2）电动机功率</w:t>
      </w:r>
    </w:p>
    <w:p w14:paraId="1DA31D6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电动机功率不得小于每个被驱动机械在驱动范围内所需功率，其储备系数须为1.3。</w:t>
      </w:r>
    </w:p>
    <w:p w14:paraId="647F223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电动机功率小于</w:t>
      </w:r>
      <w:r>
        <w:rPr>
          <w:rFonts w:hint="eastAsia" w:ascii="宋体" w:hAnsi="宋体" w:eastAsia="宋体" w:cs="宋体"/>
          <w:sz w:val="21"/>
          <w:szCs w:val="21"/>
          <w:lang w:val="en-US" w:eastAsia="zh-CN"/>
        </w:rPr>
        <w:t>30</w:t>
      </w:r>
      <w:r>
        <w:rPr>
          <w:rFonts w:hint="eastAsia" w:ascii="宋体" w:hAnsi="宋体" w:eastAsia="宋体" w:cs="宋体"/>
          <w:sz w:val="21"/>
          <w:szCs w:val="21"/>
        </w:rPr>
        <w:t>KW时，采用直接起动，等于或大于</w:t>
      </w:r>
      <w:r>
        <w:rPr>
          <w:rFonts w:hint="eastAsia" w:ascii="宋体" w:hAnsi="宋体" w:eastAsia="宋体" w:cs="宋体"/>
          <w:sz w:val="21"/>
          <w:szCs w:val="21"/>
          <w:lang w:val="en-US" w:eastAsia="zh-CN"/>
        </w:rPr>
        <w:t>30</w:t>
      </w:r>
      <w:r>
        <w:rPr>
          <w:rFonts w:hint="eastAsia" w:ascii="宋体" w:hAnsi="宋体" w:eastAsia="宋体" w:cs="宋体"/>
          <w:sz w:val="21"/>
          <w:szCs w:val="21"/>
        </w:rPr>
        <w:t>KW时，采用软启动方式。</w:t>
      </w:r>
    </w:p>
    <w:p w14:paraId="3CA9504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如所估最低功率不足以符合上述要求或其他需要，</w:t>
      </w:r>
      <w:r>
        <w:rPr>
          <w:rFonts w:hint="eastAsia" w:ascii="宋体" w:hAnsi="宋体" w:eastAsia="宋体" w:cs="宋体"/>
          <w:sz w:val="21"/>
          <w:szCs w:val="21"/>
          <w:lang w:eastAsia="zh-CN"/>
        </w:rPr>
        <w:t>中标人</w:t>
      </w:r>
      <w:r>
        <w:rPr>
          <w:rFonts w:hint="eastAsia" w:ascii="宋体" w:hAnsi="宋体" w:eastAsia="宋体" w:cs="宋体"/>
          <w:sz w:val="21"/>
          <w:szCs w:val="21"/>
        </w:rPr>
        <w:t>应提供较大功率的电动机，因增加电动机功率而引起的一切变更，如增加起动器电流、增大的电气开关、增加导管及导线等，均应由</w:t>
      </w:r>
      <w:r>
        <w:rPr>
          <w:rFonts w:hint="eastAsia" w:ascii="宋体" w:hAnsi="宋体" w:eastAsia="宋体" w:cs="宋体"/>
          <w:sz w:val="21"/>
          <w:szCs w:val="21"/>
          <w:lang w:eastAsia="zh-CN"/>
        </w:rPr>
        <w:t>中标人</w:t>
      </w:r>
      <w:r>
        <w:rPr>
          <w:rFonts w:hint="eastAsia" w:ascii="宋体" w:hAnsi="宋体" w:eastAsia="宋体" w:cs="宋体"/>
          <w:sz w:val="21"/>
          <w:szCs w:val="21"/>
        </w:rPr>
        <w:t>自行负责。</w:t>
      </w:r>
    </w:p>
    <w:p w14:paraId="0E0D91E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电动机为三相交流380V/50Hz，电动机在满负荷时最低保证效率为95% ，</w:t>
      </w:r>
      <w:r>
        <w:rPr>
          <w:rFonts w:hint="eastAsia" w:ascii="宋体" w:hAnsi="宋体" w:eastAsia="宋体" w:cs="宋体"/>
          <w:sz w:val="21"/>
          <w:szCs w:val="21"/>
          <w:lang w:eastAsia="zh-CN"/>
        </w:rPr>
        <w:t>中标人</w:t>
      </w:r>
      <w:r>
        <w:rPr>
          <w:rFonts w:hint="eastAsia" w:ascii="宋体" w:hAnsi="宋体" w:eastAsia="宋体" w:cs="宋体"/>
          <w:sz w:val="21"/>
          <w:szCs w:val="21"/>
        </w:rPr>
        <w:t>应指明每台电动机精确的功率损耗，电动机在正常情况下运行，其功率均不会超过铭牌上规定的额定功率。</w:t>
      </w:r>
    </w:p>
    <w:p w14:paraId="640347F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（3）施工与标准件</w:t>
      </w:r>
    </w:p>
    <w:p w14:paraId="7485358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所有电动机必须依照最新版中国国家标准（或IEC标准）或等同的其他标准而设计、制造、试车及测试。</w:t>
      </w:r>
    </w:p>
    <w:p w14:paraId="002D7A5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每部电动机须安装一永久性、不会腐蚀的铭牌，该铭牌应安装在明显位置，所有的电动机资料均应以中文记载在铭牌上。</w:t>
      </w:r>
    </w:p>
    <w:p w14:paraId="4E25D41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如电源电压小于电动机铭牌记载电压的10%，该电动机也必须有足够的扭力。</w:t>
      </w:r>
    </w:p>
    <w:p w14:paraId="715FF8B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除非另有注明，所有电动机在满载时须能连续运转。</w:t>
      </w:r>
    </w:p>
    <w:p w14:paraId="007A45D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所有安装在室外的电动机必须是全密闭式，风扇冷却型，外壳防护等级不低于IP55。</w:t>
      </w:r>
    </w:p>
    <w:p w14:paraId="2D8D623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所有安装在室内的电动机，除另有规定使用全密闭式风扇冷却型外，其余使用防滴型，外壳防护等级不低于IP55。</w:t>
      </w:r>
    </w:p>
    <w:p w14:paraId="2969577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（4）绝缘等级与温升</w:t>
      </w:r>
    </w:p>
    <w:p w14:paraId="76C325D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每部电动机必须有IEC标准或等同标准规定的F级或接近H级材质绝缘。</w:t>
      </w:r>
    </w:p>
    <w:p w14:paraId="0802EF0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为使电动机能有一较长的使用寿命，当电动机在满载而不超载连续运转的情况下，该电动机的升温必须不超过GB755-2000或等同标准绝缘材质所规定的限度。</w:t>
      </w:r>
    </w:p>
    <w:p w14:paraId="30F22E7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电动机周围的气温加上运转时温度上升的总温度不得超过采用标准所规定的限度。（场地白天气温可能高达40℃）</w:t>
      </w:r>
    </w:p>
    <w:p w14:paraId="7077A23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设备运到现场后，电动机绝缘必须依照采用的标准规定的方法进行试验，如电动机有任何缺陷或绝缘抵抗力未达到标准规定，</w:t>
      </w:r>
      <w:r>
        <w:rPr>
          <w:rFonts w:hint="eastAsia" w:ascii="宋体" w:hAnsi="宋体" w:eastAsia="宋体" w:cs="宋体"/>
          <w:sz w:val="21"/>
          <w:szCs w:val="21"/>
          <w:lang w:eastAsia="zh-CN"/>
        </w:rPr>
        <w:t>中标人</w:t>
      </w:r>
      <w:r>
        <w:rPr>
          <w:rFonts w:hint="eastAsia" w:ascii="宋体" w:hAnsi="宋体" w:eastAsia="宋体" w:cs="宋体"/>
          <w:sz w:val="21"/>
          <w:szCs w:val="21"/>
        </w:rPr>
        <w:t>必须无偿更换一部新电动机。</w:t>
      </w:r>
    </w:p>
    <w:p w14:paraId="22D86C0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电动机绕组应是由绝缘铜线绕制的、经真空压力浸漆的绝缘线圈，绝缘等级为F 级，绕组温升等级为B级，最大工作温度可达155℃。</w:t>
      </w:r>
    </w:p>
    <w:p w14:paraId="06F9F12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（5）电流平衡</w:t>
      </w:r>
    </w:p>
    <w:p w14:paraId="0BBA2D8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当电动机在其正常使用范围内之任何负载情况下运转，且是一个平衡电压供给系统时，多相电动机各极的不平衡电流不得超过以下所列数值：</w:t>
      </w:r>
    </w:p>
    <w:p w14:paraId="2929BAD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30kW以下5%（不平衡度）</w:t>
      </w:r>
    </w:p>
    <w:p w14:paraId="03175D8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30kW或以上2%（不平衡度）</w:t>
      </w:r>
    </w:p>
    <w:p w14:paraId="003C2B9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虽然不平衡电流小于上表所列，但如果不平衡电流仍引起机械震动，</w:t>
      </w:r>
      <w:r>
        <w:rPr>
          <w:rFonts w:hint="eastAsia" w:ascii="宋体" w:hAnsi="宋体" w:eastAsia="宋体" w:cs="宋体"/>
          <w:sz w:val="21"/>
          <w:szCs w:val="21"/>
          <w:lang w:eastAsia="zh-CN"/>
        </w:rPr>
        <w:t>中标人</w:t>
      </w:r>
      <w:r>
        <w:rPr>
          <w:rFonts w:hint="eastAsia" w:ascii="宋体" w:hAnsi="宋体" w:eastAsia="宋体" w:cs="宋体"/>
          <w:sz w:val="21"/>
          <w:szCs w:val="21"/>
        </w:rPr>
        <w:t>应负责修正该问题。</w:t>
      </w:r>
    </w:p>
    <w:p w14:paraId="2666692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（6）其他</w:t>
      </w:r>
    </w:p>
    <w:p w14:paraId="13A87E8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所有电动机应有外壳、轴承托架、风扇盖以及电线管，防水和完全密闭式电动机，在电动机接线盒与电线管之间必须安装有硅质橡胶衬垫。</w:t>
      </w:r>
    </w:p>
    <w:p w14:paraId="516C4F5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所有金属零件必须抗腐蚀，电动机必须依照制造厂商的标准涂装。</w:t>
      </w:r>
    </w:p>
    <w:p w14:paraId="1C53FE8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电动机的风扇为耐腐蚀材质，须适合任何方向的旋转，并且在装配经过精确的平衡。风扇外壳不得采用非金属材料。</w:t>
      </w:r>
    </w:p>
    <w:p w14:paraId="2D13208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电动机的转子须经过动平衡校正，最大振幅在低于1800rpm时，不得超过0.04mm；在同步转速为3600rpm时，不得超过0.03mm。</w:t>
      </w:r>
    </w:p>
    <w:p w14:paraId="32D9530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电动机能在频率为49-51Hz/s，电压在正常额定电压下波动5%变化中连续运行。</w:t>
      </w:r>
    </w:p>
    <w:p w14:paraId="2E330DE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当频率正常而电压为0.8ue时，电动机和接触器能继续运行5min , 而不产生有害过热，且能在相间电压产生2% 的不平衡电压情况下继续运行。</w:t>
      </w:r>
    </w:p>
    <w:p w14:paraId="4ADA087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应保证电动机额定负荷条件下的功率因数不低于0.85。</w:t>
      </w:r>
    </w:p>
    <w:p w14:paraId="5CB311F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要求电动机为低噪声，符合IEC和中国标准。</w:t>
      </w:r>
    </w:p>
    <w:p w14:paraId="2828203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电动机全部轴承都要求带有润滑油或润滑剂。</w:t>
      </w:r>
    </w:p>
    <w:p w14:paraId="34A3086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要求电动机外壳带有提升环和接地螺丝。</w:t>
      </w:r>
    </w:p>
    <w:p w14:paraId="622CE08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大、中型的电动机要求必须带定子测温元件，将这些热传感元件接点串至保护或控制回路，如超过所规定的温度，将不允许电动机运转，而当温度降至规定温度时，测温传感器自动复位。</w:t>
      </w:r>
    </w:p>
    <w:p w14:paraId="5436077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缆接线盒与电动机的外壳框架稳固安装在一起或铸为一体，全封闭防水、防潮、防盐雾、耐腐蚀，经得起冲撞，盒内应有联接电动机绕组抽头的端子，它们是大小适当的双头螺钉，且按标准标明端子之间的关系，电缆是由接线盒的底部进入并用密封垫圈加以密封，用于电动机绕组测温元件引出的接点端子应与电动机绕组电缆接线的端子适当隔离。</w:t>
      </w:r>
    </w:p>
    <w:p w14:paraId="4F65D06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所有电动机都要根据要求对外壳进行接地，接地线和接地端子由</w:t>
      </w:r>
      <w:r>
        <w:rPr>
          <w:rFonts w:hint="eastAsia" w:ascii="宋体" w:hAnsi="宋体" w:eastAsia="宋体" w:cs="宋体"/>
          <w:sz w:val="21"/>
          <w:szCs w:val="21"/>
          <w:lang w:eastAsia="zh-CN"/>
        </w:rPr>
        <w:t>中标人</w:t>
      </w:r>
      <w:r>
        <w:rPr>
          <w:rFonts w:hint="eastAsia" w:ascii="宋体" w:hAnsi="宋体" w:eastAsia="宋体" w:cs="宋体"/>
          <w:sz w:val="21"/>
          <w:szCs w:val="21"/>
        </w:rPr>
        <w:t>随每台电动机设备一起提供。</w:t>
      </w:r>
    </w:p>
    <w:p w14:paraId="7FF58802">
      <w:pPr>
        <w:widowControl/>
        <w:numPr>
          <w:ilvl w:val="0"/>
          <w:numId w:val="4"/>
        </w:numPr>
        <w:snapToGrid w:val="0"/>
        <w:spacing w:line="360" w:lineRule="auto"/>
        <w:ind w:left="0" w:leftChars="0" w:firstLine="420" w:firstLineChars="0"/>
        <w:outlineLvl w:val="1"/>
        <w:rPr>
          <w:rFonts w:hint="eastAsia" w:ascii="宋体" w:hAnsi="宋体" w:eastAsia="宋体" w:cs="Times New Roman"/>
          <w:b/>
          <w:sz w:val="21"/>
          <w:szCs w:val="21"/>
        </w:rPr>
      </w:pPr>
      <w:bookmarkStart w:id="34" w:name="_Toc36656135"/>
      <w:bookmarkStart w:id="35" w:name="_Toc36655883"/>
      <w:bookmarkStart w:id="36" w:name="_Toc29061"/>
      <w:bookmarkStart w:id="37" w:name="_Toc118200248"/>
      <w:r>
        <w:rPr>
          <w:rFonts w:hint="eastAsia" w:ascii="宋体" w:hAnsi="宋体" w:eastAsia="宋体" w:cs="Times New Roman"/>
          <w:b/>
          <w:sz w:val="21"/>
          <w:szCs w:val="21"/>
        </w:rPr>
        <w:t>电气仪表的技术服务工作</w:t>
      </w:r>
      <w:bookmarkEnd w:id="34"/>
      <w:bookmarkEnd w:id="35"/>
      <w:bookmarkEnd w:id="36"/>
      <w:bookmarkEnd w:id="37"/>
    </w:p>
    <w:p w14:paraId="76833D57">
      <w:pPr>
        <w:keepNext/>
        <w:keepLines/>
        <w:widowControl/>
        <w:ind w:firstLine="420" w:firstLineChars="200"/>
        <w:outlineLvl w:val="2"/>
        <w:rPr>
          <w:rFonts w:hint="eastAsia" w:ascii="宋体" w:hAnsi="宋体" w:eastAsia="宋体" w:cs="宋体"/>
          <w:bCs/>
          <w:sz w:val="21"/>
          <w:szCs w:val="21"/>
          <w:lang w:val="zh-CN"/>
        </w:rPr>
      </w:pPr>
      <w:bookmarkStart w:id="38" w:name="_Toc118200249"/>
      <w:bookmarkStart w:id="39" w:name="_Toc12464"/>
      <w:r>
        <w:rPr>
          <w:rFonts w:hint="eastAsia" w:ascii="宋体" w:hAnsi="宋体" w:eastAsia="宋体" w:cs="宋体"/>
          <w:bCs/>
          <w:sz w:val="21"/>
          <w:szCs w:val="21"/>
          <w:lang w:val="en-US" w:eastAsia="zh-CN"/>
        </w:rPr>
        <w:t>3</w:t>
      </w:r>
      <w:r>
        <w:rPr>
          <w:rFonts w:hint="eastAsia" w:ascii="宋体" w:hAnsi="宋体" w:eastAsia="宋体" w:cs="宋体"/>
          <w:bCs/>
          <w:sz w:val="21"/>
          <w:szCs w:val="21"/>
          <w:lang w:val="zh-CN"/>
        </w:rPr>
        <w:t>.1 电气及仪表安装的技术服务工作</w:t>
      </w:r>
      <w:bookmarkEnd w:id="38"/>
      <w:bookmarkEnd w:id="39"/>
    </w:p>
    <w:p w14:paraId="1CC9405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根据</w:t>
      </w:r>
      <w:r>
        <w:rPr>
          <w:rFonts w:hint="eastAsia" w:ascii="宋体" w:hAnsi="宋体" w:eastAsia="宋体" w:cs="宋体"/>
          <w:sz w:val="21"/>
          <w:szCs w:val="21"/>
          <w:lang w:eastAsia="zh-CN"/>
        </w:rPr>
        <w:t>招标文件</w:t>
      </w:r>
      <w:r>
        <w:rPr>
          <w:rFonts w:hint="eastAsia" w:ascii="宋体" w:hAnsi="宋体" w:eastAsia="宋体" w:cs="宋体"/>
          <w:sz w:val="21"/>
          <w:szCs w:val="21"/>
        </w:rPr>
        <w:t>规定应负责整个</w:t>
      </w:r>
      <w:r>
        <w:rPr>
          <w:rFonts w:hint="eastAsia" w:ascii="宋体" w:hAnsi="宋体" w:eastAsia="宋体" w:cs="宋体"/>
          <w:sz w:val="21"/>
          <w:szCs w:val="21"/>
          <w:lang w:val="en-US" w:eastAsia="zh-CN"/>
        </w:rPr>
        <w:t>招标文件</w:t>
      </w:r>
      <w:r>
        <w:rPr>
          <w:rFonts w:hint="eastAsia" w:ascii="宋体" w:hAnsi="宋体" w:eastAsia="宋体" w:cs="宋体"/>
          <w:sz w:val="21"/>
          <w:szCs w:val="21"/>
        </w:rPr>
        <w:t>内系统的安装。</w:t>
      </w:r>
    </w:p>
    <w:p w14:paraId="57F9524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中标人</w:t>
      </w:r>
      <w:r>
        <w:rPr>
          <w:rFonts w:hint="eastAsia" w:ascii="宋体" w:hAnsi="宋体" w:eastAsia="宋体" w:cs="宋体"/>
          <w:sz w:val="21"/>
          <w:szCs w:val="21"/>
        </w:rPr>
        <w:t>应提供并安装为压紧、固定、定位等所需的安装用铁轨、螺栓、铁条、夹紧件、撑架支持用的铁件、底板。</w:t>
      </w:r>
    </w:p>
    <w:p w14:paraId="3D863D2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（3）安装所需的预埋件，按照“第一部分 项目简介——三、系统组成——系统范围”中关于预埋件设计制造及安装的相关要求执行。</w:t>
      </w:r>
    </w:p>
    <w:p w14:paraId="681070A5">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40" w:name="_Toc26572"/>
      <w:bookmarkStart w:id="41" w:name="_Toc118200250"/>
      <w:r>
        <w:rPr>
          <w:rFonts w:hint="eastAsia" w:ascii="宋体" w:hAnsi="宋体" w:eastAsia="宋体" w:cs="宋体"/>
          <w:bCs/>
          <w:sz w:val="21"/>
          <w:szCs w:val="21"/>
          <w:lang w:val="en-US" w:eastAsia="zh-CN"/>
        </w:rPr>
        <w:t>3</w:t>
      </w:r>
      <w:r>
        <w:rPr>
          <w:rFonts w:hint="eastAsia" w:ascii="宋体" w:hAnsi="宋体" w:eastAsia="宋体" w:cs="宋体"/>
          <w:bCs/>
          <w:sz w:val="21"/>
          <w:szCs w:val="21"/>
          <w:lang w:val="zh-CN"/>
        </w:rPr>
        <w:t>.2 电气及仪表试运行的技术服务</w:t>
      </w:r>
      <w:bookmarkEnd w:id="40"/>
      <w:bookmarkEnd w:id="41"/>
    </w:p>
    <w:p w14:paraId="142193D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应当保证，所有提供的设备，在制造上以及元器件上都是符合标准规定的，除另有规定外，在验收合格后的一年内，如发现隐害或质量问题，</w:t>
      </w:r>
      <w:r>
        <w:rPr>
          <w:rFonts w:hint="eastAsia" w:ascii="宋体" w:hAnsi="宋体" w:eastAsia="宋体" w:cs="宋体"/>
          <w:sz w:val="21"/>
          <w:szCs w:val="21"/>
          <w:lang w:eastAsia="zh-CN"/>
        </w:rPr>
        <w:t>中标人</w:t>
      </w:r>
      <w:r>
        <w:rPr>
          <w:rFonts w:hint="eastAsia" w:ascii="宋体" w:hAnsi="宋体" w:eastAsia="宋体" w:cs="宋体"/>
          <w:sz w:val="21"/>
          <w:szCs w:val="21"/>
        </w:rPr>
        <w:t>应毫不拖延地修复任一部位发生的故障或带来的危害，使其符合规定要求，其费用应当由</w:t>
      </w:r>
      <w:r>
        <w:rPr>
          <w:rFonts w:hint="eastAsia" w:ascii="宋体" w:hAnsi="宋体" w:eastAsia="宋体" w:cs="宋体"/>
          <w:sz w:val="21"/>
          <w:szCs w:val="21"/>
          <w:lang w:eastAsia="zh-CN"/>
        </w:rPr>
        <w:t>中标人</w:t>
      </w:r>
      <w:r>
        <w:rPr>
          <w:rFonts w:hint="eastAsia" w:ascii="宋体" w:hAnsi="宋体" w:eastAsia="宋体" w:cs="宋体"/>
          <w:sz w:val="21"/>
          <w:szCs w:val="21"/>
        </w:rPr>
        <w:t>负责。如因其危害带来的损失或由此引起的其他部分损失，其费用也应由</w:t>
      </w:r>
      <w:r>
        <w:rPr>
          <w:rFonts w:hint="eastAsia" w:ascii="宋体" w:hAnsi="宋体" w:eastAsia="宋体" w:cs="宋体"/>
          <w:sz w:val="21"/>
          <w:szCs w:val="21"/>
          <w:lang w:eastAsia="zh-CN"/>
        </w:rPr>
        <w:t>中标人</w:t>
      </w:r>
      <w:r>
        <w:rPr>
          <w:rFonts w:hint="eastAsia" w:ascii="宋体" w:hAnsi="宋体" w:eastAsia="宋体" w:cs="宋体"/>
          <w:sz w:val="21"/>
          <w:szCs w:val="21"/>
        </w:rPr>
        <w:t>负责。</w:t>
      </w:r>
    </w:p>
    <w:p w14:paraId="5359E87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备安装工作完成，且工况良好，经招标方同意，进入试运行性能测试工作，在招标方的监督下，对系统进行不超过7天的运行性能测试工作。在检测过程中如发现设备性能与原定要求有所偏离时，应由中标人负责解决。。</w:t>
      </w:r>
    </w:p>
    <w:p w14:paraId="7810795F">
      <w:pPr>
        <w:widowControl/>
        <w:numPr>
          <w:ilvl w:val="0"/>
          <w:numId w:val="4"/>
        </w:numPr>
        <w:snapToGrid w:val="0"/>
        <w:spacing w:line="360" w:lineRule="auto"/>
        <w:ind w:left="0" w:leftChars="0" w:firstLine="420" w:firstLineChars="0"/>
        <w:outlineLvl w:val="1"/>
        <w:rPr>
          <w:rFonts w:hint="eastAsia" w:ascii="宋体" w:hAnsi="宋体" w:eastAsia="宋体" w:cs="Times New Roman"/>
          <w:b/>
          <w:sz w:val="21"/>
          <w:szCs w:val="21"/>
        </w:rPr>
      </w:pPr>
      <w:r>
        <w:rPr>
          <w:rFonts w:hint="eastAsia" w:ascii="宋体" w:hAnsi="宋体" w:eastAsia="宋体" w:cs="Times New Roman"/>
          <w:b/>
          <w:sz w:val="21"/>
          <w:szCs w:val="21"/>
        </w:rPr>
        <w:t>防蚀与涂装</w:t>
      </w:r>
    </w:p>
    <w:p w14:paraId="63E1E5F8">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.1 工厂内涂装</w:t>
      </w:r>
    </w:p>
    <w:p w14:paraId="3ABA777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（1）除非另有规定，所有机械和电气的设备，以及黑色金属所制造的设备，都应在制作现场进行涂装。</w:t>
      </w:r>
    </w:p>
    <w:p w14:paraId="45949C8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除非另有规定，设备的表面防腐处理可以根据</w:t>
      </w:r>
      <w:r>
        <w:rPr>
          <w:rFonts w:hint="eastAsia" w:ascii="宋体" w:hAnsi="宋体" w:eastAsia="宋体" w:cs="宋体"/>
          <w:sz w:val="21"/>
          <w:szCs w:val="21"/>
          <w:lang w:eastAsia="zh-CN"/>
        </w:rPr>
        <w:t>中标人</w:t>
      </w:r>
      <w:r>
        <w:rPr>
          <w:rFonts w:hint="eastAsia" w:ascii="宋体" w:hAnsi="宋体" w:eastAsia="宋体" w:cs="宋体"/>
          <w:sz w:val="21"/>
          <w:szCs w:val="21"/>
        </w:rPr>
        <w:t>的设备防护涂层系统进行工程准备、打光和完成涂层，要求设备的表面防腐处理应具有优良的耐腐蚀性，</w:t>
      </w:r>
      <w:r>
        <w:rPr>
          <w:rFonts w:hint="eastAsia" w:ascii="宋体" w:hAnsi="宋体" w:eastAsia="宋体" w:cs="宋体"/>
          <w:sz w:val="21"/>
          <w:szCs w:val="21"/>
          <w:lang w:eastAsia="zh-CN"/>
        </w:rPr>
        <w:t>中标人</w:t>
      </w:r>
      <w:r>
        <w:rPr>
          <w:rFonts w:hint="eastAsia" w:ascii="宋体" w:hAnsi="宋体" w:eastAsia="宋体" w:cs="宋体"/>
          <w:sz w:val="21"/>
          <w:szCs w:val="21"/>
        </w:rPr>
        <w:t>应提供该设备表面处理的方法、涂层名称及厚度等技术说明，并提供防腐寿命的年限。</w:t>
      </w:r>
    </w:p>
    <w:p w14:paraId="0F4BDC0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工厂涂装过的构件，要等到干燥期结束后，才可搬运。工厂内的涂装包括除锈打底漆和涂面漆。</w:t>
      </w:r>
    </w:p>
    <w:p w14:paraId="6A8BD88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（2）所有的构造钢件、金属外壳以及其他的黑色金属构件，应当在工厂内除锈打底漆。</w:t>
      </w:r>
    </w:p>
    <w:p w14:paraId="2D6EF61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（3）工厂内涂装面层习惯上要做搪瓷表层的所有设备，或者需要做标准性工厂内的最后一道面层的所有设备，都应很好地进行涂装，以增强海洋运输或存放期过长时的保护作用。</w:t>
      </w:r>
    </w:p>
    <w:p w14:paraId="3AED3422">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.2 涂料体系标准</w:t>
      </w:r>
    </w:p>
    <w:p w14:paraId="1F9D8FC7">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本</w:t>
      </w:r>
      <w:r>
        <w:rPr>
          <w:rFonts w:hint="eastAsia" w:ascii="宋体" w:hAnsi="宋体" w:eastAsia="宋体" w:cs="宋体"/>
          <w:bCs/>
          <w:sz w:val="21"/>
          <w:szCs w:val="21"/>
          <w:lang w:eastAsia="zh-CN"/>
        </w:rPr>
        <w:t>招标文件</w:t>
      </w:r>
      <w:r>
        <w:rPr>
          <w:rFonts w:hint="eastAsia" w:ascii="宋体" w:hAnsi="宋体" w:eastAsia="宋体" w:cs="宋体"/>
          <w:bCs/>
          <w:sz w:val="21"/>
          <w:szCs w:val="21"/>
        </w:rPr>
        <w:t>所规定的需进行的涂料体系，都要进行涂装前的表面处理工作。</w:t>
      </w:r>
      <w:r>
        <w:rPr>
          <w:rFonts w:hint="eastAsia" w:ascii="宋体" w:hAnsi="宋体" w:eastAsia="宋体" w:cs="宋体"/>
          <w:sz w:val="21"/>
          <w:szCs w:val="21"/>
        </w:rPr>
        <w:t>表面处理应遵守中国标准GB8923-2008的规定或国际上等同或优于标准，粗燥度不超过100μm。</w:t>
      </w:r>
    </w:p>
    <w:p w14:paraId="3C9456B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体系A（环氧树脂漆体系）</w:t>
      </w:r>
    </w:p>
    <w:p w14:paraId="0D538B9F">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7049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325" cy="1704975"/>
                    </a:xfrm>
                    <a:prstGeom prst="rect">
                      <a:avLst/>
                    </a:prstGeom>
                    <a:noFill/>
                    <a:ln>
                      <a:noFill/>
                    </a:ln>
                  </pic:spPr>
                </pic:pic>
              </a:graphicData>
            </a:graphic>
          </wp:inline>
        </w:drawing>
      </w:r>
    </w:p>
    <w:p w14:paraId="49ED7F3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体系B（沥青环氧树脂漆体系）</w:t>
      </w:r>
    </w:p>
    <w:p w14:paraId="5E2050D5">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5144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325" cy="1514475"/>
                    </a:xfrm>
                    <a:prstGeom prst="rect">
                      <a:avLst/>
                    </a:prstGeom>
                    <a:noFill/>
                    <a:ln>
                      <a:noFill/>
                    </a:ln>
                  </pic:spPr>
                </pic:pic>
              </a:graphicData>
            </a:graphic>
          </wp:inline>
        </w:drawing>
      </w:r>
    </w:p>
    <w:p w14:paraId="01414F0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体系C（镀锌面的涂料体系）</w:t>
      </w:r>
    </w:p>
    <w:p w14:paraId="72D8C47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表面处理和底漆。表面应当无潮气，无尘埃和其他的污染物质，应当用溶剂清洁剂来洗净表面，缺损的镀锌表面可用手动或电动的工具来刷净，应当遵守GB8923-2008或等同标准的规定来做表面处理和涂上蚀刻底漆，干化后的蚀刻底漆最小厚度为20μm。</w:t>
      </w:r>
    </w:p>
    <w:p w14:paraId="2326295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（2）涂层。表面处理过程结束后，体系A、B、C的涂料层即可实施，除非另有说明。</w:t>
      </w:r>
    </w:p>
    <w:p w14:paraId="1006668D">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.3 涂装范围</w:t>
      </w:r>
    </w:p>
    <w:p w14:paraId="08C0CD6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前面规定的涂料体系，应当敷于下列的物体和表面上（除非另有规定）：</w:t>
      </w:r>
    </w:p>
    <w:p w14:paraId="1818E42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（1）在腐蚀环境下，室内服务的未镀锌黑色金属表面，如脱水机房、加药间和管沟及其他规定的地方：使用体系A。</w:t>
      </w:r>
    </w:p>
    <w:p w14:paraId="79F481D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（2）浸入水中或间断浸水的钢表面（除不锈钢外）：使用体系B。</w:t>
      </w:r>
    </w:p>
    <w:p w14:paraId="499EB3A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（3）浸入水中或间断浸入水中的镀锌钢表面：使用体系C再加体系B。</w:t>
      </w:r>
    </w:p>
    <w:p w14:paraId="6CA4A882">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.4 涂装表面</w:t>
      </w:r>
    </w:p>
    <w:p w14:paraId="206E866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应当采取保护措施，使油漆后的表面不遭受撞击、摩擦、褪色以及其他因素的损伤，在设备被验收前所遭到的损坏，应当消除后再加涂，直到取得招标方的同意后，才算合格。</w:t>
      </w:r>
    </w:p>
    <w:p w14:paraId="7DC128D7">
      <w:pPr>
        <w:widowControl/>
        <w:numPr>
          <w:ilvl w:val="0"/>
          <w:numId w:val="4"/>
        </w:numPr>
        <w:snapToGrid w:val="0"/>
        <w:spacing w:line="360" w:lineRule="auto"/>
        <w:ind w:left="0" w:leftChars="0" w:firstLine="420" w:firstLineChars="0"/>
        <w:outlineLvl w:val="1"/>
        <w:rPr>
          <w:rFonts w:hint="eastAsia" w:ascii="宋体" w:hAnsi="宋体" w:eastAsia="宋体" w:cs="Times New Roman"/>
          <w:b/>
          <w:sz w:val="21"/>
          <w:szCs w:val="21"/>
        </w:rPr>
      </w:pPr>
      <w:r>
        <w:rPr>
          <w:rFonts w:hint="eastAsia" w:ascii="宋体" w:hAnsi="宋体" w:eastAsia="宋体" w:cs="Times New Roman"/>
          <w:b/>
          <w:sz w:val="21"/>
          <w:szCs w:val="21"/>
        </w:rPr>
        <w:t>法兰和螺纹</w:t>
      </w:r>
    </w:p>
    <w:p w14:paraId="2B32BD7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（1）法兰接口。</w:t>
      </w:r>
      <w:r>
        <w:rPr>
          <w:rFonts w:hint="eastAsia" w:ascii="宋体" w:hAnsi="宋体" w:eastAsia="宋体" w:cs="宋体"/>
          <w:sz w:val="21"/>
          <w:szCs w:val="21"/>
          <w:lang w:eastAsia="zh-CN"/>
        </w:rPr>
        <w:t>中标人</w:t>
      </w:r>
      <w:r>
        <w:rPr>
          <w:rFonts w:hint="eastAsia" w:ascii="宋体" w:hAnsi="宋体" w:eastAsia="宋体" w:cs="宋体"/>
          <w:sz w:val="21"/>
          <w:szCs w:val="21"/>
        </w:rPr>
        <w:t>供货设备及管道之间的法兰连接，其规格必须符合GB9113.1-2000标准，并由</w:t>
      </w:r>
      <w:r>
        <w:rPr>
          <w:rFonts w:hint="eastAsia" w:ascii="宋体" w:hAnsi="宋体" w:eastAsia="宋体" w:cs="宋体"/>
          <w:sz w:val="21"/>
          <w:szCs w:val="21"/>
          <w:lang w:eastAsia="zh-CN"/>
        </w:rPr>
        <w:t>中标人</w:t>
      </w:r>
      <w:r>
        <w:rPr>
          <w:rFonts w:hint="eastAsia" w:ascii="宋体" w:hAnsi="宋体" w:eastAsia="宋体" w:cs="宋体"/>
          <w:sz w:val="21"/>
          <w:szCs w:val="21"/>
        </w:rPr>
        <w:t>负责提供完整法兰接口的用品，即密封垫、螺栓和螺栓帽等。密封垫片的材质和厚度应能满足密封性并有较长的使用寿命和耐腐蚀、耐老化性能。密封垫片应当切成适当的尺寸，使垫片不伸出法兰的外周。在装垫片以前，法兰面要彻底清洗。</w:t>
      </w:r>
    </w:p>
    <w:p w14:paraId="1353305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（2）螺纹接口。螺纹接口应当按照GB“非密封螺纹管螺纹”的规定及等同的标准进行制作，要与设备有良好的配合</w:t>
      </w:r>
      <w:bookmarkEnd w:id="30"/>
      <w:bookmarkEnd w:id="31"/>
      <w:bookmarkEnd w:id="32"/>
      <w:bookmarkEnd w:id="33"/>
      <w:r>
        <w:rPr>
          <w:rFonts w:hint="eastAsia" w:ascii="宋体" w:hAnsi="宋体" w:eastAsia="宋体" w:cs="宋体"/>
          <w:sz w:val="21"/>
          <w:szCs w:val="21"/>
        </w:rPr>
        <w:t>。</w:t>
      </w:r>
    </w:p>
    <w:p w14:paraId="40C73094">
      <w:pPr>
        <w:widowControl/>
        <w:spacing w:line="276" w:lineRule="auto"/>
        <w:ind w:firstLine="420" w:firstLineChars="200"/>
        <w:jc w:val="left"/>
        <w:rPr>
          <w:rFonts w:hint="eastAsia" w:ascii="宋体" w:hAnsi="宋体" w:eastAsia="宋体" w:cs="宋体"/>
          <w:color w:val="00000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4921ED-EE6A-4DDC-9688-9DC3904444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2" w:fontKey="{9D08CCA5-E7B0-47A7-8B4A-27B53BE9ACE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3" w:fontKey="{7577CFA1-7A26-45E3-BC9F-37ECE806749A}"/>
  </w:font>
  <w:font w:name="Times">
    <w:altName w:val="Times New Roman"/>
    <w:panose1 w:val="02020603050405020304"/>
    <w:charset w:val="00"/>
    <w:family w:val="roman"/>
    <w:pitch w:val="default"/>
    <w:sig w:usb0="00000000" w:usb1="00000000" w:usb2="00000009" w:usb3="00000000" w:csb0="000001FF" w:csb1="00000000"/>
    <w:embedRegular r:id="rId4" w:fontKey="{6FFA48B8-F1AB-43D8-A46A-E680E6DC461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FC2FF"/>
    <w:multiLevelType w:val="singleLevel"/>
    <w:tmpl w:val="8A0FC2FF"/>
    <w:lvl w:ilvl="0" w:tentative="0">
      <w:start w:val="1"/>
      <w:numFmt w:val="chineseCounting"/>
      <w:suff w:val="nothing"/>
      <w:lvlText w:val="（%1）"/>
      <w:lvlJc w:val="left"/>
      <w:pPr>
        <w:ind w:left="0" w:firstLine="420"/>
      </w:pPr>
      <w:rPr>
        <w:rFonts w:hint="eastAsia"/>
      </w:rPr>
    </w:lvl>
  </w:abstractNum>
  <w:abstractNum w:abstractNumId="1">
    <w:nsid w:val="B5F22EA5"/>
    <w:multiLevelType w:val="multilevel"/>
    <w:tmpl w:val="B5F22EA5"/>
    <w:lvl w:ilvl="0" w:tentative="0">
      <w:start w:val="1"/>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36DC5CD2"/>
    <w:multiLevelType w:val="multilevel"/>
    <w:tmpl w:val="36DC5CD2"/>
    <w:lvl w:ilvl="0" w:tentative="0">
      <w:start w:val="1"/>
      <w:numFmt w:val="chineseCounting"/>
      <w:pStyle w:val="4"/>
      <w:suff w:val="nothing"/>
      <w:lvlText w:val="%1、"/>
      <w:lvlJc w:val="left"/>
      <w:pPr>
        <w:tabs>
          <w:tab w:val="left" w:pos="0"/>
        </w:tabs>
        <w:ind w:left="0" w:firstLine="400"/>
      </w:pPr>
      <w:rPr>
        <w:rFonts w:hint="eastAsia"/>
      </w:rPr>
    </w:lvl>
    <w:lvl w:ilvl="1" w:tentative="0">
      <w:start w:val="1"/>
      <w:numFmt w:val="decimal"/>
      <w:pStyle w:val="5"/>
      <w:suff w:val="nothing"/>
      <w:lvlText w:val="（%2）"/>
      <w:lvlJc w:val="left"/>
      <w:pPr>
        <w:tabs>
          <w:tab w:val="left" w:pos="0"/>
        </w:tabs>
        <w:ind w:left="0" w:firstLine="400"/>
      </w:pPr>
      <w:rPr>
        <w:rFonts w:hint="eastAsia"/>
      </w:rPr>
    </w:lvl>
    <w:lvl w:ilvl="2" w:tentative="0">
      <w:start w:val="1"/>
      <w:numFmt w:val="decimal"/>
      <w:pStyle w:val="6"/>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61DE26F6"/>
    <w:multiLevelType w:val="multilevel"/>
    <w:tmpl w:val="61DE26F6"/>
    <w:lvl w:ilvl="0" w:tentative="0">
      <w:start w:val="1"/>
      <w:numFmt w:val="decimal"/>
      <w:suff w:val="space"/>
      <w:lvlText w:val="（%1）"/>
      <w:lvlJc w:val="center"/>
      <w:pPr>
        <w:tabs>
          <w:tab w:val="left" w:pos="0"/>
        </w:tabs>
        <w:ind w:left="425" w:hanging="425"/>
      </w:pPr>
      <w:rPr>
        <w:rFonts w:hint="default" w:ascii="宋体" w:hAnsi="宋体" w:eastAsia="宋体" w:cs="宋体"/>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pStyle w:val="7"/>
      <w:suff w:val="space"/>
      <w:lvlText w:val="%1.%2.%3"/>
      <w:lvlJc w:val="left"/>
      <w:pPr>
        <w:tabs>
          <w:tab w:val="left" w:pos="0"/>
        </w:tabs>
        <w:ind w:left="709" w:hanging="709"/>
      </w:pPr>
      <w:rPr>
        <w:rFonts w:hint="default" w:ascii="宋体" w:hAnsi="宋体" w:eastAsia="宋体" w:cs="宋体"/>
      </w:rPr>
    </w:lvl>
    <w:lvl w:ilvl="3" w:tentative="0">
      <w:start w:val="1"/>
      <w:numFmt w:val="decimal"/>
      <w:suff w:val="space"/>
      <w:lvlText w:val="%1.%2.%3.%4"/>
      <w:lvlJc w:val="left"/>
      <w:pPr>
        <w:tabs>
          <w:tab w:val="left" w:pos="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jQxMWZmNGEzYjdiZjhiNWNhZjI0ZjNlNTljOTYifQ=="/>
  </w:docVars>
  <w:rsids>
    <w:rsidRoot w:val="00B523E4"/>
    <w:rsid w:val="00280A52"/>
    <w:rsid w:val="003F2C95"/>
    <w:rsid w:val="00B238A7"/>
    <w:rsid w:val="00B523E4"/>
    <w:rsid w:val="03CC5ECA"/>
    <w:rsid w:val="04D02E24"/>
    <w:rsid w:val="04F25B51"/>
    <w:rsid w:val="05C1471D"/>
    <w:rsid w:val="05E80104"/>
    <w:rsid w:val="06C66D57"/>
    <w:rsid w:val="07096B8D"/>
    <w:rsid w:val="07CE658D"/>
    <w:rsid w:val="08502EAB"/>
    <w:rsid w:val="09766415"/>
    <w:rsid w:val="0A231572"/>
    <w:rsid w:val="0CAF0C10"/>
    <w:rsid w:val="0F2365B3"/>
    <w:rsid w:val="0F2A1335"/>
    <w:rsid w:val="10032FC1"/>
    <w:rsid w:val="11700C20"/>
    <w:rsid w:val="118B758B"/>
    <w:rsid w:val="13047F9F"/>
    <w:rsid w:val="13C84D9A"/>
    <w:rsid w:val="14602331"/>
    <w:rsid w:val="14D92C59"/>
    <w:rsid w:val="156F29B6"/>
    <w:rsid w:val="16421E79"/>
    <w:rsid w:val="1A1A0363"/>
    <w:rsid w:val="1A9E2CAC"/>
    <w:rsid w:val="1C672639"/>
    <w:rsid w:val="1E1B36DB"/>
    <w:rsid w:val="1ED22372"/>
    <w:rsid w:val="1F7D3F22"/>
    <w:rsid w:val="24D37A9B"/>
    <w:rsid w:val="24E26DC3"/>
    <w:rsid w:val="251F14AA"/>
    <w:rsid w:val="287A2308"/>
    <w:rsid w:val="28991A7A"/>
    <w:rsid w:val="297B3BC8"/>
    <w:rsid w:val="299E3691"/>
    <w:rsid w:val="29D809AD"/>
    <w:rsid w:val="2A71059F"/>
    <w:rsid w:val="2B052062"/>
    <w:rsid w:val="2BBD0E53"/>
    <w:rsid w:val="2C5E44AB"/>
    <w:rsid w:val="2D6D14E7"/>
    <w:rsid w:val="2E037E72"/>
    <w:rsid w:val="30DE09A0"/>
    <w:rsid w:val="32FC4D34"/>
    <w:rsid w:val="36A90998"/>
    <w:rsid w:val="36BE22DC"/>
    <w:rsid w:val="3AF37011"/>
    <w:rsid w:val="3B9603ED"/>
    <w:rsid w:val="3DC34AC6"/>
    <w:rsid w:val="41E00614"/>
    <w:rsid w:val="422A1E4C"/>
    <w:rsid w:val="424A0FD1"/>
    <w:rsid w:val="4359453E"/>
    <w:rsid w:val="470F137F"/>
    <w:rsid w:val="48317431"/>
    <w:rsid w:val="485E07ED"/>
    <w:rsid w:val="48D12A65"/>
    <w:rsid w:val="4A3330F1"/>
    <w:rsid w:val="4ABC6A44"/>
    <w:rsid w:val="4B5B33DD"/>
    <w:rsid w:val="4C123AC0"/>
    <w:rsid w:val="4F5A1A06"/>
    <w:rsid w:val="51D33F5C"/>
    <w:rsid w:val="521511FE"/>
    <w:rsid w:val="54BA300C"/>
    <w:rsid w:val="565B37BE"/>
    <w:rsid w:val="56E3499B"/>
    <w:rsid w:val="59676D0A"/>
    <w:rsid w:val="5B47711E"/>
    <w:rsid w:val="5C272E65"/>
    <w:rsid w:val="5C866E59"/>
    <w:rsid w:val="5CD1684C"/>
    <w:rsid w:val="5DB916A5"/>
    <w:rsid w:val="5F9C6797"/>
    <w:rsid w:val="60297DE7"/>
    <w:rsid w:val="62595B4D"/>
    <w:rsid w:val="63BC6F2C"/>
    <w:rsid w:val="67FF5BBB"/>
    <w:rsid w:val="6A340D0D"/>
    <w:rsid w:val="6A682DD1"/>
    <w:rsid w:val="6E7066F8"/>
    <w:rsid w:val="6FF70753"/>
    <w:rsid w:val="71DF224B"/>
    <w:rsid w:val="72A915F4"/>
    <w:rsid w:val="73696E97"/>
    <w:rsid w:val="74904600"/>
    <w:rsid w:val="74DA720D"/>
    <w:rsid w:val="75A22D55"/>
    <w:rsid w:val="772507C5"/>
    <w:rsid w:val="78270C07"/>
    <w:rsid w:val="798E3ED6"/>
    <w:rsid w:val="7A0320C3"/>
    <w:rsid w:val="7B212681"/>
    <w:rsid w:val="7B536A5E"/>
    <w:rsid w:val="7F0A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autoRedefine/>
    <w:qFormat/>
    <w:uiPriority w:val="0"/>
    <w:pPr>
      <w:keepNext/>
      <w:numPr>
        <w:ilvl w:val="0"/>
        <w:numId w:val="1"/>
      </w:numPr>
      <w:tabs>
        <w:tab w:val="left" w:pos="420"/>
      </w:tabs>
      <w:spacing w:line="560" w:lineRule="exact"/>
      <w:jc w:val="left"/>
      <w:outlineLvl w:val="0"/>
    </w:pPr>
    <w:rPr>
      <w:rFonts w:ascii="黑体" w:hAnsi="黑体" w:eastAsia="方正仿宋_GB2312"/>
      <w:sz w:val="32"/>
      <w:szCs w:val="24"/>
      <w:lang w:bidi="hi-IN"/>
    </w:rPr>
  </w:style>
  <w:style w:type="paragraph" w:styleId="5">
    <w:name w:val="heading 2"/>
    <w:basedOn w:val="1"/>
    <w:next w:val="1"/>
    <w:autoRedefine/>
    <w:unhideWhenUsed/>
    <w:qFormat/>
    <w:uiPriority w:val="0"/>
    <w:pPr>
      <w:keepNext/>
      <w:keepLines/>
      <w:numPr>
        <w:ilvl w:val="1"/>
        <w:numId w:val="1"/>
      </w:numPr>
      <w:spacing w:line="560" w:lineRule="exact"/>
      <w:outlineLvl w:val="1"/>
    </w:pPr>
    <w:rPr>
      <w:lang w:bidi="hi-IN"/>
    </w:rPr>
  </w:style>
  <w:style w:type="paragraph" w:styleId="6">
    <w:name w:val="heading 3"/>
    <w:basedOn w:val="1"/>
    <w:next w:val="1"/>
    <w:autoRedefine/>
    <w:semiHidden/>
    <w:unhideWhenUsed/>
    <w:qFormat/>
    <w:uiPriority w:val="0"/>
    <w:pPr>
      <w:keepNext/>
      <w:keepLines/>
      <w:numPr>
        <w:ilvl w:val="2"/>
        <w:numId w:val="1"/>
      </w:numPr>
      <w:spacing w:line="560" w:lineRule="exact"/>
      <w:outlineLvl w:val="2"/>
    </w:pPr>
    <w:rPr>
      <w:rFonts w:ascii="宋体" w:hAnsi="宋体" w:eastAsia="仿宋"/>
      <w:lang w:bidi="hi-IN"/>
    </w:rPr>
  </w:style>
  <w:style w:type="paragraph" w:styleId="7">
    <w:name w:val="heading 4"/>
    <w:basedOn w:val="1"/>
    <w:next w:val="1"/>
    <w:autoRedefine/>
    <w:semiHidden/>
    <w:unhideWhenUsed/>
    <w:qFormat/>
    <w:uiPriority w:val="0"/>
    <w:pPr>
      <w:keepNext/>
      <w:keepLines/>
      <w:numPr>
        <w:ilvl w:val="2"/>
        <w:numId w:val="2"/>
      </w:numPr>
      <w:tabs>
        <w:tab w:val="left" w:pos="420"/>
        <w:tab w:val="clear" w:pos="0"/>
      </w:tabs>
      <w:adjustRightInd w:val="0"/>
      <w:snapToGrid w:val="0"/>
      <w:spacing w:beforeLines="0" w:beforeAutospacing="0" w:afterLines="0" w:afterAutospacing="0" w:line="560" w:lineRule="exact"/>
      <w:ind w:left="709" w:hanging="709" w:firstLineChars="0"/>
      <w:outlineLvl w:val="3"/>
    </w:pPr>
    <w:rPr>
      <w:rFonts w:ascii="仿宋" w:hAnsi="仿宋" w:eastAsia="仿宋" w:cs="Times New Roman"/>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adjustRightInd w:val="0"/>
      <w:spacing w:line="312" w:lineRule="atLeast"/>
      <w:ind w:firstLine="420" w:firstLineChars="200"/>
      <w:textAlignment w:val="baseline"/>
    </w:pPr>
  </w:style>
  <w:style w:type="paragraph" w:styleId="3">
    <w:name w:val="Body Text Indent"/>
    <w:basedOn w:val="1"/>
    <w:autoRedefine/>
    <w:qFormat/>
    <w:uiPriority w:val="0"/>
    <w:pPr>
      <w:spacing w:after="120"/>
      <w:ind w:left="420" w:leftChars="200"/>
    </w:pPr>
  </w:style>
  <w:style w:type="paragraph" w:styleId="8">
    <w:name w:val="caption"/>
    <w:basedOn w:val="1"/>
    <w:next w:val="1"/>
    <w:autoRedefine/>
    <w:semiHidden/>
    <w:unhideWhenUsed/>
    <w:qFormat/>
    <w:uiPriority w:val="0"/>
    <w:pPr>
      <w:jc w:val="center"/>
    </w:pPr>
    <w:rPr>
      <w:rFonts w:ascii="Arial" w:hAnsi="Arial" w:eastAsia="黑体"/>
      <w:sz w:val="24"/>
    </w:rPr>
  </w:style>
  <w:style w:type="paragraph" w:styleId="9">
    <w:name w:val="annotation text"/>
    <w:basedOn w:val="1"/>
    <w:qFormat/>
    <w:uiPriority w:val="0"/>
    <w:pPr>
      <w:jc w:val="left"/>
    </w:pPr>
  </w:style>
  <w:style w:type="paragraph" w:styleId="10">
    <w:name w:val="Body Text"/>
    <w:basedOn w:val="1"/>
    <w:next w:val="11"/>
    <w:autoRedefine/>
    <w:qFormat/>
    <w:uiPriority w:val="0"/>
    <w:pPr>
      <w:spacing w:after="120"/>
    </w:pPr>
  </w:style>
  <w:style w:type="paragraph" w:styleId="11">
    <w:name w:val="Body Text 2"/>
    <w:basedOn w:val="1"/>
    <w:qFormat/>
    <w:uiPriority w:val="0"/>
    <w:pPr>
      <w:widowControl/>
      <w:jc w:val="left"/>
    </w:pPr>
    <w:rPr>
      <w:rFonts w:ascii="楷体_GB2312" w:eastAsia="楷体_GB2312"/>
      <w:color w:val="000000"/>
      <w:kern w:val="0"/>
      <w:szCs w:val="21"/>
    </w:rPr>
  </w:style>
  <w:style w:type="paragraph" w:styleId="12">
    <w:name w:val="Normal (Web)"/>
    <w:basedOn w:val="1"/>
    <w:autoRedefine/>
    <w:unhideWhenUsed/>
    <w:qFormat/>
    <w:uiPriority w:val="99"/>
    <w:pPr>
      <w:spacing w:before="100" w:beforeAutospacing="1" w:after="100" w:afterAutospacing="1"/>
      <w:jc w:val="left"/>
    </w:pPr>
    <w:rPr>
      <w:kern w:val="0"/>
      <w:sz w:val="24"/>
    </w:rPr>
  </w:style>
  <w:style w:type="table" w:styleId="14">
    <w:name w:val="Table Grid"/>
    <w:basedOn w:val="13"/>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u w:val="single"/>
    </w:rPr>
  </w:style>
  <w:style w:type="paragraph" w:customStyle="1" w:styleId="17">
    <w:name w:val="表格"/>
    <w:basedOn w:val="1"/>
    <w:autoRedefine/>
    <w:qFormat/>
    <w:uiPriority w:val="0"/>
    <w:pPr>
      <w:keepNext/>
      <w:spacing w:after="120" w:line="400" w:lineRule="exact"/>
      <w:jc w:val="center"/>
    </w:pPr>
    <w:rPr>
      <w:rFonts w:ascii="Times New Roman" w:hAnsi="Times New Roman"/>
      <w:sz w:val="30"/>
    </w:rPr>
  </w:style>
  <w:style w:type="paragraph" w:customStyle="1" w:styleId="18">
    <w:name w:val="图表"/>
    <w:basedOn w:val="1"/>
    <w:autoRedefine/>
    <w:qFormat/>
    <w:uiPriority w:val="0"/>
    <w:pPr>
      <w:jc w:val="center"/>
    </w:pPr>
    <w:rPr>
      <w:sz w:val="28"/>
    </w:rPr>
  </w:style>
  <w:style w:type="paragraph" w:customStyle="1" w:styleId="19">
    <w:name w:val="图片"/>
    <w:basedOn w:val="1"/>
    <w:next w:val="8"/>
    <w:autoRedefine/>
    <w:qFormat/>
    <w:uiPriority w:val="0"/>
    <w:pPr>
      <w:keepNext/>
      <w:jc w:val="center"/>
    </w:pPr>
    <w:rPr>
      <w:rFonts w:asciiTheme="majorHAnsi" w:hAnsiTheme="majorHAnsi" w:eastAsiaTheme="majorEastAsia" w:cstheme="majorEastAsia"/>
      <w:b/>
      <w:sz w:val="24"/>
    </w:rPr>
  </w:style>
  <w:style w:type="paragraph" w:customStyle="1" w:styleId="20">
    <w:name w:val="Table Paragraph"/>
    <w:basedOn w:val="1"/>
    <w:autoRedefine/>
    <w:qFormat/>
    <w:uiPriority w:val="1"/>
    <w:rPr>
      <w:rFonts w:ascii="Times New Roman" w:hAnsi="Times New Roman" w:eastAsia="宋体"/>
    </w:rPr>
  </w:style>
  <w:style w:type="paragraph" w:styleId="21">
    <w:name w:val="List Paragraph"/>
    <w:basedOn w:val="1"/>
    <w:autoRedefine/>
    <w:qFormat/>
    <w:uiPriority w:val="99"/>
    <w:pPr>
      <w:ind w:firstLine="420" w:firstLineChars="200"/>
    </w:pPr>
  </w:style>
  <w:style w:type="paragraph" w:customStyle="1" w:styleId="22">
    <w:name w:val="列出段落1"/>
    <w:basedOn w:val="1"/>
    <w:autoRedefine/>
    <w:qFormat/>
    <w:uiPriority w:val="34"/>
    <w:pPr>
      <w:ind w:firstLine="420" w:firstLineChars="200"/>
    </w:pPr>
    <w:rPr>
      <w:rFonts w:ascii="Calibri" w:hAnsi="Calibri" w:eastAsia="宋体" w:cs="黑体"/>
    </w:rPr>
  </w:style>
  <w:style w:type="character" w:customStyle="1" w:styleId="23">
    <w:name w:val="font71"/>
    <w:basedOn w:val="15"/>
    <w:autoRedefine/>
    <w:qFormat/>
    <w:uiPriority w:val="0"/>
    <w:rPr>
      <w:rFonts w:hint="eastAsia" w:ascii="宋体" w:hAnsi="宋体" w:eastAsia="宋体" w:cs="宋体"/>
      <w:b/>
      <w:color w:val="000000"/>
      <w:sz w:val="20"/>
      <w:szCs w:val="20"/>
      <w:u w:val="none"/>
    </w:rPr>
  </w:style>
  <w:style w:type="character" w:customStyle="1" w:styleId="24">
    <w:name w:val="font31"/>
    <w:basedOn w:val="15"/>
    <w:autoRedefine/>
    <w:qFormat/>
    <w:uiPriority w:val="0"/>
    <w:rPr>
      <w:rFonts w:ascii="Arial" w:hAnsi="Arial" w:cs="Arial"/>
      <w:b/>
      <w:color w:val="000000"/>
      <w:sz w:val="20"/>
      <w:szCs w:val="20"/>
      <w:u w:val="none"/>
    </w:rPr>
  </w:style>
  <w:style w:type="character" w:customStyle="1" w:styleId="25">
    <w:name w:val="font101"/>
    <w:basedOn w:val="15"/>
    <w:autoRedefine/>
    <w:qFormat/>
    <w:uiPriority w:val="0"/>
    <w:rPr>
      <w:rFonts w:hint="eastAsia" w:ascii="宋体" w:hAnsi="宋体" w:eastAsia="宋体" w:cs="宋体"/>
      <w:color w:val="000000"/>
      <w:sz w:val="20"/>
      <w:szCs w:val="20"/>
      <w:u w:val="none"/>
    </w:rPr>
  </w:style>
  <w:style w:type="character" w:customStyle="1" w:styleId="26">
    <w:name w:val="font21"/>
    <w:basedOn w:val="15"/>
    <w:autoRedefine/>
    <w:qFormat/>
    <w:uiPriority w:val="0"/>
    <w:rPr>
      <w:rFonts w:hint="eastAsia" w:ascii="宋体" w:hAnsi="宋体" w:eastAsia="宋体" w:cs="宋体"/>
      <w:color w:val="000000"/>
      <w:sz w:val="20"/>
      <w:szCs w:val="20"/>
      <w:u w:val="none"/>
    </w:rPr>
  </w:style>
  <w:style w:type="character" w:customStyle="1" w:styleId="27">
    <w:name w:val="font41"/>
    <w:basedOn w:val="15"/>
    <w:autoRedefine/>
    <w:qFormat/>
    <w:uiPriority w:val="0"/>
    <w:rPr>
      <w:rFonts w:hint="eastAsia" w:ascii="宋体" w:hAnsi="宋体" w:eastAsia="宋体" w:cs="宋体"/>
      <w:color w:val="000000"/>
      <w:sz w:val="18"/>
      <w:szCs w:val="18"/>
      <w:u w:val="none"/>
    </w:rPr>
  </w:style>
  <w:style w:type="paragraph" w:customStyle="1" w:styleId="28">
    <w:name w:val="Normal_1_1"/>
    <w:qFormat/>
    <w:uiPriority w:val="0"/>
    <w:pPr>
      <w:widowControl w:val="0"/>
      <w:jc w:val="both"/>
    </w:pPr>
    <w:rPr>
      <w:rFonts w:ascii="等线" w:hAnsi="等线" w:eastAsia="等线" w:cs="Times New Roman"/>
      <w:kern w:val="2"/>
      <w:sz w:val="21"/>
      <w:szCs w:val="22"/>
      <w:lang w:val="en-US" w:eastAsia="zh-CN" w:bidi="ar-SA"/>
    </w:rPr>
  </w:style>
  <w:style w:type="paragraph" w:customStyle="1" w:styleId="29">
    <w:name w:val="表"/>
    <w:basedOn w:val="1"/>
    <w:qFormat/>
    <w:uiPriority w:val="0"/>
    <w:pPr>
      <w:jc w:val="center"/>
    </w:pPr>
    <w:rPr>
      <w:sz w:val="21"/>
    </w:rPr>
  </w:style>
  <w:style w:type="table" w:customStyle="1" w:styleId="30">
    <w:name w:val="网格型1"/>
    <w:basedOn w:val="1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2"/>
    <w:basedOn w:val="1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3"/>
    <w:basedOn w:val="1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5"/>
    <w:basedOn w:val="1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6"/>
    <w:basedOn w:val="1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10915</Words>
  <Characters>11755</Characters>
  <Lines>49</Lines>
  <Paragraphs>13</Paragraphs>
  <TotalTime>0</TotalTime>
  <ScaleCrop>false</ScaleCrop>
  <LinksUpToDate>false</LinksUpToDate>
  <CharactersWithSpaces>12001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2023-09-28T03:40:00Z</dcterms:created>
  <dc:creator>24523</dc:creator>
  <cp:lastModifiedBy>Ng Jung Joeng</cp:lastModifiedBy>
  <dcterms:modified xsi:type="dcterms:W3CDTF">2025-06-16T07:09:09Z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FCD31D53AB1C4227B4BF0C7B4712CEC3_13</vt:lpwstr>
  </property>
  <property fmtid="{D5CDD505-2E9C-101B-9397-08002B2CF9AE}" pid="4" name="KSOTemplateDocerSaveRecord">
    <vt:lpwstr>eyJoZGlkIjoiMWY3NWUxM2E1ODEzMmU0NjI5YTU0YThhOTk0ZWFmODUiLCJ1c2VySWQiOiIzNzkwOTEzMjgifQ==</vt:lpwstr>
  </property>
</Properties>
</file>